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8B" w:rsidRDefault="00177B8B" w:rsidP="00A24CAD">
      <w:pPr>
        <w:jc w:val="right"/>
        <w:rPr>
          <w:rFonts w:ascii="Arial" w:hAnsi="Arial"/>
          <w:b/>
        </w:rPr>
      </w:pPr>
      <w:bookmarkStart w:id="0" w:name="_GoBack"/>
      <w:bookmarkEnd w:id="0"/>
      <w:r w:rsidRPr="00742222">
        <w:rPr>
          <w:noProof/>
          <w:lang w:val="en-ZA" w:eastAsia="en-ZA"/>
        </w:rPr>
        <w:drawing>
          <wp:anchor distT="0" distB="0" distL="114300" distR="114300" simplePos="0" relativeHeight="251659264" behindDoc="0" locked="0" layoutInCell="1" allowOverlap="1" wp14:anchorId="74217961" wp14:editId="433A651D">
            <wp:simplePos x="0" y="0"/>
            <wp:positionH relativeFrom="margin">
              <wp:posOffset>1828800</wp:posOffset>
            </wp:positionH>
            <wp:positionV relativeFrom="margin">
              <wp:posOffset>-600075</wp:posOffset>
            </wp:positionV>
            <wp:extent cx="1428750" cy="1485900"/>
            <wp:effectExtent l="1905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177B8B" w:rsidRDefault="00177B8B" w:rsidP="00A24CAD">
      <w:pPr>
        <w:jc w:val="right"/>
        <w:rPr>
          <w:rFonts w:ascii="Arial" w:hAnsi="Arial"/>
          <w:b/>
        </w:rPr>
      </w:pPr>
    </w:p>
    <w:p w:rsidR="00177B8B" w:rsidRDefault="00177B8B" w:rsidP="00A24CAD">
      <w:pPr>
        <w:jc w:val="right"/>
        <w:rPr>
          <w:rFonts w:ascii="Arial" w:hAnsi="Arial"/>
          <w:b/>
        </w:rPr>
      </w:pPr>
    </w:p>
    <w:p w:rsidR="00177B8B" w:rsidRDefault="00177B8B" w:rsidP="00A24CAD">
      <w:pPr>
        <w:jc w:val="right"/>
        <w:rPr>
          <w:rFonts w:ascii="Arial" w:hAnsi="Arial"/>
          <w:b/>
        </w:rPr>
      </w:pPr>
    </w:p>
    <w:p w:rsidR="00177B8B" w:rsidRDefault="00177B8B" w:rsidP="00A24CAD">
      <w:pPr>
        <w:jc w:val="right"/>
        <w:rPr>
          <w:rFonts w:ascii="Arial" w:hAnsi="Arial"/>
          <w:b/>
        </w:rPr>
      </w:pPr>
    </w:p>
    <w:p w:rsidR="00177B8B" w:rsidRDefault="00177B8B" w:rsidP="00A24CAD">
      <w:pPr>
        <w:jc w:val="right"/>
        <w:rPr>
          <w:rFonts w:ascii="Arial" w:hAnsi="Arial"/>
          <w:b/>
        </w:rPr>
      </w:pPr>
    </w:p>
    <w:p w:rsidR="00A24CAD" w:rsidRDefault="00B319D0" w:rsidP="00A24CAD">
      <w:pPr>
        <w:jc w:val="right"/>
        <w:rPr>
          <w:rFonts w:ascii="Arial" w:hAnsi="Arial"/>
          <w:b/>
        </w:rPr>
      </w:pPr>
      <w:r>
        <w:rPr>
          <w:rFonts w:ascii="Arial" w:hAnsi="Arial"/>
          <w:b/>
        </w:rPr>
        <w:t xml:space="preserve">NOT </w:t>
      </w:r>
      <w:r w:rsidR="00A24CAD">
        <w:rPr>
          <w:rFonts w:ascii="Arial" w:hAnsi="Arial"/>
          <w:b/>
        </w:rPr>
        <w:t>REPORTABLE</w:t>
      </w:r>
    </w:p>
    <w:p w:rsidR="00A24CAD" w:rsidRPr="00681B8B" w:rsidRDefault="00A24CAD" w:rsidP="00A24CAD">
      <w:pPr>
        <w:jc w:val="right"/>
        <w:rPr>
          <w:rFonts w:ascii="Arial" w:hAnsi="Arial"/>
          <w:b/>
        </w:rPr>
      </w:pPr>
    </w:p>
    <w:p w:rsidR="00A24CAD" w:rsidRDefault="006B748D" w:rsidP="00A24CAD">
      <w:pPr>
        <w:jc w:val="right"/>
        <w:rPr>
          <w:rFonts w:ascii="Arial" w:hAnsi="Arial"/>
        </w:rPr>
      </w:pPr>
      <w:r>
        <w:rPr>
          <w:rFonts w:ascii="Arial" w:hAnsi="Arial"/>
        </w:rPr>
        <w:t>CASE NO</w:t>
      </w:r>
      <w:r w:rsidR="00A24CAD">
        <w:rPr>
          <w:rFonts w:ascii="Arial" w:hAnsi="Arial"/>
        </w:rPr>
        <w:t xml:space="preserve">: SA </w:t>
      </w:r>
      <w:r w:rsidR="00C3689D">
        <w:rPr>
          <w:rFonts w:ascii="Arial" w:hAnsi="Arial"/>
        </w:rPr>
        <w:t>41</w:t>
      </w:r>
      <w:r w:rsidR="00A24CAD">
        <w:rPr>
          <w:rFonts w:ascii="Arial" w:hAnsi="Arial"/>
        </w:rPr>
        <w:t>/201</w:t>
      </w:r>
      <w:r w:rsidR="00C3689D">
        <w:rPr>
          <w:rFonts w:ascii="Arial" w:hAnsi="Arial"/>
        </w:rPr>
        <w:t>9</w:t>
      </w:r>
    </w:p>
    <w:p w:rsidR="00A24CAD" w:rsidRDefault="00A24CAD" w:rsidP="00A24CAD">
      <w:pPr>
        <w:jc w:val="right"/>
        <w:rPr>
          <w:rFonts w:ascii="Arial" w:hAnsi="Arial"/>
        </w:rPr>
      </w:pPr>
    </w:p>
    <w:p w:rsidR="00A24CAD" w:rsidRDefault="00A24CAD" w:rsidP="00A24CAD">
      <w:pPr>
        <w:jc w:val="right"/>
        <w:rPr>
          <w:rFonts w:ascii="Arial" w:hAnsi="Arial"/>
        </w:rPr>
      </w:pPr>
    </w:p>
    <w:p w:rsidR="00A24CAD" w:rsidRDefault="00A24CAD" w:rsidP="00B35D8B">
      <w:pPr>
        <w:jc w:val="both"/>
        <w:rPr>
          <w:rFonts w:ascii="Arial" w:hAnsi="Arial"/>
          <w:b/>
        </w:rPr>
      </w:pPr>
      <w:r>
        <w:rPr>
          <w:rFonts w:ascii="Arial" w:hAnsi="Arial"/>
          <w:b/>
        </w:rPr>
        <w:t>IN THE SUPREME COURT OF NAMIBIA</w:t>
      </w:r>
    </w:p>
    <w:p w:rsidR="00A24CAD" w:rsidRDefault="00A24CAD" w:rsidP="00B35D8B">
      <w:pPr>
        <w:jc w:val="both"/>
        <w:rPr>
          <w:rFonts w:ascii="Arial" w:hAnsi="Arial"/>
          <w:b/>
        </w:rPr>
      </w:pPr>
    </w:p>
    <w:p w:rsidR="00A24CAD" w:rsidRDefault="00A24CAD" w:rsidP="00B35D8B">
      <w:pPr>
        <w:jc w:val="both"/>
        <w:rPr>
          <w:rFonts w:ascii="Arial" w:hAnsi="Arial"/>
          <w:b/>
        </w:rPr>
      </w:pPr>
    </w:p>
    <w:p w:rsidR="00A24CAD" w:rsidRDefault="00A24CAD" w:rsidP="00B35D8B">
      <w:pPr>
        <w:jc w:val="both"/>
        <w:rPr>
          <w:rFonts w:ascii="Arial" w:hAnsi="Arial"/>
        </w:rPr>
      </w:pPr>
      <w:r>
        <w:rPr>
          <w:rFonts w:ascii="Arial" w:hAnsi="Arial"/>
        </w:rPr>
        <w:t>In the matter between</w:t>
      </w:r>
    </w:p>
    <w:p w:rsidR="00A24CAD" w:rsidRDefault="00A24CAD" w:rsidP="00B35D8B">
      <w:pPr>
        <w:jc w:val="both"/>
        <w:rPr>
          <w:rFonts w:ascii="Arial" w:hAnsi="Arial"/>
        </w:rPr>
      </w:pPr>
    </w:p>
    <w:p w:rsidR="00A24CAD" w:rsidRDefault="00A24CAD" w:rsidP="00B35D8B">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1"/>
        <w:gridCol w:w="2610"/>
      </w:tblGrid>
      <w:tr w:rsidR="00A24CAD" w:rsidTr="00C779A1">
        <w:tc>
          <w:tcPr>
            <w:tcW w:w="6345" w:type="dxa"/>
          </w:tcPr>
          <w:p w:rsidR="00A24CAD" w:rsidRPr="00C3689D" w:rsidRDefault="00C3689D" w:rsidP="00DD4BDD">
            <w:pPr>
              <w:spacing w:line="276" w:lineRule="auto"/>
              <w:ind w:hanging="108"/>
              <w:jc w:val="both"/>
              <w:rPr>
                <w:rFonts w:ascii="Arial" w:hAnsi="Arial"/>
                <w:b/>
              </w:rPr>
            </w:pPr>
            <w:r w:rsidRPr="00C3689D">
              <w:rPr>
                <w:rFonts w:ascii="Arial" w:hAnsi="Arial"/>
                <w:b/>
              </w:rPr>
              <w:t>NAMIBIA POWER CORPORATION (PTY) LTD</w:t>
            </w:r>
          </w:p>
        </w:tc>
        <w:tc>
          <w:tcPr>
            <w:tcW w:w="2652" w:type="dxa"/>
          </w:tcPr>
          <w:p w:rsidR="00A24CAD" w:rsidRPr="00DE17E7" w:rsidRDefault="00A24CAD" w:rsidP="006244DD">
            <w:pPr>
              <w:spacing w:line="276" w:lineRule="auto"/>
              <w:jc w:val="right"/>
              <w:rPr>
                <w:rFonts w:ascii="Arial" w:hAnsi="Arial"/>
                <w:b/>
              </w:rPr>
            </w:pPr>
            <w:r w:rsidRPr="00DE17E7">
              <w:rPr>
                <w:rFonts w:ascii="Arial" w:hAnsi="Arial"/>
                <w:b/>
              </w:rPr>
              <w:t>Appellant</w:t>
            </w:r>
          </w:p>
        </w:tc>
      </w:tr>
      <w:tr w:rsidR="00A24CAD" w:rsidTr="00C779A1">
        <w:tc>
          <w:tcPr>
            <w:tcW w:w="6345" w:type="dxa"/>
          </w:tcPr>
          <w:p w:rsidR="00A24CAD" w:rsidRPr="00835AA9" w:rsidRDefault="00A24CAD" w:rsidP="00B35D8B">
            <w:pPr>
              <w:spacing w:line="276" w:lineRule="auto"/>
              <w:jc w:val="both"/>
              <w:rPr>
                <w:rFonts w:ascii="Arial" w:hAnsi="Arial"/>
              </w:rPr>
            </w:pPr>
          </w:p>
        </w:tc>
        <w:tc>
          <w:tcPr>
            <w:tcW w:w="2652" w:type="dxa"/>
          </w:tcPr>
          <w:p w:rsidR="00A24CAD" w:rsidRPr="00DE17E7" w:rsidRDefault="00A24CAD" w:rsidP="006244DD">
            <w:pPr>
              <w:spacing w:line="276" w:lineRule="auto"/>
              <w:jc w:val="right"/>
              <w:rPr>
                <w:rFonts w:ascii="Arial" w:hAnsi="Arial"/>
                <w:b/>
              </w:rPr>
            </w:pPr>
          </w:p>
        </w:tc>
      </w:tr>
      <w:tr w:rsidR="00A24CAD" w:rsidTr="00C779A1">
        <w:tc>
          <w:tcPr>
            <w:tcW w:w="6345" w:type="dxa"/>
          </w:tcPr>
          <w:p w:rsidR="00A24CAD" w:rsidRPr="00835AA9" w:rsidRDefault="00177B8B" w:rsidP="00DD4BDD">
            <w:pPr>
              <w:spacing w:line="276" w:lineRule="auto"/>
              <w:ind w:hanging="108"/>
              <w:jc w:val="both"/>
              <w:rPr>
                <w:rFonts w:ascii="Arial" w:hAnsi="Arial"/>
              </w:rPr>
            </w:pPr>
            <w:r>
              <w:rPr>
                <w:rFonts w:ascii="Arial" w:hAnsi="Arial"/>
              </w:rPr>
              <w:t>a</w:t>
            </w:r>
            <w:r w:rsidR="00A24CAD" w:rsidRPr="00835AA9">
              <w:rPr>
                <w:rFonts w:ascii="Arial" w:hAnsi="Arial"/>
              </w:rPr>
              <w:t>nd</w:t>
            </w:r>
          </w:p>
        </w:tc>
        <w:tc>
          <w:tcPr>
            <w:tcW w:w="2652" w:type="dxa"/>
          </w:tcPr>
          <w:p w:rsidR="00A24CAD" w:rsidRPr="00DE17E7" w:rsidRDefault="00A24CAD" w:rsidP="006244DD">
            <w:pPr>
              <w:spacing w:line="276" w:lineRule="auto"/>
              <w:jc w:val="right"/>
              <w:rPr>
                <w:rFonts w:ascii="Arial" w:hAnsi="Arial"/>
                <w:b/>
              </w:rPr>
            </w:pPr>
          </w:p>
        </w:tc>
      </w:tr>
      <w:tr w:rsidR="00A24CAD" w:rsidTr="00C779A1">
        <w:tc>
          <w:tcPr>
            <w:tcW w:w="6345" w:type="dxa"/>
          </w:tcPr>
          <w:p w:rsidR="00A24CAD" w:rsidRPr="00835AA9" w:rsidRDefault="00A24CAD" w:rsidP="00B35D8B">
            <w:pPr>
              <w:spacing w:line="276" w:lineRule="auto"/>
              <w:jc w:val="both"/>
              <w:rPr>
                <w:rFonts w:ascii="Arial" w:hAnsi="Arial"/>
              </w:rPr>
            </w:pPr>
          </w:p>
        </w:tc>
        <w:tc>
          <w:tcPr>
            <w:tcW w:w="2652" w:type="dxa"/>
          </w:tcPr>
          <w:p w:rsidR="00A24CAD" w:rsidRPr="00DE17E7" w:rsidRDefault="00A24CAD" w:rsidP="006244DD">
            <w:pPr>
              <w:spacing w:line="276" w:lineRule="auto"/>
              <w:jc w:val="right"/>
              <w:rPr>
                <w:rFonts w:ascii="Arial" w:hAnsi="Arial"/>
                <w:b/>
              </w:rPr>
            </w:pPr>
          </w:p>
        </w:tc>
      </w:tr>
      <w:tr w:rsidR="00A24CAD" w:rsidTr="00C779A1">
        <w:tc>
          <w:tcPr>
            <w:tcW w:w="6345" w:type="dxa"/>
          </w:tcPr>
          <w:p w:rsidR="00A24CAD" w:rsidRDefault="00C3689D" w:rsidP="00DD4BDD">
            <w:pPr>
              <w:spacing w:line="276" w:lineRule="auto"/>
              <w:ind w:hanging="108"/>
              <w:jc w:val="both"/>
              <w:rPr>
                <w:rFonts w:ascii="Arial" w:hAnsi="Arial"/>
              </w:rPr>
            </w:pPr>
            <w:r>
              <w:rPr>
                <w:rFonts w:ascii="Arial" w:hAnsi="Arial"/>
                <w:b/>
              </w:rPr>
              <w:t>MICHAEL KAAPEHI</w:t>
            </w:r>
          </w:p>
        </w:tc>
        <w:tc>
          <w:tcPr>
            <w:tcW w:w="2652" w:type="dxa"/>
          </w:tcPr>
          <w:p w:rsidR="00A24CAD" w:rsidRPr="00DE17E7" w:rsidRDefault="00C3689D" w:rsidP="006244DD">
            <w:pPr>
              <w:spacing w:line="276" w:lineRule="auto"/>
              <w:jc w:val="right"/>
              <w:rPr>
                <w:rFonts w:ascii="Arial" w:hAnsi="Arial"/>
                <w:b/>
              </w:rPr>
            </w:pPr>
            <w:r>
              <w:rPr>
                <w:rFonts w:ascii="Arial" w:hAnsi="Arial"/>
                <w:b/>
              </w:rPr>
              <w:t xml:space="preserve">First </w:t>
            </w:r>
            <w:r w:rsidR="00A24CAD" w:rsidRPr="00DE17E7">
              <w:rPr>
                <w:rFonts w:ascii="Arial" w:hAnsi="Arial"/>
                <w:b/>
              </w:rPr>
              <w:t>Respondent</w:t>
            </w:r>
          </w:p>
          <w:p w:rsidR="00A24CAD" w:rsidRPr="00DE17E7" w:rsidRDefault="00A24CAD" w:rsidP="006244DD">
            <w:pPr>
              <w:spacing w:line="276" w:lineRule="auto"/>
              <w:jc w:val="right"/>
              <w:rPr>
                <w:rFonts w:ascii="Arial" w:hAnsi="Arial"/>
                <w:b/>
              </w:rPr>
            </w:pPr>
          </w:p>
        </w:tc>
      </w:tr>
      <w:tr w:rsidR="00177B8B" w:rsidTr="00C779A1">
        <w:tc>
          <w:tcPr>
            <w:tcW w:w="6345" w:type="dxa"/>
          </w:tcPr>
          <w:p w:rsidR="00177B8B" w:rsidRDefault="00177B8B" w:rsidP="00DD4BDD">
            <w:pPr>
              <w:spacing w:line="276" w:lineRule="auto"/>
              <w:ind w:hanging="108"/>
              <w:jc w:val="both"/>
              <w:rPr>
                <w:rFonts w:ascii="Arial" w:hAnsi="Arial"/>
                <w:b/>
              </w:rPr>
            </w:pPr>
            <w:r w:rsidRPr="00C3689D">
              <w:rPr>
                <w:rFonts w:ascii="Arial" w:hAnsi="Arial"/>
                <w:b/>
              </w:rPr>
              <w:t>JOSEPHINE DE OLIVEIRA</w:t>
            </w:r>
          </w:p>
        </w:tc>
        <w:tc>
          <w:tcPr>
            <w:tcW w:w="2652" w:type="dxa"/>
          </w:tcPr>
          <w:p w:rsidR="00177B8B" w:rsidRDefault="00177B8B" w:rsidP="006244DD">
            <w:pPr>
              <w:spacing w:line="276" w:lineRule="auto"/>
              <w:jc w:val="right"/>
              <w:rPr>
                <w:rFonts w:ascii="Arial" w:hAnsi="Arial"/>
                <w:b/>
              </w:rPr>
            </w:pPr>
            <w:r>
              <w:rPr>
                <w:rFonts w:ascii="Arial" w:hAnsi="Arial"/>
                <w:b/>
              </w:rPr>
              <w:t>Second Respondent</w:t>
            </w:r>
          </w:p>
        </w:tc>
      </w:tr>
      <w:tr w:rsidR="00177B8B" w:rsidTr="00C779A1">
        <w:tc>
          <w:tcPr>
            <w:tcW w:w="6345" w:type="dxa"/>
          </w:tcPr>
          <w:p w:rsidR="00177B8B" w:rsidRPr="00C3689D" w:rsidRDefault="00177B8B" w:rsidP="00DD4BDD">
            <w:pPr>
              <w:spacing w:line="276" w:lineRule="auto"/>
              <w:ind w:hanging="108"/>
              <w:jc w:val="both"/>
              <w:rPr>
                <w:rFonts w:ascii="Arial" w:hAnsi="Arial"/>
                <w:b/>
              </w:rPr>
            </w:pPr>
          </w:p>
        </w:tc>
        <w:tc>
          <w:tcPr>
            <w:tcW w:w="2652" w:type="dxa"/>
          </w:tcPr>
          <w:p w:rsidR="00177B8B" w:rsidRDefault="00177B8B" w:rsidP="006244DD">
            <w:pPr>
              <w:spacing w:line="276" w:lineRule="auto"/>
              <w:jc w:val="right"/>
              <w:rPr>
                <w:rFonts w:ascii="Arial" w:hAnsi="Arial"/>
                <w:b/>
              </w:rPr>
            </w:pPr>
          </w:p>
        </w:tc>
      </w:tr>
      <w:tr w:rsidR="00177B8B" w:rsidTr="00C779A1">
        <w:tc>
          <w:tcPr>
            <w:tcW w:w="6345" w:type="dxa"/>
          </w:tcPr>
          <w:p w:rsidR="00177B8B" w:rsidRPr="00C3689D" w:rsidRDefault="00177B8B" w:rsidP="00DD4BDD">
            <w:pPr>
              <w:spacing w:line="276" w:lineRule="auto"/>
              <w:ind w:hanging="108"/>
              <w:jc w:val="both"/>
              <w:rPr>
                <w:rFonts w:ascii="Arial" w:hAnsi="Arial"/>
                <w:b/>
              </w:rPr>
            </w:pPr>
            <w:r w:rsidRPr="00C3689D">
              <w:rPr>
                <w:rFonts w:ascii="Arial" w:hAnsi="Arial"/>
                <w:b/>
              </w:rPr>
              <w:t>PHILIP MWANDINGI</w:t>
            </w:r>
          </w:p>
        </w:tc>
        <w:tc>
          <w:tcPr>
            <w:tcW w:w="2652" w:type="dxa"/>
          </w:tcPr>
          <w:p w:rsidR="00177B8B" w:rsidRDefault="00177B8B" w:rsidP="006244DD">
            <w:pPr>
              <w:spacing w:line="276" w:lineRule="auto"/>
              <w:jc w:val="right"/>
              <w:rPr>
                <w:rFonts w:ascii="Arial" w:hAnsi="Arial"/>
                <w:b/>
              </w:rPr>
            </w:pPr>
            <w:r>
              <w:rPr>
                <w:rFonts w:ascii="Arial" w:hAnsi="Arial"/>
                <w:b/>
              </w:rPr>
              <w:t>Third Respondent</w:t>
            </w:r>
          </w:p>
        </w:tc>
      </w:tr>
    </w:tbl>
    <w:p w:rsidR="00C3689D" w:rsidRDefault="00C3689D" w:rsidP="00A24CAD">
      <w:pPr>
        <w:rPr>
          <w:rFonts w:ascii="Arial" w:hAnsi="Arial"/>
        </w:rPr>
      </w:pPr>
    </w:p>
    <w:p w:rsidR="0023085F" w:rsidRDefault="0023085F" w:rsidP="00A24CAD">
      <w:pPr>
        <w:rPr>
          <w:rFonts w:ascii="Arial" w:hAnsi="Arial"/>
        </w:rPr>
      </w:pPr>
    </w:p>
    <w:p w:rsidR="00A24CAD" w:rsidRDefault="00A24CAD" w:rsidP="00A24CAD">
      <w:pPr>
        <w:rPr>
          <w:rFonts w:ascii="Arial" w:hAnsi="Arial"/>
        </w:rPr>
      </w:pPr>
      <w:r>
        <w:rPr>
          <w:rFonts w:ascii="Arial" w:hAnsi="Arial"/>
          <w:b/>
        </w:rPr>
        <w:t xml:space="preserve">CORAM: </w:t>
      </w:r>
      <w:r>
        <w:rPr>
          <w:rFonts w:ascii="Arial" w:hAnsi="Arial"/>
          <w:b/>
        </w:rPr>
        <w:tab/>
      </w:r>
      <w:r>
        <w:rPr>
          <w:rFonts w:ascii="Arial" w:hAnsi="Arial"/>
          <w:b/>
        </w:rPr>
        <w:tab/>
      </w:r>
      <w:r>
        <w:rPr>
          <w:rFonts w:ascii="Arial" w:hAnsi="Arial"/>
        </w:rPr>
        <w:t xml:space="preserve">SHIVUTE CJ, </w:t>
      </w:r>
      <w:r w:rsidR="0023085F">
        <w:rPr>
          <w:rFonts w:ascii="Arial" w:hAnsi="Arial"/>
        </w:rPr>
        <w:t xml:space="preserve">SMUTS </w:t>
      </w:r>
      <w:r>
        <w:rPr>
          <w:rFonts w:ascii="Arial" w:hAnsi="Arial"/>
        </w:rPr>
        <w:t xml:space="preserve">JA and </w:t>
      </w:r>
      <w:r w:rsidR="0023085F">
        <w:rPr>
          <w:rFonts w:ascii="Arial" w:hAnsi="Arial"/>
        </w:rPr>
        <w:t>FR</w:t>
      </w:r>
      <w:r w:rsidR="00C3689D">
        <w:rPr>
          <w:rFonts w:ascii="Arial" w:hAnsi="Arial"/>
        </w:rPr>
        <w:t>A</w:t>
      </w:r>
      <w:r w:rsidR="0023085F">
        <w:rPr>
          <w:rFonts w:ascii="Arial" w:hAnsi="Arial"/>
        </w:rPr>
        <w:t>NK</w:t>
      </w:r>
      <w:r>
        <w:rPr>
          <w:rFonts w:ascii="Arial" w:hAnsi="Arial"/>
        </w:rPr>
        <w:t xml:space="preserve"> AJA</w:t>
      </w:r>
    </w:p>
    <w:p w:rsidR="00A24CAD" w:rsidRDefault="00A24CAD" w:rsidP="00A24CAD">
      <w:pPr>
        <w:tabs>
          <w:tab w:val="left" w:pos="4920"/>
        </w:tabs>
        <w:rPr>
          <w:rFonts w:ascii="Arial" w:hAnsi="Arial"/>
        </w:rPr>
      </w:pPr>
      <w:r>
        <w:rPr>
          <w:rFonts w:ascii="Arial" w:hAnsi="Arial"/>
        </w:rPr>
        <w:tab/>
      </w:r>
    </w:p>
    <w:p w:rsidR="00A24CAD" w:rsidRDefault="00A24CAD" w:rsidP="00A24CAD">
      <w:pPr>
        <w:rPr>
          <w:rFonts w:ascii="Arial" w:hAnsi="Arial"/>
        </w:rPr>
      </w:pPr>
      <w:r>
        <w:rPr>
          <w:rFonts w:ascii="Arial" w:hAnsi="Arial"/>
          <w:b/>
        </w:rPr>
        <w:t>Heard</w:t>
      </w:r>
      <w:r w:rsidR="00965A36">
        <w:rPr>
          <w:rFonts w:ascii="Arial" w:hAnsi="Arial"/>
          <w:b/>
        </w:rPr>
        <w:t>:</w:t>
      </w:r>
      <w:r>
        <w:rPr>
          <w:rFonts w:ascii="Arial" w:hAnsi="Arial"/>
          <w:b/>
        </w:rPr>
        <w:tab/>
      </w:r>
      <w:r>
        <w:rPr>
          <w:rFonts w:ascii="Arial" w:hAnsi="Arial"/>
          <w:b/>
        </w:rPr>
        <w:tab/>
      </w:r>
      <w:r w:rsidR="00C3689D">
        <w:rPr>
          <w:rFonts w:ascii="Arial" w:hAnsi="Arial"/>
          <w:b/>
        </w:rPr>
        <w:t>20 Octo</w:t>
      </w:r>
      <w:r>
        <w:rPr>
          <w:rFonts w:ascii="Arial" w:hAnsi="Arial"/>
          <w:b/>
        </w:rPr>
        <w:t>ber 20</w:t>
      </w:r>
      <w:r w:rsidR="00C3689D">
        <w:rPr>
          <w:rFonts w:ascii="Arial" w:hAnsi="Arial"/>
          <w:b/>
        </w:rPr>
        <w:t>20</w:t>
      </w:r>
    </w:p>
    <w:p w:rsidR="00A24CAD" w:rsidRDefault="00A24CAD" w:rsidP="00A24CAD">
      <w:pPr>
        <w:rPr>
          <w:rFonts w:ascii="Arial" w:hAnsi="Arial"/>
        </w:rPr>
      </w:pPr>
    </w:p>
    <w:p w:rsidR="00A24CAD" w:rsidRPr="00C306D2" w:rsidRDefault="00A24CAD" w:rsidP="00A24CAD">
      <w:pPr>
        <w:rPr>
          <w:rFonts w:ascii="Arial" w:hAnsi="Arial"/>
        </w:rPr>
      </w:pPr>
      <w:r>
        <w:rPr>
          <w:rFonts w:ascii="Arial" w:hAnsi="Arial"/>
          <w:b/>
        </w:rPr>
        <w:t>Delivered</w:t>
      </w:r>
      <w:r w:rsidR="00965A36">
        <w:rPr>
          <w:rFonts w:ascii="Arial" w:hAnsi="Arial"/>
          <w:b/>
        </w:rPr>
        <w:t>:</w:t>
      </w:r>
      <w:r>
        <w:rPr>
          <w:rFonts w:ascii="Arial" w:hAnsi="Arial"/>
          <w:b/>
        </w:rPr>
        <w:tab/>
      </w:r>
      <w:r w:rsidR="00D90552">
        <w:rPr>
          <w:rFonts w:ascii="Arial" w:hAnsi="Arial"/>
          <w:b/>
        </w:rPr>
        <w:tab/>
        <w:t>29 October 2020</w:t>
      </w:r>
    </w:p>
    <w:p w:rsidR="00A24CAD" w:rsidRDefault="00A24CAD" w:rsidP="00A24CAD">
      <w:pPr>
        <w:pBdr>
          <w:bottom w:val="single" w:sz="12" w:space="1" w:color="auto"/>
        </w:pBdr>
        <w:rPr>
          <w:rFonts w:ascii="Arial" w:hAnsi="Arial"/>
          <w:b/>
        </w:rPr>
      </w:pPr>
    </w:p>
    <w:p w:rsidR="00320A20" w:rsidRDefault="00320A20" w:rsidP="00320A20">
      <w:pPr>
        <w:pBdr>
          <w:bottom w:val="single" w:sz="12" w:space="1" w:color="auto"/>
        </w:pBdr>
        <w:spacing w:line="360" w:lineRule="auto"/>
        <w:jc w:val="both"/>
        <w:rPr>
          <w:rFonts w:ascii="Arial" w:hAnsi="Arial"/>
          <w:b/>
        </w:rPr>
      </w:pPr>
    </w:p>
    <w:p w:rsidR="00D92D13" w:rsidRDefault="002E6889" w:rsidP="00320A20">
      <w:pPr>
        <w:pBdr>
          <w:bottom w:val="single" w:sz="12" w:space="1" w:color="auto"/>
        </w:pBdr>
        <w:spacing w:line="360" w:lineRule="auto"/>
        <w:jc w:val="both"/>
        <w:rPr>
          <w:rFonts w:ascii="Arial" w:hAnsi="Arial"/>
        </w:rPr>
      </w:pPr>
      <w:r>
        <w:rPr>
          <w:rFonts w:ascii="Arial" w:hAnsi="Arial"/>
          <w:b/>
        </w:rPr>
        <w:t xml:space="preserve">Summary: </w:t>
      </w:r>
      <w:r w:rsidRPr="002E6889">
        <w:rPr>
          <w:rFonts w:ascii="Arial" w:hAnsi="Arial"/>
        </w:rPr>
        <w:t>The</w:t>
      </w:r>
      <w:r>
        <w:rPr>
          <w:rFonts w:ascii="Arial" w:hAnsi="Arial"/>
          <w:b/>
        </w:rPr>
        <w:t xml:space="preserve"> </w:t>
      </w:r>
      <w:r w:rsidRPr="002E6889">
        <w:rPr>
          <w:rFonts w:ascii="Arial" w:hAnsi="Arial"/>
        </w:rPr>
        <w:t>appellant</w:t>
      </w:r>
      <w:r>
        <w:rPr>
          <w:rFonts w:ascii="Arial" w:hAnsi="Arial"/>
        </w:rPr>
        <w:t xml:space="preserve"> is the country’s electricity bulk supplier. The first and second respondents were its employees. The </w:t>
      </w:r>
      <w:r w:rsidR="002C7984">
        <w:rPr>
          <w:rFonts w:ascii="Arial" w:hAnsi="Arial"/>
        </w:rPr>
        <w:t xml:space="preserve">first and second respondents </w:t>
      </w:r>
      <w:r>
        <w:rPr>
          <w:rFonts w:ascii="Arial" w:hAnsi="Arial"/>
        </w:rPr>
        <w:t xml:space="preserve">requested the appellant to be included in the category of </w:t>
      </w:r>
      <w:r w:rsidR="002C7984">
        <w:rPr>
          <w:rFonts w:ascii="Arial" w:hAnsi="Arial"/>
        </w:rPr>
        <w:t>employees entitled to receive a ‘scarcity all</w:t>
      </w:r>
      <w:r w:rsidR="00177B8B">
        <w:rPr>
          <w:rFonts w:ascii="Arial" w:hAnsi="Arial"/>
        </w:rPr>
        <w:t>owance</w:t>
      </w:r>
      <w:r w:rsidR="002C7984">
        <w:rPr>
          <w:rFonts w:ascii="Arial" w:hAnsi="Arial"/>
        </w:rPr>
        <w:t>’</w:t>
      </w:r>
      <w:r w:rsidR="00177B8B">
        <w:rPr>
          <w:rFonts w:ascii="Arial" w:hAnsi="Arial"/>
        </w:rPr>
        <w:t>.</w:t>
      </w:r>
      <w:r w:rsidR="002C7984">
        <w:rPr>
          <w:rFonts w:ascii="Arial" w:hAnsi="Arial"/>
        </w:rPr>
        <w:t xml:space="preserve"> The scarcity allowance was </w:t>
      </w:r>
      <w:r w:rsidR="00320A20">
        <w:rPr>
          <w:rFonts w:ascii="Arial" w:hAnsi="Arial"/>
        </w:rPr>
        <w:t xml:space="preserve">alleged to have </w:t>
      </w:r>
      <w:r w:rsidR="002C7984">
        <w:rPr>
          <w:rFonts w:ascii="Arial" w:hAnsi="Arial"/>
        </w:rPr>
        <w:t xml:space="preserve">meant to help the appellant retain its employees with technical </w:t>
      </w:r>
      <w:r w:rsidR="00320A20">
        <w:rPr>
          <w:rFonts w:ascii="Arial" w:hAnsi="Arial"/>
        </w:rPr>
        <w:t xml:space="preserve">and scarce </w:t>
      </w:r>
      <w:r w:rsidR="002C7984">
        <w:rPr>
          <w:rFonts w:ascii="Arial" w:hAnsi="Arial"/>
        </w:rPr>
        <w:t xml:space="preserve">skills at Ruacana. The first and second respondents’ requests were declined. They subsequently filed a dispute of unfair discrimination </w:t>
      </w:r>
      <w:r w:rsidR="00320A20">
        <w:rPr>
          <w:rFonts w:ascii="Arial" w:hAnsi="Arial"/>
        </w:rPr>
        <w:t xml:space="preserve">against the appellant at </w:t>
      </w:r>
      <w:r w:rsidR="002C7984">
        <w:rPr>
          <w:rFonts w:ascii="Arial" w:hAnsi="Arial"/>
        </w:rPr>
        <w:t xml:space="preserve">the Labour Commissioner. The </w:t>
      </w:r>
      <w:r w:rsidR="00320A20">
        <w:rPr>
          <w:rFonts w:ascii="Arial" w:hAnsi="Arial"/>
        </w:rPr>
        <w:t xml:space="preserve">third respondent, an </w:t>
      </w:r>
      <w:r w:rsidR="006B52A5">
        <w:rPr>
          <w:rFonts w:ascii="Arial" w:hAnsi="Arial"/>
        </w:rPr>
        <w:t>arbitrator</w:t>
      </w:r>
      <w:r w:rsidR="002C7984">
        <w:rPr>
          <w:rFonts w:ascii="Arial" w:hAnsi="Arial"/>
        </w:rPr>
        <w:t xml:space="preserve"> in the Office of the Labour Commissioner</w:t>
      </w:r>
      <w:r w:rsidR="006B52A5">
        <w:rPr>
          <w:rFonts w:ascii="Arial" w:hAnsi="Arial"/>
        </w:rPr>
        <w:t>,</w:t>
      </w:r>
      <w:r w:rsidR="002C7984">
        <w:rPr>
          <w:rFonts w:ascii="Arial" w:hAnsi="Arial"/>
        </w:rPr>
        <w:t xml:space="preserve"> found </w:t>
      </w:r>
      <w:r w:rsidR="002C7984">
        <w:rPr>
          <w:rFonts w:ascii="Arial" w:hAnsi="Arial"/>
        </w:rPr>
        <w:lastRenderedPageBreak/>
        <w:t>in favour of the first and second respondents and ordered that the respondents be paid a scarcity allowance. The appellant appealed to the Labour Court against the arbitrator’s award. The appeal lapsed due non-prosecution. The appellant brought an application to have the appeal reinstated.</w:t>
      </w:r>
      <w:r w:rsidR="00D92D13">
        <w:rPr>
          <w:rFonts w:ascii="Arial" w:hAnsi="Arial"/>
        </w:rPr>
        <w:t xml:space="preserve"> However, the application was struck from the roll on the date of the intended hearing due to the absence of the appellant’s legal practitioner in court. After several unsuccessful efforts to place the matter on the roll, the appellant eventually succeeded to do so. The Labour Court dismissed the application, reasoning that the delay to prosecute the appeal was unreasonable and the explanation for the delay unacceptable. An application for leave to appeal to the Supreme Court was also dismissed. The appellant successfully petitioned the Supreme Court for leave to appeal. </w:t>
      </w:r>
    </w:p>
    <w:p w:rsidR="00067665" w:rsidRDefault="00067665" w:rsidP="00320A20">
      <w:pPr>
        <w:pBdr>
          <w:bottom w:val="single" w:sz="12" w:space="1" w:color="auto"/>
        </w:pBdr>
        <w:spacing w:line="360" w:lineRule="auto"/>
        <w:jc w:val="both"/>
        <w:rPr>
          <w:rFonts w:ascii="Arial" w:hAnsi="Arial"/>
          <w:b/>
        </w:rPr>
      </w:pPr>
    </w:p>
    <w:p w:rsidR="002E6889" w:rsidRPr="00320A20" w:rsidRDefault="00D92D13" w:rsidP="00320A20">
      <w:pPr>
        <w:pBdr>
          <w:bottom w:val="single" w:sz="12" w:space="1" w:color="auto"/>
        </w:pBdr>
        <w:spacing w:line="360" w:lineRule="auto"/>
        <w:jc w:val="both"/>
        <w:rPr>
          <w:rFonts w:ascii="Arial" w:hAnsi="Arial"/>
        </w:rPr>
      </w:pPr>
      <w:r w:rsidRPr="00320A20">
        <w:rPr>
          <w:rFonts w:ascii="Arial" w:hAnsi="Arial"/>
        </w:rPr>
        <w:t>On appeal to the Supreme Court,</w:t>
      </w:r>
      <w:r w:rsidR="00320A20" w:rsidRPr="00320A20">
        <w:rPr>
          <w:rFonts w:ascii="Arial" w:hAnsi="Arial"/>
        </w:rPr>
        <w:t xml:space="preserve"> </w:t>
      </w:r>
      <w:r w:rsidR="00320A20" w:rsidRPr="00320A20">
        <w:rPr>
          <w:rFonts w:ascii="Arial" w:hAnsi="Arial"/>
          <w:i/>
        </w:rPr>
        <w:t>held</w:t>
      </w:r>
      <w:r w:rsidR="00320A20" w:rsidRPr="00320A20">
        <w:rPr>
          <w:rFonts w:ascii="Arial" w:hAnsi="Arial"/>
        </w:rPr>
        <w:t xml:space="preserve"> that although the explanation for the delay to prosecute the appeal was not entirely satisfactory</w:t>
      </w:r>
      <w:r w:rsidR="00320A20">
        <w:rPr>
          <w:rFonts w:ascii="Arial" w:hAnsi="Arial"/>
        </w:rPr>
        <w:t xml:space="preserve">, the prospects of the appeal succeeding were good. Hence, the Labour </w:t>
      </w:r>
      <w:r w:rsidR="006B52A5">
        <w:rPr>
          <w:rFonts w:ascii="Arial" w:hAnsi="Arial"/>
        </w:rPr>
        <w:t xml:space="preserve">Court </w:t>
      </w:r>
      <w:r w:rsidR="00320A20">
        <w:rPr>
          <w:rFonts w:ascii="Arial" w:hAnsi="Arial"/>
        </w:rPr>
        <w:t xml:space="preserve">should have granted condonation for the late prosecution of the appeal and should have reinstated the appeal. </w:t>
      </w:r>
      <w:r w:rsidR="00320A20" w:rsidRPr="00320A20">
        <w:rPr>
          <w:rFonts w:ascii="Arial" w:hAnsi="Arial"/>
          <w:i/>
        </w:rPr>
        <w:t>Held</w:t>
      </w:r>
      <w:r w:rsidR="00320A20">
        <w:rPr>
          <w:rFonts w:ascii="Arial" w:hAnsi="Arial"/>
        </w:rPr>
        <w:t xml:space="preserve"> further that the appeal succeeded and matter referred back to the Labour Court to decide the appeal against the arbitrator’s award.</w:t>
      </w:r>
    </w:p>
    <w:p w:rsidR="00D92D13" w:rsidRDefault="00D92D13" w:rsidP="006244DD">
      <w:pPr>
        <w:pBdr>
          <w:bottom w:val="single" w:sz="12" w:space="1" w:color="auto"/>
        </w:pBdr>
        <w:spacing w:line="480" w:lineRule="auto"/>
        <w:rPr>
          <w:rFonts w:ascii="Arial" w:hAnsi="Arial"/>
          <w:b/>
        </w:rPr>
      </w:pPr>
    </w:p>
    <w:p w:rsidR="00A24CAD" w:rsidRDefault="00A24CAD" w:rsidP="00A24CAD">
      <w:pPr>
        <w:jc w:val="center"/>
        <w:rPr>
          <w:rFonts w:ascii="Arial" w:hAnsi="Arial"/>
          <w:b/>
        </w:rPr>
      </w:pPr>
    </w:p>
    <w:p w:rsidR="00A24CAD" w:rsidRDefault="00A24CAD" w:rsidP="00A24CAD">
      <w:pPr>
        <w:jc w:val="center"/>
        <w:rPr>
          <w:rFonts w:ascii="Arial" w:hAnsi="Arial"/>
          <w:b/>
        </w:rPr>
      </w:pPr>
      <w:r>
        <w:rPr>
          <w:rFonts w:ascii="Arial" w:hAnsi="Arial"/>
          <w:b/>
        </w:rPr>
        <w:t xml:space="preserve">APPEAL JUDGMENT </w:t>
      </w:r>
    </w:p>
    <w:p w:rsidR="00A24CAD" w:rsidRDefault="00A24CAD" w:rsidP="00A24CAD">
      <w:pPr>
        <w:pBdr>
          <w:bottom w:val="single" w:sz="12" w:space="1" w:color="auto"/>
        </w:pBdr>
        <w:jc w:val="center"/>
        <w:rPr>
          <w:rFonts w:ascii="Arial" w:hAnsi="Arial"/>
          <w:b/>
        </w:rPr>
      </w:pPr>
    </w:p>
    <w:p w:rsidR="00A24CAD" w:rsidRDefault="00A24CAD" w:rsidP="006244DD">
      <w:pPr>
        <w:spacing w:line="480" w:lineRule="auto"/>
        <w:rPr>
          <w:rFonts w:ascii="Arial" w:hAnsi="Arial"/>
          <w:b/>
        </w:rPr>
      </w:pPr>
    </w:p>
    <w:p w:rsidR="00A24CAD" w:rsidRPr="00783C30" w:rsidRDefault="00A24CAD" w:rsidP="006B748D">
      <w:pPr>
        <w:spacing w:line="480" w:lineRule="auto"/>
        <w:rPr>
          <w:rFonts w:ascii="Arial" w:hAnsi="Arial"/>
        </w:rPr>
      </w:pPr>
      <w:r w:rsidRPr="00AC0B17">
        <w:rPr>
          <w:rFonts w:ascii="Arial" w:hAnsi="Arial"/>
        </w:rPr>
        <w:t>SHIVUTE CJ</w:t>
      </w:r>
      <w:r>
        <w:rPr>
          <w:rFonts w:ascii="Arial" w:hAnsi="Arial"/>
        </w:rPr>
        <w:t xml:space="preserve"> (</w:t>
      </w:r>
      <w:r w:rsidR="00067665">
        <w:rPr>
          <w:rFonts w:ascii="Arial" w:hAnsi="Arial"/>
        </w:rPr>
        <w:t xml:space="preserve">SMUTS </w:t>
      </w:r>
      <w:r w:rsidRPr="00A01E99">
        <w:rPr>
          <w:rFonts w:ascii="Arial" w:hAnsi="Arial"/>
        </w:rPr>
        <w:t xml:space="preserve">JA and </w:t>
      </w:r>
      <w:r w:rsidR="00067665">
        <w:rPr>
          <w:rFonts w:ascii="Arial" w:hAnsi="Arial"/>
        </w:rPr>
        <w:t>FRANK</w:t>
      </w:r>
      <w:r w:rsidRPr="00A01E99">
        <w:rPr>
          <w:rFonts w:ascii="Arial" w:hAnsi="Arial"/>
        </w:rPr>
        <w:t xml:space="preserve"> AJA </w:t>
      </w:r>
      <w:r w:rsidR="00B35D8B">
        <w:rPr>
          <w:rFonts w:ascii="Arial" w:hAnsi="Arial"/>
        </w:rPr>
        <w:t>concurring</w:t>
      </w:r>
      <w:r>
        <w:rPr>
          <w:rFonts w:ascii="Arial" w:hAnsi="Arial"/>
        </w:rPr>
        <w:t>):</w:t>
      </w:r>
    </w:p>
    <w:p w:rsidR="00A24CAD" w:rsidRPr="00737777" w:rsidRDefault="00737777" w:rsidP="00067665">
      <w:pPr>
        <w:pStyle w:val="ListParagraph"/>
        <w:spacing w:line="480" w:lineRule="auto"/>
        <w:ind w:left="0"/>
        <w:rPr>
          <w:rFonts w:ascii="Arial" w:hAnsi="Arial"/>
          <w:u w:val="single"/>
        </w:rPr>
      </w:pPr>
      <w:r w:rsidRPr="00737777">
        <w:rPr>
          <w:rFonts w:ascii="Arial" w:hAnsi="Arial"/>
          <w:u w:val="single"/>
        </w:rPr>
        <w:t xml:space="preserve">Introduction </w:t>
      </w:r>
    </w:p>
    <w:p w:rsidR="00177B8B" w:rsidRDefault="00A43C01" w:rsidP="001F461F">
      <w:pPr>
        <w:pStyle w:val="ListParagraph"/>
        <w:numPr>
          <w:ilvl w:val="0"/>
          <w:numId w:val="1"/>
        </w:numPr>
        <w:spacing w:line="480" w:lineRule="auto"/>
        <w:contextualSpacing w:val="0"/>
        <w:jc w:val="both"/>
        <w:rPr>
          <w:rFonts w:ascii="Arial" w:hAnsi="Arial"/>
        </w:rPr>
      </w:pPr>
      <w:r>
        <w:rPr>
          <w:rFonts w:ascii="Arial" w:hAnsi="Arial"/>
        </w:rPr>
        <w:t xml:space="preserve">In this </w:t>
      </w:r>
      <w:r w:rsidR="00FB563C">
        <w:rPr>
          <w:rFonts w:ascii="Arial" w:hAnsi="Arial"/>
        </w:rPr>
        <w:t>appeal</w:t>
      </w:r>
      <w:r w:rsidR="006B52A5">
        <w:rPr>
          <w:rFonts w:ascii="Arial" w:hAnsi="Arial"/>
        </w:rPr>
        <w:t xml:space="preserve"> matter</w:t>
      </w:r>
      <w:r>
        <w:rPr>
          <w:rFonts w:ascii="Arial" w:hAnsi="Arial"/>
        </w:rPr>
        <w:t>,</w:t>
      </w:r>
      <w:r w:rsidR="00FB563C">
        <w:rPr>
          <w:rFonts w:ascii="Arial" w:hAnsi="Arial"/>
        </w:rPr>
        <w:t xml:space="preserve"> the Labour Court</w:t>
      </w:r>
      <w:r>
        <w:rPr>
          <w:rFonts w:ascii="Arial" w:hAnsi="Arial"/>
        </w:rPr>
        <w:t xml:space="preserve"> </w:t>
      </w:r>
      <w:r w:rsidR="00737777">
        <w:rPr>
          <w:rFonts w:ascii="Arial" w:hAnsi="Arial"/>
        </w:rPr>
        <w:t xml:space="preserve">dismissed the appellant’s application for </w:t>
      </w:r>
      <w:r w:rsidR="00CD50D0">
        <w:rPr>
          <w:rFonts w:ascii="Arial" w:hAnsi="Arial"/>
        </w:rPr>
        <w:t xml:space="preserve">condonation and </w:t>
      </w:r>
      <w:r w:rsidR="00737777">
        <w:rPr>
          <w:rFonts w:ascii="Arial" w:hAnsi="Arial"/>
        </w:rPr>
        <w:t>reinstatement of its appeal against the arbitrator’s award and refused its application for leave to appeal to th</w:t>
      </w:r>
      <w:r w:rsidR="00CD50D0">
        <w:rPr>
          <w:rFonts w:ascii="Arial" w:hAnsi="Arial"/>
        </w:rPr>
        <w:t>e Supreme C</w:t>
      </w:r>
      <w:r w:rsidR="00737777">
        <w:rPr>
          <w:rFonts w:ascii="Arial" w:hAnsi="Arial"/>
        </w:rPr>
        <w:t>ourt</w:t>
      </w:r>
      <w:r w:rsidR="00FB563C">
        <w:rPr>
          <w:rFonts w:ascii="Arial" w:hAnsi="Arial"/>
        </w:rPr>
        <w:t xml:space="preserve">. </w:t>
      </w:r>
      <w:r w:rsidR="00CD50D0">
        <w:rPr>
          <w:rFonts w:ascii="Arial" w:hAnsi="Arial"/>
        </w:rPr>
        <w:t>The appeal is befo</w:t>
      </w:r>
      <w:r w:rsidR="00177B8B">
        <w:rPr>
          <w:rFonts w:ascii="Arial" w:hAnsi="Arial"/>
        </w:rPr>
        <w:t>re us with leave of this court.</w:t>
      </w:r>
    </w:p>
    <w:p w:rsidR="006244DD" w:rsidRDefault="006244DD" w:rsidP="006244DD">
      <w:pPr>
        <w:pStyle w:val="ListParagraph"/>
        <w:spacing w:line="480" w:lineRule="auto"/>
        <w:ind w:left="0"/>
        <w:contextualSpacing w:val="0"/>
        <w:jc w:val="both"/>
        <w:rPr>
          <w:rFonts w:ascii="Arial" w:hAnsi="Arial"/>
        </w:rPr>
      </w:pPr>
    </w:p>
    <w:p w:rsidR="00737777" w:rsidRDefault="00A24CAD" w:rsidP="001F461F">
      <w:pPr>
        <w:pStyle w:val="ListParagraph"/>
        <w:numPr>
          <w:ilvl w:val="0"/>
          <w:numId w:val="1"/>
        </w:numPr>
        <w:spacing w:line="480" w:lineRule="auto"/>
        <w:contextualSpacing w:val="0"/>
        <w:jc w:val="both"/>
        <w:rPr>
          <w:rFonts w:ascii="Arial" w:hAnsi="Arial"/>
        </w:rPr>
      </w:pPr>
      <w:r w:rsidRPr="00613E47">
        <w:rPr>
          <w:rFonts w:ascii="Arial" w:hAnsi="Arial"/>
        </w:rPr>
        <w:lastRenderedPageBreak/>
        <w:t xml:space="preserve">The </w:t>
      </w:r>
      <w:r w:rsidR="00596993">
        <w:rPr>
          <w:rFonts w:ascii="Arial" w:hAnsi="Arial"/>
        </w:rPr>
        <w:t xml:space="preserve">first and second </w:t>
      </w:r>
      <w:r w:rsidRPr="00613E47">
        <w:rPr>
          <w:rFonts w:ascii="Arial" w:hAnsi="Arial"/>
        </w:rPr>
        <w:t>respondent</w:t>
      </w:r>
      <w:r w:rsidR="00596993">
        <w:rPr>
          <w:rFonts w:ascii="Arial" w:hAnsi="Arial"/>
        </w:rPr>
        <w:t xml:space="preserve">s </w:t>
      </w:r>
      <w:r w:rsidR="00C94AD1">
        <w:rPr>
          <w:rFonts w:ascii="Arial" w:hAnsi="Arial"/>
        </w:rPr>
        <w:t>were</w:t>
      </w:r>
      <w:r w:rsidR="00596993">
        <w:rPr>
          <w:rFonts w:ascii="Arial" w:hAnsi="Arial"/>
        </w:rPr>
        <w:t xml:space="preserve"> employees of the appellant</w:t>
      </w:r>
      <w:r w:rsidRPr="00613E47">
        <w:rPr>
          <w:rFonts w:ascii="Arial" w:hAnsi="Arial"/>
        </w:rPr>
        <w:t xml:space="preserve"> </w:t>
      </w:r>
      <w:r w:rsidR="00FB563C">
        <w:rPr>
          <w:rFonts w:ascii="Arial" w:hAnsi="Arial"/>
        </w:rPr>
        <w:t xml:space="preserve">and </w:t>
      </w:r>
      <w:r w:rsidR="00C94AD1">
        <w:rPr>
          <w:rFonts w:ascii="Arial" w:hAnsi="Arial"/>
        </w:rPr>
        <w:t>were</w:t>
      </w:r>
      <w:r w:rsidR="00FB563C">
        <w:rPr>
          <w:rFonts w:ascii="Arial" w:hAnsi="Arial"/>
        </w:rPr>
        <w:t xml:space="preserve"> both </w:t>
      </w:r>
      <w:r w:rsidR="00596993">
        <w:rPr>
          <w:rFonts w:ascii="Arial" w:hAnsi="Arial"/>
        </w:rPr>
        <w:t xml:space="preserve">stationed at Ruacana, northern Namibia. The third respondent is an arbitrator with the Labour Commissioner and was cited in his official capacity by virtue of his </w:t>
      </w:r>
      <w:r w:rsidR="00E74FDD">
        <w:rPr>
          <w:rFonts w:ascii="Arial" w:hAnsi="Arial"/>
        </w:rPr>
        <w:t xml:space="preserve">having presided over the arbitration proceedings </w:t>
      </w:r>
      <w:r w:rsidR="00CD50D0">
        <w:rPr>
          <w:rFonts w:ascii="Arial" w:hAnsi="Arial"/>
        </w:rPr>
        <w:t xml:space="preserve">in which he rendered </w:t>
      </w:r>
      <w:r w:rsidR="00596993">
        <w:rPr>
          <w:rFonts w:ascii="Arial" w:hAnsi="Arial"/>
        </w:rPr>
        <w:t>the arbitration award</w:t>
      </w:r>
      <w:r w:rsidR="00067665">
        <w:rPr>
          <w:rFonts w:ascii="Arial" w:hAnsi="Arial"/>
        </w:rPr>
        <w:t xml:space="preserve">; </w:t>
      </w:r>
      <w:r w:rsidR="00FB563C">
        <w:rPr>
          <w:rFonts w:ascii="Arial" w:hAnsi="Arial"/>
        </w:rPr>
        <w:t xml:space="preserve">the subject matter of </w:t>
      </w:r>
      <w:r w:rsidR="00596993">
        <w:rPr>
          <w:rFonts w:ascii="Arial" w:hAnsi="Arial"/>
        </w:rPr>
        <w:t xml:space="preserve">appeal by the appellant </w:t>
      </w:r>
      <w:r w:rsidR="00737777">
        <w:rPr>
          <w:rFonts w:ascii="Arial" w:hAnsi="Arial"/>
        </w:rPr>
        <w:t xml:space="preserve">to </w:t>
      </w:r>
      <w:r w:rsidR="00596993">
        <w:rPr>
          <w:rFonts w:ascii="Arial" w:hAnsi="Arial"/>
        </w:rPr>
        <w:t xml:space="preserve">the Labour Court. </w:t>
      </w:r>
      <w:r w:rsidR="00CD50D0">
        <w:rPr>
          <w:rFonts w:ascii="Arial" w:hAnsi="Arial"/>
        </w:rPr>
        <w:t xml:space="preserve">The third respondent has not taken part in the proceedings in the Labour Court or in this court. </w:t>
      </w:r>
    </w:p>
    <w:p w:rsidR="00737777" w:rsidRDefault="00737777" w:rsidP="00737777">
      <w:pPr>
        <w:spacing w:line="480" w:lineRule="auto"/>
        <w:jc w:val="both"/>
        <w:rPr>
          <w:rFonts w:ascii="Arial" w:hAnsi="Arial"/>
          <w:u w:val="single"/>
        </w:rPr>
      </w:pPr>
    </w:p>
    <w:p w:rsidR="00737777" w:rsidRPr="00737777" w:rsidRDefault="00737777" w:rsidP="00737777">
      <w:pPr>
        <w:spacing w:line="480" w:lineRule="auto"/>
        <w:jc w:val="both"/>
        <w:rPr>
          <w:rFonts w:ascii="Arial" w:hAnsi="Arial"/>
          <w:u w:val="single"/>
        </w:rPr>
      </w:pPr>
      <w:r w:rsidRPr="00737777">
        <w:rPr>
          <w:rFonts w:ascii="Arial" w:hAnsi="Arial"/>
          <w:u w:val="single"/>
        </w:rPr>
        <w:t>Background</w:t>
      </w:r>
    </w:p>
    <w:p w:rsidR="007573DB" w:rsidRDefault="00AA6F44" w:rsidP="006244DD">
      <w:pPr>
        <w:pStyle w:val="ListParagraph"/>
        <w:numPr>
          <w:ilvl w:val="0"/>
          <w:numId w:val="1"/>
        </w:numPr>
        <w:spacing w:line="480" w:lineRule="auto"/>
        <w:contextualSpacing w:val="0"/>
        <w:jc w:val="both"/>
        <w:rPr>
          <w:rFonts w:ascii="Arial" w:hAnsi="Arial"/>
        </w:rPr>
      </w:pPr>
      <w:r>
        <w:rPr>
          <w:rFonts w:ascii="Arial" w:hAnsi="Arial"/>
        </w:rPr>
        <w:t xml:space="preserve">The following background </w:t>
      </w:r>
      <w:r w:rsidR="00CD50D0">
        <w:rPr>
          <w:rFonts w:ascii="Arial" w:hAnsi="Arial"/>
        </w:rPr>
        <w:t>information</w:t>
      </w:r>
      <w:r>
        <w:rPr>
          <w:rFonts w:ascii="Arial" w:hAnsi="Arial"/>
        </w:rPr>
        <w:t xml:space="preserve"> </w:t>
      </w:r>
      <w:r w:rsidR="00CD50D0">
        <w:rPr>
          <w:rFonts w:ascii="Arial" w:hAnsi="Arial"/>
        </w:rPr>
        <w:t xml:space="preserve">was apparent </w:t>
      </w:r>
      <w:r>
        <w:rPr>
          <w:rFonts w:ascii="Arial" w:hAnsi="Arial"/>
        </w:rPr>
        <w:t xml:space="preserve">from the record of appeal before us. </w:t>
      </w:r>
      <w:r w:rsidR="00FB563C" w:rsidRPr="00377667">
        <w:rPr>
          <w:rFonts w:ascii="Arial" w:hAnsi="Arial"/>
        </w:rPr>
        <w:t xml:space="preserve">The appellant </w:t>
      </w:r>
      <w:r w:rsidR="00596993" w:rsidRPr="00377667">
        <w:rPr>
          <w:rFonts w:ascii="Arial" w:hAnsi="Arial"/>
        </w:rPr>
        <w:t xml:space="preserve">is the country’s national bulk electricity </w:t>
      </w:r>
      <w:r w:rsidR="00BB7A76">
        <w:rPr>
          <w:rFonts w:ascii="Arial" w:hAnsi="Arial"/>
        </w:rPr>
        <w:t>supplier</w:t>
      </w:r>
      <w:r w:rsidR="00CC5B4C" w:rsidRPr="00377667">
        <w:rPr>
          <w:rFonts w:ascii="Arial" w:hAnsi="Arial"/>
        </w:rPr>
        <w:t xml:space="preserve">. As such, </w:t>
      </w:r>
      <w:r>
        <w:rPr>
          <w:rFonts w:ascii="Arial" w:hAnsi="Arial"/>
        </w:rPr>
        <w:t>i</w:t>
      </w:r>
      <w:r w:rsidR="00CC5B4C" w:rsidRPr="00377667">
        <w:rPr>
          <w:rFonts w:ascii="Arial" w:hAnsi="Arial"/>
        </w:rPr>
        <w:t xml:space="preserve">t must employ highly technical and skilled employees at its various stations throughout the country, including outlying towns such as Karasburg, Rosh Pinah and Ruacana. Since before the country’s Independence in 1990, the appellant experienced difficulties in attracting employees with certain </w:t>
      </w:r>
      <w:r w:rsidR="00BB7A76">
        <w:rPr>
          <w:rFonts w:ascii="Arial" w:hAnsi="Arial"/>
        </w:rPr>
        <w:t xml:space="preserve">critical and </w:t>
      </w:r>
      <w:r w:rsidR="00CC5B4C" w:rsidRPr="00377667">
        <w:rPr>
          <w:rFonts w:ascii="Arial" w:hAnsi="Arial"/>
        </w:rPr>
        <w:t>technical skills to these remote towns. In respect of Ruacana, this was due to a number of factors, including the geographical location, the lack of adequate health servi</w:t>
      </w:r>
      <w:r w:rsidR="0093692E">
        <w:rPr>
          <w:rFonts w:ascii="Arial" w:hAnsi="Arial"/>
        </w:rPr>
        <w:t xml:space="preserve">ces in a malaria prone area as well as the lack of </w:t>
      </w:r>
      <w:r w:rsidR="00CC5B4C" w:rsidRPr="00377667">
        <w:rPr>
          <w:rFonts w:ascii="Arial" w:hAnsi="Arial"/>
        </w:rPr>
        <w:t>adequate school facilities</w:t>
      </w:r>
      <w:r w:rsidR="00BB7A76">
        <w:rPr>
          <w:rFonts w:ascii="Arial" w:hAnsi="Arial"/>
        </w:rPr>
        <w:t xml:space="preserve"> in the town</w:t>
      </w:r>
      <w:r w:rsidR="00CC5B4C" w:rsidRPr="00377667">
        <w:rPr>
          <w:rFonts w:ascii="Arial" w:hAnsi="Arial"/>
        </w:rPr>
        <w:t xml:space="preserve">. </w:t>
      </w:r>
    </w:p>
    <w:p w:rsidR="007573DB" w:rsidRPr="007573DB" w:rsidRDefault="007573DB" w:rsidP="006244DD">
      <w:pPr>
        <w:spacing w:line="480" w:lineRule="auto"/>
        <w:jc w:val="both"/>
        <w:rPr>
          <w:rFonts w:ascii="Arial" w:hAnsi="Arial"/>
        </w:rPr>
      </w:pPr>
    </w:p>
    <w:p w:rsidR="007573DB" w:rsidRDefault="00CC5B4C" w:rsidP="006244DD">
      <w:pPr>
        <w:pStyle w:val="ListParagraph"/>
        <w:numPr>
          <w:ilvl w:val="0"/>
          <w:numId w:val="1"/>
        </w:numPr>
        <w:spacing w:line="480" w:lineRule="auto"/>
        <w:contextualSpacing w:val="0"/>
        <w:jc w:val="both"/>
        <w:rPr>
          <w:rFonts w:ascii="Arial" w:hAnsi="Arial"/>
        </w:rPr>
      </w:pPr>
      <w:r w:rsidRPr="00377667">
        <w:rPr>
          <w:rFonts w:ascii="Arial" w:hAnsi="Arial"/>
        </w:rPr>
        <w:t xml:space="preserve">The scarce skills that the appellant </w:t>
      </w:r>
      <w:r w:rsidR="00C96D20" w:rsidRPr="00377667">
        <w:rPr>
          <w:rFonts w:ascii="Arial" w:hAnsi="Arial"/>
        </w:rPr>
        <w:t>require</w:t>
      </w:r>
      <w:r w:rsidR="007573DB">
        <w:rPr>
          <w:rFonts w:ascii="Arial" w:hAnsi="Arial"/>
        </w:rPr>
        <w:t>d</w:t>
      </w:r>
      <w:r w:rsidR="00C96D20" w:rsidRPr="00377667">
        <w:rPr>
          <w:rFonts w:ascii="Arial" w:hAnsi="Arial"/>
        </w:rPr>
        <w:t xml:space="preserve"> </w:t>
      </w:r>
      <w:r w:rsidR="007573DB">
        <w:rPr>
          <w:rFonts w:ascii="Arial" w:hAnsi="Arial"/>
        </w:rPr>
        <w:t>were</w:t>
      </w:r>
      <w:r w:rsidR="00C96D20" w:rsidRPr="00377667">
        <w:rPr>
          <w:rFonts w:ascii="Arial" w:hAnsi="Arial"/>
        </w:rPr>
        <w:t xml:space="preserve"> invariably not available on the open labour market. Instead, they </w:t>
      </w:r>
      <w:r w:rsidR="007573DB">
        <w:rPr>
          <w:rFonts w:ascii="Arial" w:hAnsi="Arial"/>
        </w:rPr>
        <w:t>were</w:t>
      </w:r>
      <w:r w:rsidR="00C96D20" w:rsidRPr="00377667">
        <w:rPr>
          <w:rFonts w:ascii="Arial" w:hAnsi="Arial"/>
        </w:rPr>
        <w:t xml:space="preserve"> acquired through in-house training by the appellant. Naturally, the appellant would want to retain its employees once it ha</w:t>
      </w:r>
      <w:r w:rsidR="001F461F">
        <w:rPr>
          <w:rFonts w:ascii="Arial" w:hAnsi="Arial"/>
        </w:rPr>
        <w:t>d</w:t>
      </w:r>
      <w:r w:rsidR="00C96D20" w:rsidRPr="00377667">
        <w:rPr>
          <w:rFonts w:ascii="Arial" w:hAnsi="Arial"/>
        </w:rPr>
        <w:t xml:space="preserve"> imparted those scarce skills on</w:t>
      </w:r>
      <w:r w:rsidR="005B4B52">
        <w:rPr>
          <w:rFonts w:ascii="Arial" w:hAnsi="Arial"/>
        </w:rPr>
        <w:t>to</w:t>
      </w:r>
      <w:r w:rsidR="00C96D20" w:rsidRPr="00377667">
        <w:rPr>
          <w:rFonts w:ascii="Arial" w:hAnsi="Arial"/>
        </w:rPr>
        <w:t xml:space="preserve"> them. </w:t>
      </w:r>
      <w:r w:rsidR="007573DB">
        <w:rPr>
          <w:rFonts w:ascii="Arial" w:hAnsi="Arial"/>
        </w:rPr>
        <w:t>T</w:t>
      </w:r>
      <w:r w:rsidR="00C96D20" w:rsidRPr="00377667">
        <w:rPr>
          <w:rFonts w:ascii="Arial" w:hAnsi="Arial"/>
        </w:rPr>
        <w:t>he appellant could</w:t>
      </w:r>
      <w:r w:rsidR="007573DB">
        <w:rPr>
          <w:rFonts w:ascii="Arial" w:hAnsi="Arial"/>
        </w:rPr>
        <w:t>, however,</w:t>
      </w:r>
      <w:r w:rsidR="00C96D20" w:rsidRPr="00377667">
        <w:rPr>
          <w:rFonts w:ascii="Arial" w:hAnsi="Arial"/>
        </w:rPr>
        <w:t xml:space="preserve"> not always retain the skilled employees a</w:t>
      </w:r>
      <w:r w:rsidR="00E27491" w:rsidRPr="00377667">
        <w:rPr>
          <w:rFonts w:ascii="Arial" w:hAnsi="Arial"/>
        </w:rPr>
        <w:t xml:space="preserve">s </w:t>
      </w:r>
      <w:r w:rsidR="00C96D20" w:rsidRPr="00377667">
        <w:rPr>
          <w:rFonts w:ascii="Arial" w:hAnsi="Arial"/>
        </w:rPr>
        <w:t xml:space="preserve">they were prone to leaving </w:t>
      </w:r>
      <w:r w:rsidR="00E27491" w:rsidRPr="00377667">
        <w:rPr>
          <w:rFonts w:ascii="Arial" w:hAnsi="Arial"/>
        </w:rPr>
        <w:t xml:space="preserve">after a few years of service to work </w:t>
      </w:r>
      <w:r w:rsidR="00C96D20" w:rsidRPr="00377667">
        <w:rPr>
          <w:rFonts w:ascii="Arial" w:hAnsi="Arial"/>
        </w:rPr>
        <w:t>in towns or areas with better health and educational amenities.</w:t>
      </w:r>
      <w:r w:rsidRPr="00377667">
        <w:rPr>
          <w:rFonts w:ascii="Arial" w:hAnsi="Arial"/>
        </w:rPr>
        <w:t xml:space="preserve"> </w:t>
      </w:r>
      <w:r w:rsidR="00E27491" w:rsidRPr="00377667">
        <w:rPr>
          <w:rFonts w:ascii="Arial" w:hAnsi="Arial"/>
        </w:rPr>
        <w:t xml:space="preserve">To counter this </w:t>
      </w:r>
      <w:r w:rsidR="00393954" w:rsidRPr="00377667">
        <w:rPr>
          <w:rFonts w:ascii="Arial" w:hAnsi="Arial"/>
        </w:rPr>
        <w:t>de</w:t>
      </w:r>
      <w:r w:rsidR="00393954">
        <w:rPr>
          <w:rFonts w:ascii="Arial" w:hAnsi="Arial"/>
        </w:rPr>
        <w:t>le</w:t>
      </w:r>
      <w:r w:rsidR="00393954" w:rsidRPr="00377667">
        <w:rPr>
          <w:rFonts w:ascii="Arial" w:hAnsi="Arial"/>
        </w:rPr>
        <w:t>terious</w:t>
      </w:r>
      <w:r w:rsidR="00E27491" w:rsidRPr="00377667">
        <w:rPr>
          <w:rFonts w:ascii="Arial" w:hAnsi="Arial"/>
        </w:rPr>
        <w:t xml:space="preserve"> effect on its operations, the appellant’s Executive Committee, in 2003, decided to pay a ‘scarcity allowance’</w:t>
      </w:r>
      <w:r w:rsidR="009F4573" w:rsidRPr="00377667">
        <w:rPr>
          <w:rFonts w:ascii="Arial" w:hAnsi="Arial"/>
        </w:rPr>
        <w:t xml:space="preserve"> to certain </w:t>
      </w:r>
      <w:r w:rsidR="005B4B52">
        <w:rPr>
          <w:rFonts w:ascii="Arial" w:hAnsi="Arial"/>
        </w:rPr>
        <w:t xml:space="preserve">of its </w:t>
      </w:r>
      <w:r w:rsidR="009F4573" w:rsidRPr="00377667">
        <w:rPr>
          <w:rFonts w:ascii="Arial" w:hAnsi="Arial"/>
        </w:rPr>
        <w:t>employees with technical and scarce skills station</w:t>
      </w:r>
      <w:r w:rsidR="007573DB">
        <w:rPr>
          <w:rFonts w:ascii="Arial" w:hAnsi="Arial"/>
        </w:rPr>
        <w:t>ed</w:t>
      </w:r>
      <w:r w:rsidR="009F4573" w:rsidRPr="00377667">
        <w:rPr>
          <w:rFonts w:ascii="Arial" w:hAnsi="Arial"/>
        </w:rPr>
        <w:t xml:space="preserve"> in remote areas, including Ruacana. </w:t>
      </w:r>
      <w:r w:rsidR="00393954">
        <w:rPr>
          <w:rFonts w:ascii="Arial" w:hAnsi="Arial"/>
        </w:rPr>
        <w:t>The decision to introduce the scarcity allowance was embodied in the minutes of the meeting of the Executive Committee and no policy document exist</w:t>
      </w:r>
      <w:r w:rsidR="002A3DEC">
        <w:rPr>
          <w:rFonts w:ascii="Arial" w:hAnsi="Arial"/>
        </w:rPr>
        <w:t>ed</w:t>
      </w:r>
      <w:r w:rsidR="00393954">
        <w:rPr>
          <w:rFonts w:ascii="Arial" w:hAnsi="Arial"/>
        </w:rPr>
        <w:t xml:space="preserve"> for this pu</w:t>
      </w:r>
      <w:r w:rsidR="00A43C01">
        <w:rPr>
          <w:rFonts w:ascii="Arial" w:hAnsi="Arial"/>
        </w:rPr>
        <w:t>r</w:t>
      </w:r>
      <w:r w:rsidR="00393954">
        <w:rPr>
          <w:rFonts w:ascii="Arial" w:hAnsi="Arial"/>
        </w:rPr>
        <w:t xml:space="preserve">pose. </w:t>
      </w:r>
    </w:p>
    <w:p w:rsidR="007573DB" w:rsidRPr="007573DB" w:rsidRDefault="007573DB" w:rsidP="00067665">
      <w:pPr>
        <w:pStyle w:val="ListParagraph"/>
        <w:spacing w:line="480" w:lineRule="auto"/>
        <w:ind w:left="0"/>
        <w:rPr>
          <w:rFonts w:ascii="Arial" w:hAnsi="Arial"/>
        </w:rPr>
      </w:pPr>
    </w:p>
    <w:p w:rsidR="00777A09" w:rsidRDefault="009F4573" w:rsidP="00067665">
      <w:pPr>
        <w:pStyle w:val="ListParagraph"/>
        <w:numPr>
          <w:ilvl w:val="0"/>
          <w:numId w:val="1"/>
        </w:numPr>
        <w:spacing w:line="480" w:lineRule="auto"/>
        <w:contextualSpacing w:val="0"/>
        <w:jc w:val="both"/>
        <w:rPr>
          <w:rFonts w:ascii="Arial" w:hAnsi="Arial"/>
        </w:rPr>
      </w:pPr>
      <w:r w:rsidRPr="00377667">
        <w:rPr>
          <w:rFonts w:ascii="Arial" w:hAnsi="Arial"/>
        </w:rPr>
        <w:t>Prior t</w:t>
      </w:r>
      <w:r w:rsidR="004F1E3B">
        <w:rPr>
          <w:rFonts w:ascii="Arial" w:hAnsi="Arial"/>
        </w:rPr>
        <w:t>o the introduction of the scarcity</w:t>
      </w:r>
      <w:r w:rsidRPr="00377667">
        <w:rPr>
          <w:rFonts w:ascii="Arial" w:hAnsi="Arial"/>
        </w:rPr>
        <w:t xml:space="preserve"> allowance incentive, employees with critical and scarce skills were </w:t>
      </w:r>
      <w:r w:rsidR="005B4B52">
        <w:rPr>
          <w:rFonts w:ascii="Arial" w:hAnsi="Arial"/>
        </w:rPr>
        <w:t xml:space="preserve">given </w:t>
      </w:r>
      <w:r w:rsidRPr="00377667">
        <w:rPr>
          <w:rFonts w:ascii="Arial" w:hAnsi="Arial"/>
        </w:rPr>
        <w:t xml:space="preserve">a ‘danger pay’ to retain their services in Ruacana. That was </w:t>
      </w:r>
      <w:r w:rsidR="007573DB">
        <w:rPr>
          <w:rFonts w:ascii="Arial" w:hAnsi="Arial"/>
        </w:rPr>
        <w:t xml:space="preserve">before Independence and during </w:t>
      </w:r>
      <w:r w:rsidRPr="00377667">
        <w:rPr>
          <w:rFonts w:ascii="Arial" w:hAnsi="Arial"/>
        </w:rPr>
        <w:t>the period in the country’s history when there was intensified guerrilla warfare in that part of the country</w:t>
      </w:r>
      <w:r w:rsidR="007573DB">
        <w:rPr>
          <w:rFonts w:ascii="Arial" w:hAnsi="Arial"/>
        </w:rPr>
        <w:t>. S</w:t>
      </w:r>
      <w:r w:rsidRPr="00377667">
        <w:rPr>
          <w:rFonts w:ascii="Arial" w:hAnsi="Arial"/>
        </w:rPr>
        <w:t xml:space="preserve">uch employees were paid 25% of the total </w:t>
      </w:r>
      <w:r w:rsidR="00494C39">
        <w:rPr>
          <w:rFonts w:ascii="Arial" w:hAnsi="Arial"/>
        </w:rPr>
        <w:t xml:space="preserve">guaranteed </w:t>
      </w:r>
      <w:r w:rsidRPr="00377667">
        <w:rPr>
          <w:rFonts w:ascii="Arial" w:hAnsi="Arial"/>
        </w:rPr>
        <w:t xml:space="preserve">package </w:t>
      </w:r>
      <w:r w:rsidR="00494C39">
        <w:rPr>
          <w:rFonts w:ascii="Arial" w:hAnsi="Arial"/>
        </w:rPr>
        <w:t xml:space="preserve">per month </w:t>
      </w:r>
      <w:r w:rsidRPr="00377667">
        <w:rPr>
          <w:rFonts w:ascii="Arial" w:hAnsi="Arial"/>
        </w:rPr>
        <w:t xml:space="preserve">of their salaries. </w:t>
      </w:r>
      <w:r w:rsidR="00584D70">
        <w:rPr>
          <w:rFonts w:ascii="Arial" w:hAnsi="Arial"/>
        </w:rPr>
        <w:t>Th</w:t>
      </w:r>
      <w:r w:rsidR="00235445">
        <w:rPr>
          <w:rFonts w:ascii="Arial" w:hAnsi="Arial"/>
        </w:rPr>
        <w:t>is</w:t>
      </w:r>
      <w:r w:rsidR="00584D70">
        <w:rPr>
          <w:rFonts w:ascii="Arial" w:hAnsi="Arial"/>
        </w:rPr>
        <w:t xml:space="preserve"> figure was retained when the incentive </w:t>
      </w:r>
      <w:r w:rsidR="002A3DEC">
        <w:rPr>
          <w:rFonts w:ascii="Arial" w:hAnsi="Arial"/>
        </w:rPr>
        <w:t xml:space="preserve">appears </w:t>
      </w:r>
      <w:r w:rsidR="00235445">
        <w:rPr>
          <w:rFonts w:ascii="Arial" w:hAnsi="Arial"/>
        </w:rPr>
        <w:t>essentially</w:t>
      </w:r>
      <w:r w:rsidR="002A3DEC">
        <w:rPr>
          <w:rFonts w:ascii="Arial" w:hAnsi="Arial"/>
        </w:rPr>
        <w:t xml:space="preserve"> to have been </w:t>
      </w:r>
      <w:r w:rsidR="00584D70">
        <w:rPr>
          <w:rFonts w:ascii="Arial" w:hAnsi="Arial"/>
        </w:rPr>
        <w:t xml:space="preserve">renamed ‘scarcity allowance’ in 2003. </w:t>
      </w:r>
      <w:r w:rsidR="00377667" w:rsidRPr="00377667">
        <w:rPr>
          <w:rFonts w:ascii="Arial" w:hAnsi="Arial"/>
        </w:rPr>
        <w:t>The appellant’s employee structure is based on grades</w:t>
      </w:r>
      <w:r w:rsidR="00777A09">
        <w:rPr>
          <w:rFonts w:ascii="Arial" w:hAnsi="Arial"/>
        </w:rPr>
        <w:t xml:space="preserve">. However, the </w:t>
      </w:r>
      <w:r w:rsidR="00377667" w:rsidRPr="00377667">
        <w:rPr>
          <w:rFonts w:ascii="Arial" w:hAnsi="Arial"/>
        </w:rPr>
        <w:t>scarcity allowance was not based on grade</w:t>
      </w:r>
      <w:r w:rsidR="00584D70">
        <w:rPr>
          <w:rFonts w:ascii="Arial" w:hAnsi="Arial"/>
        </w:rPr>
        <w:t>s</w:t>
      </w:r>
      <w:r w:rsidR="00777A09">
        <w:rPr>
          <w:rFonts w:ascii="Arial" w:hAnsi="Arial"/>
        </w:rPr>
        <w:t>. On the</w:t>
      </w:r>
      <w:r w:rsidR="00FF1349">
        <w:rPr>
          <w:rFonts w:ascii="Arial" w:hAnsi="Arial"/>
        </w:rPr>
        <w:t xml:space="preserve"> contrary, it related to</w:t>
      </w:r>
      <w:r w:rsidR="00777A09">
        <w:rPr>
          <w:rFonts w:ascii="Arial" w:hAnsi="Arial"/>
        </w:rPr>
        <w:t xml:space="preserve"> </w:t>
      </w:r>
      <w:r w:rsidR="00FF1349">
        <w:rPr>
          <w:rFonts w:ascii="Arial" w:hAnsi="Arial"/>
        </w:rPr>
        <w:t xml:space="preserve">specific positions the qualifying </w:t>
      </w:r>
      <w:r w:rsidR="00777A09">
        <w:rPr>
          <w:rFonts w:ascii="Arial" w:hAnsi="Arial"/>
        </w:rPr>
        <w:t>employees occup</w:t>
      </w:r>
      <w:r w:rsidR="00FF1349">
        <w:rPr>
          <w:rFonts w:ascii="Arial" w:hAnsi="Arial"/>
        </w:rPr>
        <w:t xml:space="preserve">ied </w:t>
      </w:r>
      <w:r w:rsidR="005B4B52">
        <w:rPr>
          <w:rFonts w:ascii="Arial" w:hAnsi="Arial"/>
        </w:rPr>
        <w:t xml:space="preserve">due to </w:t>
      </w:r>
      <w:r w:rsidR="00777A09">
        <w:rPr>
          <w:rFonts w:ascii="Arial" w:hAnsi="Arial"/>
        </w:rPr>
        <w:t>the inherent requirements of their jobs.</w:t>
      </w:r>
    </w:p>
    <w:p w:rsidR="00A24CAD" w:rsidRPr="00777A09" w:rsidRDefault="00A24CAD" w:rsidP="00777A09">
      <w:pPr>
        <w:spacing w:line="480" w:lineRule="auto"/>
        <w:jc w:val="both"/>
        <w:rPr>
          <w:rFonts w:ascii="Arial" w:hAnsi="Arial"/>
        </w:rPr>
      </w:pPr>
    </w:p>
    <w:p w:rsidR="00A24CAD" w:rsidRDefault="00A24CAD" w:rsidP="00C779A1">
      <w:pPr>
        <w:pStyle w:val="ListParagraph"/>
        <w:numPr>
          <w:ilvl w:val="0"/>
          <w:numId w:val="1"/>
        </w:numPr>
        <w:spacing w:line="480" w:lineRule="auto"/>
        <w:contextualSpacing w:val="0"/>
        <w:jc w:val="both"/>
        <w:rPr>
          <w:rFonts w:ascii="Arial" w:hAnsi="Arial"/>
        </w:rPr>
      </w:pPr>
      <w:r w:rsidRPr="001F461F">
        <w:rPr>
          <w:rFonts w:ascii="Arial" w:hAnsi="Arial"/>
        </w:rPr>
        <w:t>Th</w:t>
      </w:r>
      <w:r w:rsidR="00777A09" w:rsidRPr="001F461F">
        <w:rPr>
          <w:rFonts w:ascii="Arial" w:hAnsi="Arial"/>
        </w:rPr>
        <w:t>ose</w:t>
      </w:r>
      <w:r w:rsidRPr="001F461F">
        <w:rPr>
          <w:rFonts w:ascii="Arial" w:hAnsi="Arial"/>
        </w:rPr>
        <w:t xml:space="preserve"> </w:t>
      </w:r>
      <w:r w:rsidR="00777A09" w:rsidRPr="001F461F">
        <w:rPr>
          <w:rFonts w:ascii="Arial" w:hAnsi="Arial"/>
        </w:rPr>
        <w:t>employees who qualified for the scarcity allowance fell into only 8 specific categories, namely power station manage</w:t>
      </w:r>
      <w:r w:rsidRPr="001F461F">
        <w:rPr>
          <w:rFonts w:ascii="Arial" w:hAnsi="Arial"/>
        </w:rPr>
        <w:t>r</w:t>
      </w:r>
      <w:r w:rsidR="00777A09" w:rsidRPr="001F461F">
        <w:rPr>
          <w:rFonts w:ascii="Arial" w:hAnsi="Arial"/>
        </w:rPr>
        <w:t xml:space="preserve">s, engineers, engineering technicians, shift supervisors, operating superintendents, maintenance </w:t>
      </w:r>
      <w:r w:rsidR="007573DB" w:rsidRPr="001F461F">
        <w:rPr>
          <w:rFonts w:ascii="Arial" w:hAnsi="Arial"/>
        </w:rPr>
        <w:t>superintendents</w:t>
      </w:r>
      <w:r w:rsidR="00777A09" w:rsidRPr="001F461F">
        <w:rPr>
          <w:rFonts w:ascii="Arial" w:hAnsi="Arial"/>
        </w:rPr>
        <w:t xml:space="preserve">, </w:t>
      </w:r>
      <w:r w:rsidR="007573DB" w:rsidRPr="001F461F">
        <w:rPr>
          <w:rFonts w:ascii="Arial" w:hAnsi="Arial"/>
        </w:rPr>
        <w:t>electricians</w:t>
      </w:r>
      <w:r w:rsidR="00777A09" w:rsidRPr="001F461F">
        <w:rPr>
          <w:rFonts w:ascii="Arial" w:hAnsi="Arial"/>
        </w:rPr>
        <w:t xml:space="preserve">, and fitters and </w:t>
      </w:r>
      <w:r w:rsidR="007573DB" w:rsidRPr="001F461F">
        <w:rPr>
          <w:rFonts w:ascii="Arial" w:hAnsi="Arial"/>
        </w:rPr>
        <w:t>turners.</w:t>
      </w:r>
      <w:r w:rsidR="00584D70" w:rsidRPr="001F461F">
        <w:rPr>
          <w:rFonts w:ascii="Arial" w:hAnsi="Arial"/>
        </w:rPr>
        <w:t xml:space="preserve"> </w:t>
      </w:r>
      <w:r w:rsidR="00BB7A76">
        <w:rPr>
          <w:rFonts w:ascii="Arial" w:hAnsi="Arial"/>
        </w:rPr>
        <w:t xml:space="preserve">These categories had been identified as constituting technical and scarce skills required for the </w:t>
      </w:r>
      <w:r w:rsidR="00393954">
        <w:rPr>
          <w:rFonts w:ascii="Arial" w:hAnsi="Arial"/>
        </w:rPr>
        <w:t xml:space="preserve">appellant’s </w:t>
      </w:r>
      <w:r w:rsidR="00BB7A76">
        <w:rPr>
          <w:rFonts w:ascii="Arial" w:hAnsi="Arial"/>
        </w:rPr>
        <w:t xml:space="preserve">smooth operations. </w:t>
      </w:r>
      <w:r w:rsidR="00584D70" w:rsidRPr="001F461F">
        <w:rPr>
          <w:rFonts w:ascii="Arial" w:hAnsi="Arial"/>
        </w:rPr>
        <w:t>Nobody else had been added to the list, despite requests from</w:t>
      </w:r>
      <w:r w:rsidR="002A3DEC">
        <w:rPr>
          <w:rFonts w:ascii="Arial" w:hAnsi="Arial"/>
        </w:rPr>
        <w:t xml:space="preserve"> certain</w:t>
      </w:r>
      <w:r w:rsidR="00584D70" w:rsidRPr="001F461F">
        <w:rPr>
          <w:rFonts w:ascii="Arial" w:hAnsi="Arial"/>
        </w:rPr>
        <w:t xml:space="preserve"> employees</w:t>
      </w:r>
      <w:r w:rsidR="005B4B52">
        <w:rPr>
          <w:rFonts w:ascii="Arial" w:hAnsi="Arial"/>
        </w:rPr>
        <w:t>,</w:t>
      </w:r>
      <w:r w:rsidR="00584D70" w:rsidRPr="001F461F">
        <w:rPr>
          <w:rFonts w:ascii="Arial" w:hAnsi="Arial"/>
        </w:rPr>
        <w:t xml:space="preserve"> </w:t>
      </w:r>
      <w:r w:rsidR="002413B1">
        <w:rPr>
          <w:rFonts w:ascii="Arial" w:hAnsi="Arial"/>
        </w:rPr>
        <w:t xml:space="preserve">such as </w:t>
      </w:r>
      <w:r w:rsidR="00494C39">
        <w:rPr>
          <w:rFonts w:ascii="Arial" w:hAnsi="Arial"/>
        </w:rPr>
        <w:t xml:space="preserve">chefs </w:t>
      </w:r>
      <w:r w:rsidR="002413B1">
        <w:rPr>
          <w:rFonts w:ascii="Arial" w:hAnsi="Arial"/>
        </w:rPr>
        <w:t xml:space="preserve">stationed at </w:t>
      </w:r>
      <w:r w:rsidR="00494C39">
        <w:rPr>
          <w:rFonts w:ascii="Arial" w:hAnsi="Arial"/>
        </w:rPr>
        <w:t>the appellant’s lodge at Ruacana</w:t>
      </w:r>
      <w:r w:rsidR="00393954">
        <w:rPr>
          <w:rFonts w:ascii="Arial" w:hAnsi="Arial"/>
        </w:rPr>
        <w:t>, to be added to the list</w:t>
      </w:r>
      <w:r w:rsidR="00584D70" w:rsidRPr="001F461F">
        <w:rPr>
          <w:rFonts w:ascii="Arial" w:hAnsi="Arial"/>
        </w:rPr>
        <w:t xml:space="preserve">. During 2016, there were only about 25 employees at Ruacana who qualified to receive the allowance based on their technical and critical skills. </w:t>
      </w:r>
      <w:r w:rsidR="005B4B52">
        <w:rPr>
          <w:rFonts w:ascii="Arial" w:hAnsi="Arial"/>
        </w:rPr>
        <w:t>Most importantly</w:t>
      </w:r>
      <w:r w:rsidR="00584D70" w:rsidRPr="001F461F">
        <w:rPr>
          <w:rFonts w:ascii="Arial" w:hAnsi="Arial"/>
        </w:rPr>
        <w:t>, all employees who receive</w:t>
      </w:r>
      <w:r w:rsidR="001F461F" w:rsidRPr="001F461F">
        <w:rPr>
          <w:rFonts w:ascii="Arial" w:hAnsi="Arial"/>
        </w:rPr>
        <w:t>d</w:t>
      </w:r>
      <w:r w:rsidR="00584D70" w:rsidRPr="001F461F">
        <w:rPr>
          <w:rFonts w:ascii="Arial" w:hAnsi="Arial"/>
        </w:rPr>
        <w:t xml:space="preserve"> the allowance ha</w:t>
      </w:r>
      <w:r w:rsidR="001F461F" w:rsidRPr="001F461F">
        <w:rPr>
          <w:rFonts w:ascii="Arial" w:hAnsi="Arial"/>
        </w:rPr>
        <w:t>d</w:t>
      </w:r>
      <w:r w:rsidR="00584D70" w:rsidRPr="001F461F">
        <w:rPr>
          <w:rFonts w:ascii="Arial" w:hAnsi="Arial"/>
        </w:rPr>
        <w:t xml:space="preserve"> signed contracts of employment in which such allowance </w:t>
      </w:r>
      <w:r w:rsidR="001F461F" w:rsidRPr="001F461F">
        <w:rPr>
          <w:rFonts w:ascii="Arial" w:hAnsi="Arial"/>
        </w:rPr>
        <w:t>wa</w:t>
      </w:r>
      <w:r w:rsidR="00584D70" w:rsidRPr="001F461F">
        <w:rPr>
          <w:rFonts w:ascii="Arial" w:hAnsi="Arial"/>
        </w:rPr>
        <w:t xml:space="preserve">s specifically stipulated, which </w:t>
      </w:r>
      <w:r w:rsidR="001F461F" w:rsidRPr="001F461F">
        <w:rPr>
          <w:rFonts w:ascii="Arial" w:hAnsi="Arial"/>
        </w:rPr>
        <w:t xml:space="preserve">accordingly </w:t>
      </w:r>
      <w:r w:rsidR="00584D70" w:rsidRPr="001F461F">
        <w:rPr>
          <w:rFonts w:ascii="Arial" w:hAnsi="Arial"/>
        </w:rPr>
        <w:t xml:space="preserve">vested the entitlement to such allowance. </w:t>
      </w:r>
      <w:r w:rsidR="00833985">
        <w:rPr>
          <w:rFonts w:ascii="Arial" w:hAnsi="Arial"/>
        </w:rPr>
        <w:t xml:space="preserve">The first and second respondents </w:t>
      </w:r>
      <w:r w:rsidR="00992F6E">
        <w:rPr>
          <w:rFonts w:ascii="Arial" w:hAnsi="Arial"/>
        </w:rPr>
        <w:t>had not si</w:t>
      </w:r>
      <w:r w:rsidR="00393954">
        <w:rPr>
          <w:rFonts w:ascii="Arial" w:hAnsi="Arial"/>
        </w:rPr>
        <w:t>g</w:t>
      </w:r>
      <w:r w:rsidR="00992F6E">
        <w:rPr>
          <w:rFonts w:ascii="Arial" w:hAnsi="Arial"/>
        </w:rPr>
        <w:t>n</w:t>
      </w:r>
      <w:r w:rsidR="00393954">
        <w:rPr>
          <w:rFonts w:ascii="Arial" w:hAnsi="Arial"/>
        </w:rPr>
        <w:t>ed such contracts</w:t>
      </w:r>
      <w:r w:rsidR="00833985">
        <w:rPr>
          <w:rFonts w:ascii="Arial" w:hAnsi="Arial"/>
        </w:rPr>
        <w:t>.</w:t>
      </w:r>
      <w:r w:rsidR="00B53848">
        <w:rPr>
          <w:rFonts w:ascii="Arial" w:hAnsi="Arial"/>
        </w:rPr>
        <w:t xml:space="preserve"> </w:t>
      </w:r>
      <w:r w:rsidR="00FF1349">
        <w:rPr>
          <w:rFonts w:ascii="Arial" w:hAnsi="Arial"/>
        </w:rPr>
        <w:t xml:space="preserve">The first respondent was employed as a Safety, Health and Environmental (SHE) Officer </w:t>
      </w:r>
      <w:r w:rsidR="002A3DEC">
        <w:rPr>
          <w:rFonts w:ascii="Arial" w:hAnsi="Arial"/>
        </w:rPr>
        <w:t xml:space="preserve">in 2003 </w:t>
      </w:r>
      <w:r w:rsidR="00FF1349">
        <w:rPr>
          <w:rFonts w:ascii="Arial" w:hAnsi="Arial"/>
        </w:rPr>
        <w:t xml:space="preserve">while the second respondent </w:t>
      </w:r>
      <w:r w:rsidR="00393954">
        <w:rPr>
          <w:rFonts w:ascii="Arial" w:hAnsi="Arial"/>
        </w:rPr>
        <w:t xml:space="preserve">was recruited to serve </w:t>
      </w:r>
      <w:r w:rsidR="00FF1349">
        <w:rPr>
          <w:rFonts w:ascii="Arial" w:hAnsi="Arial"/>
        </w:rPr>
        <w:t>as a nurse</w:t>
      </w:r>
      <w:r w:rsidR="002A3DEC">
        <w:rPr>
          <w:rFonts w:ascii="Arial" w:hAnsi="Arial"/>
        </w:rPr>
        <w:t xml:space="preserve"> in</w:t>
      </w:r>
      <w:r w:rsidR="00494E69">
        <w:rPr>
          <w:rFonts w:ascii="Arial" w:hAnsi="Arial"/>
        </w:rPr>
        <w:t xml:space="preserve"> 2006. </w:t>
      </w:r>
      <w:r w:rsidR="0005425B">
        <w:rPr>
          <w:rFonts w:ascii="Arial" w:hAnsi="Arial"/>
        </w:rPr>
        <w:t xml:space="preserve">The second respondent was originally from Ruacana and was previously employed as a nurse at a public clinic in that town. </w:t>
      </w:r>
      <w:r w:rsidR="00494E69">
        <w:rPr>
          <w:rFonts w:ascii="Arial" w:hAnsi="Arial"/>
        </w:rPr>
        <w:t>T</w:t>
      </w:r>
      <w:r w:rsidR="00B53848">
        <w:rPr>
          <w:rFonts w:ascii="Arial" w:hAnsi="Arial"/>
        </w:rPr>
        <w:t>he</w:t>
      </w:r>
      <w:r w:rsidR="002413B1">
        <w:rPr>
          <w:rFonts w:ascii="Arial" w:hAnsi="Arial"/>
        </w:rPr>
        <w:t xml:space="preserve"> respondents r</w:t>
      </w:r>
      <w:r w:rsidR="00B53848">
        <w:rPr>
          <w:rFonts w:ascii="Arial" w:hAnsi="Arial"/>
        </w:rPr>
        <w:t xml:space="preserve">equested the appellant to be included in the category of </w:t>
      </w:r>
      <w:r w:rsidR="002413B1">
        <w:rPr>
          <w:rFonts w:ascii="Arial" w:hAnsi="Arial"/>
        </w:rPr>
        <w:t>employees entitled to receive a scarcity allowance. The</w:t>
      </w:r>
      <w:r w:rsidR="00E72681">
        <w:rPr>
          <w:rFonts w:ascii="Arial" w:hAnsi="Arial"/>
        </w:rPr>
        <w:t xml:space="preserve"> first respondent </w:t>
      </w:r>
      <w:r w:rsidR="0005425B">
        <w:rPr>
          <w:rFonts w:ascii="Arial" w:hAnsi="Arial"/>
        </w:rPr>
        <w:t xml:space="preserve">motivated his request </w:t>
      </w:r>
      <w:r w:rsidR="00F858A2">
        <w:rPr>
          <w:rFonts w:ascii="Arial" w:hAnsi="Arial"/>
        </w:rPr>
        <w:t xml:space="preserve">when asked to do so in cross-examination </w:t>
      </w:r>
      <w:r w:rsidR="0005425B">
        <w:rPr>
          <w:rFonts w:ascii="Arial" w:hAnsi="Arial"/>
        </w:rPr>
        <w:t xml:space="preserve">by stating that </w:t>
      </w:r>
      <w:r w:rsidR="00E72681">
        <w:rPr>
          <w:rFonts w:ascii="Arial" w:hAnsi="Arial"/>
        </w:rPr>
        <w:t xml:space="preserve">his </w:t>
      </w:r>
      <w:r w:rsidR="002413B1">
        <w:rPr>
          <w:rFonts w:ascii="Arial" w:hAnsi="Arial"/>
        </w:rPr>
        <w:t xml:space="preserve">services were </w:t>
      </w:r>
      <w:r w:rsidR="00E72681">
        <w:rPr>
          <w:rFonts w:ascii="Arial" w:hAnsi="Arial"/>
        </w:rPr>
        <w:t xml:space="preserve">‘critical to the organisation that [they] might also be seen as </w:t>
      </w:r>
      <w:r w:rsidR="00494E69">
        <w:rPr>
          <w:rFonts w:ascii="Arial" w:hAnsi="Arial"/>
        </w:rPr>
        <w:t>s</w:t>
      </w:r>
      <w:r w:rsidR="002413B1">
        <w:rPr>
          <w:rFonts w:ascii="Arial" w:hAnsi="Arial"/>
        </w:rPr>
        <w:t>c</w:t>
      </w:r>
      <w:r w:rsidR="00494E69">
        <w:rPr>
          <w:rFonts w:ascii="Arial" w:hAnsi="Arial"/>
        </w:rPr>
        <w:t>arce</w:t>
      </w:r>
      <w:r w:rsidR="00E72681">
        <w:rPr>
          <w:rFonts w:ascii="Arial" w:hAnsi="Arial"/>
        </w:rPr>
        <w:t xml:space="preserve"> skills to qualify for this benefit’</w:t>
      </w:r>
      <w:r w:rsidR="00177B8B">
        <w:rPr>
          <w:rFonts w:ascii="Arial" w:hAnsi="Arial"/>
        </w:rPr>
        <w:t>.</w:t>
      </w:r>
      <w:r w:rsidR="00E72681">
        <w:rPr>
          <w:rFonts w:ascii="Arial" w:hAnsi="Arial"/>
        </w:rPr>
        <w:t xml:space="preserve"> The second respondent contended </w:t>
      </w:r>
      <w:r w:rsidR="00F858A2">
        <w:rPr>
          <w:rFonts w:ascii="Arial" w:hAnsi="Arial"/>
        </w:rPr>
        <w:t xml:space="preserve">in evidence </w:t>
      </w:r>
      <w:r w:rsidR="00E72681">
        <w:rPr>
          <w:rFonts w:ascii="Arial" w:hAnsi="Arial"/>
        </w:rPr>
        <w:t xml:space="preserve">that </w:t>
      </w:r>
      <w:r w:rsidR="00744B2C">
        <w:rPr>
          <w:rFonts w:ascii="Arial" w:hAnsi="Arial"/>
        </w:rPr>
        <w:t xml:space="preserve">Ruacana was </w:t>
      </w:r>
      <w:r w:rsidR="00E20BA5">
        <w:rPr>
          <w:rFonts w:ascii="Arial" w:hAnsi="Arial"/>
        </w:rPr>
        <w:t xml:space="preserve">a </w:t>
      </w:r>
      <w:r w:rsidR="00744B2C">
        <w:rPr>
          <w:rFonts w:ascii="Arial" w:hAnsi="Arial"/>
        </w:rPr>
        <w:t xml:space="preserve">remote </w:t>
      </w:r>
      <w:r w:rsidR="00E20BA5">
        <w:rPr>
          <w:rFonts w:ascii="Arial" w:hAnsi="Arial"/>
        </w:rPr>
        <w:t xml:space="preserve">area </w:t>
      </w:r>
      <w:r w:rsidR="00744B2C">
        <w:rPr>
          <w:rFonts w:ascii="Arial" w:hAnsi="Arial"/>
        </w:rPr>
        <w:t xml:space="preserve">and that </w:t>
      </w:r>
      <w:r w:rsidR="00E72681">
        <w:rPr>
          <w:rFonts w:ascii="Arial" w:hAnsi="Arial"/>
        </w:rPr>
        <w:t>as the only nurse at the appellant’s clinic</w:t>
      </w:r>
      <w:r w:rsidR="00744B2C">
        <w:rPr>
          <w:rFonts w:ascii="Arial" w:hAnsi="Arial"/>
        </w:rPr>
        <w:t xml:space="preserve">, she often struggled to find a temporary nurse </w:t>
      </w:r>
      <w:r w:rsidR="00744B2C" w:rsidRPr="006A709D">
        <w:rPr>
          <w:rFonts w:ascii="Arial" w:hAnsi="Arial"/>
        </w:rPr>
        <w:t>to</w:t>
      </w:r>
      <w:r w:rsidR="00744B2C">
        <w:rPr>
          <w:rFonts w:ascii="Arial" w:hAnsi="Arial"/>
        </w:rPr>
        <w:t xml:space="preserve"> </w:t>
      </w:r>
      <w:r w:rsidR="00393954" w:rsidRPr="006A709D">
        <w:rPr>
          <w:rFonts w:ascii="Arial" w:hAnsi="Arial"/>
        </w:rPr>
        <w:t>stand in for</w:t>
      </w:r>
      <w:r w:rsidR="00393954">
        <w:rPr>
          <w:rFonts w:ascii="Arial" w:hAnsi="Arial"/>
        </w:rPr>
        <w:t xml:space="preserve"> </w:t>
      </w:r>
      <w:r w:rsidR="00744B2C" w:rsidRPr="006A709D">
        <w:rPr>
          <w:rFonts w:ascii="Arial" w:hAnsi="Arial"/>
        </w:rPr>
        <w:t>her</w:t>
      </w:r>
      <w:r w:rsidR="00744B2C">
        <w:rPr>
          <w:rFonts w:ascii="Arial" w:hAnsi="Arial"/>
        </w:rPr>
        <w:t xml:space="preserve"> whenever she wanted to take leave of absence. For those reasons, she </w:t>
      </w:r>
      <w:r w:rsidR="006A709D">
        <w:rPr>
          <w:rFonts w:ascii="Arial" w:hAnsi="Arial"/>
        </w:rPr>
        <w:t>‘</w:t>
      </w:r>
      <w:r w:rsidR="00744B2C">
        <w:rPr>
          <w:rFonts w:ascii="Arial" w:hAnsi="Arial"/>
        </w:rPr>
        <w:t>felt</w:t>
      </w:r>
      <w:r w:rsidR="006A709D">
        <w:rPr>
          <w:rFonts w:ascii="Arial" w:hAnsi="Arial"/>
        </w:rPr>
        <w:t>’</w:t>
      </w:r>
      <w:r w:rsidR="00744B2C">
        <w:rPr>
          <w:rFonts w:ascii="Arial" w:hAnsi="Arial"/>
        </w:rPr>
        <w:t xml:space="preserve"> that she </w:t>
      </w:r>
      <w:r w:rsidR="002259EE">
        <w:rPr>
          <w:rFonts w:ascii="Arial" w:hAnsi="Arial"/>
        </w:rPr>
        <w:t xml:space="preserve">too qualified </w:t>
      </w:r>
      <w:r w:rsidR="00744B2C">
        <w:rPr>
          <w:rFonts w:ascii="Arial" w:hAnsi="Arial"/>
        </w:rPr>
        <w:t xml:space="preserve">to </w:t>
      </w:r>
      <w:r w:rsidR="002259EE">
        <w:rPr>
          <w:rFonts w:ascii="Arial" w:hAnsi="Arial"/>
        </w:rPr>
        <w:t xml:space="preserve">be paid a </w:t>
      </w:r>
      <w:r w:rsidR="00744B2C">
        <w:rPr>
          <w:rFonts w:ascii="Arial" w:hAnsi="Arial"/>
        </w:rPr>
        <w:t>scarcity allowance.</w:t>
      </w:r>
      <w:r w:rsidR="00E72681">
        <w:rPr>
          <w:rFonts w:ascii="Arial" w:hAnsi="Arial"/>
        </w:rPr>
        <w:t xml:space="preserve"> </w:t>
      </w:r>
    </w:p>
    <w:p w:rsidR="00833985" w:rsidRPr="00833985" w:rsidRDefault="00833985" w:rsidP="00067665">
      <w:pPr>
        <w:pStyle w:val="ListParagraph"/>
        <w:spacing w:line="480" w:lineRule="auto"/>
        <w:ind w:left="0"/>
        <w:rPr>
          <w:rFonts w:ascii="Arial" w:hAnsi="Arial"/>
        </w:rPr>
      </w:pPr>
    </w:p>
    <w:p w:rsidR="0023085F" w:rsidRDefault="00B53848" w:rsidP="00067665">
      <w:pPr>
        <w:pStyle w:val="ListParagraph"/>
        <w:numPr>
          <w:ilvl w:val="0"/>
          <w:numId w:val="1"/>
        </w:numPr>
        <w:spacing w:line="480" w:lineRule="auto"/>
        <w:contextualSpacing w:val="0"/>
        <w:jc w:val="both"/>
        <w:rPr>
          <w:rFonts w:ascii="Arial" w:hAnsi="Arial"/>
        </w:rPr>
      </w:pPr>
      <w:r>
        <w:rPr>
          <w:rFonts w:ascii="Arial" w:hAnsi="Arial"/>
        </w:rPr>
        <w:t>A</w:t>
      </w:r>
      <w:r w:rsidR="00833985">
        <w:rPr>
          <w:rFonts w:ascii="Arial" w:hAnsi="Arial"/>
        </w:rPr>
        <w:t>fter their request</w:t>
      </w:r>
      <w:r w:rsidR="00FF28B7">
        <w:rPr>
          <w:rFonts w:ascii="Arial" w:hAnsi="Arial"/>
        </w:rPr>
        <w:t>s</w:t>
      </w:r>
      <w:r w:rsidR="00833985">
        <w:rPr>
          <w:rFonts w:ascii="Arial" w:hAnsi="Arial"/>
        </w:rPr>
        <w:t xml:space="preserve"> to be included </w:t>
      </w:r>
      <w:r w:rsidR="002259EE">
        <w:rPr>
          <w:rFonts w:ascii="Arial" w:hAnsi="Arial"/>
        </w:rPr>
        <w:t>i</w:t>
      </w:r>
      <w:r w:rsidR="00833985">
        <w:rPr>
          <w:rFonts w:ascii="Arial" w:hAnsi="Arial"/>
        </w:rPr>
        <w:t xml:space="preserve">n the </w:t>
      </w:r>
      <w:r w:rsidR="002259EE">
        <w:rPr>
          <w:rFonts w:ascii="Arial" w:hAnsi="Arial"/>
        </w:rPr>
        <w:t xml:space="preserve">category </w:t>
      </w:r>
      <w:r w:rsidR="00833985">
        <w:rPr>
          <w:rFonts w:ascii="Arial" w:hAnsi="Arial"/>
        </w:rPr>
        <w:t>of employees who receive the allowance</w:t>
      </w:r>
      <w:r w:rsidR="00C00EC9">
        <w:rPr>
          <w:rFonts w:ascii="Arial" w:hAnsi="Arial"/>
        </w:rPr>
        <w:t xml:space="preserve"> </w:t>
      </w:r>
      <w:r w:rsidR="00FF28B7">
        <w:rPr>
          <w:rFonts w:ascii="Arial" w:hAnsi="Arial"/>
        </w:rPr>
        <w:t xml:space="preserve">had been </w:t>
      </w:r>
      <w:r w:rsidR="00C00EC9">
        <w:rPr>
          <w:rFonts w:ascii="Arial" w:hAnsi="Arial"/>
        </w:rPr>
        <w:t>declined</w:t>
      </w:r>
      <w:r w:rsidR="00833985">
        <w:rPr>
          <w:rFonts w:ascii="Arial" w:hAnsi="Arial"/>
        </w:rPr>
        <w:t>, the</w:t>
      </w:r>
      <w:r w:rsidR="0005425B">
        <w:rPr>
          <w:rFonts w:ascii="Arial" w:hAnsi="Arial"/>
        </w:rPr>
        <w:t xml:space="preserve"> respondents </w:t>
      </w:r>
      <w:r w:rsidR="00833985">
        <w:rPr>
          <w:rFonts w:ascii="Arial" w:hAnsi="Arial"/>
        </w:rPr>
        <w:t>filed a</w:t>
      </w:r>
      <w:r w:rsidR="002259EE">
        <w:rPr>
          <w:rFonts w:ascii="Arial" w:hAnsi="Arial"/>
        </w:rPr>
        <w:t xml:space="preserve"> </w:t>
      </w:r>
      <w:r w:rsidR="00F858A2">
        <w:rPr>
          <w:rFonts w:ascii="Arial" w:hAnsi="Arial"/>
        </w:rPr>
        <w:t xml:space="preserve">complaint </w:t>
      </w:r>
      <w:r w:rsidR="002259EE">
        <w:rPr>
          <w:rFonts w:ascii="Arial" w:hAnsi="Arial"/>
        </w:rPr>
        <w:t xml:space="preserve">of </w:t>
      </w:r>
      <w:r w:rsidR="0005425B">
        <w:rPr>
          <w:rFonts w:ascii="Arial" w:hAnsi="Arial"/>
        </w:rPr>
        <w:t>‘</w:t>
      </w:r>
      <w:r w:rsidR="00833985">
        <w:rPr>
          <w:rFonts w:ascii="Arial" w:hAnsi="Arial"/>
        </w:rPr>
        <w:t>unfair labour practice and unfair discrimination</w:t>
      </w:r>
      <w:r w:rsidR="0005425B">
        <w:rPr>
          <w:rFonts w:ascii="Arial" w:hAnsi="Arial"/>
        </w:rPr>
        <w:t>’</w:t>
      </w:r>
      <w:r w:rsidR="00833985">
        <w:rPr>
          <w:rFonts w:ascii="Arial" w:hAnsi="Arial"/>
        </w:rPr>
        <w:t xml:space="preserve"> against the appellant with the Labour Commissioner. It nevertheless became apparent during the hearing that the dispute was essentially one of unfair discrimination</w:t>
      </w:r>
      <w:r w:rsidR="00C00EC9">
        <w:rPr>
          <w:rFonts w:ascii="Arial" w:hAnsi="Arial"/>
        </w:rPr>
        <w:t xml:space="preserve"> a</w:t>
      </w:r>
      <w:r w:rsidR="00744B2C">
        <w:rPr>
          <w:rFonts w:ascii="Arial" w:hAnsi="Arial"/>
        </w:rPr>
        <w:t xml:space="preserve">s the </w:t>
      </w:r>
      <w:r w:rsidR="00EE1902">
        <w:rPr>
          <w:rFonts w:ascii="Arial" w:hAnsi="Arial"/>
        </w:rPr>
        <w:t xml:space="preserve">contention </w:t>
      </w:r>
      <w:r w:rsidR="002259EE">
        <w:rPr>
          <w:rFonts w:ascii="Arial" w:hAnsi="Arial"/>
        </w:rPr>
        <w:t>of unfair labour</w:t>
      </w:r>
      <w:r w:rsidR="00B5101E">
        <w:rPr>
          <w:rFonts w:ascii="Arial" w:hAnsi="Arial"/>
        </w:rPr>
        <w:t xml:space="preserve"> practice, in the words of the a</w:t>
      </w:r>
      <w:r w:rsidR="002259EE">
        <w:rPr>
          <w:rFonts w:ascii="Arial" w:hAnsi="Arial"/>
        </w:rPr>
        <w:t>rbitrator, had ‘become a</w:t>
      </w:r>
      <w:r w:rsidR="00744B2C">
        <w:rPr>
          <w:rFonts w:ascii="Arial" w:hAnsi="Arial"/>
        </w:rPr>
        <w:t>ca</w:t>
      </w:r>
      <w:r w:rsidR="00177B8B">
        <w:rPr>
          <w:rFonts w:ascii="Arial" w:hAnsi="Arial"/>
        </w:rPr>
        <w:t>demic</w:t>
      </w:r>
      <w:r w:rsidR="002259EE">
        <w:rPr>
          <w:rFonts w:ascii="Arial" w:hAnsi="Arial"/>
        </w:rPr>
        <w:t>’</w:t>
      </w:r>
      <w:r w:rsidR="00177B8B">
        <w:rPr>
          <w:rFonts w:ascii="Arial" w:hAnsi="Arial"/>
        </w:rPr>
        <w:t>.</w:t>
      </w:r>
      <w:r w:rsidR="002259EE">
        <w:rPr>
          <w:rFonts w:ascii="Arial" w:hAnsi="Arial"/>
        </w:rPr>
        <w:t xml:space="preserve"> </w:t>
      </w:r>
      <w:r w:rsidR="007178E2">
        <w:rPr>
          <w:rFonts w:ascii="Arial" w:hAnsi="Arial"/>
        </w:rPr>
        <w:t xml:space="preserve">After hearing evidence, the arbitrator </w:t>
      </w:r>
      <w:r w:rsidR="00611462">
        <w:rPr>
          <w:rFonts w:ascii="Arial" w:hAnsi="Arial"/>
        </w:rPr>
        <w:t xml:space="preserve">set out his findings </w:t>
      </w:r>
      <w:r w:rsidR="006D3C3A">
        <w:rPr>
          <w:rFonts w:ascii="Arial" w:hAnsi="Arial"/>
        </w:rPr>
        <w:t>and reason</w:t>
      </w:r>
      <w:r w:rsidR="0023085F">
        <w:rPr>
          <w:rFonts w:ascii="Arial" w:hAnsi="Arial"/>
        </w:rPr>
        <w:t>s</w:t>
      </w:r>
      <w:r w:rsidR="006D3C3A">
        <w:rPr>
          <w:rFonts w:ascii="Arial" w:hAnsi="Arial"/>
        </w:rPr>
        <w:t xml:space="preserve"> </w:t>
      </w:r>
      <w:r w:rsidR="00611462">
        <w:rPr>
          <w:rFonts w:ascii="Arial" w:hAnsi="Arial"/>
        </w:rPr>
        <w:t xml:space="preserve">in a wide-ranging arbitration award. </w:t>
      </w:r>
      <w:r w:rsidR="006D3C3A">
        <w:rPr>
          <w:rFonts w:ascii="Arial" w:hAnsi="Arial"/>
        </w:rPr>
        <w:t>In essence, h</w:t>
      </w:r>
      <w:r w:rsidR="00611462">
        <w:rPr>
          <w:rFonts w:ascii="Arial" w:hAnsi="Arial"/>
        </w:rPr>
        <w:t xml:space="preserve">e </w:t>
      </w:r>
      <w:r w:rsidR="007178E2">
        <w:rPr>
          <w:rFonts w:ascii="Arial" w:hAnsi="Arial"/>
        </w:rPr>
        <w:t xml:space="preserve">found </w:t>
      </w:r>
      <w:r w:rsidR="00E20BA5">
        <w:rPr>
          <w:rFonts w:ascii="Arial" w:hAnsi="Arial"/>
        </w:rPr>
        <w:t xml:space="preserve">that </w:t>
      </w:r>
      <w:r w:rsidR="007178E2">
        <w:rPr>
          <w:rFonts w:ascii="Arial" w:hAnsi="Arial"/>
        </w:rPr>
        <w:t>the respondents</w:t>
      </w:r>
      <w:r w:rsidR="00E20BA5">
        <w:rPr>
          <w:rFonts w:ascii="Arial" w:hAnsi="Arial"/>
        </w:rPr>
        <w:t>’</w:t>
      </w:r>
      <w:r w:rsidR="007178E2">
        <w:rPr>
          <w:rFonts w:ascii="Arial" w:hAnsi="Arial"/>
        </w:rPr>
        <w:t xml:space="preserve"> </w:t>
      </w:r>
      <w:r w:rsidR="00CD1C7B">
        <w:rPr>
          <w:rFonts w:ascii="Arial" w:hAnsi="Arial"/>
        </w:rPr>
        <w:t xml:space="preserve">exclusion </w:t>
      </w:r>
      <w:r w:rsidR="007178E2">
        <w:rPr>
          <w:rFonts w:ascii="Arial" w:hAnsi="Arial"/>
        </w:rPr>
        <w:t>from receiving a scarcity allowance amounted to unfair discrimination</w:t>
      </w:r>
      <w:r w:rsidR="00CD1C7B">
        <w:rPr>
          <w:rFonts w:ascii="Arial" w:hAnsi="Arial"/>
        </w:rPr>
        <w:t xml:space="preserve">. </w:t>
      </w:r>
      <w:r w:rsidR="00611462">
        <w:rPr>
          <w:rFonts w:ascii="Arial" w:hAnsi="Arial"/>
        </w:rPr>
        <w:t xml:space="preserve">This he did by </w:t>
      </w:r>
      <w:r w:rsidR="00F858A2">
        <w:rPr>
          <w:rFonts w:ascii="Arial" w:hAnsi="Arial"/>
        </w:rPr>
        <w:t xml:space="preserve">relying on the views expressed </w:t>
      </w:r>
      <w:r w:rsidR="00611462">
        <w:rPr>
          <w:rFonts w:ascii="Arial" w:hAnsi="Arial"/>
        </w:rPr>
        <w:t xml:space="preserve">in Wikipedia of what types of discrimination were </w:t>
      </w:r>
      <w:r w:rsidR="006D3C3A">
        <w:rPr>
          <w:rFonts w:ascii="Arial" w:hAnsi="Arial"/>
        </w:rPr>
        <w:t xml:space="preserve">perceived to be </w:t>
      </w:r>
      <w:r w:rsidR="00611462">
        <w:rPr>
          <w:rFonts w:ascii="Arial" w:hAnsi="Arial"/>
        </w:rPr>
        <w:t xml:space="preserve">illegal or unfair and by </w:t>
      </w:r>
      <w:r w:rsidR="006D3C3A">
        <w:rPr>
          <w:rFonts w:ascii="Arial" w:hAnsi="Arial"/>
        </w:rPr>
        <w:t xml:space="preserve">applying the provisions of </w:t>
      </w:r>
      <w:r w:rsidR="00611462">
        <w:rPr>
          <w:rFonts w:ascii="Arial" w:hAnsi="Arial"/>
        </w:rPr>
        <w:t>s 5 of the Labour Act 11 of 2007</w:t>
      </w:r>
      <w:r w:rsidR="00F858A2">
        <w:rPr>
          <w:rFonts w:ascii="Arial" w:hAnsi="Arial"/>
        </w:rPr>
        <w:t xml:space="preserve"> to the facts of the complaint</w:t>
      </w:r>
      <w:r w:rsidR="00611462">
        <w:rPr>
          <w:rFonts w:ascii="Arial" w:hAnsi="Arial"/>
        </w:rPr>
        <w:t xml:space="preserve">. </w:t>
      </w:r>
    </w:p>
    <w:p w:rsidR="0023085F" w:rsidRPr="0023085F" w:rsidRDefault="0023085F" w:rsidP="0023085F">
      <w:pPr>
        <w:pStyle w:val="ListParagraph"/>
        <w:spacing w:line="480" w:lineRule="auto"/>
        <w:ind w:left="0"/>
        <w:rPr>
          <w:rFonts w:ascii="Arial" w:hAnsi="Arial"/>
        </w:rPr>
      </w:pPr>
    </w:p>
    <w:p w:rsidR="00833985" w:rsidRDefault="00067665" w:rsidP="0023085F">
      <w:pPr>
        <w:pStyle w:val="ListParagraph"/>
        <w:numPr>
          <w:ilvl w:val="0"/>
          <w:numId w:val="1"/>
        </w:numPr>
        <w:spacing w:line="480" w:lineRule="auto"/>
        <w:contextualSpacing w:val="0"/>
        <w:jc w:val="both"/>
        <w:rPr>
          <w:rFonts w:ascii="Arial" w:hAnsi="Arial"/>
        </w:rPr>
      </w:pPr>
      <w:r>
        <w:rPr>
          <w:rFonts w:ascii="Arial" w:hAnsi="Arial"/>
        </w:rPr>
        <w:t>I</w:t>
      </w:r>
      <w:r w:rsidR="0005425B">
        <w:rPr>
          <w:rFonts w:ascii="Arial" w:hAnsi="Arial"/>
        </w:rPr>
        <w:t xml:space="preserve">t would appear that the arbitrator </w:t>
      </w:r>
      <w:r w:rsidR="00C070B6">
        <w:rPr>
          <w:rFonts w:ascii="Arial" w:hAnsi="Arial"/>
        </w:rPr>
        <w:t xml:space="preserve">found against the appellant </w:t>
      </w:r>
      <w:r w:rsidR="0005425B">
        <w:rPr>
          <w:rFonts w:ascii="Arial" w:hAnsi="Arial"/>
        </w:rPr>
        <w:t>principal</w:t>
      </w:r>
      <w:r w:rsidR="00C070B6">
        <w:rPr>
          <w:rFonts w:ascii="Arial" w:hAnsi="Arial"/>
        </w:rPr>
        <w:t>ly</w:t>
      </w:r>
      <w:r w:rsidR="0005425B">
        <w:rPr>
          <w:rFonts w:ascii="Arial" w:hAnsi="Arial"/>
        </w:rPr>
        <w:t xml:space="preserve"> </w:t>
      </w:r>
      <w:r w:rsidR="00C070B6">
        <w:rPr>
          <w:rFonts w:ascii="Arial" w:hAnsi="Arial"/>
        </w:rPr>
        <w:t xml:space="preserve">for the </w:t>
      </w:r>
      <w:r w:rsidR="0005425B">
        <w:rPr>
          <w:rFonts w:ascii="Arial" w:hAnsi="Arial"/>
        </w:rPr>
        <w:t xml:space="preserve">reason </w:t>
      </w:r>
      <w:r w:rsidR="00C070B6">
        <w:rPr>
          <w:rFonts w:ascii="Arial" w:hAnsi="Arial"/>
        </w:rPr>
        <w:t xml:space="preserve">that </w:t>
      </w:r>
      <w:r w:rsidR="0005425B">
        <w:rPr>
          <w:rFonts w:ascii="Arial" w:hAnsi="Arial"/>
        </w:rPr>
        <w:t xml:space="preserve">the appellant’s </w:t>
      </w:r>
      <w:r w:rsidR="00C070B6">
        <w:rPr>
          <w:rFonts w:ascii="Arial" w:hAnsi="Arial"/>
        </w:rPr>
        <w:t xml:space="preserve">representative in the hearing failed </w:t>
      </w:r>
      <w:r w:rsidR="0005425B">
        <w:rPr>
          <w:rFonts w:ascii="Arial" w:hAnsi="Arial"/>
        </w:rPr>
        <w:t xml:space="preserve">to produce in evidence the </w:t>
      </w:r>
      <w:r w:rsidR="00C070B6">
        <w:rPr>
          <w:rFonts w:ascii="Arial" w:hAnsi="Arial"/>
        </w:rPr>
        <w:t xml:space="preserve">policy </w:t>
      </w:r>
      <w:r w:rsidR="0005425B">
        <w:rPr>
          <w:rFonts w:ascii="Arial" w:hAnsi="Arial"/>
        </w:rPr>
        <w:t xml:space="preserve">document embodying the scarcity allowance. This despite the evidence that </w:t>
      </w:r>
      <w:r w:rsidR="00C070B6">
        <w:rPr>
          <w:rFonts w:ascii="Arial" w:hAnsi="Arial"/>
        </w:rPr>
        <w:t>the resolution of the appellant’s Executive Committee was recorded instead in the minutes of its meeting</w:t>
      </w:r>
      <w:r w:rsidR="00F858A2">
        <w:rPr>
          <w:rFonts w:ascii="Arial" w:hAnsi="Arial"/>
        </w:rPr>
        <w:t>,</w:t>
      </w:r>
      <w:r w:rsidR="00C070B6">
        <w:rPr>
          <w:rFonts w:ascii="Arial" w:hAnsi="Arial"/>
        </w:rPr>
        <w:t xml:space="preserve"> whereat the decision to introduce the allowance was taken. The arbitrator in the end</w:t>
      </w:r>
      <w:r w:rsidR="00CD1C7B">
        <w:rPr>
          <w:rFonts w:ascii="Arial" w:hAnsi="Arial"/>
        </w:rPr>
        <w:t xml:space="preserve"> </w:t>
      </w:r>
      <w:r w:rsidR="007178E2">
        <w:rPr>
          <w:rFonts w:ascii="Arial" w:hAnsi="Arial"/>
        </w:rPr>
        <w:t>ordered, amongst other</w:t>
      </w:r>
      <w:r w:rsidR="008A6F73">
        <w:rPr>
          <w:rFonts w:ascii="Arial" w:hAnsi="Arial"/>
        </w:rPr>
        <w:t xml:space="preserve"> things</w:t>
      </w:r>
      <w:r w:rsidR="007178E2">
        <w:rPr>
          <w:rFonts w:ascii="Arial" w:hAnsi="Arial"/>
        </w:rPr>
        <w:t xml:space="preserve">, </w:t>
      </w:r>
      <w:r w:rsidR="00235445">
        <w:rPr>
          <w:rFonts w:ascii="Arial" w:hAnsi="Arial"/>
        </w:rPr>
        <w:t xml:space="preserve">that </w:t>
      </w:r>
      <w:r w:rsidR="007178E2">
        <w:rPr>
          <w:rFonts w:ascii="Arial" w:hAnsi="Arial"/>
        </w:rPr>
        <w:t xml:space="preserve">the appellant </w:t>
      </w:r>
      <w:r w:rsidR="00235445">
        <w:rPr>
          <w:rFonts w:ascii="Arial" w:hAnsi="Arial"/>
        </w:rPr>
        <w:t>p</w:t>
      </w:r>
      <w:r w:rsidR="007178E2">
        <w:rPr>
          <w:rFonts w:ascii="Arial" w:hAnsi="Arial"/>
        </w:rPr>
        <w:t>lace the respondents on the list of employees entitled to receive the allowance.</w:t>
      </w:r>
      <w:r w:rsidR="00A85F9B">
        <w:rPr>
          <w:rFonts w:ascii="Arial" w:hAnsi="Arial"/>
        </w:rPr>
        <w:t xml:space="preserve"> The appellant appealed to the Labour Court </w:t>
      </w:r>
      <w:r w:rsidR="00CD1C7B">
        <w:rPr>
          <w:rFonts w:ascii="Arial" w:hAnsi="Arial"/>
        </w:rPr>
        <w:t xml:space="preserve">and it is in that court that the matter took </w:t>
      </w:r>
      <w:r w:rsidR="00C070B6">
        <w:rPr>
          <w:rFonts w:ascii="Arial" w:hAnsi="Arial"/>
        </w:rPr>
        <w:t xml:space="preserve">a </w:t>
      </w:r>
      <w:r w:rsidR="00F858A2">
        <w:rPr>
          <w:rFonts w:ascii="Arial" w:hAnsi="Arial"/>
        </w:rPr>
        <w:t>tortuous</w:t>
      </w:r>
      <w:r w:rsidR="00C070B6">
        <w:rPr>
          <w:rFonts w:ascii="Arial" w:hAnsi="Arial"/>
        </w:rPr>
        <w:t xml:space="preserve"> path to reach this court</w:t>
      </w:r>
      <w:r w:rsidR="00CD1C7B">
        <w:rPr>
          <w:rFonts w:ascii="Arial" w:hAnsi="Arial"/>
        </w:rPr>
        <w:t>. More about th</w:t>
      </w:r>
      <w:r w:rsidR="006D3C3A">
        <w:rPr>
          <w:rFonts w:ascii="Arial" w:hAnsi="Arial"/>
        </w:rPr>
        <w:t>at</w:t>
      </w:r>
      <w:r w:rsidR="00CD1C7B">
        <w:rPr>
          <w:rFonts w:ascii="Arial" w:hAnsi="Arial"/>
        </w:rPr>
        <w:t xml:space="preserve"> below.</w:t>
      </w:r>
      <w:r w:rsidR="00A85F9B">
        <w:rPr>
          <w:rFonts w:ascii="Arial" w:hAnsi="Arial"/>
        </w:rPr>
        <w:t xml:space="preserve"> </w:t>
      </w:r>
    </w:p>
    <w:p w:rsidR="00FF28B7" w:rsidRPr="00FF28B7" w:rsidRDefault="00FF28B7" w:rsidP="00067665">
      <w:pPr>
        <w:pStyle w:val="ListParagraph"/>
        <w:spacing w:line="480" w:lineRule="auto"/>
        <w:ind w:left="0"/>
        <w:rPr>
          <w:rFonts w:ascii="Arial" w:hAnsi="Arial"/>
        </w:rPr>
      </w:pPr>
    </w:p>
    <w:p w:rsidR="00A7051C" w:rsidRDefault="00FF28B7" w:rsidP="00067665">
      <w:pPr>
        <w:spacing w:line="480" w:lineRule="auto"/>
        <w:jc w:val="both"/>
        <w:rPr>
          <w:rFonts w:ascii="Arial" w:hAnsi="Arial"/>
          <w:u w:val="single"/>
        </w:rPr>
      </w:pPr>
      <w:r w:rsidRPr="00FF28B7">
        <w:rPr>
          <w:rFonts w:ascii="Arial" w:hAnsi="Arial"/>
          <w:u w:val="single"/>
        </w:rPr>
        <w:t xml:space="preserve">The </w:t>
      </w:r>
      <w:r w:rsidR="00CD1C7B">
        <w:rPr>
          <w:rFonts w:ascii="Arial" w:hAnsi="Arial"/>
          <w:u w:val="single"/>
        </w:rPr>
        <w:t xml:space="preserve">appeal </w:t>
      </w:r>
      <w:r w:rsidR="00A7051C">
        <w:rPr>
          <w:rFonts w:ascii="Arial" w:hAnsi="Arial"/>
          <w:u w:val="single"/>
        </w:rPr>
        <w:t>lapsed</w:t>
      </w:r>
    </w:p>
    <w:p w:rsidR="001F461F" w:rsidRDefault="00235445" w:rsidP="00A7051C">
      <w:pPr>
        <w:pStyle w:val="ListParagraph"/>
        <w:numPr>
          <w:ilvl w:val="0"/>
          <w:numId w:val="1"/>
        </w:numPr>
        <w:spacing w:line="480" w:lineRule="auto"/>
        <w:jc w:val="both"/>
        <w:rPr>
          <w:rFonts w:ascii="Arial" w:hAnsi="Arial"/>
        </w:rPr>
      </w:pPr>
      <w:r w:rsidRPr="00A7051C">
        <w:rPr>
          <w:rFonts w:ascii="Arial" w:hAnsi="Arial"/>
        </w:rPr>
        <w:t xml:space="preserve">The appellant’s appeal </w:t>
      </w:r>
      <w:r w:rsidR="00373B61">
        <w:rPr>
          <w:rFonts w:ascii="Arial" w:hAnsi="Arial"/>
        </w:rPr>
        <w:t xml:space="preserve">against the arbitrator’s award was </w:t>
      </w:r>
      <w:r w:rsidR="00720F5F">
        <w:rPr>
          <w:rFonts w:ascii="Arial" w:hAnsi="Arial"/>
        </w:rPr>
        <w:t xml:space="preserve">noted </w:t>
      </w:r>
      <w:r w:rsidR="006B6198" w:rsidRPr="00A7051C">
        <w:rPr>
          <w:rFonts w:ascii="Arial" w:hAnsi="Arial"/>
        </w:rPr>
        <w:t>timeously on 26 October 2017</w:t>
      </w:r>
      <w:r w:rsidR="00373B61">
        <w:rPr>
          <w:rFonts w:ascii="Arial" w:hAnsi="Arial"/>
        </w:rPr>
        <w:t xml:space="preserve">. </w:t>
      </w:r>
      <w:r w:rsidR="00720F5F">
        <w:rPr>
          <w:rFonts w:ascii="Arial" w:hAnsi="Arial"/>
        </w:rPr>
        <w:t xml:space="preserve">It </w:t>
      </w:r>
      <w:r w:rsidR="00373B61">
        <w:rPr>
          <w:rFonts w:ascii="Arial" w:hAnsi="Arial"/>
        </w:rPr>
        <w:t>was</w:t>
      </w:r>
      <w:r w:rsidR="006B6198" w:rsidRPr="00A7051C">
        <w:rPr>
          <w:rFonts w:ascii="Arial" w:hAnsi="Arial"/>
        </w:rPr>
        <w:t xml:space="preserve"> opposed by the first and second respondent</w:t>
      </w:r>
      <w:r w:rsidR="000649E7" w:rsidRPr="00A7051C">
        <w:rPr>
          <w:rFonts w:ascii="Arial" w:hAnsi="Arial"/>
        </w:rPr>
        <w:t>s</w:t>
      </w:r>
      <w:r w:rsidR="006B6198" w:rsidRPr="00A7051C">
        <w:rPr>
          <w:rFonts w:ascii="Arial" w:hAnsi="Arial"/>
        </w:rPr>
        <w:t xml:space="preserve">. </w:t>
      </w:r>
      <w:r w:rsidR="00720F5F">
        <w:rPr>
          <w:rFonts w:ascii="Arial" w:hAnsi="Arial"/>
        </w:rPr>
        <w:t>The appeal</w:t>
      </w:r>
      <w:r w:rsidR="00177B8B">
        <w:rPr>
          <w:rFonts w:ascii="Arial" w:hAnsi="Arial"/>
        </w:rPr>
        <w:t>,</w:t>
      </w:r>
      <w:r w:rsidR="00720F5F">
        <w:rPr>
          <w:rFonts w:ascii="Arial" w:hAnsi="Arial"/>
        </w:rPr>
        <w:t xml:space="preserve"> </w:t>
      </w:r>
      <w:r w:rsidR="000649E7" w:rsidRPr="00A7051C">
        <w:rPr>
          <w:rFonts w:ascii="Arial" w:hAnsi="Arial"/>
        </w:rPr>
        <w:t>h</w:t>
      </w:r>
      <w:r w:rsidR="006B6198" w:rsidRPr="00A7051C">
        <w:rPr>
          <w:rFonts w:ascii="Arial" w:hAnsi="Arial"/>
        </w:rPr>
        <w:t>owever</w:t>
      </w:r>
      <w:r w:rsidR="00177B8B">
        <w:rPr>
          <w:rFonts w:ascii="Arial" w:hAnsi="Arial"/>
        </w:rPr>
        <w:t>,</w:t>
      </w:r>
      <w:r w:rsidR="000649E7" w:rsidRPr="00A7051C">
        <w:rPr>
          <w:rFonts w:ascii="Arial" w:hAnsi="Arial"/>
        </w:rPr>
        <w:t xml:space="preserve"> </w:t>
      </w:r>
      <w:r w:rsidRPr="00A7051C">
        <w:rPr>
          <w:rFonts w:ascii="Arial" w:hAnsi="Arial"/>
        </w:rPr>
        <w:t xml:space="preserve">lapsed </w:t>
      </w:r>
      <w:r w:rsidR="000649E7" w:rsidRPr="00A7051C">
        <w:rPr>
          <w:rFonts w:ascii="Arial" w:hAnsi="Arial"/>
        </w:rPr>
        <w:t xml:space="preserve">for </w:t>
      </w:r>
      <w:r w:rsidR="00C070B6">
        <w:rPr>
          <w:rFonts w:ascii="Arial" w:hAnsi="Arial"/>
        </w:rPr>
        <w:t xml:space="preserve">want </w:t>
      </w:r>
      <w:r w:rsidR="000649E7" w:rsidRPr="00A7051C">
        <w:rPr>
          <w:rFonts w:ascii="Arial" w:hAnsi="Arial"/>
        </w:rPr>
        <w:t>of prosecution</w:t>
      </w:r>
      <w:r w:rsidRPr="00A7051C">
        <w:rPr>
          <w:rFonts w:ascii="Arial" w:hAnsi="Arial"/>
        </w:rPr>
        <w:t>.</w:t>
      </w:r>
      <w:r w:rsidR="007E2508" w:rsidRPr="00A7051C">
        <w:rPr>
          <w:rFonts w:ascii="Arial" w:hAnsi="Arial"/>
        </w:rPr>
        <w:t xml:space="preserve"> </w:t>
      </w:r>
      <w:r w:rsidR="000649E7" w:rsidRPr="00A7051C">
        <w:rPr>
          <w:rFonts w:ascii="Arial" w:hAnsi="Arial"/>
        </w:rPr>
        <w:t>Rule 17(25) of the Labour Court Rules</w:t>
      </w:r>
      <w:r w:rsidR="00FC4319" w:rsidRPr="00A7051C">
        <w:rPr>
          <w:rFonts w:ascii="Arial" w:hAnsi="Arial"/>
        </w:rPr>
        <w:t xml:space="preserve"> provides that </w:t>
      </w:r>
      <w:r w:rsidR="00A7051C">
        <w:rPr>
          <w:rFonts w:ascii="Arial" w:hAnsi="Arial"/>
        </w:rPr>
        <w:t>an</w:t>
      </w:r>
      <w:r w:rsidR="000649E7" w:rsidRPr="00A7051C">
        <w:rPr>
          <w:rFonts w:ascii="Arial" w:hAnsi="Arial"/>
        </w:rPr>
        <w:t xml:space="preserve"> appellant had to prosecute the appeal within 90 days from the date </w:t>
      </w:r>
      <w:r w:rsidR="00FC4319" w:rsidRPr="00A7051C">
        <w:rPr>
          <w:rFonts w:ascii="Arial" w:hAnsi="Arial"/>
        </w:rPr>
        <w:t>o</w:t>
      </w:r>
      <w:r w:rsidR="000649E7" w:rsidRPr="00A7051C">
        <w:rPr>
          <w:rFonts w:ascii="Arial" w:hAnsi="Arial"/>
        </w:rPr>
        <w:t xml:space="preserve">f the </w:t>
      </w:r>
      <w:r w:rsidR="00A82C05">
        <w:rPr>
          <w:rFonts w:ascii="Arial" w:hAnsi="Arial"/>
        </w:rPr>
        <w:t>noting</w:t>
      </w:r>
      <w:r w:rsidR="000649E7" w:rsidRPr="00A7051C">
        <w:rPr>
          <w:rFonts w:ascii="Arial" w:hAnsi="Arial"/>
        </w:rPr>
        <w:t xml:space="preserve"> of the appeal. In terms of </w:t>
      </w:r>
      <w:r w:rsidR="000464AB">
        <w:rPr>
          <w:rFonts w:ascii="Arial" w:hAnsi="Arial"/>
        </w:rPr>
        <w:t>r</w:t>
      </w:r>
      <w:r w:rsidR="000649E7" w:rsidRPr="00A7051C">
        <w:rPr>
          <w:rFonts w:ascii="Arial" w:hAnsi="Arial"/>
        </w:rPr>
        <w:t xml:space="preserve">ule 23(4) of the </w:t>
      </w:r>
      <w:r w:rsidR="00177B8B">
        <w:rPr>
          <w:rFonts w:ascii="Arial" w:hAnsi="Arial"/>
        </w:rPr>
        <w:t>r</w:t>
      </w:r>
      <w:r w:rsidR="000464AB">
        <w:rPr>
          <w:rFonts w:ascii="Arial" w:hAnsi="Arial"/>
        </w:rPr>
        <w:t xml:space="preserve">ules </w:t>
      </w:r>
      <w:r w:rsidR="00720F5F">
        <w:rPr>
          <w:rFonts w:ascii="Arial" w:hAnsi="Arial"/>
        </w:rPr>
        <w:t>r</w:t>
      </w:r>
      <w:r w:rsidR="000464AB">
        <w:rPr>
          <w:rFonts w:ascii="Arial" w:hAnsi="Arial"/>
        </w:rPr>
        <w:t xml:space="preserve">elating to the Conduct of </w:t>
      </w:r>
      <w:r w:rsidR="000649E7" w:rsidRPr="00A7051C">
        <w:rPr>
          <w:rFonts w:ascii="Arial" w:hAnsi="Arial"/>
        </w:rPr>
        <w:t xml:space="preserve">Conciliation and Arbitration, the Labour Commissioner must </w:t>
      </w:r>
      <w:r w:rsidR="00C52D4E" w:rsidRPr="00A7051C">
        <w:rPr>
          <w:rFonts w:ascii="Arial" w:hAnsi="Arial"/>
        </w:rPr>
        <w:t>transmit the record of the hearing of the compla</w:t>
      </w:r>
      <w:r w:rsidR="00A7051C">
        <w:rPr>
          <w:rFonts w:ascii="Arial" w:hAnsi="Arial"/>
        </w:rPr>
        <w:t>i</w:t>
      </w:r>
      <w:r w:rsidR="00C52D4E" w:rsidRPr="00A7051C">
        <w:rPr>
          <w:rFonts w:ascii="Arial" w:hAnsi="Arial"/>
        </w:rPr>
        <w:t>nt</w:t>
      </w:r>
      <w:r w:rsidR="000464AB">
        <w:rPr>
          <w:rFonts w:ascii="Arial" w:hAnsi="Arial"/>
        </w:rPr>
        <w:t>, together with the original arbitrator’s award, to the r</w:t>
      </w:r>
      <w:r w:rsidR="00C52D4E" w:rsidRPr="00A7051C">
        <w:rPr>
          <w:rFonts w:ascii="Arial" w:hAnsi="Arial"/>
        </w:rPr>
        <w:t xml:space="preserve">egistrar of the </w:t>
      </w:r>
      <w:r w:rsidR="000464AB">
        <w:rPr>
          <w:rFonts w:ascii="Arial" w:hAnsi="Arial"/>
        </w:rPr>
        <w:t>High Court</w:t>
      </w:r>
      <w:r w:rsidR="00CA2133" w:rsidRPr="00A7051C">
        <w:rPr>
          <w:rFonts w:ascii="Arial" w:hAnsi="Arial"/>
        </w:rPr>
        <w:t xml:space="preserve"> </w:t>
      </w:r>
      <w:r w:rsidR="00C52D4E" w:rsidRPr="00A7051C">
        <w:rPr>
          <w:rFonts w:ascii="Arial" w:hAnsi="Arial"/>
        </w:rPr>
        <w:t xml:space="preserve">within 21 days </w:t>
      </w:r>
      <w:r w:rsidR="00FC4319" w:rsidRPr="00A7051C">
        <w:rPr>
          <w:rFonts w:ascii="Arial" w:hAnsi="Arial"/>
        </w:rPr>
        <w:t>from the date of the noting of the appeal. The affidavit deposed to by the appellant’s legal practitioner who had the conduct of the appeal</w:t>
      </w:r>
      <w:r w:rsidR="00A7051C">
        <w:rPr>
          <w:rFonts w:ascii="Arial" w:hAnsi="Arial"/>
        </w:rPr>
        <w:t>,</w:t>
      </w:r>
      <w:r w:rsidR="00FC4319" w:rsidRPr="00A7051C">
        <w:rPr>
          <w:rFonts w:ascii="Arial" w:hAnsi="Arial"/>
        </w:rPr>
        <w:t xml:space="preserve"> sets out the </w:t>
      </w:r>
      <w:r w:rsidR="00017030">
        <w:rPr>
          <w:rFonts w:ascii="Arial" w:hAnsi="Arial"/>
        </w:rPr>
        <w:t>reason</w:t>
      </w:r>
      <w:r w:rsidR="007A656C">
        <w:rPr>
          <w:rFonts w:ascii="Arial" w:hAnsi="Arial"/>
        </w:rPr>
        <w:t>s</w:t>
      </w:r>
      <w:r w:rsidR="00017030">
        <w:rPr>
          <w:rFonts w:ascii="Arial" w:hAnsi="Arial"/>
        </w:rPr>
        <w:t xml:space="preserve"> for the lapsing of the appeal and the steps </w:t>
      </w:r>
      <w:r w:rsidR="007A656C">
        <w:rPr>
          <w:rFonts w:ascii="Arial" w:hAnsi="Arial"/>
        </w:rPr>
        <w:t>– and I may add</w:t>
      </w:r>
      <w:r w:rsidR="005A3A43">
        <w:rPr>
          <w:rFonts w:ascii="Arial" w:hAnsi="Arial"/>
        </w:rPr>
        <w:t xml:space="preserve"> </w:t>
      </w:r>
      <w:r w:rsidR="00FC4319" w:rsidRPr="00A7051C">
        <w:rPr>
          <w:rFonts w:ascii="Arial" w:hAnsi="Arial"/>
        </w:rPr>
        <w:t>missteps</w:t>
      </w:r>
      <w:r w:rsidR="005A3A43">
        <w:rPr>
          <w:rFonts w:ascii="Arial" w:hAnsi="Arial"/>
        </w:rPr>
        <w:t xml:space="preserve"> - </w:t>
      </w:r>
      <w:r w:rsidR="00FC4319" w:rsidRPr="00A7051C">
        <w:rPr>
          <w:rFonts w:ascii="Arial" w:hAnsi="Arial"/>
        </w:rPr>
        <w:t>taken to have the appeal reinstated.</w:t>
      </w:r>
      <w:r w:rsidR="00B5101E">
        <w:rPr>
          <w:rFonts w:ascii="Arial" w:hAnsi="Arial"/>
        </w:rPr>
        <w:t xml:space="preserve"> It is to this aspect that the judgment turns next.</w:t>
      </w:r>
    </w:p>
    <w:p w:rsidR="00B96E9C" w:rsidRPr="00B96E9C" w:rsidRDefault="00B96E9C" w:rsidP="00B96E9C">
      <w:pPr>
        <w:spacing w:line="480" w:lineRule="auto"/>
        <w:jc w:val="both"/>
        <w:rPr>
          <w:rFonts w:ascii="Arial" w:hAnsi="Arial"/>
        </w:rPr>
      </w:pPr>
    </w:p>
    <w:p w:rsidR="00DD5ABB" w:rsidRDefault="00AF1477" w:rsidP="00A7051C">
      <w:pPr>
        <w:pStyle w:val="ListParagraph"/>
        <w:numPr>
          <w:ilvl w:val="0"/>
          <w:numId w:val="1"/>
        </w:numPr>
        <w:spacing w:line="480" w:lineRule="auto"/>
        <w:jc w:val="both"/>
        <w:rPr>
          <w:rFonts w:ascii="Arial" w:hAnsi="Arial"/>
        </w:rPr>
      </w:pPr>
      <w:r>
        <w:rPr>
          <w:rFonts w:ascii="Arial" w:hAnsi="Arial"/>
        </w:rPr>
        <w:t xml:space="preserve">The legal </w:t>
      </w:r>
      <w:r w:rsidR="00F632DA">
        <w:rPr>
          <w:rFonts w:ascii="Arial" w:hAnsi="Arial"/>
        </w:rPr>
        <w:t xml:space="preserve">practitioner explained that despite the </w:t>
      </w:r>
      <w:r w:rsidR="00A82C05">
        <w:rPr>
          <w:rFonts w:ascii="Arial" w:hAnsi="Arial"/>
        </w:rPr>
        <w:t xml:space="preserve">arbitrator </w:t>
      </w:r>
      <w:r w:rsidR="00F632DA">
        <w:rPr>
          <w:rFonts w:ascii="Arial" w:hAnsi="Arial"/>
        </w:rPr>
        <w:t xml:space="preserve">having been served with </w:t>
      </w:r>
      <w:r w:rsidR="00B5101E">
        <w:rPr>
          <w:rFonts w:ascii="Arial" w:hAnsi="Arial"/>
        </w:rPr>
        <w:t xml:space="preserve">the </w:t>
      </w:r>
      <w:r w:rsidR="00F632DA">
        <w:rPr>
          <w:rFonts w:ascii="Arial" w:hAnsi="Arial"/>
        </w:rPr>
        <w:t xml:space="preserve">notice of appeal on 7 November 2017, the record of the arbitration proceedings could not be filed within 21 days as required by the relevant rule. </w:t>
      </w:r>
      <w:r w:rsidR="00B96E9C">
        <w:rPr>
          <w:rFonts w:ascii="Arial" w:hAnsi="Arial"/>
        </w:rPr>
        <w:t>This was due to a number of factors. First, an inaudible recording was inadvertently sent to the transcribers</w:t>
      </w:r>
      <w:r w:rsidR="00DD5ABB">
        <w:rPr>
          <w:rFonts w:ascii="Arial" w:hAnsi="Arial"/>
        </w:rPr>
        <w:t xml:space="preserve">. </w:t>
      </w:r>
      <w:r w:rsidR="00B5101E">
        <w:rPr>
          <w:rFonts w:ascii="Arial" w:hAnsi="Arial"/>
        </w:rPr>
        <w:t xml:space="preserve">The transcribers returned the record accompanied by a certificate stating that as the recordings were inaudible, the record could not be transcribed. </w:t>
      </w:r>
      <w:r w:rsidR="00DD5ABB">
        <w:rPr>
          <w:rFonts w:ascii="Arial" w:hAnsi="Arial"/>
        </w:rPr>
        <w:t>Second, the arbitrator had taken leave of absence and returned to work only on 22 January 2018</w:t>
      </w:r>
      <w:r w:rsidR="00A82C05">
        <w:rPr>
          <w:rFonts w:ascii="Arial" w:hAnsi="Arial"/>
        </w:rPr>
        <w:t xml:space="preserve"> and it would appear the Labour Commissioner could not produce the record in the absence of the arbitrator</w:t>
      </w:r>
      <w:r w:rsidR="00DD5ABB">
        <w:rPr>
          <w:rFonts w:ascii="Arial" w:hAnsi="Arial"/>
        </w:rPr>
        <w:t xml:space="preserve">. </w:t>
      </w:r>
      <w:r w:rsidR="00A82C05">
        <w:rPr>
          <w:rFonts w:ascii="Arial" w:hAnsi="Arial"/>
        </w:rPr>
        <w:t xml:space="preserve">This appears to be the </w:t>
      </w:r>
      <w:r w:rsidR="008F5399">
        <w:rPr>
          <w:rFonts w:ascii="Arial" w:hAnsi="Arial"/>
        </w:rPr>
        <w:t>position</w:t>
      </w:r>
      <w:r w:rsidR="00A82C05">
        <w:rPr>
          <w:rFonts w:ascii="Arial" w:hAnsi="Arial"/>
        </w:rPr>
        <w:t xml:space="preserve"> </w:t>
      </w:r>
      <w:r w:rsidR="008F5399">
        <w:rPr>
          <w:rFonts w:ascii="Arial" w:hAnsi="Arial"/>
        </w:rPr>
        <w:t xml:space="preserve">if regard is had to </w:t>
      </w:r>
      <w:r w:rsidR="00A82C05">
        <w:rPr>
          <w:rFonts w:ascii="Arial" w:hAnsi="Arial"/>
        </w:rPr>
        <w:t xml:space="preserve">the response </w:t>
      </w:r>
      <w:r w:rsidR="008F5399">
        <w:rPr>
          <w:rFonts w:ascii="Arial" w:hAnsi="Arial"/>
        </w:rPr>
        <w:t xml:space="preserve">by </w:t>
      </w:r>
      <w:r w:rsidR="00A82C05">
        <w:rPr>
          <w:rFonts w:ascii="Arial" w:hAnsi="Arial"/>
        </w:rPr>
        <w:t xml:space="preserve">the Labour Commissioner when put on terms to </w:t>
      </w:r>
      <w:r w:rsidR="008F5399">
        <w:rPr>
          <w:rFonts w:ascii="Arial" w:hAnsi="Arial"/>
        </w:rPr>
        <w:t xml:space="preserve">transmit </w:t>
      </w:r>
      <w:r w:rsidR="00A82C05">
        <w:rPr>
          <w:rFonts w:ascii="Arial" w:hAnsi="Arial"/>
        </w:rPr>
        <w:t xml:space="preserve">the record as it will </w:t>
      </w:r>
      <w:r w:rsidR="006D3C3A">
        <w:rPr>
          <w:rFonts w:ascii="Arial" w:hAnsi="Arial"/>
        </w:rPr>
        <w:t xml:space="preserve">shortly </w:t>
      </w:r>
      <w:r w:rsidR="00A82C05">
        <w:rPr>
          <w:rFonts w:ascii="Arial" w:hAnsi="Arial"/>
        </w:rPr>
        <w:t>be</w:t>
      </w:r>
      <w:r w:rsidR="006D3C3A">
        <w:rPr>
          <w:rFonts w:ascii="Arial" w:hAnsi="Arial"/>
        </w:rPr>
        <w:t>come apparent</w:t>
      </w:r>
      <w:r w:rsidR="00A82C05">
        <w:rPr>
          <w:rFonts w:ascii="Arial" w:hAnsi="Arial"/>
        </w:rPr>
        <w:t xml:space="preserve">. </w:t>
      </w:r>
      <w:r w:rsidR="00DD5ABB">
        <w:rPr>
          <w:rFonts w:ascii="Arial" w:hAnsi="Arial"/>
        </w:rPr>
        <w:t xml:space="preserve">The record was eventually uploaded </w:t>
      </w:r>
      <w:r w:rsidR="006D3C3A">
        <w:rPr>
          <w:rFonts w:ascii="Arial" w:hAnsi="Arial"/>
        </w:rPr>
        <w:t xml:space="preserve">on the e-justice system </w:t>
      </w:r>
      <w:r w:rsidR="00DD5ABB">
        <w:rPr>
          <w:rFonts w:ascii="Arial" w:hAnsi="Arial"/>
        </w:rPr>
        <w:t xml:space="preserve">on 31 January 2018. </w:t>
      </w:r>
    </w:p>
    <w:p w:rsidR="00DD5ABB" w:rsidRPr="00DD5ABB" w:rsidRDefault="00DD5ABB" w:rsidP="00067665">
      <w:pPr>
        <w:pStyle w:val="ListParagraph"/>
        <w:spacing w:line="480" w:lineRule="auto"/>
        <w:ind w:left="0"/>
        <w:rPr>
          <w:rFonts w:ascii="Arial" w:hAnsi="Arial"/>
        </w:rPr>
      </w:pPr>
    </w:p>
    <w:p w:rsidR="006F1C1F" w:rsidRDefault="00B5101E" w:rsidP="00067665">
      <w:pPr>
        <w:pStyle w:val="ListParagraph"/>
        <w:numPr>
          <w:ilvl w:val="0"/>
          <w:numId w:val="1"/>
        </w:numPr>
        <w:spacing w:line="480" w:lineRule="auto"/>
        <w:jc w:val="both"/>
        <w:rPr>
          <w:rFonts w:ascii="Arial" w:hAnsi="Arial"/>
        </w:rPr>
      </w:pPr>
      <w:r>
        <w:rPr>
          <w:rFonts w:ascii="Arial" w:hAnsi="Arial"/>
        </w:rPr>
        <w:t xml:space="preserve">While waiting for the </w:t>
      </w:r>
      <w:r w:rsidR="00B94CE7">
        <w:rPr>
          <w:rFonts w:ascii="Arial" w:hAnsi="Arial"/>
        </w:rPr>
        <w:t>L</w:t>
      </w:r>
      <w:r>
        <w:rPr>
          <w:rFonts w:ascii="Arial" w:hAnsi="Arial"/>
        </w:rPr>
        <w:t xml:space="preserve">abour Commissioner to </w:t>
      </w:r>
      <w:r w:rsidR="0023085F">
        <w:rPr>
          <w:rFonts w:ascii="Arial" w:hAnsi="Arial"/>
        </w:rPr>
        <w:t xml:space="preserve">provide </w:t>
      </w:r>
      <w:r>
        <w:rPr>
          <w:rFonts w:ascii="Arial" w:hAnsi="Arial"/>
        </w:rPr>
        <w:t>the record, t</w:t>
      </w:r>
      <w:r w:rsidR="00DD5ABB">
        <w:rPr>
          <w:rFonts w:ascii="Arial" w:hAnsi="Arial"/>
        </w:rPr>
        <w:t>he legal practitioner for</w:t>
      </w:r>
      <w:r w:rsidR="00B96E9C">
        <w:rPr>
          <w:rFonts w:ascii="Arial" w:hAnsi="Arial"/>
        </w:rPr>
        <w:t xml:space="preserve"> </w:t>
      </w:r>
      <w:r w:rsidR="00DD5ABB">
        <w:rPr>
          <w:rFonts w:ascii="Arial" w:hAnsi="Arial"/>
        </w:rPr>
        <w:t xml:space="preserve">the </w:t>
      </w:r>
      <w:r w:rsidR="00413618">
        <w:rPr>
          <w:rFonts w:ascii="Arial" w:hAnsi="Arial"/>
        </w:rPr>
        <w:t xml:space="preserve">appellant </w:t>
      </w:r>
      <w:r w:rsidR="00B42CE1">
        <w:rPr>
          <w:rFonts w:ascii="Arial" w:hAnsi="Arial"/>
        </w:rPr>
        <w:t xml:space="preserve">enquired from the </w:t>
      </w:r>
      <w:r w:rsidR="00B94CE7">
        <w:rPr>
          <w:rFonts w:ascii="Arial" w:hAnsi="Arial"/>
        </w:rPr>
        <w:t>former</w:t>
      </w:r>
      <w:r w:rsidR="00B42CE1">
        <w:rPr>
          <w:rFonts w:ascii="Arial" w:hAnsi="Arial"/>
        </w:rPr>
        <w:t xml:space="preserve"> about the progress </w:t>
      </w:r>
      <w:r w:rsidR="00B94CE7">
        <w:rPr>
          <w:rFonts w:ascii="Arial" w:hAnsi="Arial"/>
        </w:rPr>
        <w:t xml:space="preserve">made, if any, </w:t>
      </w:r>
      <w:r w:rsidR="00B42CE1">
        <w:rPr>
          <w:rFonts w:ascii="Arial" w:hAnsi="Arial"/>
        </w:rPr>
        <w:t xml:space="preserve">in the filing of the record </w:t>
      </w:r>
      <w:r w:rsidR="007645AE">
        <w:rPr>
          <w:rFonts w:ascii="Arial" w:hAnsi="Arial"/>
        </w:rPr>
        <w:t xml:space="preserve">of </w:t>
      </w:r>
      <w:r w:rsidR="00B42CE1">
        <w:rPr>
          <w:rFonts w:ascii="Arial" w:hAnsi="Arial"/>
        </w:rPr>
        <w:t xml:space="preserve">the </w:t>
      </w:r>
      <w:r w:rsidR="00413618">
        <w:rPr>
          <w:rFonts w:ascii="Arial" w:hAnsi="Arial"/>
        </w:rPr>
        <w:t xml:space="preserve">arbitration proceedings. </w:t>
      </w:r>
      <w:r w:rsidR="007645AE">
        <w:rPr>
          <w:rFonts w:ascii="Arial" w:hAnsi="Arial"/>
        </w:rPr>
        <w:t xml:space="preserve">On 6 and 12 December 2017, she telephonically contacted the Office of the Labour Commissioner but her calls went </w:t>
      </w:r>
      <w:r>
        <w:rPr>
          <w:rFonts w:ascii="Arial" w:hAnsi="Arial"/>
        </w:rPr>
        <w:t>un</w:t>
      </w:r>
      <w:r w:rsidR="007645AE">
        <w:rPr>
          <w:rFonts w:ascii="Arial" w:hAnsi="Arial"/>
        </w:rPr>
        <w:t xml:space="preserve">answered. Her office closed for the customary holidays on 15 December 2017 and reopened on 10 January 2018. On 15 January she again </w:t>
      </w:r>
      <w:r>
        <w:rPr>
          <w:rFonts w:ascii="Arial" w:hAnsi="Arial"/>
        </w:rPr>
        <w:t xml:space="preserve">telephoned </w:t>
      </w:r>
      <w:r w:rsidR="007645AE">
        <w:rPr>
          <w:rFonts w:ascii="Arial" w:hAnsi="Arial"/>
        </w:rPr>
        <w:t xml:space="preserve">the Offices of the Labour Commissioner, which calls again went unanswered. </w:t>
      </w:r>
    </w:p>
    <w:p w:rsidR="006F1C1F" w:rsidRPr="006F1C1F" w:rsidRDefault="006F1C1F" w:rsidP="00067665">
      <w:pPr>
        <w:pStyle w:val="ListParagraph"/>
        <w:spacing w:line="480" w:lineRule="auto"/>
        <w:ind w:left="0"/>
        <w:rPr>
          <w:rFonts w:ascii="Arial" w:hAnsi="Arial"/>
        </w:rPr>
      </w:pPr>
    </w:p>
    <w:p w:rsidR="006A709D" w:rsidRDefault="001F32F9" w:rsidP="00067665">
      <w:pPr>
        <w:pStyle w:val="ListParagraph"/>
        <w:numPr>
          <w:ilvl w:val="0"/>
          <w:numId w:val="1"/>
        </w:numPr>
        <w:spacing w:line="480" w:lineRule="auto"/>
        <w:jc w:val="both"/>
        <w:rPr>
          <w:rFonts w:ascii="Arial" w:hAnsi="Arial"/>
        </w:rPr>
      </w:pPr>
      <w:r>
        <w:rPr>
          <w:rFonts w:ascii="Arial" w:hAnsi="Arial"/>
        </w:rPr>
        <w:t xml:space="preserve">On 16 January 2018, she attended to the Offices of the Labour Commissioner and it was then that she was informed that </w:t>
      </w:r>
      <w:r w:rsidR="006F1C1F">
        <w:rPr>
          <w:rFonts w:ascii="Arial" w:hAnsi="Arial"/>
        </w:rPr>
        <w:t xml:space="preserve">a </w:t>
      </w:r>
      <w:r>
        <w:rPr>
          <w:rFonts w:ascii="Arial" w:hAnsi="Arial"/>
        </w:rPr>
        <w:t>wrong record</w:t>
      </w:r>
      <w:r w:rsidR="006F1C1F">
        <w:rPr>
          <w:rFonts w:ascii="Arial" w:hAnsi="Arial"/>
        </w:rPr>
        <w:t>ing</w:t>
      </w:r>
      <w:r>
        <w:rPr>
          <w:rFonts w:ascii="Arial" w:hAnsi="Arial"/>
        </w:rPr>
        <w:t xml:space="preserve"> had been sent for transcription and that it had been returned as inaudible. On the same day, she addressed a letter to the Labour Commissioner in which she requested the record</w:t>
      </w:r>
      <w:r w:rsidR="00B5101E">
        <w:rPr>
          <w:rFonts w:ascii="Arial" w:hAnsi="Arial"/>
        </w:rPr>
        <w:t xml:space="preserve"> in writing</w:t>
      </w:r>
      <w:r>
        <w:rPr>
          <w:rFonts w:ascii="Arial" w:hAnsi="Arial"/>
        </w:rPr>
        <w:t>. The following day the Office of the Labour Commissioner responded to her letter</w:t>
      </w:r>
      <w:r w:rsidR="00A82C05">
        <w:rPr>
          <w:rFonts w:ascii="Arial" w:hAnsi="Arial"/>
        </w:rPr>
        <w:t>,</w:t>
      </w:r>
      <w:r>
        <w:rPr>
          <w:rFonts w:ascii="Arial" w:hAnsi="Arial"/>
        </w:rPr>
        <w:t xml:space="preserve"> inform</w:t>
      </w:r>
      <w:r w:rsidR="00A82C05">
        <w:rPr>
          <w:rFonts w:ascii="Arial" w:hAnsi="Arial"/>
        </w:rPr>
        <w:t>ing</w:t>
      </w:r>
      <w:r>
        <w:rPr>
          <w:rFonts w:ascii="Arial" w:hAnsi="Arial"/>
        </w:rPr>
        <w:t xml:space="preserve"> her that the arbitrator was on leave; that he would resume duties on 22 January 2018, and that the Labour Commissioner would revert once he had </w:t>
      </w:r>
      <w:r w:rsidR="00B5101E">
        <w:rPr>
          <w:rFonts w:ascii="Arial" w:hAnsi="Arial"/>
        </w:rPr>
        <w:t>‘</w:t>
      </w:r>
      <w:r>
        <w:rPr>
          <w:rFonts w:ascii="Arial" w:hAnsi="Arial"/>
        </w:rPr>
        <w:t>obtained clarity</w:t>
      </w:r>
      <w:r w:rsidR="00B5101E">
        <w:rPr>
          <w:rFonts w:ascii="Arial" w:hAnsi="Arial"/>
        </w:rPr>
        <w:t>’</w:t>
      </w:r>
      <w:r>
        <w:rPr>
          <w:rFonts w:ascii="Arial" w:hAnsi="Arial"/>
        </w:rPr>
        <w:t xml:space="preserve"> from the arbitrator. On 1</w:t>
      </w:r>
      <w:r w:rsidR="0051234D">
        <w:rPr>
          <w:rFonts w:ascii="Arial" w:hAnsi="Arial"/>
        </w:rPr>
        <w:t>9</w:t>
      </w:r>
      <w:r>
        <w:rPr>
          <w:rFonts w:ascii="Arial" w:hAnsi="Arial"/>
        </w:rPr>
        <w:t xml:space="preserve"> January 2018</w:t>
      </w:r>
      <w:r w:rsidR="00B5101E">
        <w:rPr>
          <w:rFonts w:ascii="Arial" w:hAnsi="Arial"/>
        </w:rPr>
        <w:t>,</w:t>
      </w:r>
      <w:r w:rsidR="007645AE">
        <w:rPr>
          <w:rFonts w:ascii="Arial" w:hAnsi="Arial"/>
        </w:rPr>
        <w:t xml:space="preserve"> </w:t>
      </w:r>
      <w:r>
        <w:rPr>
          <w:rFonts w:ascii="Arial" w:hAnsi="Arial"/>
        </w:rPr>
        <w:t xml:space="preserve">the legal practitioner </w:t>
      </w:r>
      <w:r w:rsidR="00640A6A">
        <w:rPr>
          <w:rFonts w:ascii="Arial" w:hAnsi="Arial"/>
        </w:rPr>
        <w:t xml:space="preserve">wrote to the first and second respondents’ legal practitioners informing them that </w:t>
      </w:r>
      <w:r w:rsidR="00C05FF3">
        <w:rPr>
          <w:rFonts w:ascii="Arial" w:hAnsi="Arial"/>
        </w:rPr>
        <w:t>t</w:t>
      </w:r>
      <w:r w:rsidR="00640A6A">
        <w:rPr>
          <w:rFonts w:ascii="Arial" w:hAnsi="Arial"/>
        </w:rPr>
        <w:t xml:space="preserve">he </w:t>
      </w:r>
      <w:r w:rsidR="00C05FF3">
        <w:rPr>
          <w:rFonts w:ascii="Arial" w:hAnsi="Arial"/>
        </w:rPr>
        <w:t xml:space="preserve">appellant </w:t>
      </w:r>
      <w:r w:rsidR="00640A6A">
        <w:rPr>
          <w:rFonts w:ascii="Arial" w:hAnsi="Arial"/>
        </w:rPr>
        <w:t>would bring an extension and condonation application</w:t>
      </w:r>
      <w:r w:rsidR="00B5101E">
        <w:rPr>
          <w:rFonts w:ascii="Arial" w:hAnsi="Arial"/>
        </w:rPr>
        <w:t>s</w:t>
      </w:r>
      <w:r w:rsidR="0051234D">
        <w:rPr>
          <w:rFonts w:ascii="Arial" w:hAnsi="Arial"/>
        </w:rPr>
        <w:t xml:space="preserve"> in light of the delays by the Labour Commissioner to dispatch the record of arbitration proceedings</w:t>
      </w:r>
      <w:r w:rsidR="00233A41">
        <w:rPr>
          <w:rFonts w:ascii="Arial" w:hAnsi="Arial"/>
        </w:rPr>
        <w:t>.</w:t>
      </w:r>
      <w:r w:rsidR="001956E8">
        <w:rPr>
          <w:rFonts w:ascii="Arial" w:hAnsi="Arial"/>
        </w:rPr>
        <w:t xml:space="preserve"> </w:t>
      </w:r>
    </w:p>
    <w:p w:rsidR="006A709D" w:rsidRDefault="006A709D" w:rsidP="006A709D">
      <w:pPr>
        <w:spacing w:line="480" w:lineRule="auto"/>
        <w:jc w:val="both"/>
        <w:rPr>
          <w:rFonts w:ascii="Arial" w:hAnsi="Arial"/>
          <w:u w:val="single"/>
        </w:rPr>
      </w:pPr>
    </w:p>
    <w:p w:rsidR="006A709D" w:rsidRPr="006A709D" w:rsidRDefault="000B1795" w:rsidP="006A709D">
      <w:pPr>
        <w:spacing w:line="480" w:lineRule="auto"/>
        <w:jc w:val="both"/>
        <w:rPr>
          <w:rFonts w:ascii="Arial" w:hAnsi="Arial"/>
          <w:u w:val="single"/>
        </w:rPr>
      </w:pPr>
      <w:r>
        <w:rPr>
          <w:rFonts w:ascii="Arial" w:hAnsi="Arial"/>
          <w:u w:val="single"/>
        </w:rPr>
        <w:t>Attempts to r</w:t>
      </w:r>
      <w:r w:rsidR="006A709D" w:rsidRPr="006A709D">
        <w:rPr>
          <w:rFonts w:ascii="Arial" w:hAnsi="Arial"/>
          <w:u w:val="single"/>
        </w:rPr>
        <w:t>einstate</w:t>
      </w:r>
      <w:r>
        <w:rPr>
          <w:rFonts w:ascii="Arial" w:hAnsi="Arial"/>
          <w:u w:val="single"/>
        </w:rPr>
        <w:t xml:space="preserve"> the appeal</w:t>
      </w:r>
    </w:p>
    <w:p w:rsidR="006F1C1F" w:rsidRDefault="001956E8" w:rsidP="00A7051C">
      <w:pPr>
        <w:pStyle w:val="ListParagraph"/>
        <w:numPr>
          <w:ilvl w:val="0"/>
          <w:numId w:val="1"/>
        </w:numPr>
        <w:spacing w:line="480" w:lineRule="auto"/>
        <w:jc w:val="both"/>
        <w:rPr>
          <w:rFonts w:ascii="Arial" w:hAnsi="Arial"/>
        </w:rPr>
      </w:pPr>
      <w:r>
        <w:rPr>
          <w:rFonts w:ascii="Arial" w:hAnsi="Arial"/>
        </w:rPr>
        <w:t xml:space="preserve">With the time to prosecute the appeal having lapsed on 24 January 2018, the appellant’s legal practitioner on 12 February 2018 and </w:t>
      </w:r>
      <w:r w:rsidR="0023085F">
        <w:rPr>
          <w:rFonts w:ascii="Arial" w:hAnsi="Arial"/>
        </w:rPr>
        <w:t>on</w:t>
      </w:r>
      <w:r>
        <w:rPr>
          <w:rFonts w:ascii="Arial" w:hAnsi="Arial"/>
        </w:rPr>
        <w:t xml:space="preserve"> advice from </w:t>
      </w:r>
      <w:r w:rsidR="00233A41">
        <w:rPr>
          <w:rFonts w:ascii="Arial" w:hAnsi="Arial"/>
        </w:rPr>
        <w:t>an</w:t>
      </w:r>
      <w:r>
        <w:rPr>
          <w:rFonts w:ascii="Arial" w:hAnsi="Arial"/>
        </w:rPr>
        <w:t xml:space="preserve"> e-justice expert in Singapore, set the applications for condonation, extension and reinstatement down</w:t>
      </w:r>
      <w:r w:rsidR="00640A6A">
        <w:rPr>
          <w:rFonts w:ascii="Arial" w:hAnsi="Arial"/>
        </w:rPr>
        <w:t xml:space="preserve"> </w:t>
      </w:r>
      <w:r>
        <w:rPr>
          <w:rFonts w:ascii="Arial" w:hAnsi="Arial"/>
        </w:rPr>
        <w:t>on e-justice via ‘</w:t>
      </w:r>
      <w:r w:rsidR="00EA3A1C">
        <w:rPr>
          <w:rFonts w:ascii="Arial" w:hAnsi="Arial"/>
        </w:rPr>
        <w:t>a</w:t>
      </w:r>
      <w:r>
        <w:rPr>
          <w:rFonts w:ascii="Arial" w:hAnsi="Arial"/>
        </w:rPr>
        <w:t xml:space="preserve">ncillary </w:t>
      </w:r>
      <w:r w:rsidR="00EA3A1C">
        <w:rPr>
          <w:rFonts w:ascii="Arial" w:hAnsi="Arial"/>
        </w:rPr>
        <w:t>p</w:t>
      </w:r>
      <w:r>
        <w:rPr>
          <w:rFonts w:ascii="Arial" w:hAnsi="Arial"/>
        </w:rPr>
        <w:t xml:space="preserve">rocess’ channel. However, as this was an incorrect channel, the matter could not be set down on the system. </w:t>
      </w:r>
      <w:r w:rsidR="006A709D">
        <w:rPr>
          <w:rFonts w:ascii="Arial" w:hAnsi="Arial"/>
        </w:rPr>
        <w:t>After th</w:t>
      </w:r>
      <w:r w:rsidR="006B2122">
        <w:rPr>
          <w:rFonts w:ascii="Arial" w:hAnsi="Arial"/>
        </w:rPr>
        <w:t>is</w:t>
      </w:r>
      <w:r w:rsidR="006A709D">
        <w:rPr>
          <w:rFonts w:ascii="Arial" w:hAnsi="Arial"/>
        </w:rPr>
        <w:t xml:space="preserve"> attempt</w:t>
      </w:r>
      <w:r w:rsidR="0051234D">
        <w:rPr>
          <w:rFonts w:ascii="Arial" w:hAnsi="Arial"/>
        </w:rPr>
        <w:t xml:space="preserve"> failed</w:t>
      </w:r>
      <w:r w:rsidR="006A709D">
        <w:rPr>
          <w:rFonts w:ascii="Arial" w:hAnsi="Arial"/>
        </w:rPr>
        <w:t xml:space="preserve">, the legal practitioner on 15 February 2018 </w:t>
      </w:r>
      <w:r w:rsidR="0023085F">
        <w:rPr>
          <w:rFonts w:ascii="Arial" w:hAnsi="Arial"/>
        </w:rPr>
        <w:t xml:space="preserve">successfully </w:t>
      </w:r>
      <w:r w:rsidR="006A709D">
        <w:rPr>
          <w:rFonts w:ascii="Arial" w:hAnsi="Arial"/>
        </w:rPr>
        <w:t xml:space="preserve">brought a fresh application for condonation, extension and reinstatement under a different case number and subsequently set the matter down for hearing on 9 March 2018. She explained that during the week </w:t>
      </w:r>
      <w:r w:rsidR="003F1DA6">
        <w:rPr>
          <w:rFonts w:ascii="Arial" w:hAnsi="Arial"/>
        </w:rPr>
        <w:t xml:space="preserve">ending </w:t>
      </w:r>
      <w:r w:rsidR="006A709D">
        <w:rPr>
          <w:rFonts w:ascii="Arial" w:hAnsi="Arial"/>
        </w:rPr>
        <w:t xml:space="preserve">9 March 2018, </w:t>
      </w:r>
      <w:r w:rsidR="00233A41">
        <w:rPr>
          <w:rFonts w:ascii="Arial" w:hAnsi="Arial"/>
        </w:rPr>
        <w:t xml:space="preserve">she </w:t>
      </w:r>
      <w:r w:rsidR="006A709D">
        <w:rPr>
          <w:rFonts w:ascii="Arial" w:hAnsi="Arial"/>
        </w:rPr>
        <w:t xml:space="preserve">had a trial </w:t>
      </w:r>
      <w:r w:rsidR="003F1DA6">
        <w:rPr>
          <w:rFonts w:ascii="Arial" w:hAnsi="Arial"/>
        </w:rPr>
        <w:t xml:space="preserve">set to begin on 5 March 2018 </w:t>
      </w:r>
      <w:r w:rsidR="006A709D">
        <w:rPr>
          <w:rFonts w:ascii="Arial" w:hAnsi="Arial"/>
        </w:rPr>
        <w:t xml:space="preserve">before a different judge. </w:t>
      </w:r>
    </w:p>
    <w:p w:rsidR="006F1C1F" w:rsidRPr="006F1C1F" w:rsidRDefault="006F1C1F" w:rsidP="006F1C1F">
      <w:pPr>
        <w:spacing w:line="480" w:lineRule="auto"/>
        <w:jc w:val="both"/>
        <w:rPr>
          <w:rFonts w:ascii="Arial" w:hAnsi="Arial"/>
        </w:rPr>
      </w:pPr>
    </w:p>
    <w:p w:rsidR="006F1C1F" w:rsidRDefault="003F1DA6" w:rsidP="00A7051C">
      <w:pPr>
        <w:pStyle w:val="ListParagraph"/>
        <w:numPr>
          <w:ilvl w:val="0"/>
          <w:numId w:val="1"/>
        </w:numPr>
        <w:spacing w:line="480" w:lineRule="auto"/>
        <w:jc w:val="both"/>
        <w:rPr>
          <w:rFonts w:ascii="Arial" w:hAnsi="Arial"/>
        </w:rPr>
      </w:pPr>
      <w:r>
        <w:rPr>
          <w:rFonts w:ascii="Arial" w:hAnsi="Arial"/>
        </w:rPr>
        <w:t>In light of this development, s</w:t>
      </w:r>
      <w:r w:rsidR="006A709D">
        <w:rPr>
          <w:rFonts w:ascii="Arial" w:hAnsi="Arial"/>
        </w:rPr>
        <w:t xml:space="preserve">he briefed a colleague of hers to attend </w:t>
      </w:r>
      <w:r>
        <w:rPr>
          <w:rFonts w:ascii="Arial" w:hAnsi="Arial"/>
        </w:rPr>
        <w:t>to the hearing on 9 March 2018. The colleague accepted the instructions, but pointed out that she had an interlocutory hearing scheduled for the same day at 09h00 before a different judge</w:t>
      </w:r>
      <w:r w:rsidR="006A709D">
        <w:rPr>
          <w:rFonts w:ascii="Arial" w:hAnsi="Arial"/>
        </w:rPr>
        <w:t xml:space="preserve"> </w:t>
      </w:r>
      <w:r>
        <w:rPr>
          <w:rFonts w:ascii="Arial" w:hAnsi="Arial"/>
        </w:rPr>
        <w:t xml:space="preserve">and that if her matter was not heard before 10h00, she would </w:t>
      </w:r>
      <w:r w:rsidR="00233A41">
        <w:rPr>
          <w:rFonts w:ascii="Arial" w:hAnsi="Arial"/>
        </w:rPr>
        <w:t xml:space="preserve">endeavour to </w:t>
      </w:r>
      <w:r>
        <w:rPr>
          <w:rFonts w:ascii="Arial" w:hAnsi="Arial"/>
        </w:rPr>
        <w:t xml:space="preserve">stand it down so that she could attend to her colleague’s matter. At around 09h50 on 9 March 2018, the appellant’s legal practitioner was informed by her colleague that the matter that was due to start at 09h00 had not been called and that in all likelihood it would be called only around 10h00, the same time that the present matter was due to be </w:t>
      </w:r>
      <w:r w:rsidR="00233A41">
        <w:rPr>
          <w:rFonts w:ascii="Arial" w:hAnsi="Arial"/>
        </w:rPr>
        <w:t>called</w:t>
      </w:r>
      <w:r>
        <w:rPr>
          <w:rFonts w:ascii="Arial" w:hAnsi="Arial"/>
        </w:rPr>
        <w:t xml:space="preserve">. </w:t>
      </w:r>
    </w:p>
    <w:p w:rsidR="006F1C1F" w:rsidRPr="006F1C1F" w:rsidRDefault="006F1C1F" w:rsidP="006F1C1F">
      <w:pPr>
        <w:pStyle w:val="ListParagraph"/>
        <w:ind w:left="0"/>
        <w:rPr>
          <w:rFonts w:ascii="Arial" w:hAnsi="Arial"/>
        </w:rPr>
      </w:pPr>
    </w:p>
    <w:p w:rsidR="00AF1477" w:rsidRDefault="003F1DA6" w:rsidP="00A7051C">
      <w:pPr>
        <w:pStyle w:val="ListParagraph"/>
        <w:numPr>
          <w:ilvl w:val="0"/>
          <w:numId w:val="1"/>
        </w:numPr>
        <w:spacing w:line="480" w:lineRule="auto"/>
        <w:jc w:val="both"/>
        <w:rPr>
          <w:rFonts w:ascii="Arial" w:hAnsi="Arial"/>
        </w:rPr>
      </w:pPr>
      <w:r>
        <w:rPr>
          <w:rFonts w:ascii="Arial" w:hAnsi="Arial"/>
        </w:rPr>
        <w:t>She accordingly informed the appellant’s legal practitioner that she woul</w:t>
      </w:r>
      <w:r w:rsidR="009D5D14">
        <w:rPr>
          <w:rFonts w:ascii="Arial" w:hAnsi="Arial"/>
        </w:rPr>
        <w:t>d</w:t>
      </w:r>
      <w:r>
        <w:rPr>
          <w:rFonts w:ascii="Arial" w:hAnsi="Arial"/>
        </w:rPr>
        <w:t xml:space="preserve"> not be able to stand in for her.</w:t>
      </w:r>
      <w:r w:rsidR="009D5D14">
        <w:rPr>
          <w:rFonts w:ascii="Arial" w:hAnsi="Arial"/>
        </w:rPr>
        <w:t xml:space="preserve"> Faced with this predicament, the appellant’s legal practitioner telephoned ‘a few law firms’ to ascertain </w:t>
      </w:r>
      <w:r w:rsidR="00707909">
        <w:rPr>
          <w:rFonts w:ascii="Arial" w:hAnsi="Arial"/>
        </w:rPr>
        <w:t>the</w:t>
      </w:r>
      <w:r w:rsidR="009D5D14">
        <w:rPr>
          <w:rFonts w:ascii="Arial" w:hAnsi="Arial"/>
        </w:rPr>
        <w:t xml:space="preserve"> availab</w:t>
      </w:r>
      <w:r w:rsidR="00707909">
        <w:rPr>
          <w:rFonts w:ascii="Arial" w:hAnsi="Arial"/>
        </w:rPr>
        <w:t>i</w:t>
      </w:r>
      <w:r w:rsidR="009D5D14">
        <w:rPr>
          <w:rFonts w:ascii="Arial" w:hAnsi="Arial"/>
        </w:rPr>
        <w:t>l</w:t>
      </w:r>
      <w:r w:rsidR="00707909">
        <w:rPr>
          <w:rFonts w:ascii="Arial" w:hAnsi="Arial"/>
        </w:rPr>
        <w:t xml:space="preserve">ity of a legal practitioner who could </w:t>
      </w:r>
      <w:r w:rsidR="009D5D14">
        <w:rPr>
          <w:rFonts w:ascii="Arial" w:hAnsi="Arial"/>
        </w:rPr>
        <w:t xml:space="preserve">stand in for her. </w:t>
      </w:r>
      <w:r w:rsidR="00F81559">
        <w:rPr>
          <w:rFonts w:ascii="Arial" w:hAnsi="Arial"/>
        </w:rPr>
        <w:t>T</w:t>
      </w:r>
      <w:r w:rsidR="009D5D14">
        <w:rPr>
          <w:rFonts w:ascii="Arial" w:hAnsi="Arial"/>
        </w:rPr>
        <w:t xml:space="preserve">he efforts to find a replacement </w:t>
      </w:r>
      <w:r w:rsidR="00F81559">
        <w:rPr>
          <w:rFonts w:ascii="Arial" w:hAnsi="Arial"/>
        </w:rPr>
        <w:t xml:space="preserve">were all for </w:t>
      </w:r>
      <w:r w:rsidR="009D5D14">
        <w:rPr>
          <w:rFonts w:ascii="Arial" w:hAnsi="Arial"/>
        </w:rPr>
        <w:t>n</w:t>
      </w:r>
      <w:r w:rsidR="00F81559">
        <w:rPr>
          <w:rFonts w:ascii="Arial" w:hAnsi="Arial"/>
        </w:rPr>
        <w:t>a</w:t>
      </w:r>
      <w:r w:rsidR="009D5D14">
        <w:rPr>
          <w:rFonts w:ascii="Arial" w:hAnsi="Arial"/>
        </w:rPr>
        <w:t>ught.</w:t>
      </w:r>
      <w:r w:rsidR="00707909">
        <w:rPr>
          <w:rFonts w:ascii="Arial" w:hAnsi="Arial"/>
        </w:rPr>
        <w:t xml:space="preserve"> She then rushed to the courtroom where the matter was to be heard only to be </w:t>
      </w:r>
      <w:r w:rsidR="0023085F">
        <w:rPr>
          <w:rFonts w:ascii="Arial" w:hAnsi="Arial"/>
        </w:rPr>
        <w:t xml:space="preserve">greeted </w:t>
      </w:r>
      <w:r w:rsidR="00707909">
        <w:rPr>
          <w:rFonts w:ascii="Arial" w:hAnsi="Arial"/>
        </w:rPr>
        <w:t xml:space="preserve">with the reality that the </w:t>
      </w:r>
      <w:r w:rsidR="00B71D9C">
        <w:rPr>
          <w:rFonts w:ascii="Arial" w:hAnsi="Arial"/>
        </w:rPr>
        <w:t xml:space="preserve">unopposed </w:t>
      </w:r>
      <w:r w:rsidR="00707909">
        <w:rPr>
          <w:rFonts w:ascii="Arial" w:hAnsi="Arial"/>
        </w:rPr>
        <w:t xml:space="preserve">matter had already been struck from the roll due to the non-appearance of the appellant’s legal practitioner. </w:t>
      </w:r>
    </w:p>
    <w:p w:rsidR="00B94CE7" w:rsidRDefault="00B94CE7" w:rsidP="00B94CE7">
      <w:pPr>
        <w:spacing w:line="480" w:lineRule="auto"/>
        <w:jc w:val="both"/>
        <w:rPr>
          <w:rFonts w:ascii="Arial" w:hAnsi="Arial"/>
          <w:u w:val="single"/>
        </w:rPr>
      </w:pPr>
    </w:p>
    <w:p w:rsidR="00B94CE7" w:rsidRDefault="00B94CE7" w:rsidP="00B94CE7">
      <w:pPr>
        <w:spacing w:line="480" w:lineRule="auto"/>
        <w:jc w:val="both"/>
        <w:rPr>
          <w:rFonts w:ascii="Arial" w:hAnsi="Arial"/>
          <w:u w:val="single"/>
        </w:rPr>
      </w:pPr>
      <w:r w:rsidRPr="00B94CE7">
        <w:rPr>
          <w:rFonts w:ascii="Arial" w:hAnsi="Arial"/>
          <w:u w:val="single"/>
        </w:rPr>
        <w:t>Further attempts to re-enrol the matter</w:t>
      </w:r>
    </w:p>
    <w:p w:rsidR="00E07005" w:rsidRDefault="00F10B9C" w:rsidP="00A24CAD">
      <w:pPr>
        <w:pStyle w:val="ListParagraph"/>
        <w:numPr>
          <w:ilvl w:val="0"/>
          <w:numId w:val="1"/>
        </w:numPr>
        <w:spacing w:line="480" w:lineRule="auto"/>
        <w:jc w:val="both"/>
        <w:rPr>
          <w:rFonts w:ascii="Arial" w:hAnsi="Arial"/>
        </w:rPr>
      </w:pPr>
      <w:r>
        <w:rPr>
          <w:rFonts w:ascii="Arial" w:hAnsi="Arial"/>
        </w:rPr>
        <w:t xml:space="preserve">On 20 March 2018, the appellant’s legal practitioner brought a new application, but under a civil a case number to be scheduled to the roll </w:t>
      </w:r>
      <w:r w:rsidR="006F1C1F">
        <w:rPr>
          <w:rFonts w:ascii="Arial" w:hAnsi="Arial"/>
        </w:rPr>
        <w:t>under civil motions</w:t>
      </w:r>
      <w:r>
        <w:rPr>
          <w:rFonts w:ascii="Arial" w:hAnsi="Arial"/>
        </w:rPr>
        <w:t xml:space="preserve">. The legal practitioner realised the futility of </w:t>
      </w:r>
      <w:r w:rsidR="008A6D64">
        <w:rPr>
          <w:rFonts w:ascii="Arial" w:hAnsi="Arial"/>
        </w:rPr>
        <w:t>attempting to re-enrol a matter that had been struck from the roll</w:t>
      </w:r>
      <w:r w:rsidR="00EA3A1C">
        <w:rPr>
          <w:rFonts w:ascii="Arial" w:hAnsi="Arial"/>
        </w:rPr>
        <w:t>,</w:t>
      </w:r>
      <w:r w:rsidR="008A6D64">
        <w:rPr>
          <w:rFonts w:ascii="Arial" w:hAnsi="Arial"/>
        </w:rPr>
        <w:t xml:space="preserve"> </w:t>
      </w:r>
      <w:r>
        <w:rPr>
          <w:rFonts w:ascii="Arial" w:hAnsi="Arial"/>
        </w:rPr>
        <w:t>so she</w:t>
      </w:r>
      <w:r w:rsidR="006B2122">
        <w:rPr>
          <w:rFonts w:ascii="Arial" w:hAnsi="Arial"/>
        </w:rPr>
        <w:t xml:space="preserve"> on 29 March 2018,</w:t>
      </w:r>
      <w:r>
        <w:rPr>
          <w:rFonts w:ascii="Arial" w:hAnsi="Arial"/>
        </w:rPr>
        <w:t xml:space="preserve"> resorted to </w:t>
      </w:r>
      <w:r w:rsidR="008A6D64">
        <w:rPr>
          <w:rFonts w:ascii="Arial" w:hAnsi="Arial"/>
        </w:rPr>
        <w:t>ano</w:t>
      </w:r>
      <w:r>
        <w:rPr>
          <w:rFonts w:ascii="Arial" w:hAnsi="Arial"/>
        </w:rPr>
        <w:t>the</w:t>
      </w:r>
      <w:r w:rsidR="008A6D64">
        <w:rPr>
          <w:rFonts w:ascii="Arial" w:hAnsi="Arial"/>
        </w:rPr>
        <w:t>r</w:t>
      </w:r>
      <w:r>
        <w:rPr>
          <w:rFonts w:ascii="Arial" w:hAnsi="Arial"/>
        </w:rPr>
        <w:t xml:space="preserve"> procedure of filing it </w:t>
      </w:r>
      <w:r w:rsidR="00512C9A">
        <w:rPr>
          <w:rFonts w:ascii="Arial" w:hAnsi="Arial"/>
        </w:rPr>
        <w:t>under a</w:t>
      </w:r>
      <w:r>
        <w:rPr>
          <w:rFonts w:ascii="Arial" w:hAnsi="Arial"/>
        </w:rPr>
        <w:t xml:space="preserve"> labour case number </w:t>
      </w:r>
      <w:r w:rsidR="00247B5C">
        <w:rPr>
          <w:rFonts w:ascii="Arial" w:hAnsi="Arial"/>
        </w:rPr>
        <w:t xml:space="preserve">on ‘ancillary process,’ </w:t>
      </w:r>
      <w:r w:rsidR="00512C9A">
        <w:rPr>
          <w:rFonts w:ascii="Arial" w:hAnsi="Arial"/>
        </w:rPr>
        <w:t>(</w:t>
      </w:r>
      <w:r w:rsidR="00247B5C">
        <w:rPr>
          <w:rFonts w:ascii="Arial" w:hAnsi="Arial"/>
        </w:rPr>
        <w:t>formerly interlocutory process</w:t>
      </w:r>
      <w:r w:rsidR="00512C9A">
        <w:rPr>
          <w:rFonts w:ascii="Arial" w:hAnsi="Arial"/>
        </w:rPr>
        <w:t>)</w:t>
      </w:r>
      <w:r w:rsidR="00247B5C">
        <w:rPr>
          <w:rFonts w:ascii="Arial" w:hAnsi="Arial"/>
        </w:rPr>
        <w:t xml:space="preserve"> on the High Court’s e-justice</w:t>
      </w:r>
      <w:r>
        <w:rPr>
          <w:rFonts w:ascii="Arial" w:hAnsi="Arial"/>
        </w:rPr>
        <w:t xml:space="preserve"> </w:t>
      </w:r>
      <w:r w:rsidR="00247B5C">
        <w:rPr>
          <w:rFonts w:ascii="Arial" w:hAnsi="Arial"/>
        </w:rPr>
        <w:t>remote filing process.</w:t>
      </w:r>
      <w:r>
        <w:rPr>
          <w:rFonts w:ascii="Arial" w:hAnsi="Arial"/>
        </w:rPr>
        <w:t xml:space="preserve"> </w:t>
      </w:r>
      <w:r w:rsidR="00247B5C">
        <w:rPr>
          <w:rFonts w:ascii="Arial" w:hAnsi="Arial"/>
        </w:rPr>
        <w:t xml:space="preserve">But even </w:t>
      </w:r>
      <w:r w:rsidR="00EA3A1C">
        <w:rPr>
          <w:rFonts w:ascii="Arial" w:hAnsi="Arial"/>
        </w:rPr>
        <w:t xml:space="preserve">then </w:t>
      </w:r>
      <w:r w:rsidR="006B2122">
        <w:rPr>
          <w:rFonts w:ascii="Arial" w:hAnsi="Arial"/>
        </w:rPr>
        <w:t xml:space="preserve">she soon discovered that the matter could not be scheduled to the roll </w:t>
      </w:r>
      <w:r w:rsidR="00247B5C">
        <w:rPr>
          <w:rFonts w:ascii="Arial" w:hAnsi="Arial"/>
        </w:rPr>
        <w:t>through this channel</w:t>
      </w:r>
      <w:r w:rsidR="00512C9A">
        <w:rPr>
          <w:rFonts w:ascii="Arial" w:hAnsi="Arial"/>
        </w:rPr>
        <w:t xml:space="preserve"> either</w:t>
      </w:r>
      <w:r w:rsidR="00247B5C">
        <w:rPr>
          <w:rFonts w:ascii="Arial" w:hAnsi="Arial"/>
        </w:rPr>
        <w:t>.</w:t>
      </w:r>
      <w:r w:rsidR="00F85AC8">
        <w:rPr>
          <w:rFonts w:ascii="Arial" w:hAnsi="Arial"/>
        </w:rPr>
        <w:t xml:space="preserve"> </w:t>
      </w:r>
      <w:r w:rsidR="009B5B34">
        <w:rPr>
          <w:rFonts w:ascii="Arial" w:hAnsi="Arial"/>
        </w:rPr>
        <w:t>After conducting ‘further investigation</w:t>
      </w:r>
      <w:r w:rsidR="00233A41">
        <w:rPr>
          <w:rFonts w:ascii="Arial" w:hAnsi="Arial"/>
        </w:rPr>
        <w:t>s</w:t>
      </w:r>
      <w:r w:rsidR="009B5B34">
        <w:rPr>
          <w:rFonts w:ascii="Arial" w:hAnsi="Arial"/>
        </w:rPr>
        <w:t xml:space="preserve"> on how to go about bringing a proper</w:t>
      </w:r>
      <w:r w:rsidR="00F85AC8">
        <w:rPr>
          <w:rFonts w:ascii="Arial" w:hAnsi="Arial"/>
        </w:rPr>
        <w:t xml:space="preserve"> </w:t>
      </w:r>
      <w:r w:rsidR="009B5B34">
        <w:rPr>
          <w:rFonts w:ascii="Arial" w:hAnsi="Arial"/>
        </w:rPr>
        <w:t>reinstatement application</w:t>
      </w:r>
      <w:r w:rsidR="008E5D42">
        <w:rPr>
          <w:rFonts w:ascii="Arial" w:hAnsi="Arial"/>
        </w:rPr>
        <w:t xml:space="preserve">,’ on 14 May 2018 the legal practitioner brought a fresh application. This application was opposed by the first and second respondents. The parties exchanged affidavits and </w:t>
      </w:r>
      <w:r w:rsidR="00E07005">
        <w:rPr>
          <w:rFonts w:ascii="Arial" w:hAnsi="Arial"/>
        </w:rPr>
        <w:t xml:space="preserve">subsequently </w:t>
      </w:r>
      <w:r w:rsidR="00452FF4">
        <w:rPr>
          <w:rFonts w:ascii="Arial" w:hAnsi="Arial"/>
        </w:rPr>
        <w:t>met at the r</w:t>
      </w:r>
      <w:r w:rsidR="008E5D42">
        <w:rPr>
          <w:rFonts w:ascii="Arial" w:hAnsi="Arial"/>
        </w:rPr>
        <w:t>e</w:t>
      </w:r>
      <w:r w:rsidR="00177B8B">
        <w:rPr>
          <w:rFonts w:ascii="Arial" w:hAnsi="Arial"/>
        </w:rPr>
        <w:t>gistrar’s offices on 4 July 2018</w:t>
      </w:r>
      <w:r w:rsidR="008E5D42">
        <w:rPr>
          <w:rFonts w:ascii="Arial" w:hAnsi="Arial"/>
        </w:rPr>
        <w:t xml:space="preserve"> to obtain hearing dates</w:t>
      </w:r>
      <w:r w:rsidR="00E07005">
        <w:rPr>
          <w:rFonts w:ascii="Arial" w:hAnsi="Arial"/>
        </w:rPr>
        <w:t xml:space="preserve">, but despite the invitation to meet at the </w:t>
      </w:r>
      <w:r w:rsidR="00452FF4">
        <w:rPr>
          <w:rFonts w:ascii="Arial" w:hAnsi="Arial"/>
        </w:rPr>
        <w:t>r</w:t>
      </w:r>
      <w:r w:rsidR="00E07005">
        <w:rPr>
          <w:rFonts w:ascii="Arial" w:hAnsi="Arial"/>
        </w:rPr>
        <w:t xml:space="preserve">egistrar’s office having been made in accordance with </w:t>
      </w:r>
      <w:r w:rsidR="007F3C27">
        <w:rPr>
          <w:rFonts w:ascii="Arial" w:hAnsi="Arial"/>
        </w:rPr>
        <w:t xml:space="preserve">the </w:t>
      </w:r>
      <w:r w:rsidR="00E07005">
        <w:rPr>
          <w:rFonts w:ascii="Arial" w:hAnsi="Arial"/>
        </w:rPr>
        <w:t>Labour Court Rules</w:t>
      </w:r>
      <w:r w:rsidR="00EA3A1C">
        <w:rPr>
          <w:rFonts w:ascii="Arial" w:hAnsi="Arial"/>
        </w:rPr>
        <w:t>,</w:t>
      </w:r>
      <w:r w:rsidR="00E07005">
        <w:rPr>
          <w:rFonts w:ascii="Arial" w:hAnsi="Arial"/>
        </w:rPr>
        <w:t xml:space="preserve"> the case did not appear on the roll and therefore no date could be allocated to the matter. </w:t>
      </w:r>
    </w:p>
    <w:p w:rsidR="007F3C27" w:rsidRPr="007F3C27" w:rsidRDefault="007F3C27" w:rsidP="007F3C27">
      <w:pPr>
        <w:spacing w:line="480" w:lineRule="auto"/>
        <w:jc w:val="both"/>
        <w:rPr>
          <w:rFonts w:ascii="Arial" w:hAnsi="Arial"/>
        </w:rPr>
      </w:pPr>
    </w:p>
    <w:p w:rsidR="00294029" w:rsidRDefault="00E07005" w:rsidP="00A24CAD">
      <w:pPr>
        <w:pStyle w:val="ListParagraph"/>
        <w:numPr>
          <w:ilvl w:val="0"/>
          <w:numId w:val="1"/>
        </w:numPr>
        <w:spacing w:line="480" w:lineRule="auto"/>
        <w:jc w:val="both"/>
        <w:rPr>
          <w:rFonts w:ascii="Arial" w:hAnsi="Arial"/>
        </w:rPr>
      </w:pPr>
      <w:r>
        <w:rPr>
          <w:rFonts w:ascii="Arial" w:hAnsi="Arial"/>
        </w:rPr>
        <w:t>The legal practi</w:t>
      </w:r>
      <w:r w:rsidR="002B4AD1">
        <w:rPr>
          <w:rFonts w:ascii="Arial" w:hAnsi="Arial"/>
        </w:rPr>
        <w:t>ti</w:t>
      </w:r>
      <w:r>
        <w:rPr>
          <w:rFonts w:ascii="Arial" w:hAnsi="Arial"/>
        </w:rPr>
        <w:t>oner expla</w:t>
      </w:r>
      <w:r w:rsidR="002B4AD1">
        <w:rPr>
          <w:rFonts w:ascii="Arial" w:hAnsi="Arial"/>
        </w:rPr>
        <w:t>i</w:t>
      </w:r>
      <w:r>
        <w:rPr>
          <w:rFonts w:ascii="Arial" w:hAnsi="Arial"/>
        </w:rPr>
        <w:t>ne</w:t>
      </w:r>
      <w:r w:rsidR="002B4AD1">
        <w:rPr>
          <w:rFonts w:ascii="Arial" w:hAnsi="Arial"/>
        </w:rPr>
        <w:t>d</w:t>
      </w:r>
      <w:r>
        <w:rPr>
          <w:rFonts w:ascii="Arial" w:hAnsi="Arial"/>
        </w:rPr>
        <w:t xml:space="preserve"> th</w:t>
      </w:r>
      <w:r w:rsidR="002B4AD1">
        <w:rPr>
          <w:rFonts w:ascii="Arial" w:hAnsi="Arial"/>
        </w:rPr>
        <w:t>a</w:t>
      </w:r>
      <w:r>
        <w:rPr>
          <w:rFonts w:ascii="Arial" w:hAnsi="Arial"/>
        </w:rPr>
        <w:t>t</w:t>
      </w:r>
      <w:r w:rsidR="002B4AD1">
        <w:rPr>
          <w:rFonts w:ascii="Arial" w:hAnsi="Arial"/>
        </w:rPr>
        <w:t xml:space="preserve"> after this further setback, she undertook an investigation to find out why the e-justice system was rejecting her application</w:t>
      </w:r>
      <w:r w:rsidR="007F3C27">
        <w:rPr>
          <w:rFonts w:ascii="Arial" w:hAnsi="Arial"/>
        </w:rPr>
        <w:t>s</w:t>
      </w:r>
      <w:r w:rsidR="002B4AD1">
        <w:rPr>
          <w:rFonts w:ascii="Arial" w:hAnsi="Arial"/>
        </w:rPr>
        <w:t xml:space="preserve"> and so she ‘engaged different legal practitioners on this matter’ and only then </w:t>
      </w:r>
      <w:r w:rsidR="007F3C27">
        <w:rPr>
          <w:rFonts w:ascii="Arial" w:hAnsi="Arial"/>
        </w:rPr>
        <w:t xml:space="preserve">did </w:t>
      </w:r>
      <w:r w:rsidR="002B4AD1">
        <w:rPr>
          <w:rFonts w:ascii="Arial" w:hAnsi="Arial"/>
        </w:rPr>
        <w:t xml:space="preserve">it dawn on her that the matter could not be accepted on the </w:t>
      </w:r>
      <w:r w:rsidR="007F3C27">
        <w:rPr>
          <w:rFonts w:ascii="Arial" w:hAnsi="Arial"/>
        </w:rPr>
        <w:t xml:space="preserve">labour reinstatement </w:t>
      </w:r>
      <w:r w:rsidR="002B4AD1">
        <w:rPr>
          <w:rFonts w:ascii="Arial" w:hAnsi="Arial"/>
        </w:rPr>
        <w:t>roll</w:t>
      </w:r>
      <w:r w:rsidR="007F3C27">
        <w:rPr>
          <w:rFonts w:ascii="Arial" w:hAnsi="Arial"/>
        </w:rPr>
        <w:t>,</w:t>
      </w:r>
      <w:r w:rsidR="002B4AD1">
        <w:rPr>
          <w:rFonts w:ascii="Arial" w:hAnsi="Arial"/>
        </w:rPr>
        <w:t xml:space="preserve"> because </w:t>
      </w:r>
      <w:r w:rsidR="007F3C27">
        <w:rPr>
          <w:rFonts w:ascii="Arial" w:hAnsi="Arial"/>
        </w:rPr>
        <w:t xml:space="preserve">as a </w:t>
      </w:r>
      <w:r w:rsidR="002B4AD1">
        <w:rPr>
          <w:rFonts w:ascii="Arial" w:hAnsi="Arial"/>
        </w:rPr>
        <w:t xml:space="preserve">labour court </w:t>
      </w:r>
      <w:r w:rsidR="007F3C27">
        <w:rPr>
          <w:rFonts w:ascii="Arial" w:hAnsi="Arial"/>
        </w:rPr>
        <w:t>matter</w:t>
      </w:r>
      <w:r w:rsidR="002B4AD1">
        <w:rPr>
          <w:rFonts w:ascii="Arial" w:hAnsi="Arial"/>
        </w:rPr>
        <w:t xml:space="preserve">, </w:t>
      </w:r>
      <w:r w:rsidR="007F3C27">
        <w:rPr>
          <w:rFonts w:ascii="Arial" w:hAnsi="Arial"/>
        </w:rPr>
        <w:t xml:space="preserve">it should not have been </w:t>
      </w:r>
      <w:r w:rsidR="002B4AD1">
        <w:rPr>
          <w:rFonts w:ascii="Arial" w:hAnsi="Arial"/>
        </w:rPr>
        <w:t>registered under a civil case number</w:t>
      </w:r>
      <w:r w:rsidR="007F3C27">
        <w:rPr>
          <w:rFonts w:ascii="Arial" w:hAnsi="Arial"/>
        </w:rPr>
        <w:t>, something that the legal practitioner said was done inadvertently</w:t>
      </w:r>
      <w:r w:rsidR="002B4AD1">
        <w:rPr>
          <w:rFonts w:ascii="Arial" w:hAnsi="Arial"/>
        </w:rPr>
        <w:t>.</w:t>
      </w:r>
      <w:r>
        <w:rPr>
          <w:rFonts w:ascii="Arial" w:hAnsi="Arial"/>
        </w:rPr>
        <w:t xml:space="preserve"> </w:t>
      </w:r>
      <w:r w:rsidR="007F3C27">
        <w:rPr>
          <w:rFonts w:ascii="Arial" w:hAnsi="Arial"/>
        </w:rPr>
        <w:t xml:space="preserve">She accordingly </w:t>
      </w:r>
      <w:r w:rsidR="00FD5268">
        <w:rPr>
          <w:rFonts w:ascii="Arial" w:hAnsi="Arial"/>
        </w:rPr>
        <w:t xml:space="preserve">followed the correct procedure and </w:t>
      </w:r>
      <w:r w:rsidR="007F3C27">
        <w:rPr>
          <w:rFonts w:ascii="Arial" w:hAnsi="Arial"/>
        </w:rPr>
        <w:t xml:space="preserve">brought the application that </w:t>
      </w:r>
      <w:r w:rsidR="00FD5268">
        <w:rPr>
          <w:rFonts w:ascii="Arial" w:hAnsi="Arial"/>
        </w:rPr>
        <w:t xml:space="preserve">is the subject matter of the present appeal. The legal </w:t>
      </w:r>
      <w:r w:rsidR="00EA3A1C">
        <w:rPr>
          <w:rFonts w:ascii="Arial" w:hAnsi="Arial"/>
        </w:rPr>
        <w:t xml:space="preserve">practitioner </w:t>
      </w:r>
      <w:r w:rsidR="00FD5268">
        <w:rPr>
          <w:rFonts w:ascii="Arial" w:hAnsi="Arial"/>
        </w:rPr>
        <w:t>attributed the missteps she took in an attempt to have the application heard to her inex</w:t>
      </w:r>
      <w:r w:rsidR="00070E6B">
        <w:rPr>
          <w:rFonts w:ascii="Arial" w:hAnsi="Arial"/>
        </w:rPr>
        <w:t>perience in labour matter</w:t>
      </w:r>
      <w:r w:rsidR="001371AE">
        <w:rPr>
          <w:rFonts w:ascii="Arial" w:hAnsi="Arial"/>
        </w:rPr>
        <w:t xml:space="preserve"> and the intricacies of the e-justice system</w:t>
      </w:r>
      <w:r w:rsidR="00070E6B">
        <w:rPr>
          <w:rFonts w:ascii="Arial" w:hAnsi="Arial"/>
        </w:rPr>
        <w:t xml:space="preserve">. She insisted though </w:t>
      </w:r>
      <w:r w:rsidR="00FD5268">
        <w:rPr>
          <w:rFonts w:ascii="Arial" w:hAnsi="Arial"/>
        </w:rPr>
        <w:t xml:space="preserve">that it was the appellant’s intention throughout the process to have the appeal reinstated. </w:t>
      </w:r>
      <w:r w:rsidR="00177B8B">
        <w:rPr>
          <w:rFonts w:ascii="Arial" w:hAnsi="Arial"/>
        </w:rPr>
        <w:t xml:space="preserve">According to her, such an intention is evinced by the numerous but unsuccessful attempts to reinstate the appeal. </w:t>
      </w:r>
      <w:r w:rsidR="00FD5268">
        <w:rPr>
          <w:rFonts w:ascii="Arial" w:hAnsi="Arial"/>
        </w:rPr>
        <w:t xml:space="preserve">She also </w:t>
      </w:r>
      <w:r w:rsidR="00294029">
        <w:rPr>
          <w:rFonts w:ascii="Arial" w:hAnsi="Arial"/>
        </w:rPr>
        <w:t xml:space="preserve">mentioned </w:t>
      </w:r>
      <w:r w:rsidR="00FD5268">
        <w:rPr>
          <w:rFonts w:ascii="Arial" w:hAnsi="Arial"/>
        </w:rPr>
        <w:t>that the appellant had good prospects of success on appeal and referred to the grounds of appeal that</w:t>
      </w:r>
      <w:r w:rsidR="00294029">
        <w:rPr>
          <w:rFonts w:ascii="Arial" w:hAnsi="Arial"/>
        </w:rPr>
        <w:t>,</w:t>
      </w:r>
      <w:r w:rsidR="00FD5268">
        <w:rPr>
          <w:rFonts w:ascii="Arial" w:hAnsi="Arial"/>
        </w:rPr>
        <w:t xml:space="preserve"> in the main</w:t>
      </w:r>
      <w:r w:rsidR="00294029">
        <w:rPr>
          <w:rFonts w:ascii="Arial" w:hAnsi="Arial"/>
        </w:rPr>
        <w:t>,</w:t>
      </w:r>
      <w:r w:rsidR="00FD5268">
        <w:rPr>
          <w:rFonts w:ascii="Arial" w:hAnsi="Arial"/>
        </w:rPr>
        <w:t xml:space="preserve"> contend that the arbitrator erred in finding that </w:t>
      </w:r>
      <w:r w:rsidR="00294029">
        <w:rPr>
          <w:rFonts w:ascii="Arial" w:hAnsi="Arial"/>
        </w:rPr>
        <w:t>the exclusion of the first and second respondents from receiving a scarcity allowance amounted to unfair discrimination.</w:t>
      </w:r>
    </w:p>
    <w:p w:rsidR="00294029" w:rsidRDefault="00294029" w:rsidP="00294029">
      <w:pPr>
        <w:spacing w:line="480" w:lineRule="auto"/>
        <w:jc w:val="both"/>
        <w:rPr>
          <w:rFonts w:ascii="Arial" w:hAnsi="Arial"/>
        </w:rPr>
      </w:pPr>
    </w:p>
    <w:p w:rsidR="00E07005" w:rsidRPr="00294029" w:rsidRDefault="002E6889" w:rsidP="00294029">
      <w:pPr>
        <w:spacing w:line="480" w:lineRule="auto"/>
        <w:jc w:val="both"/>
        <w:rPr>
          <w:rFonts w:ascii="Arial" w:hAnsi="Arial"/>
          <w:u w:val="single"/>
        </w:rPr>
      </w:pPr>
      <w:r>
        <w:rPr>
          <w:rFonts w:ascii="Arial" w:hAnsi="Arial"/>
          <w:u w:val="single"/>
        </w:rPr>
        <w:t>T</w:t>
      </w:r>
      <w:r w:rsidR="00294029" w:rsidRPr="00294029">
        <w:rPr>
          <w:rFonts w:ascii="Arial" w:hAnsi="Arial"/>
          <w:u w:val="single"/>
        </w:rPr>
        <w:t>he Labour Court</w:t>
      </w:r>
      <w:r>
        <w:rPr>
          <w:rFonts w:ascii="Arial" w:hAnsi="Arial"/>
          <w:u w:val="single"/>
        </w:rPr>
        <w:t>’s approach</w:t>
      </w:r>
    </w:p>
    <w:p w:rsidR="00A16E62" w:rsidRDefault="00294029" w:rsidP="00294029">
      <w:pPr>
        <w:pStyle w:val="ListParagraph"/>
        <w:numPr>
          <w:ilvl w:val="0"/>
          <w:numId w:val="1"/>
        </w:numPr>
        <w:spacing w:line="480" w:lineRule="auto"/>
        <w:jc w:val="both"/>
        <w:rPr>
          <w:rFonts w:ascii="Arial" w:hAnsi="Arial"/>
        </w:rPr>
      </w:pPr>
      <w:r>
        <w:rPr>
          <w:rFonts w:ascii="Arial" w:hAnsi="Arial"/>
        </w:rPr>
        <w:t xml:space="preserve">The Labour Court </w:t>
      </w:r>
      <w:r w:rsidR="00D56494">
        <w:rPr>
          <w:rFonts w:ascii="Arial" w:hAnsi="Arial"/>
        </w:rPr>
        <w:t xml:space="preserve">dismissed the application, reasoning that there was an unreasonable delay in prosecuting the appeal and that </w:t>
      </w:r>
      <w:r w:rsidR="002536A4">
        <w:rPr>
          <w:rFonts w:ascii="Arial" w:hAnsi="Arial"/>
        </w:rPr>
        <w:t xml:space="preserve">the </w:t>
      </w:r>
      <w:r w:rsidR="00D56494">
        <w:rPr>
          <w:rFonts w:ascii="Arial" w:hAnsi="Arial"/>
        </w:rPr>
        <w:t xml:space="preserve">explanation </w:t>
      </w:r>
      <w:r w:rsidR="002536A4">
        <w:rPr>
          <w:rFonts w:ascii="Arial" w:hAnsi="Arial"/>
        </w:rPr>
        <w:t xml:space="preserve">why the application could not set down for hearing </w:t>
      </w:r>
      <w:r w:rsidR="00D56494">
        <w:rPr>
          <w:rFonts w:ascii="Arial" w:hAnsi="Arial"/>
        </w:rPr>
        <w:t>was unsatisfactory.</w:t>
      </w:r>
      <w:r w:rsidR="009758BC">
        <w:rPr>
          <w:rFonts w:ascii="Arial" w:hAnsi="Arial"/>
        </w:rPr>
        <w:t xml:space="preserve"> </w:t>
      </w:r>
      <w:r w:rsidR="002536A4">
        <w:rPr>
          <w:rFonts w:ascii="Arial" w:hAnsi="Arial"/>
        </w:rPr>
        <w:t xml:space="preserve">Whilst the court was sympathetic to the plight of the appellant’s legal practitioner who had conduct of the matter, the explanation </w:t>
      </w:r>
      <w:r w:rsidR="00F62CE7">
        <w:rPr>
          <w:rFonts w:ascii="Arial" w:hAnsi="Arial"/>
        </w:rPr>
        <w:t>of</w:t>
      </w:r>
      <w:r w:rsidR="002536A4">
        <w:rPr>
          <w:rFonts w:ascii="Arial" w:hAnsi="Arial"/>
        </w:rPr>
        <w:t xml:space="preserve"> inexperience </w:t>
      </w:r>
      <w:r w:rsidR="00F62CE7">
        <w:rPr>
          <w:rFonts w:ascii="Arial" w:hAnsi="Arial"/>
        </w:rPr>
        <w:t xml:space="preserve">on her part </w:t>
      </w:r>
      <w:r w:rsidR="0023085F">
        <w:rPr>
          <w:rFonts w:ascii="Arial" w:hAnsi="Arial"/>
        </w:rPr>
        <w:t xml:space="preserve">was found </w:t>
      </w:r>
      <w:r w:rsidR="002536A4">
        <w:rPr>
          <w:rFonts w:ascii="Arial" w:hAnsi="Arial"/>
        </w:rPr>
        <w:t xml:space="preserve">unacceptable </w:t>
      </w:r>
      <w:r w:rsidR="00F62CE7">
        <w:rPr>
          <w:rFonts w:ascii="Arial" w:hAnsi="Arial"/>
        </w:rPr>
        <w:t xml:space="preserve">as she came from a ‘well-established and well-respected law firm with a number of senior colleagues’ who could have assisted her. On the prospects of success on appeal, the Labour Court reasoned that </w:t>
      </w:r>
      <w:r w:rsidR="00D45D6E">
        <w:rPr>
          <w:rFonts w:ascii="Arial" w:hAnsi="Arial"/>
        </w:rPr>
        <w:t xml:space="preserve">in light of the finding by </w:t>
      </w:r>
      <w:r w:rsidR="00F62CE7">
        <w:rPr>
          <w:rFonts w:ascii="Arial" w:hAnsi="Arial"/>
        </w:rPr>
        <w:t xml:space="preserve">the arbitrator that the appellant </w:t>
      </w:r>
      <w:r w:rsidR="00D45D6E">
        <w:rPr>
          <w:rFonts w:ascii="Arial" w:hAnsi="Arial"/>
        </w:rPr>
        <w:t xml:space="preserve">had </w:t>
      </w:r>
      <w:r w:rsidR="00F62CE7">
        <w:rPr>
          <w:rFonts w:ascii="Arial" w:hAnsi="Arial"/>
        </w:rPr>
        <w:t>failed to produce in evidence the scarcity allowance policy</w:t>
      </w:r>
      <w:r w:rsidR="00D45D6E">
        <w:rPr>
          <w:rFonts w:ascii="Arial" w:hAnsi="Arial"/>
        </w:rPr>
        <w:t xml:space="preserve"> document</w:t>
      </w:r>
      <w:r w:rsidR="00F62CE7">
        <w:rPr>
          <w:rFonts w:ascii="Arial" w:hAnsi="Arial"/>
        </w:rPr>
        <w:t xml:space="preserve">, the prospects of success </w:t>
      </w:r>
      <w:r w:rsidR="00D45D6E">
        <w:rPr>
          <w:rFonts w:ascii="Arial" w:hAnsi="Arial"/>
        </w:rPr>
        <w:t>was ‘not likely to be good if critical evidence was not adduced</w:t>
      </w:r>
      <w:r w:rsidR="00BD196E">
        <w:rPr>
          <w:rFonts w:ascii="Arial" w:hAnsi="Arial"/>
        </w:rPr>
        <w:t xml:space="preserve"> in the arbitration proceedings</w:t>
      </w:r>
      <w:r w:rsidR="00D45D6E">
        <w:rPr>
          <w:rFonts w:ascii="Arial" w:hAnsi="Arial"/>
        </w:rPr>
        <w:t>’</w:t>
      </w:r>
      <w:r w:rsidR="00BD196E">
        <w:rPr>
          <w:rFonts w:ascii="Arial" w:hAnsi="Arial"/>
        </w:rPr>
        <w:t>.</w:t>
      </w:r>
      <w:r w:rsidR="00D45D6E">
        <w:rPr>
          <w:rFonts w:ascii="Arial" w:hAnsi="Arial"/>
        </w:rPr>
        <w:t xml:space="preserve"> In its judgment on leave to appeal, the Labour Court </w:t>
      </w:r>
      <w:r w:rsidR="00EA1279">
        <w:rPr>
          <w:rFonts w:ascii="Arial" w:hAnsi="Arial"/>
        </w:rPr>
        <w:t xml:space="preserve">reasoned, if I understand it correctly, </w:t>
      </w:r>
      <w:r w:rsidR="00D45D6E">
        <w:rPr>
          <w:rFonts w:ascii="Arial" w:hAnsi="Arial"/>
        </w:rPr>
        <w:t xml:space="preserve">that if the explanation for the delay in the prosecution of the appeal was the only </w:t>
      </w:r>
      <w:r w:rsidR="00A16E62">
        <w:rPr>
          <w:rFonts w:ascii="Arial" w:hAnsi="Arial"/>
        </w:rPr>
        <w:t xml:space="preserve">requirement for </w:t>
      </w:r>
      <w:r w:rsidR="0052048B">
        <w:rPr>
          <w:rFonts w:ascii="Arial" w:hAnsi="Arial"/>
        </w:rPr>
        <w:t xml:space="preserve">a </w:t>
      </w:r>
      <w:r w:rsidR="00A16E62">
        <w:rPr>
          <w:rFonts w:ascii="Arial" w:hAnsi="Arial"/>
        </w:rPr>
        <w:t>condonation</w:t>
      </w:r>
      <w:r w:rsidR="0052048B">
        <w:rPr>
          <w:rFonts w:ascii="Arial" w:hAnsi="Arial"/>
        </w:rPr>
        <w:t xml:space="preserve"> application</w:t>
      </w:r>
      <w:r w:rsidR="00A16E62">
        <w:rPr>
          <w:rFonts w:ascii="Arial" w:hAnsi="Arial"/>
        </w:rPr>
        <w:t xml:space="preserve">, </w:t>
      </w:r>
      <w:r w:rsidR="00D45D6E">
        <w:rPr>
          <w:rFonts w:ascii="Arial" w:hAnsi="Arial"/>
        </w:rPr>
        <w:t xml:space="preserve">the court might </w:t>
      </w:r>
      <w:r w:rsidR="00EA1279">
        <w:rPr>
          <w:rFonts w:ascii="Arial" w:hAnsi="Arial"/>
        </w:rPr>
        <w:t xml:space="preserve">not </w:t>
      </w:r>
      <w:r w:rsidR="00D45D6E">
        <w:rPr>
          <w:rFonts w:ascii="Arial" w:hAnsi="Arial"/>
        </w:rPr>
        <w:t xml:space="preserve">have </w:t>
      </w:r>
      <w:r w:rsidR="00EA1279">
        <w:rPr>
          <w:rFonts w:ascii="Arial" w:hAnsi="Arial"/>
        </w:rPr>
        <w:t>rejected the explanation for the delay given by the appellant’s legal practitioner.</w:t>
      </w:r>
      <w:r w:rsidR="00A16E62">
        <w:rPr>
          <w:rFonts w:ascii="Arial" w:hAnsi="Arial"/>
        </w:rPr>
        <w:t xml:space="preserve"> The court </w:t>
      </w:r>
      <w:r w:rsidR="00EA1279">
        <w:rPr>
          <w:rFonts w:ascii="Arial" w:hAnsi="Arial"/>
        </w:rPr>
        <w:t>noted, howeve</w:t>
      </w:r>
      <w:r w:rsidR="004618A5">
        <w:rPr>
          <w:rFonts w:ascii="Arial" w:hAnsi="Arial"/>
        </w:rPr>
        <w:t>r</w:t>
      </w:r>
      <w:r w:rsidR="00EA1279">
        <w:rPr>
          <w:rFonts w:ascii="Arial" w:hAnsi="Arial"/>
        </w:rPr>
        <w:t xml:space="preserve">, </w:t>
      </w:r>
      <w:r w:rsidR="00A16E62">
        <w:rPr>
          <w:rFonts w:ascii="Arial" w:hAnsi="Arial"/>
        </w:rPr>
        <w:t xml:space="preserve">that the biggest hurdle to </w:t>
      </w:r>
      <w:r w:rsidR="00EE216D">
        <w:rPr>
          <w:rFonts w:ascii="Arial" w:hAnsi="Arial"/>
        </w:rPr>
        <w:t xml:space="preserve">the </w:t>
      </w:r>
      <w:r w:rsidR="00A16E62">
        <w:rPr>
          <w:rFonts w:ascii="Arial" w:hAnsi="Arial"/>
        </w:rPr>
        <w:t xml:space="preserve">granting </w:t>
      </w:r>
      <w:r w:rsidR="00EE216D">
        <w:rPr>
          <w:rFonts w:ascii="Arial" w:hAnsi="Arial"/>
        </w:rPr>
        <w:t xml:space="preserve">of </w:t>
      </w:r>
      <w:r w:rsidR="00A16E62">
        <w:rPr>
          <w:rFonts w:ascii="Arial" w:hAnsi="Arial"/>
        </w:rPr>
        <w:t>the application was that the appeal had lapsed</w:t>
      </w:r>
      <w:r w:rsidR="0052048B">
        <w:rPr>
          <w:rFonts w:ascii="Arial" w:hAnsi="Arial"/>
        </w:rPr>
        <w:t xml:space="preserve"> and that the Labour Act did not clothe the court with the power to revive a lapsed matter. The court r</w:t>
      </w:r>
      <w:r w:rsidR="00A16E62">
        <w:rPr>
          <w:rFonts w:ascii="Arial" w:hAnsi="Arial"/>
        </w:rPr>
        <w:t>eli</w:t>
      </w:r>
      <w:r w:rsidR="0052048B">
        <w:rPr>
          <w:rFonts w:ascii="Arial" w:hAnsi="Arial"/>
        </w:rPr>
        <w:t>ed</w:t>
      </w:r>
      <w:r w:rsidR="00A16E62">
        <w:rPr>
          <w:rFonts w:ascii="Arial" w:hAnsi="Arial"/>
        </w:rPr>
        <w:t xml:space="preserve"> on </w:t>
      </w:r>
      <w:r w:rsidR="00EA1279">
        <w:rPr>
          <w:rFonts w:ascii="Arial" w:hAnsi="Arial"/>
        </w:rPr>
        <w:t xml:space="preserve">certain dicta in </w:t>
      </w:r>
      <w:r w:rsidR="00A16E62" w:rsidRPr="0052048B">
        <w:rPr>
          <w:rFonts w:ascii="Arial" w:hAnsi="Arial"/>
          <w:i/>
        </w:rPr>
        <w:t>Tjiuma v Meatco Namibia</w:t>
      </w:r>
      <w:r w:rsidR="00ED78F3">
        <w:rPr>
          <w:rStyle w:val="FootnoteReference"/>
          <w:rFonts w:ascii="Arial" w:hAnsi="Arial"/>
          <w:i/>
        </w:rPr>
        <w:footnoteReference w:id="1"/>
      </w:r>
      <w:r w:rsidR="00BD196E">
        <w:rPr>
          <w:rFonts w:ascii="Arial" w:hAnsi="Arial"/>
        </w:rPr>
        <w:t>, a L</w:t>
      </w:r>
      <w:r w:rsidR="0023085F">
        <w:rPr>
          <w:rFonts w:ascii="Arial" w:hAnsi="Arial"/>
        </w:rPr>
        <w:t>abour Court matter,</w:t>
      </w:r>
      <w:r w:rsidR="00A16E62">
        <w:rPr>
          <w:rFonts w:ascii="Arial" w:hAnsi="Arial"/>
        </w:rPr>
        <w:t xml:space="preserve"> </w:t>
      </w:r>
      <w:r w:rsidR="0052048B">
        <w:rPr>
          <w:rFonts w:ascii="Arial" w:hAnsi="Arial"/>
        </w:rPr>
        <w:t>for this proposition.</w:t>
      </w:r>
      <w:r w:rsidR="00EE216D">
        <w:rPr>
          <w:rFonts w:ascii="Arial" w:hAnsi="Arial"/>
        </w:rPr>
        <w:t xml:space="preserve"> </w:t>
      </w:r>
    </w:p>
    <w:p w:rsidR="004618A5" w:rsidRDefault="004618A5" w:rsidP="004618A5">
      <w:pPr>
        <w:spacing w:line="480" w:lineRule="auto"/>
        <w:jc w:val="both"/>
        <w:rPr>
          <w:rFonts w:ascii="Arial" w:hAnsi="Arial"/>
          <w:u w:val="single"/>
        </w:rPr>
      </w:pPr>
    </w:p>
    <w:p w:rsidR="004618A5" w:rsidRDefault="004618A5" w:rsidP="004618A5">
      <w:pPr>
        <w:spacing w:line="480" w:lineRule="auto"/>
        <w:jc w:val="both"/>
        <w:rPr>
          <w:rFonts w:ascii="Arial" w:hAnsi="Arial"/>
          <w:u w:val="single"/>
        </w:rPr>
      </w:pPr>
      <w:r w:rsidRPr="004618A5">
        <w:rPr>
          <w:rFonts w:ascii="Arial" w:hAnsi="Arial"/>
          <w:u w:val="single"/>
        </w:rPr>
        <w:t>Analysis</w:t>
      </w:r>
    </w:p>
    <w:p w:rsidR="004618A5" w:rsidRPr="009D4C17" w:rsidRDefault="004618A5" w:rsidP="009D4C17">
      <w:pPr>
        <w:pStyle w:val="ListParagraph"/>
        <w:numPr>
          <w:ilvl w:val="0"/>
          <w:numId w:val="1"/>
        </w:numPr>
        <w:spacing w:line="480" w:lineRule="auto"/>
        <w:jc w:val="both"/>
        <w:rPr>
          <w:rFonts w:ascii="Arial" w:hAnsi="Arial"/>
        </w:rPr>
      </w:pPr>
      <w:r w:rsidRPr="009D4C17">
        <w:rPr>
          <w:rFonts w:ascii="Arial" w:hAnsi="Arial"/>
        </w:rPr>
        <w:t>The Labour Court was seized with applications that included a</w:t>
      </w:r>
      <w:r w:rsidR="00B44CCC">
        <w:rPr>
          <w:rFonts w:ascii="Arial" w:hAnsi="Arial"/>
        </w:rPr>
        <w:t>n</w:t>
      </w:r>
      <w:r w:rsidRPr="009D4C17">
        <w:rPr>
          <w:rFonts w:ascii="Arial" w:hAnsi="Arial"/>
        </w:rPr>
        <w:t xml:space="preserve"> application</w:t>
      </w:r>
      <w:r w:rsidR="00B44CCC">
        <w:rPr>
          <w:rFonts w:ascii="Arial" w:hAnsi="Arial"/>
        </w:rPr>
        <w:t xml:space="preserve"> for condonation and reinstatement</w:t>
      </w:r>
      <w:r w:rsidRPr="009D4C17">
        <w:rPr>
          <w:rFonts w:ascii="Arial" w:hAnsi="Arial"/>
        </w:rPr>
        <w:t xml:space="preserve">. </w:t>
      </w:r>
      <w:r w:rsidR="009D4C17">
        <w:rPr>
          <w:rFonts w:ascii="Arial" w:hAnsi="Arial"/>
        </w:rPr>
        <w:t xml:space="preserve">As this court recently noted, for </w:t>
      </w:r>
      <w:r w:rsidR="009D4C17" w:rsidRPr="009D4C17">
        <w:rPr>
          <w:rFonts w:ascii="Arial" w:hAnsi="Arial" w:cs="Arial"/>
        </w:rPr>
        <w:t xml:space="preserve">a </w:t>
      </w:r>
      <w:r w:rsidR="009D4C17">
        <w:rPr>
          <w:rFonts w:ascii="Arial" w:hAnsi="Arial" w:cs="Arial"/>
        </w:rPr>
        <w:t>condonation application</w:t>
      </w:r>
      <w:r w:rsidR="009D4C17" w:rsidRPr="009D4C17">
        <w:rPr>
          <w:rFonts w:ascii="Arial" w:hAnsi="Arial" w:cs="Arial"/>
        </w:rPr>
        <w:t xml:space="preserve"> to succeed there are two </w:t>
      </w:r>
      <w:r w:rsidR="009D4C17">
        <w:rPr>
          <w:rFonts w:ascii="Arial" w:hAnsi="Arial" w:cs="Arial"/>
        </w:rPr>
        <w:t>general</w:t>
      </w:r>
      <w:r w:rsidR="009D4C17" w:rsidRPr="009D4C17">
        <w:rPr>
          <w:rFonts w:ascii="Arial" w:hAnsi="Arial" w:cs="Arial"/>
        </w:rPr>
        <w:t xml:space="preserve"> considerations. </w:t>
      </w:r>
      <w:r w:rsidR="00ED78F3">
        <w:rPr>
          <w:rFonts w:ascii="Arial" w:hAnsi="Arial" w:cs="Arial"/>
        </w:rPr>
        <w:t>In the f</w:t>
      </w:r>
      <w:r w:rsidR="009D4C17" w:rsidRPr="009D4C17">
        <w:rPr>
          <w:rFonts w:ascii="Arial" w:hAnsi="Arial" w:cs="Arial"/>
        </w:rPr>
        <w:t>irst</w:t>
      </w:r>
      <w:r w:rsidR="00ED78F3">
        <w:rPr>
          <w:rFonts w:ascii="Arial" w:hAnsi="Arial" w:cs="Arial"/>
        </w:rPr>
        <w:t xml:space="preserve"> place</w:t>
      </w:r>
      <w:r w:rsidR="009D4C17" w:rsidRPr="009D4C17">
        <w:rPr>
          <w:rFonts w:ascii="Arial" w:hAnsi="Arial" w:cs="Arial"/>
        </w:rPr>
        <w:t>, there must be a reasonable and acceptable explanation for the non-compliance. Second</w:t>
      </w:r>
      <w:r w:rsidR="00ED78F3">
        <w:rPr>
          <w:rFonts w:ascii="Arial" w:hAnsi="Arial" w:cs="Arial"/>
        </w:rPr>
        <w:t>ly</w:t>
      </w:r>
      <w:r w:rsidR="009D4C17" w:rsidRPr="009D4C17">
        <w:rPr>
          <w:rFonts w:ascii="Arial" w:hAnsi="Arial" w:cs="Arial"/>
        </w:rPr>
        <w:t>, there must be reasonable prospects of success on appeal.</w:t>
      </w:r>
      <w:r w:rsidR="009D4C17">
        <w:rPr>
          <w:rStyle w:val="FootnoteReference"/>
          <w:rFonts w:ascii="Arial" w:hAnsi="Arial" w:cs="Arial"/>
        </w:rPr>
        <w:footnoteReference w:id="2"/>
      </w:r>
      <w:r w:rsidR="009D4C17" w:rsidRPr="009D4C17">
        <w:rPr>
          <w:rFonts w:ascii="Arial" w:hAnsi="Arial" w:cs="Arial"/>
        </w:rPr>
        <w:t xml:space="preserve"> There is some interplay between these two </w:t>
      </w:r>
      <w:r w:rsidR="00EA1279">
        <w:rPr>
          <w:rFonts w:ascii="Arial" w:hAnsi="Arial" w:cs="Arial"/>
        </w:rPr>
        <w:t xml:space="preserve">broad </w:t>
      </w:r>
      <w:r w:rsidR="009D4C17" w:rsidRPr="009D4C17">
        <w:rPr>
          <w:rFonts w:ascii="Arial" w:hAnsi="Arial" w:cs="Arial"/>
        </w:rPr>
        <w:t>considerations</w:t>
      </w:r>
      <w:r w:rsidR="009D4C17">
        <w:rPr>
          <w:rFonts w:ascii="Arial" w:hAnsi="Arial" w:cs="Arial"/>
        </w:rPr>
        <w:t>. For example,</w:t>
      </w:r>
      <w:r w:rsidR="009D4C17" w:rsidRPr="009D4C17">
        <w:rPr>
          <w:rFonts w:ascii="Arial" w:hAnsi="Arial" w:cs="Arial"/>
        </w:rPr>
        <w:t xml:space="preserve"> good prospects of success may lead to a reinstatement application </w:t>
      </w:r>
      <w:r w:rsidR="00680D16">
        <w:rPr>
          <w:rFonts w:ascii="Arial" w:hAnsi="Arial" w:cs="Arial"/>
        </w:rPr>
        <w:t xml:space="preserve">being granted </w:t>
      </w:r>
      <w:r w:rsidR="009D4C17" w:rsidRPr="009D4C17">
        <w:rPr>
          <w:rFonts w:ascii="Arial" w:hAnsi="Arial" w:cs="Arial"/>
        </w:rPr>
        <w:t>even if the explanation is not entirely satisfactory.</w:t>
      </w:r>
      <w:r w:rsidR="00ED78F3">
        <w:rPr>
          <w:rStyle w:val="FootnoteReference"/>
          <w:rFonts w:ascii="Arial" w:hAnsi="Arial" w:cs="Arial"/>
        </w:rPr>
        <w:footnoteReference w:id="3"/>
      </w:r>
      <w:r w:rsidR="009D4C17" w:rsidRPr="009D4C17">
        <w:rPr>
          <w:rFonts w:ascii="Arial" w:hAnsi="Arial" w:cs="Arial"/>
        </w:rPr>
        <w:t xml:space="preserve"> </w:t>
      </w:r>
    </w:p>
    <w:p w:rsidR="00C57BF2" w:rsidRPr="00C57BF2" w:rsidRDefault="00C57BF2" w:rsidP="00C57BF2">
      <w:pPr>
        <w:spacing w:line="480" w:lineRule="auto"/>
        <w:jc w:val="both"/>
        <w:rPr>
          <w:rFonts w:ascii="Arial" w:hAnsi="Arial"/>
        </w:rPr>
      </w:pPr>
    </w:p>
    <w:p w:rsidR="00F9426E" w:rsidRDefault="00EA1279" w:rsidP="00294029">
      <w:pPr>
        <w:pStyle w:val="ListParagraph"/>
        <w:numPr>
          <w:ilvl w:val="0"/>
          <w:numId w:val="1"/>
        </w:numPr>
        <w:spacing w:line="480" w:lineRule="auto"/>
        <w:jc w:val="both"/>
        <w:rPr>
          <w:rFonts w:ascii="Arial" w:hAnsi="Arial"/>
        </w:rPr>
      </w:pPr>
      <w:r>
        <w:rPr>
          <w:rFonts w:ascii="Arial" w:hAnsi="Arial"/>
        </w:rPr>
        <w:t>Applying these trite principles</w:t>
      </w:r>
      <w:r w:rsidR="00680D16">
        <w:rPr>
          <w:rFonts w:ascii="Arial" w:hAnsi="Arial"/>
        </w:rPr>
        <w:t xml:space="preserve"> to the facts of th</w:t>
      </w:r>
      <w:r w:rsidR="00C57BF2">
        <w:rPr>
          <w:rFonts w:ascii="Arial" w:hAnsi="Arial"/>
        </w:rPr>
        <w:t>e</w:t>
      </w:r>
      <w:r w:rsidR="00680D16">
        <w:rPr>
          <w:rFonts w:ascii="Arial" w:hAnsi="Arial"/>
        </w:rPr>
        <w:t xml:space="preserve"> appeal</w:t>
      </w:r>
      <w:r>
        <w:rPr>
          <w:rFonts w:ascii="Arial" w:hAnsi="Arial"/>
        </w:rPr>
        <w:t>,</w:t>
      </w:r>
      <w:r w:rsidR="00680D16">
        <w:rPr>
          <w:rFonts w:ascii="Arial" w:hAnsi="Arial"/>
        </w:rPr>
        <w:t xml:space="preserve"> </w:t>
      </w:r>
      <w:r w:rsidR="00C57BF2">
        <w:rPr>
          <w:rFonts w:ascii="Arial" w:hAnsi="Arial"/>
        </w:rPr>
        <w:t>w</w:t>
      </w:r>
      <w:r w:rsidR="009758BC">
        <w:rPr>
          <w:rFonts w:ascii="Arial" w:hAnsi="Arial"/>
        </w:rPr>
        <w:t xml:space="preserve">hile </w:t>
      </w:r>
      <w:r w:rsidR="00A06A10">
        <w:rPr>
          <w:rFonts w:ascii="Arial" w:hAnsi="Arial"/>
        </w:rPr>
        <w:t xml:space="preserve">some of </w:t>
      </w:r>
      <w:r w:rsidR="009758BC">
        <w:rPr>
          <w:rFonts w:ascii="Arial" w:hAnsi="Arial"/>
        </w:rPr>
        <w:t xml:space="preserve">the </w:t>
      </w:r>
      <w:r w:rsidR="005F4F25">
        <w:rPr>
          <w:rFonts w:ascii="Arial" w:hAnsi="Arial"/>
        </w:rPr>
        <w:t xml:space="preserve">attempts </w:t>
      </w:r>
      <w:r w:rsidR="00680D16">
        <w:rPr>
          <w:rFonts w:ascii="Arial" w:hAnsi="Arial"/>
        </w:rPr>
        <w:t xml:space="preserve">made </w:t>
      </w:r>
      <w:r w:rsidR="005F4F25">
        <w:rPr>
          <w:rFonts w:ascii="Arial" w:hAnsi="Arial"/>
        </w:rPr>
        <w:t xml:space="preserve">by the appellant’s legal practitioner to </w:t>
      </w:r>
      <w:r w:rsidR="00A06A10" w:rsidRPr="00C57BF2">
        <w:rPr>
          <w:rFonts w:ascii="Arial" w:hAnsi="Arial"/>
        </w:rPr>
        <w:t>file</w:t>
      </w:r>
      <w:r w:rsidR="00A06A10">
        <w:rPr>
          <w:rFonts w:ascii="Arial" w:hAnsi="Arial"/>
        </w:rPr>
        <w:t xml:space="preserve"> th</w:t>
      </w:r>
      <w:r w:rsidR="005F4F25">
        <w:rPr>
          <w:rFonts w:ascii="Arial" w:hAnsi="Arial"/>
        </w:rPr>
        <w:t xml:space="preserve">e applications on e-justice may be criticised as being </w:t>
      </w:r>
      <w:r w:rsidR="00C57BF2">
        <w:rPr>
          <w:rFonts w:ascii="Arial" w:hAnsi="Arial"/>
        </w:rPr>
        <w:t xml:space="preserve">somewhat </w:t>
      </w:r>
      <w:r w:rsidR="005F4F25">
        <w:rPr>
          <w:rFonts w:ascii="Arial" w:hAnsi="Arial"/>
        </w:rPr>
        <w:t>clumsy, certainly not all the failures may be attributed to her</w:t>
      </w:r>
      <w:r w:rsidR="00C57BF2">
        <w:rPr>
          <w:rFonts w:ascii="Arial" w:hAnsi="Arial"/>
        </w:rPr>
        <w:t xml:space="preserve"> lack of experience</w:t>
      </w:r>
      <w:r w:rsidR="005F4F25">
        <w:rPr>
          <w:rFonts w:ascii="Arial" w:hAnsi="Arial"/>
        </w:rPr>
        <w:t xml:space="preserve">. </w:t>
      </w:r>
      <w:r w:rsidR="006D3B6D">
        <w:rPr>
          <w:rFonts w:ascii="Arial" w:hAnsi="Arial"/>
        </w:rPr>
        <w:t>The e-justice</w:t>
      </w:r>
      <w:r w:rsidR="00C57BF2">
        <w:rPr>
          <w:rFonts w:ascii="Arial" w:hAnsi="Arial"/>
        </w:rPr>
        <w:t xml:space="preserve"> filling </w:t>
      </w:r>
      <w:r w:rsidR="006B52A5">
        <w:rPr>
          <w:rFonts w:ascii="Arial" w:hAnsi="Arial"/>
        </w:rPr>
        <w:t>system</w:t>
      </w:r>
      <w:r w:rsidR="006D3B6D">
        <w:rPr>
          <w:rFonts w:ascii="Arial" w:hAnsi="Arial"/>
        </w:rPr>
        <w:t xml:space="preserve"> was a relatively recent in</w:t>
      </w:r>
      <w:r w:rsidR="00C57BF2">
        <w:rPr>
          <w:rFonts w:ascii="Arial" w:hAnsi="Arial"/>
        </w:rPr>
        <w:t>novation</w:t>
      </w:r>
      <w:r w:rsidR="006D3B6D">
        <w:rPr>
          <w:rFonts w:ascii="Arial" w:hAnsi="Arial"/>
        </w:rPr>
        <w:t xml:space="preserve"> at the time that may have had its own </w:t>
      </w:r>
      <w:r w:rsidR="00A06A10">
        <w:rPr>
          <w:rFonts w:ascii="Arial" w:hAnsi="Arial"/>
        </w:rPr>
        <w:t>teething problems.</w:t>
      </w:r>
      <w:r w:rsidR="00735FE8">
        <w:rPr>
          <w:rFonts w:ascii="Arial" w:hAnsi="Arial"/>
        </w:rPr>
        <w:t xml:space="preserve"> One such glitch appears to have been the lack of functionality for </w:t>
      </w:r>
      <w:r w:rsidR="00C57BF2">
        <w:rPr>
          <w:rFonts w:ascii="Arial" w:hAnsi="Arial"/>
        </w:rPr>
        <w:t xml:space="preserve">filing </w:t>
      </w:r>
      <w:r w:rsidR="00735FE8">
        <w:rPr>
          <w:rFonts w:ascii="Arial" w:hAnsi="Arial"/>
        </w:rPr>
        <w:t>interlocutory applications in labour appeals using the case number allocated to the appeal concerned.</w:t>
      </w:r>
      <w:r w:rsidR="00A06A10">
        <w:rPr>
          <w:rFonts w:ascii="Arial" w:hAnsi="Arial"/>
        </w:rPr>
        <w:t xml:space="preserve"> To her credit, the </w:t>
      </w:r>
      <w:r w:rsidR="00C57BF2">
        <w:rPr>
          <w:rFonts w:ascii="Arial" w:hAnsi="Arial"/>
        </w:rPr>
        <w:t xml:space="preserve">much-maligned </w:t>
      </w:r>
      <w:r w:rsidR="00A06A10">
        <w:rPr>
          <w:rFonts w:ascii="Arial" w:hAnsi="Arial"/>
        </w:rPr>
        <w:t xml:space="preserve">appellant’s legal practitioner constantly endeavoured to resolve the issues </w:t>
      </w:r>
      <w:r w:rsidR="00735FE8">
        <w:rPr>
          <w:rFonts w:ascii="Arial" w:hAnsi="Arial"/>
        </w:rPr>
        <w:t>and gave a detailed explanation for the entire period of the delay. Moreover</w:t>
      </w:r>
      <w:r w:rsidR="00680D16">
        <w:rPr>
          <w:rFonts w:ascii="Arial" w:hAnsi="Arial"/>
        </w:rPr>
        <w:t xml:space="preserve">, </w:t>
      </w:r>
      <w:r w:rsidR="009758BC">
        <w:rPr>
          <w:rFonts w:ascii="Arial" w:hAnsi="Arial"/>
        </w:rPr>
        <w:t xml:space="preserve">the lack of </w:t>
      </w:r>
      <w:r w:rsidR="00680D16">
        <w:rPr>
          <w:rFonts w:ascii="Arial" w:hAnsi="Arial"/>
        </w:rPr>
        <w:t xml:space="preserve">entirely satisfactory </w:t>
      </w:r>
      <w:r w:rsidR="009758BC">
        <w:rPr>
          <w:rFonts w:ascii="Arial" w:hAnsi="Arial"/>
        </w:rPr>
        <w:t xml:space="preserve">explanation is ameliorated by the prospects of success that appear to </w:t>
      </w:r>
      <w:r w:rsidR="00680D16">
        <w:rPr>
          <w:rFonts w:ascii="Arial" w:hAnsi="Arial"/>
        </w:rPr>
        <w:t xml:space="preserve">me to </w:t>
      </w:r>
      <w:r w:rsidR="009758BC">
        <w:rPr>
          <w:rFonts w:ascii="Arial" w:hAnsi="Arial"/>
        </w:rPr>
        <w:t xml:space="preserve">be good. </w:t>
      </w:r>
      <w:r w:rsidR="00C57BF2">
        <w:rPr>
          <w:rFonts w:ascii="Arial" w:hAnsi="Arial"/>
        </w:rPr>
        <w:t xml:space="preserve">On this aspect and </w:t>
      </w:r>
      <w:r w:rsidR="00F9426E">
        <w:rPr>
          <w:rFonts w:ascii="Arial" w:hAnsi="Arial"/>
        </w:rPr>
        <w:t>s</w:t>
      </w:r>
      <w:r w:rsidR="00A858E0">
        <w:rPr>
          <w:rFonts w:ascii="Arial" w:hAnsi="Arial"/>
        </w:rPr>
        <w:t>peaking tentative</w:t>
      </w:r>
      <w:r w:rsidR="00F9426E">
        <w:rPr>
          <w:rFonts w:ascii="Arial" w:hAnsi="Arial"/>
        </w:rPr>
        <w:t>ly</w:t>
      </w:r>
      <w:r w:rsidR="00A858E0">
        <w:rPr>
          <w:rFonts w:ascii="Arial" w:hAnsi="Arial"/>
        </w:rPr>
        <w:t xml:space="preserve">, my </w:t>
      </w:r>
      <w:r w:rsidR="00777B36" w:rsidRPr="00F9426E">
        <w:rPr>
          <w:rFonts w:ascii="Arial" w:hAnsi="Arial"/>
          <w:i/>
        </w:rPr>
        <w:t>prima facie</w:t>
      </w:r>
      <w:r w:rsidR="00777B36" w:rsidRPr="00777B36">
        <w:rPr>
          <w:rFonts w:ascii="Arial" w:hAnsi="Arial"/>
        </w:rPr>
        <w:t xml:space="preserve"> view is that on a purely point of law as to the ambit and scope of s 5 of the Labour Act as well as its application to the facts of the case, another court may </w:t>
      </w:r>
      <w:r w:rsidR="00C96B80">
        <w:rPr>
          <w:rFonts w:ascii="Arial" w:hAnsi="Arial"/>
        </w:rPr>
        <w:t xml:space="preserve">well </w:t>
      </w:r>
      <w:r w:rsidR="00777B36" w:rsidRPr="00777B36">
        <w:rPr>
          <w:rFonts w:ascii="Arial" w:hAnsi="Arial"/>
        </w:rPr>
        <w:t>come to a conclusion</w:t>
      </w:r>
      <w:r w:rsidR="00062008">
        <w:rPr>
          <w:rFonts w:ascii="Arial" w:hAnsi="Arial"/>
        </w:rPr>
        <w:t xml:space="preserve"> different from the one </w:t>
      </w:r>
      <w:r w:rsidR="00F9426E">
        <w:rPr>
          <w:rFonts w:ascii="Arial" w:hAnsi="Arial"/>
        </w:rPr>
        <w:t xml:space="preserve">arrived at by </w:t>
      </w:r>
      <w:r w:rsidR="00062008">
        <w:rPr>
          <w:rFonts w:ascii="Arial" w:hAnsi="Arial"/>
        </w:rPr>
        <w:t>the arbitrator</w:t>
      </w:r>
      <w:r w:rsidR="00777B36" w:rsidRPr="00777B36">
        <w:rPr>
          <w:rFonts w:ascii="Arial" w:hAnsi="Arial"/>
        </w:rPr>
        <w:t>.</w:t>
      </w:r>
      <w:r w:rsidR="00777B36">
        <w:rPr>
          <w:rFonts w:ascii="Arial" w:hAnsi="Arial"/>
        </w:rPr>
        <w:t xml:space="preserve"> </w:t>
      </w:r>
    </w:p>
    <w:p w:rsidR="00F9426E" w:rsidRPr="00F9426E" w:rsidRDefault="00F9426E" w:rsidP="00F9426E">
      <w:pPr>
        <w:spacing w:line="480" w:lineRule="auto"/>
        <w:jc w:val="both"/>
        <w:rPr>
          <w:rFonts w:ascii="Arial" w:hAnsi="Arial"/>
        </w:rPr>
      </w:pPr>
    </w:p>
    <w:p w:rsidR="007540AD" w:rsidRDefault="008418C7" w:rsidP="00294029">
      <w:pPr>
        <w:pStyle w:val="ListParagraph"/>
        <w:numPr>
          <w:ilvl w:val="0"/>
          <w:numId w:val="1"/>
        </w:numPr>
        <w:spacing w:line="480" w:lineRule="auto"/>
        <w:jc w:val="both"/>
        <w:rPr>
          <w:rFonts w:ascii="Arial" w:hAnsi="Arial"/>
        </w:rPr>
      </w:pPr>
      <w:r>
        <w:rPr>
          <w:rFonts w:ascii="Arial" w:hAnsi="Arial"/>
        </w:rPr>
        <w:t>We were informed from the Bar that only the notice of appeal and the arbitration award served before the learned judge who presided over the applications in the Labour Court, but that the record of arbitration proceedings had been uploaded on the e-justice system. It was thus possible for the judge to have had sight of the record had its existence on the e-justice been brought to the judge’s attention. I</w:t>
      </w:r>
      <w:r w:rsidR="00F05C12">
        <w:rPr>
          <w:rFonts w:ascii="Arial" w:hAnsi="Arial"/>
        </w:rPr>
        <w:t xml:space="preserve">n my respectful view, the determination </w:t>
      </w:r>
      <w:r w:rsidR="00C57BF2">
        <w:rPr>
          <w:rFonts w:ascii="Arial" w:hAnsi="Arial"/>
        </w:rPr>
        <w:t xml:space="preserve">of the existence of </w:t>
      </w:r>
      <w:r w:rsidR="00F05C12">
        <w:rPr>
          <w:rFonts w:ascii="Arial" w:hAnsi="Arial"/>
        </w:rPr>
        <w:t xml:space="preserve">prospects of success </w:t>
      </w:r>
      <w:r w:rsidR="00C57BF2">
        <w:rPr>
          <w:rFonts w:ascii="Arial" w:hAnsi="Arial"/>
        </w:rPr>
        <w:t xml:space="preserve">or otherwise </w:t>
      </w:r>
      <w:r w:rsidR="00F05C12">
        <w:rPr>
          <w:rFonts w:ascii="Arial" w:hAnsi="Arial"/>
        </w:rPr>
        <w:t xml:space="preserve">could </w:t>
      </w:r>
      <w:r>
        <w:rPr>
          <w:rFonts w:ascii="Arial" w:hAnsi="Arial"/>
        </w:rPr>
        <w:t xml:space="preserve">be </w:t>
      </w:r>
      <w:r w:rsidR="00C57BF2">
        <w:rPr>
          <w:rFonts w:ascii="Arial" w:hAnsi="Arial"/>
        </w:rPr>
        <w:t xml:space="preserve">made </w:t>
      </w:r>
      <w:r w:rsidR="00F9426E">
        <w:rPr>
          <w:rFonts w:ascii="Arial" w:hAnsi="Arial"/>
        </w:rPr>
        <w:t xml:space="preserve">even </w:t>
      </w:r>
      <w:r w:rsidR="00C57BF2">
        <w:rPr>
          <w:rFonts w:ascii="Arial" w:hAnsi="Arial"/>
        </w:rPr>
        <w:t xml:space="preserve">on the basis of </w:t>
      </w:r>
      <w:r>
        <w:rPr>
          <w:rFonts w:ascii="Arial" w:hAnsi="Arial"/>
        </w:rPr>
        <w:t xml:space="preserve">the </w:t>
      </w:r>
      <w:r w:rsidR="00412D74">
        <w:rPr>
          <w:rFonts w:ascii="Arial" w:hAnsi="Arial"/>
        </w:rPr>
        <w:t xml:space="preserve">record </w:t>
      </w:r>
      <w:r>
        <w:rPr>
          <w:rFonts w:ascii="Arial" w:hAnsi="Arial"/>
        </w:rPr>
        <w:t>that served before the Labour Court</w:t>
      </w:r>
      <w:r w:rsidR="00F9426E">
        <w:rPr>
          <w:rFonts w:ascii="Arial" w:hAnsi="Arial"/>
        </w:rPr>
        <w:t xml:space="preserve"> alone</w:t>
      </w:r>
      <w:r>
        <w:rPr>
          <w:rFonts w:ascii="Arial" w:hAnsi="Arial"/>
        </w:rPr>
        <w:t xml:space="preserve">. </w:t>
      </w:r>
      <w:r w:rsidR="00C57BF2">
        <w:rPr>
          <w:rFonts w:ascii="Arial" w:hAnsi="Arial"/>
        </w:rPr>
        <w:t xml:space="preserve">Indeed, the Labour Court made that determination without the benefit of the record of arbitration proceedings as it has now come to light. </w:t>
      </w:r>
      <w:r w:rsidR="00777B36">
        <w:rPr>
          <w:rFonts w:ascii="Arial" w:hAnsi="Arial"/>
        </w:rPr>
        <w:t>As to the question whether a lapsed labour appeal may be reinstated, the Labour Court clearly erred when it held t</w:t>
      </w:r>
      <w:r w:rsidR="00412D74">
        <w:rPr>
          <w:rFonts w:ascii="Arial" w:hAnsi="Arial"/>
        </w:rPr>
        <w:t>hat it could not</w:t>
      </w:r>
      <w:r w:rsidR="00777B36">
        <w:rPr>
          <w:rFonts w:ascii="Arial" w:hAnsi="Arial"/>
        </w:rPr>
        <w:t xml:space="preserve">. </w:t>
      </w:r>
      <w:r w:rsidR="009D71DC">
        <w:rPr>
          <w:rFonts w:ascii="Arial" w:hAnsi="Arial"/>
        </w:rPr>
        <w:t>The</w:t>
      </w:r>
      <w:r w:rsidR="00777B36">
        <w:rPr>
          <w:rFonts w:ascii="Arial" w:hAnsi="Arial"/>
        </w:rPr>
        <w:t>re can be no doubt that a lapsed appeal may be revived by a successful application for condonation and reinstatement.</w:t>
      </w:r>
      <w:r w:rsidR="009D71DC">
        <w:rPr>
          <w:rFonts w:ascii="Arial" w:hAnsi="Arial"/>
        </w:rPr>
        <w:t xml:space="preserve"> </w:t>
      </w:r>
      <w:r w:rsidR="00777B36">
        <w:rPr>
          <w:rFonts w:ascii="Arial" w:hAnsi="Arial"/>
        </w:rPr>
        <w:t xml:space="preserve">The </w:t>
      </w:r>
      <w:r w:rsidR="00777B36" w:rsidRPr="007540AD">
        <w:rPr>
          <w:rFonts w:ascii="Arial" w:hAnsi="Arial"/>
          <w:i/>
        </w:rPr>
        <w:t>Tjiuma v Meatco</w:t>
      </w:r>
      <w:r w:rsidR="00777B36">
        <w:rPr>
          <w:rFonts w:ascii="Arial" w:hAnsi="Arial"/>
        </w:rPr>
        <w:t xml:space="preserve"> case is not authority for the proposition that this cannot be done. </w:t>
      </w:r>
      <w:r w:rsidR="007E3E98">
        <w:rPr>
          <w:rFonts w:ascii="Arial" w:hAnsi="Arial"/>
        </w:rPr>
        <w:t>In para</w:t>
      </w:r>
      <w:r w:rsidR="00452FF4">
        <w:rPr>
          <w:rFonts w:ascii="Arial" w:hAnsi="Arial"/>
        </w:rPr>
        <w:t xml:space="preserve"> </w:t>
      </w:r>
      <w:r w:rsidR="007E3E98">
        <w:rPr>
          <w:rFonts w:ascii="Arial" w:hAnsi="Arial"/>
        </w:rPr>
        <w:t xml:space="preserve">5 of that judgment, the </w:t>
      </w:r>
      <w:r w:rsidR="00F9426E">
        <w:rPr>
          <w:rFonts w:ascii="Arial" w:hAnsi="Arial"/>
        </w:rPr>
        <w:t>presiding</w:t>
      </w:r>
      <w:r w:rsidR="007E3E98">
        <w:rPr>
          <w:rFonts w:ascii="Arial" w:hAnsi="Arial"/>
        </w:rPr>
        <w:t xml:space="preserve"> judge noted that the reason why the appeal in that case could not be reinstated was because, ‘no application </w:t>
      </w:r>
      <w:r w:rsidR="00062008">
        <w:rPr>
          <w:rFonts w:ascii="Arial" w:hAnsi="Arial"/>
        </w:rPr>
        <w:t>[</w:t>
      </w:r>
      <w:r w:rsidR="007E3E98">
        <w:rPr>
          <w:rFonts w:ascii="Arial" w:hAnsi="Arial"/>
        </w:rPr>
        <w:t>ha</w:t>
      </w:r>
      <w:r w:rsidR="00062008">
        <w:rPr>
          <w:rFonts w:ascii="Arial" w:hAnsi="Arial"/>
        </w:rPr>
        <w:t>d]</w:t>
      </w:r>
      <w:r w:rsidR="007E3E98">
        <w:rPr>
          <w:rFonts w:ascii="Arial" w:hAnsi="Arial"/>
        </w:rPr>
        <w:t xml:space="preserve"> been made to the court to condone applicant’s failure to comply with subrule (17), read with subrule (25), of rule 17 [of the Labour Act]’ </w:t>
      </w:r>
      <w:r w:rsidR="007540AD">
        <w:rPr>
          <w:rFonts w:ascii="Arial" w:hAnsi="Arial"/>
        </w:rPr>
        <w:t>and not because the Labour Act ha</w:t>
      </w:r>
      <w:r w:rsidR="00062008">
        <w:rPr>
          <w:rFonts w:ascii="Arial" w:hAnsi="Arial"/>
        </w:rPr>
        <w:t>d</w:t>
      </w:r>
      <w:r w:rsidR="007540AD">
        <w:rPr>
          <w:rFonts w:ascii="Arial" w:hAnsi="Arial"/>
        </w:rPr>
        <w:t xml:space="preserve"> not given the court the power to reinstate a lapsed appeal. </w:t>
      </w:r>
    </w:p>
    <w:p w:rsidR="007540AD" w:rsidRPr="007540AD" w:rsidRDefault="007540AD" w:rsidP="007540AD">
      <w:pPr>
        <w:spacing w:line="480" w:lineRule="auto"/>
        <w:jc w:val="both"/>
        <w:rPr>
          <w:rFonts w:ascii="Arial" w:hAnsi="Arial"/>
          <w:u w:val="single"/>
        </w:rPr>
      </w:pPr>
      <w:r w:rsidRPr="007540AD">
        <w:rPr>
          <w:rFonts w:ascii="Arial" w:hAnsi="Arial"/>
          <w:u w:val="single"/>
        </w:rPr>
        <w:t>Conclusion</w:t>
      </w:r>
    </w:p>
    <w:p w:rsidR="00E07005" w:rsidRPr="00294029" w:rsidRDefault="007540AD" w:rsidP="00294029">
      <w:pPr>
        <w:pStyle w:val="ListParagraph"/>
        <w:numPr>
          <w:ilvl w:val="0"/>
          <w:numId w:val="1"/>
        </w:numPr>
        <w:spacing w:line="480" w:lineRule="auto"/>
        <w:jc w:val="both"/>
        <w:rPr>
          <w:rFonts w:ascii="Arial" w:hAnsi="Arial"/>
        </w:rPr>
      </w:pPr>
      <w:r>
        <w:rPr>
          <w:rFonts w:ascii="Arial" w:hAnsi="Arial"/>
        </w:rPr>
        <w:t>In the result, it has been found that although the explanation for the failure to prosecute the appeal was not entirely satisfactory</w:t>
      </w:r>
      <w:r w:rsidR="00062008">
        <w:rPr>
          <w:rFonts w:ascii="Arial" w:hAnsi="Arial"/>
        </w:rPr>
        <w:t>,</w:t>
      </w:r>
      <w:r>
        <w:rPr>
          <w:rFonts w:ascii="Arial" w:hAnsi="Arial"/>
        </w:rPr>
        <w:t xml:space="preserve"> there appears to be good prospects of success of the appeal on the merits. Moreover, the view that a lapsed labour appeal can never be reinstated is palpably wrong. The </w:t>
      </w:r>
      <w:r w:rsidR="002E6889">
        <w:rPr>
          <w:rFonts w:ascii="Arial" w:hAnsi="Arial"/>
        </w:rPr>
        <w:t>L</w:t>
      </w:r>
      <w:r>
        <w:rPr>
          <w:rFonts w:ascii="Arial" w:hAnsi="Arial"/>
        </w:rPr>
        <w:t xml:space="preserve">abour Court ought therefore to have </w:t>
      </w:r>
      <w:r w:rsidR="008418C7">
        <w:rPr>
          <w:rFonts w:ascii="Arial" w:hAnsi="Arial"/>
        </w:rPr>
        <w:t xml:space="preserve">granted </w:t>
      </w:r>
      <w:r>
        <w:rPr>
          <w:rFonts w:ascii="Arial" w:hAnsi="Arial"/>
        </w:rPr>
        <w:t>the applications for condonation, extension and reinstatement of the appeal</w:t>
      </w:r>
      <w:r w:rsidR="009D71DC">
        <w:rPr>
          <w:rFonts w:ascii="Arial" w:hAnsi="Arial"/>
        </w:rPr>
        <w:t xml:space="preserve">. In </w:t>
      </w:r>
      <w:r w:rsidR="00062008">
        <w:rPr>
          <w:rFonts w:ascii="Arial" w:hAnsi="Arial"/>
        </w:rPr>
        <w:t xml:space="preserve">light </w:t>
      </w:r>
      <w:r w:rsidR="009D71DC">
        <w:rPr>
          <w:rFonts w:ascii="Arial" w:hAnsi="Arial"/>
        </w:rPr>
        <w:t>of th</w:t>
      </w:r>
      <w:r w:rsidR="00062008">
        <w:rPr>
          <w:rFonts w:ascii="Arial" w:hAnsi="Arial"/>
        </w:rPr>
        <w:t xml:space="preserve">is </w:t>
      </w:r>
      <w:r w:rsidR="009D71DC">
        <w:rPr>
          <w:rFonts w:ascii="Arial" w:hAnsi="Arial"/>
        </w:rPr>
        <w:t xml:space="preserve">conclusion, it has become unnecessary to decide some of the other </w:t>
      </w:r>
      <w:r w:rsidR="008418C7">
        <w:rPr>
          <w:rFonts w:ascii="Arial" w:hAnsi="Arial"/>
        </w:rPr>
        <w:t xml:space="preserve">thought-provoking </w:t>
      </w:r>
      <w:r w:rsidR="009D71DC">
        <w:rPr>
          <w:rFonts w:ascii="Arial" w:hAnsi="Arial"/>
        </w:rPr>
        <w:t xml:space="preserve">points </w:t>
      </w:r>
      <w:r w:rsidR="00062008">
        <w:rPr>
          <w:rFonts w:ascii="Arial" w:hAnsi="Arial"/>
        </w:rPr>
        <w:t xml:space="preserve">of </w:t>
      </w:r>
      <w:r w:rsidR="008418C7">
        <w:rPr>
          <w:rFonts w:ascii="Arial" w:hAnsi="Arial"/>
        </w:rPr>
        <w:t xml:space="preserve">argument </w:t>
      </w:r>
      <w:r w:rsidR="009D71DC">
        <w:rPr>
          <w:rFonts w:ascii="Arial" w:hAnsi="Arial"/>
        </w:rPr>
        <w:t xml:space="preserve">raised by counsel on both sides, such as the argument based on </w:t>
      </w:r>
      <w:r w:rsidR="00062008" w:rsidRPr="00062008">
        <w:rPr>
          <w:rFonts w:ascii="Arial" w:hAnsi="Arial"/>
          <w:i/>
        </w:rPr>
        <w:t>lex non cogit ad impossibilia</w:t>
      </w:r>
      <w:r w:rsidR="00062008">
        <w:rPr>
          <w:rFonts w:ascii="Arial" w:hAnsi="Arial"/>
        </w:rPr>
        <w:t xml:space="preserve"> </w:t>
      </w:r>
      <w:r w:rsidR="000B6964">
        <w:rPr>
          <w:rFonts w:ascii="Arial" w:hAnsi="Arial"/>
        </w:rPr>
        <w:t xml:space="preserve">(the law does not compel the performance of impossibilities) </w:t>
      </w:r>
      <w:r w:rsidR="00062008">
        <w:rPr>
          <w:rFonts w:ascii="Arial" w:hAnsi="Arial"/>
        </w:rPr>
        <w:t xml:space="preserve">for the failure to prosecute the appeal </w:t>
      </w:r>
      <w:r w:rsidR="00873ADD">
        <w:rPr>
          <w:rFonts w:ascii="Arial" w:hAnsi="Arial"/>
        </w:rPr>
        <w:t>raised on behalf of the appellant and the contention that the appellant should have</w:t>
      </w:r>
      <w:r w:rsidR="00680D16">
        <w:rPr>
          <w:rFonts w:ascii="Arial" w:hAnsi="Arial"/>
        </w:rPr>
        <w:t xml:space="preserve"> </w:t>
      </w:r>
      <w:r w:rsidR="00873ADD">
        <w:rPr>
          <w:rFonts w:ascii="Arial" w:hAnsi="Arial"/>
        </w:rPr>
        <w:t>applied for the enrolment of the appeal addition</w:t>
      </w:r>
      <w:r w:rsidR="00680D16">
        <w:rPr>
          <w:rFonts w:ascii="Arial" w:hAnsi="Arial"/>
        </w:rPr>
        <w:t>al</w:t>
      </w:r>
      <w:r w:rsidR="00873ADD">
        <w:rPr>
          <w:rFonts w:ascii="Arial" w:hAnsi="Arial"/>
        </w:rPr>
        <w:t xml:space="preserve"> to the application for condonation and reinstatement advanced on behalf of the respondents. </w:t>
      </w:r>
      <w:r w:rsidR="002E6889">
        <w:rPr>
          <w:rFonts w:ascii="Arial" w:hAnsi="Arial"/>
        </w:rPr>
        <w:t xml:space="preserve">As the appeal against the arbitrator’s decision has not been decided by the Labour Court, the matter has to be referred back to that court to decide the appeal. </w:t>
      </w:r>
    </w:p>
    <w:p w:rsidR="00F9426E" w:rsidRDefault="00F9426E" w:rsidP="00062008">
      <w:pPr>
        <w:spacing w:line="480" w:lineRule="auto"/>
        <w:jc w:val="both"/>
        <w:rPr>
          <w:rFonts w:ascii="Arial" w:hAnsi="Arial"/>
          <w:u w:val="single"/>
        </w:rPr>
      </w:pPr>
    </w:p>
    <w:p w:rsidR="00062008" w:rsidRPr="00062008" w:rsidRDefault="00062008" w:rsidP="00062008">
      <w:pPr>
        <w:spacing w:line="480" w:lineRule="auto"/>
        <w:jc w:val="both"/>
        <w:rPr>
          <w:rFonts w:ascii="Arial" w:hAnsi="Arial"/>
          <w:u w:val="single"/>
        </w:rPr>
      </w:pPr>
      <w:r w:rsidRPr="00062008">
        <w:rPr>
          <w:rFonts w:ascii="Arial" w:hAnsi="Arial"/>
          <w:u w:val="single"/>
        </w:rPr>
        <w:t xml:space="preserve">Order </w:t>
      </w:r>
    </w:p>
    <w:p w:rsidR="00A24CAD" w:rsidRDefault="00A24CAD" w:rsidP="00A24CAD">
      <w:pPr>
        <w:pStyle w:val="ListParagraph"/>
        <w:numPr>
          <w:ilvl w:val="0"/>
          <w:numId w:val="1"/>
        </w:numPr>
        <w:spacing w:line="480" w:lineRule="auto"/>
        <w:jc w:val="both"/>
        <w:rPr>
          <w:rFonts w:ascii="Arial" w:hAnsi="Arial"/>
        </w:rPr>
      </w:pPr>
      <w:r w:rsidRPr="003908FA">
        <w:rPr>
          <w:rFonts w:ascii="Arial" w:hAnsi="Arial"/>
        </w:rPr>
        <w:t>The following order is accordingly made:</w:t>
      </w:r>
    </w:p>
    <w:p w:rsidR="00ED4060" w:rsidRPr="003908FA" w:rsidRDefault="00ED4060" w:rsidP="00ED4060">
      <w:pPr>
        <w:pStyle w:val="ListParagraph"/>
        <w:spacing w:line="480" w:lineRule="auto"/>
        <w:ind w:left="0"/>
        <w:jc w:val="both"/>
        <w:rPr>
          <w:rFonts w:ascii="Arial" w:hAnsi="Arial"/>
        </w:rPr>
      </w:pPr>
    </w:p>
    <w:p w:rsidR="00A24CAD" w:rsidRDefault="00A24CAD" w:rsidP="00EA3A1C">
      <w:pPr>
        <w:pStyle w:val="ListParagraph"/>
        <w:numPr>
          <w:ilvl w:val="0"/>
          <w:numId w:val="2"/>
        </w:numPr>
        <w:spacing w:line="480" w:lineRule="auto"/>
        <w:jc w:val="both"/>
        <w:rPr>
          <w:rFonts w:ascii="Arial" w:hAnsi="Arial"/>
        </w:rPr>
      </w:pPr>
      <w:r w:rsidRPr="00EA3A1C">
        <w:rPr>
          <w:rFonts w:ascii="Arial" w:hAnsi="Arial"/>
        </w:rPr>
        <w:t>The appel</w:t>
      </w:r>
      <w:r w:rsidR="001D4607">
        <w:rPr>
          <w:rFonts w:ascii="Arial" w:hAnsi="Arial"/>
        </w:rPr>
        <w:t xml:space="preserve">lant’s appeal against the Labour Court’s dismissal of its applications for extension, condonation and reinstatement is upheld. </w:t>
      </w:r>
      <w:r w:rsidRPr="00EA3A1C">
        <w:rPr>
          <w:rFonts w:ascii="Arial" w:hAnsi="Arial"/>
        </w:rPr>
        <w:t xml:space="preserve"> </w:t>
      </w:r>
    </w:p>
    <w:p w:rsidR="00ED4060" w:rsidRPr="00EA3A1C" w:rsidRDefault="00ED4060" w:rsidP="00ED4060">
      <w:pPr>
        <w:pStyle w:val="ListParagraph"/>
        <w:spacing w:line="480" w:lineRule="auto"/>
        <w:ind w:left="1144"/>
        <w:jc w:val="both"/>
        <w:rPr>
          <w:rFonts w:ascii="Arial" w:hAnsi="Arial"/>
        </w:rPr>
      </w:pPr>
    </w:p>
    <w:p w:rsidR="00EA3A1C" w:rsidRDefault="00EA3A1C" w:rsidP="00F9426E">
      <w:pPr>
        <w:pStyle w:val="ListParagraph"/>
        <w:numPr>
          <w:ilvl w:val="0"/>
          <w:numId w:val="2"/>
        </w:numPr>
        <w:spacing w:line="480" w:lineRule="auto"/>
        <w:ind w:left="1134" w:hanging="425"/>
        <w:contextualSpacing w:val="0"/>
        <w:jc w:val="both"/>
        <w:rPr>
          <w:rFonts w:ascii="Arial" w:hAnsi="Arial"/>
        </w:rPr>
      </w:pPr>
      <w:r>
        <w:rPr>
          <w:rFonts w:ascii="Arial" w:hAnsi="Arial"/>
        </w:rPr>
        <w:t>The order of the Labour Court dismissing the application</w:t>
      </w:r>
      <w:r w:rsidR="001D4607">
        <w:rPr>
          <w:rFonts w:ascii="Arial" w:hAnsi="Arial"/>
        </w:rPr>
        <w:t>s</w:t>
      </w:r>
      <w:r>
        <w:rPr>
          <w:rFonts w:ascii="Arial" w:hAnsi="Arial"/>
        </w:rPr>
        <w:t xml:space="preserve"> for </w:t>
      </w:r>
      <w:r w:rsidR="001D4607">
        <w:rPr>
          <w:rFonts w:ascii="Arial" w:hAnsi="Arial"/>
        </w:rPr>
        <w:t xml:space="preserve">extension, </w:t>
      </w:r>
      <w:r>
        <w:rPr>
          <w:rFonts w:ascii="Arial" w:hAnsi="Arial"/>
        </w:rPr>
        <w:t xml:space="preserve">condonation </w:t>
      </w:r>
      <w:r w:rsidR="001D4607">
        <w:rPr>
          <w:rFonts w:ascii="Arial" w:hAnsi="Arial"/>
        </w:rPr>
        <w:t xml:space="preserve">and reinstatement </w:t>
      </w:r>
      <w:r>
        <w:rPr>
          <w:rFonts w:ascii="Arial" w:hAnsi="Arial"/>
        </w:rPr>
        <w:t xml:space="preserve">is set aside and is </w:t>
      </w:r>
      <w:r w:rsidR="001D4607">
        <w:rPr>
          <w:rFonts w:ascii="Arial" w:hAnsi="Arial"/>
        </w:rPr>
        <w:t xml:space="preserve">substituted for </w:t>
      </w:r>
      <w:r>
        <w:rPr>
          <w:rFonts w:ascii="Arial" w:hAnsi="Arial"/>
        </w:rPr>
        <w:t>the following order:</w:t>
      </w:r>
    </w:p>
    <w:p w:rsidR="00C779A1" w:rsidRDefault="00C779A1" w:rsidP="00EA3A1C">
      <w:pPr>
        <w:spacing w:line="480" w:lineRule="auto"/>
        <w:ind w:left="1440"/>
        <w:jc w:val="both"/>
        <w:rPr>
          <w:rFonts w:ascii="Arial" w:hAnsi="Arial"/>
        </w:rPr>
      </w:pPr>
    </w:p>
    <w:p w:rsidR="00EA3A1C" w:rsidRPr="00EA3A1C" w:rsidRDefault="00EA3A1C" w:rsidP="00EA3A1C">
      <w:pPr>
        <w:spacing w:line="480" w:lineRule="auto"/>
        <w:ind w:left="1440"/>
        <w:jc w:val="both"/>
        <w:rPr>
          <w:rFonts w:ascii="Arial" w:hAnsi="Arial"/>
        </w:rPr>
      </w:pPr>
      <w:r w:rsidRPr="00EA3A1C">
        <w:rPr>
          <w:rFonts w:ascii="Arial" w:hAnsi="Arial"/>
        </w:rPr>
        <w:t>‘The application</w:t>
      </w:r>
      <w:r w:rsidR="001D4607">
        <w:rPr>
          <w:rFonts w:ascii="Arial" w:hAnsi="Arial"/>
        </w:rPr>
        <w:t>s</w:t>
      </w:r>
      <w:r w:rsidRPr="00EA3A1C">
        <w:rPr>
          <w:rFonts w:ascii="Arial" w:hAnsi="Arial"/>
        </w:rPr>
        <w:t xml:space="preserve"> for </w:t>
      </w:r>
      <w:r w:rsidR="00062008">
        <w:rPr>
          <w:rFonts w:ascii="Arial" w:hAnsi="Arial"/>
        </w:rPr>
        <w:t>extension</w:t>
      </w:r>
      <w:r w:rsidR="001D4607">
        <w:rPr>
          <w:rFonts w:ascii="Arial" w:hAnsi="Arial"/>
        </w:rPr>
        <w:t xml:space="preserve">, </w:t>
      </w:r>
      <w:r w:rsidRPr="00EA3A1C">
        <w:rPr>
          <w:rFonts w:ascii="Arial" w:hAnsi="Arial"/>
        </w:rPr>
        <w:t xml:space="preserve">condonation and reinstatement </w:t>
      </w:r>
      <w:r w:rsidR="001D4607">
        <w:rPr>
          <w:rFonts w:ascii="Arial" w:hAnsi="Arial"/>
        </w:rPr>
        <w:t>are</w:t>
      </w:r>
      <w:r w:rsidRPr="00EA3A1C">
        <w:rPr>
          <w:rFonts w:ascii="Arial" w:hAnsi="Arial"/>
        </w:rPr>
        <w:t xml:space="preserve"> granted.</w:t>
      </w:r>
      <w:r w:rsidR="00C7129B">
        <w:rPr>
          <w:rFonts w:ascii="Arial" w:hAnsi="Arial"/>
        </w:rPr>
        <w:t>’</w:t>
      </w:r>
      <w:r w:rsidRPr="00EA3A1C">
        <w:rPr>
          <w:rFonts w:ascii="Arial" w:hAnsi="Arial"/>
        </w:rPr>
        <w:t xml:space="preserve"> </w:t>
      </w:r>
    </w:p>
    <w:p w:rsidR="00C779A1" w:rsidRPr="00C779A1" w:rsidRDefault="00C779A1" w:rsidP="00C779A1">
      <w:pPr>
        <w:spacing w:line="480" w:lineRule="auto"/>
        <w:ind w:left="709"/>
        <w:jc w:val="both"/>
        <w:rPr>
          <w:rFonts w:ascii="Arial" w:hAnsi="Arial"/>
        </w:rPr>
      </w:pPr>
    </w:p>
    <w:p w:rsidR="00F9426E" w:rsidRDefault="00F9426E" w:rsidP="00C779A1">
      <w:pPr>
        <w:pStyle w:val="ListParagraph"/>
        <w:numPr>
          <w:ilvl w:val="0"/>
          <w:numId w:val="2"/>
        </w:numPr>
        <w:spacing w:line="480" w:lineRule="auto"/>
        <w:ind w:left="1134" w:hanging="426"/>
        <w:contextualSpacing w:val="0"/>
        <w:jc w:val="both"/>
        <w:rPr>
          <w:rFonts w:ascii="Arial" w:hAnsi="Arial"/>
        </w:rPr>
      </w:pPr>
      <w:r>
        <w:rPr>
          <w:rFonts w:ascii="Arial" w:hAnsi="Arial"/>
        </w:rPr>
        <w:t xml:space="preserve">The matter is remitted to the </w:t>
      </w:r>
      <w:r w:rsidR="00C779A1">
        <w:rPr>
          <w:rFonts w:ascii="Arial" w:hAnsi="Arial"/>
        </w:rPr>
        <w:t>L</w:t>
      </w:r>
      <w:r>
        <w:rPr>
          <w:rFonts w:ascii="Arial" w:hAnsi="Arial"/>
        </w:rPr>
        <w:t xml:space="preserve">abour Court for adjudication of the appeal against the arbitrator’s award in accordance with the </w:t>
      </w:r>
      <w:r w:rsidR="00C779A1">
        <w:rPr>
          <w:rFonts w:ascii="Arial" w:hAnsi="Arial"/>
        </w:rPr>
        <w:t xml:space="preserve">applicable </w:t>
      </w:r>
      <w:r>
        <w:rPr>
          <w:rFonts w:ascii="Arial" w:hAnsi="Arial"/>
        </w:rPr>
        <w:t xml:space="preserve">Rules of the </w:t>
      </w:r>
      <w:r w:rsidR="00C779A1">
        <w:rPr>
          <w:rFonts w:ascii="Arial" w:hAnsi="Arial"/>
        </w:rPr>
        <w:t>Labour Court before any judge.</w:t>
      </w:r>
      <w:r>
        <w:rPr>
          <w:rFonts w:ascii="Arial" w:hAnsi="Arial"/>
        </w:rPr>
        <w:t xml:space="preserve"> </w:t>
      </w:r>
    </w:p>
    <w:p w:rsidR="00ED4060" w:rsidRDefault="00ED4060" w:rsidP="00ED4060">
      <w:pPr>
        <w:pStyle w:val="ListParagraph"/>
        <w:spacing w:line="480" w:lineRule="auto"/>
        <w:ind w:left="1134"/>
        <w:contextualSpacing w:val="0"/>
        <w:jc w:val="both"/>
        <w:rPr>
          <w:rFonts w:ascii="Arial" w:hAnsi="Arial"/>
        </w:rPr>
      </w:pPr>
    </w:p>
    <w:p w:rsidR="00A24CAD" w:rsidRPr="00534351" w:rsidRDefault="00A24CAD" w:rsidP="002E6889">
      <w:pPr>
        <w:pStyle w:val="ListParagraph"/>
        <w:numPr>
          <w:ilvl w:val="0"/>
          <w:numId w:val="2"/>
        </w:numPr>
        <w:spacing w:line="480" w:lineRule="auto"/>
        <w:ind w:left="1134" w:hanging="425"/>
        <w:contextualSpacing w:val="0"/>
        <w:jc w:val="both"/>
        <w:rPr>
          <w:rFonts w:ascii="Arial" w:hAnsi="Arial"/>
        </w:rPr>
      </w:pPr>
      <w:r>
        <w:rPr>
          <w:rFonts w:ascii="Arial" w:hAnsi="Arial"/>
        </w:rPr>
        <w:t>No order as to costs is made.</w:t>
      </w:r>
    </w:p>
    <w:p w:rsidR="00A24CAD" w:rsidRDefault="00A24CAD" w:rsidP="00A24CAD">
      <w:pPr>
        <w:jc w:val="both"/>
        <w:rPr>
          <w:rFonts w:ascii="Arial" w:hAnsi="Arial"/>
        </w:rPr>
      </w:pPr>
    </w:p>
    <w:p w:rsidR="00A24CAD" w:rsidRDefault="00A24CAD" w:rsidP="00A24CAD">
      <w:pPr>
        <w:jc w:val="both"/>
        <w:rPr>
          <w:rFonts w:ascii="Arial" w:hAnsi="Arial"/>
        </w:rPr>
      </w:pPr>
    </w:p>
    <w:p w:rsidR="00A24CAD" w:rsidRDefault="00A24CAD" w:rsidP="00A24CAD">
      <w:pPr>
        <w:jc w:val="both"/>
        <w:rPr>
          <w:rFonts w:ascii="Arial" w:hAnsi="Arial" w:cs="Arial"/>
        </w:rPr>
      </w:pPr>
    </w:p>
    <w:p w:rsidR="00C7129B" w:rsidRDefault="00C7129B" w:rsidP="00A24CAD">
      <w:pPr>
        <w:jc w:val="both"/>
        <w:rPr>
          <w:rFonts w:ascii="Arial" w:hAnsi="Arial" w:cs="Arial"/>
        </w:rPr>
      </w:pPr>
    </w:p>
    <w:p w:rsidR="00C7129B" w:rsidRDefault="00C7129B" w:rsidP="00A24CAD">
      <w:pPr>
        <w:jc w:val="both"/>
        <w:rPr>
          <w:rFonts w:ascii="Arial" w:hAnsi="Arial" w:cs="Arial"/>
        </w:rPr>
      </w:pPr>
    </w:p>
    <w:p w:rsidR="00ED4060" w:rsidRPr="00681B8B" w:rsidRDefault="00ED4060" w:rsidP="00A24CAD">
      <w:pPr>
        <w:jc w:val="both"/>
        <w:rPr>
          <w:rFonts w:ascii="Arial" w:hAnsi="Arial" w:cs="Arial"/>
        </w:rPr>
      </w:pPr>
    </w:p>
    <w:p w:rsidR="00A24CAD" w:rsidRPr="00681B8B" w:rsidRDefault="00A24CAD" w:rsidP="00A24CAD">
      <w:pPr>
        <w:jc w:val="both"/>
        <w:rPr>
          <w:rFonts w:ascii="Arial" w:hAnsi="Arial" w:cs="Arial"/>
        </w:rPr>
      </w:pPr>
      <w:r w:rsidRPr="00681B8B">
        <w:rPr>
          <w:rFonts w:ascii="Arial" w:hAnsi="Arial" w:cs="Arial"/>
        </w:rPr>
        <w:t>_________________________</w:t>
      </w:r>
    </w:p>
    <w:p w:rsidR="00A24CAD" w:rsidRPr="00681B8B" w:rsidRDefault="00A24CAD" w:rsidP="00A24CAD">
      <w:pPr>
        <w:rPr>
          <w:rFonts w:ascii="Arial" w:hAnsi="Arial" w:cs="Arial"/>
          <w:b/>
        </w:rPr>
      </w:pPr>
      <w:r w:rsidRPr="00681B8B">
        <w:rPr>
          <w:rFonts w:ascii="Arial" w:hAnsi="Arial" w:cs="Arial"/>
          <w:b/>
        </w:rPr>
        <w:t>SHIVUTE CJ</w:t>
      </w:r>
    </w:p>
    <w:p w:rsidR="00A24CAD" w:rsidRPr="00681B8B" w:rsidRDefault="00A24CAD" w:rsidP="00A24CAD">
      <w:pPr>
        <w:rPr>
          <w:rFonts w:ascii="Arial" w:hAnsi="Arial" w:cs="Arial"/>
        </w:rPr>
      </w:pPr>
    </w:p>
    <w:p w:rsidR="00A24CAD" w:rsidRDefault="00A24CAD" w:rsidP="00A24CAD">
      <w:pPr>
        <w:rPr>
          <w:rFonts w:ascii="Arial" w:hAnsi="Arial" w:cs="Arial"/>
        </w:rPr>
      </w:pPr>
    </w:p>
    <w:p w:rsidR="00ED4060" w:rsidRPr="00681B8B" w:rsidRDefault="00ED4060" w:rsidP="00A24CAD">
      <w:pPr>
        <w:rPr>
          <w:rFonts w:ascii="Arial" w:hAnsi="Arial" w:cs="Arial"/>
        </w:rPr>
      </w:pPr>
    </w:p>
    <w:p w:rsidR="00A24CAD" w:rsidRPr="00681B8B" w:rsidRDefault="00A24CAD" w:rsidP="00A24CAD">
      <w:pPr>
        <w:rPr>
          <w:rFonts w:ascii="Arial" w:hAnsi="Arial" w:cs="Arial"/>
        </w:rPr>
      </w:pPr>
    </w:p>
    <w:p w:rsidR="00A24CAD" w:rsidRPr="00681B8B" w:rsidRDefault="00A24CAD" w:rsidP="00A24CAD">
      <w:pPr>
        <w:rPr>
          <w:rFonts w:ascii="Arial" w:hAnsi="Arial" w:cs="Arial"/>
        </w:rPr>
      </w:pPr>
      <w:r w:rsidRPr="00681B8B">
        <w:rPr>
          <w:rFonts w:ascii="Arial" w:hAnsi="Arial" w:cs="Arial"/>
        </w:rPr>
        <w:t>____________</w:t>
      </w:r>
      <w:r>
        <w:rPr>
          <w:rFonts w:ascii="Arial" w:hAnsi="Arial" w:cs="Arial"/>
        </w:rPr>
        <w:t>______________</w:t>
      </w:r>
    </w:p>
    <w:p w:rsidR="00A24CAD" w:rsidRPr="00534351" w:rsidRDefault="00B21F23" w:rsidP="00A24CAD">
      <w:pPr>
        <w:rPr>
          <w:rFonts w:ascii="Arial" w:hAnsi="Arial" w:cs="Arial"/>
          <w:b/>
        </w:rPr>
      </w:pPr>
      <w:r>
        <w:rPr>
          <w:rFonts w:ascii="Arial" w:hAnsi="Arial" w:cs="Arial"/>
          <w:b/>
        </w:rPr>
        <w:t xml:space="preserve">SMUTS </w:t>
      </w:r>
      <w:r w:rsidR="00A24CAD" w:rsidRPr="00534351">
        <w:rPr>
          <w:rFonts w:ascii="Arial" w:hAnsi="Arial" w:cs="Arial"/>
          <w:b/>
        </w:rPr>
        <w:t>JA</w:t>
      </w:r>
    </w:p>
    <w:p w:rsidR="00A24CAD" w:rsidRDefault="00A24CAD" w:rsidP="00A24CAD">
      <w:pPr>
        <w:rPr>
          <w:rFonts w:ascii="Arial" w:hAnsi="Arial" w:cs="Arial"/>
        </w:rPr>
      </w:pPr>
    </w:p>
    <w:p w:rsidR="00A24CAD" w:rsidRPr="00681B8B" w:rsidRDefault="00A24CAD" w:rsidP="00A24CAD">
      <w:pPr>
        <w:rPr>
          <w:rFonts w:ascii="Arial" w:hAnsi="Arial" w:cs="Arial"/>
        </w:rPr>
      </w:pPr>
    </w:p>
    <w:p w:rsidR="00A24CAD" w:rsidRDefault="00A24CAD" w:rsidP="00A24CAD">
      <w:pPr>
        <w:rPr>
          <w:rFonts w:ascii="Arial" w:hAnsi="Arial" w:cs="Arial"/>
        </w:rPr>
      </w:pPr>
    </w:p>
    <w:p w:rsidR="00ED4060" w:rsidRPr="00681B8B" w:rsidRDefault="00ED4060" w:rsidP="00A24CAD">
      <w:pPr>
        <w:rPr>
          <w:rFonts w:ascii="Arial" w:hAnsi="Arial" w:cs="Arial"/>
        </w:rPr>
      </w:pPr>
    </w:p>
    <w:p w:rsidR="00A24CAD" w:rsidRPr="00681B8B" w:rsidRDefault="00A24CAD" w:rsidP="00A24CAD">
      <w:pPr>
        <w:rPr>
          <w:rFonts w:ascii="Arial" w:hAnsi="Arial" w:cs="Arial"/>
        </w:rPr>
      </w:pPr>
      <w:r w:rsidRPr="00681B8B">
        <w:rPr>
          <w:rFonts w:ascii="Arial" w:hAnsi="Arial" w:cs="Arial"/>
        </w:rPr>
        <w:t>_________________________</w:t>
      </w:r>
    </w:p>
    <w:p w:rsidR="00A24CAD" w:rsidRPr="00534351" w:rsidRDefault="00B21F23" w:rsidP="00A24CAD">
      <w:pPr>
        <w:rPr>
          <w:rFonts w:ascii="Arial" w:hAnsi="Arial" w:cs="Arial"/>
          <w:b/>
        </w:rPr>
      </w:pPr>
      <w:r>
        <w:rPr>
          <w:rFonts w:ascii="Arial" w:hAnsi="Arial" w:cs="Arial"/>
          <w:b/>
        </w:rPr>
        <w:t>FRANK</w:t>
      </w:r>
      <w:r w:rsidR="00A24CAD" w:rsidRPr="00534351">
        <w:rPr>
          <w:rFonts w:ascii="Arial" w:hAnsi="Arial" w:cs="Arial"/>
          <w:b/>
        </w:rPr>
        <w:t xml:space="preserve"> </w:t>
      </w:r>
      <w:r w:rsidR="00A24CAD">
        <w:rPr>
          <w:rFonts w:ascii="Arial" w:hAnsi="Arial" w:cs="Arial"/>
          <w:b/>
        </w:rPr>
        <w:t>A</w:t>
      </w:r>
      <w:r w:rsidR="00A24CAD" w:rsidRPr="00534351">
        <w:rPr>
          <w:rFonts w:ascii="Arial" w:hAnsi="Arial" w:cs="Arial"/>
          <w:b/>
        </w:rPr>
        <w:t>JA</w:t>
      </w:r>
    </w:p>
    <w:p w:rsidR="00A24CAD" w:rsidRDefault="00A24CAD" w:rsidP="00A24CAD">
      <w:pPr>
        <w:rPr>
          <w:rFonts w:ascii="Arial" w:hAnsi="Arial"/>
        </w:rPr>
      </w:pPr>
    </w:p>
    <w:p w:rsidR="00A24CAD" w:rsidRDefault="00A24CAD" w:rsidP="00A24CAD">
      <w:pPr>
        <w:rPr>
          <w:rFonts w:ascii="Arial" w:hAnsi="Arial"/>
        </w:rPr>
      </w:pPr>
    </w:p>
    <w:p w:rsidR="00C7129B" w:rsidRDefault="00C7129B" w:rsidP="00A24CAD">
      <w:pPr>
        <w:rPr>
          <w:rFonts w:ascii="Arial" w:hAnsi="Arial"/>
        </w:rPr>
      </w:pPr>
    </w:p>
    <w:p w:rsidR="00A24CAD" w:rsidRDefault="00A24CAD" w:rsidP="00A24CAD">
      <w:pPr>
        <w:rPr>
          <w:rFonts w:ascii="Arial" w:hAnsi="Arial"/>
        </w:rPr>
      </w:pPr>
    </w:p>
    <w:p w:rsidR="00A24CAD" w:rsidRDefault="00A24CAD" w:rsidP="00A24CAD">
      <w:pPr>
        <w:rPr>
          <w:rFonts w:ascii="Arial" w:hAnsi="Arial"/>
        </w:rPr>
      </w:pPr>
      <w:r>
        <w:rPr>
          <w:rFonts w:ascii="Arial" w:hAnsi="Arial"/>
        </w:rPr>
        <w:br w:type="page"/>
      </w:r>
    </w:p>
    <w:p w:rsidR="00A24CAD" w:rsidRDefault="00A24CAD" w:rsidP="00D66605">
      <w:pPr>
        <w:spacing w:line="480" w:lineRule="auto"/>
        <w:jc w:val="both"/>
        <w:rPr>
          <w:rFonts w:ascii="Arial" w:hAnsi="Arial"/>
        </w:rPr>
      </w:pPr>
      <w:r>
        <w:rPr>
          <w:rFonts w:ascii="Arial" w:hAnsi="Arial"/>
        </w:rPr>
        <w:t>APPEARANCES</w:t>
      </w:r>
    </w:p>
    <w:p w:rsidR="00A24CAD" w:rsidRDefault="00A24CAD" w:rsidP="00D66605">
      <w:pPr>
        <w:spacing w:line="480" w:lineRule="auto"/>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5330"/>
      </w:tblGrid>
      <w:tr w:rsidR="00A24CAD" w:rsidTr="00C779A1">
        <w:tc>
          <w:tcPr>
            <w:tcW w:w="3510" w:type="dxa"/>
          </w:tcPr>
          <w:p w:rsidR="00A24CAD" w:rsidRDefault="00A24CAD" w:rsidP="00D66605">
            <w:pPr>
              <w:spacing w:line="480" w:lineRule="auto"/>
              <w:ind w:hanging="108"/>
              <w:jc w:val="both"/>
              <w:rPr>
                <w:rFonts w:ascii="Arial" w:hAnsi="Arial"/>
              </w:rPr>
            </w:pPr>
            <w:r>
              <w:rPr>
                <w:rFonts w:ascii="Arial" w:hAnsi="Arial"/>
              </w:rPr>
              <w:t>APPELLANT:</w:t>
            </w:r>
          </w:p>
          <w:p w:rsidR="00A24CAD" w:rsidRDefault="00A24CAD" w:rsidP="00D66605">
            <w:pPr>
              <w:spacing w:line="480" w:lineRule="auto"/>
              <w:jc w:val="both"/>
              <w:rPr>
                <w:rFonts w:ascii="Arial" w:hAnsi="Arial"/>
              </w:rPr>
            </w:pPr>
          </w:p>
          <w:p w:rsidR="00A24CAD" w:rsidRDefault="00A24CAD" w:rsidP="00D66605">
            <w:pPr>
              <w:spacing w:line="480" w:lineRule="auto"/>
              <w:jc w:val="both"/>
              <w:rPr>
                <w:rFonts w:ascii="Arial" w:hAnsi="Arial"/>
              </w:rPr>
            </w:pPr>
          </w:p>
          <w:p w:rsidR="00ED4060" w:rsidRDefault="00ED4060" w:rsidP="00D66605">
            <w:pPr>
              <w:spacing w:line="480" w:lineRule="auto"/>
              <w:jc w:val="both"/>
              <w:rPr>
                <w:rFonts w:ascii="Arial" w:hAnsi="Arial"/>
              </w:rPr>
            </w:pPr>
          </w:p>
          <w:p w:rsidR="00A24CAD" w:rsidRDefault="00ED4060" w:rsidP="00DD4BDD">
            <w:pPr>
              <w:spacing w:line="480" w:lineRule="auto"/>
              <w:ind w:left="-108"/>
              <w:jc w:val="both"/>
              <w:rPr>
                <w:rFonts w:ascii="Arial" w:hAnsi="Arial"/>
              </w:rPr>
            </w:pPr>
            <w:r>
              <w:rPr>
                <w:rFonts w:ascii="Arial" w:hAnsi="Arial"/>
              </w:rPr>
              <w:t>FIRST</w:t>
            </w:r>
            <w:r w:rsidR="001D6C3E">
              <w:rPr>
                <w:rFonts w:ascii="Arial" w:hAnsi="Arial"/>
              </w:rPr>
              <w:t xml:space="preserve"> and </w:t>
            </w:r>
            <w:r>
              <w:rPr>
                <w:rFonts w:ascii="Arial" w:hAnsi="Arial"/>
              </w:rPr>
              <w:t>SECOND</w:t>
            </w:r>
            <w:r w:rsidR="001D6C3E">
              <w:rPr>
                <w:rFonts w:ascii="Arial" w:hAnsi="Arial"/>
              </w:rPr>
              <w:t xml:space="preserve"> </w:t>
            </w:r>
            <w:r w:rsidR="00A24CAD">
              <w:rPr>
                <w:rFonts w:ascii="Arial" w:hAnsi="Arial"/>
              </w:rPr>
              <w:t>RESPONDENT</w:t>
            </w:r>
            <w:r w:rsidR="001D6C3E">
              <w:rPr>
                <w:rFonts w:ascii="Arial" w:hAnsi="Arial"/>
              </w:rPr>
              <w:t>S</w:t>
            </w:r>
            <w:r w:rsidR="00A24CAD">
              <w:rPr>
                <w:rFonts w:ascii="Arial" w:hAnsi="Arial"/>
              </w:rPr>
              <w:t>:</w:t>
            </w:r>
          </w:p>
        </w:tc>
        <w:tc>
          <w:tcPr>
            <w:tcW w:w="5487" w:type="dxa"/>
          </w:tcPr>
          <w:p w:rsidR="00A24CAD" w:rsidRDefault="00B5101E" w:rsidP="00D66605">
            <w:pPr>
              <w:spacing w:line="480" w:lineRule="auto"/>
              <w:ind w:firstLine="176"/>
              <w:jc w:val="both"/>
              <w:rPr>
                <w:rFonts w:ascii="Arial" w:hAnsi="Arial"/>
              </w:rPr>
            </w:pPr>
            <w:r>
              <w:rPr>
                <w:rFonts w:ascii="Arial" w:hAnsi="Arial"/>
              </w:rPr>
              <w:t>R</w:t>
            </w:r>
            <w:r w:rsidR="00A24CAD">
              <w:rPr>
                <w:rFonts w:ascii="Arial" w:hAnsi="Arial"/>
              </w:rPr>
              <w:t xml:space="preserve"> </w:t>
            </w:r>
            <w:r w:rsidR="00CA1F29">
              <w:rPr>
                <w:rFonts w:ascii="Arial" w:hAnsi="Arial"/>
              </w:rPr>
              <w:t>Heathcote (</w:t>
            </w:r>
            <w:r>
              <w:rPr>
                <w:rFonts w:ascii="Arial" w:hAnsi="Arial"/>
              </w:rPr>
              <w:t xml:space="preserve">with him </w:t>
            </w:r>
            <w:r w:rsidR="00ED4060">
              <w:rPr>
                <w:rFonts w:ascii="Arial" w:hAnsi="Arial"/>
              </w:rPr>
              <w:t>G</w:t>
            </w:r>
            <w:r w:rsidR="00CA1F29">
              <w:rPr>
                <w:rFonts w:ascii="Arial" w:hAnsi="Arial"/>
              </w:rPr>
              <w:t xml:space="preserve"> Dicks)</w:t>
            </w:r>
          </w:p>
          <w:p w:rsidR="00A24CAD" w:rsidRDefault="00A24CAD" w:rsidP="00D66605">
            <w:pPr>
              <w:spacing w:line="480" w:lineRule="auto"/>
              <w:ind w:firstLine="176"/>
              <w:jc w:val="both"/>
              <w:rPr>
                <w:rFonts w:ascii="Arial" w:hAnsi="Arial"/>
              </w:rPr>
            </w:pPr>
            <w:r>
              <w:rPr>
                <w:rFonts w:ascii="Arial" w:hAnsi="Arial"/>
              </w:rPr>
              <w:t xml:space="preserve">Instructed by </w:t>
            </w:r>
            <w:r w:rsidR="001D6C3E">
              <w:rPr>
                <w:rFonts w:ascii="Arial" w:hAnsi="Arial"/>
              </w:rPr>
              <w:t>Shikongo Law Chambers</w:t>
            </w:r>
            <w:r>
              <w:rPr>
                <w:rFonts w:ascii="Arial" w:hAnsi="Arial"/>
              </w:rPr>
              <w:t xml:space="preserve"> </w:t>
            </w:r>
          </w:p>
          <w:p w:rsidR="00A24CAD" w:rsidRDefault="00A24CAD" w:rsidP="00D66605">
            <w:pPr>
              <w:spacing w:line="480" w:lineRule="auto"/>
              <w:ind w:firstLine="176"/>
              <w:jc w:val="both"/>
              <w:rPr>
                <w:rFonts w:ascii="Arial" w:hAnsi="Arial"/>
              </w:rPr>
            </w:pPr>
          </w:p>
          <w:p w:rsidR="00D66605" w:rsidRDefault="00D66605" w:rsidP="00D66605">
            <w:pPr>
              <w:spacing w:line="480" w:lineRule="auto"/>
              <w:ind w:left="34" w:firstLine="176"/>
              <w:jc w:val="both"/>
              <w:rPr>
                <w:rFonts w:ascii="Arial" w:hAnsi="Arial"/>
              </w:rPr>
            </w:pPr>
          </w:p>
          <w:p w:rsidR="00D66605" w:rsidRDefault="00D66605" w:rsidP="00D66605">
            <w:pPr>
              <w:spacing w:line="480" w:lineRule="auto"/>
              <w:ind w:left="34" w:firstLine="176"/>
              <w:jc w:val="both"/>
              <w:rPr>
                <w:rFonts w:ascii="Arial" w:hAnsi="Arial"/>
              </w:rPr>
            </w:pPr>
          </w:p>
          <w:p w:rsidR="00452FF4" w:rsidRDefault="00452FF4" w:rsidP="00D66605">
            <w:pPr>
              <w:spacing w:line="480" w:lineRule="auto"/>
              <w:ind w:left="34" w:firstLine="176"/>
              <w:jc w:val="both"/>
              <w:rPr>
                <w:rFonts w:ascii="Arial" w:hAnsi="Arial"/>
              </w:rPr>
            </w:pPr>
            <w:r>
              <w:rPr>
                <w:rFonts w:ascii="Arial" w:hAnsi="Arial"/>
              </w:rPr>
              <w:t xml:space="preserve">EM </w:t>
            </w:r>
            <w:r w:rsidR="00CA1F29">
              <w:rPr>
                <w:rFonts w:ascii="Arial" w:hAnsi="Arial"/>
              </w:rPr>
              <w:t>Angula</w:t>
            </w:r>
            <w:r>
              <w:rPr>
                <w:rFonts w:ascii="Arial" w:hAnsi="Arial"/>
              </w:rPr>
              <w:t xml:space="preserve"> </w:t>
            </w:r>
            <w:r w:rsidR="00CA1F29">
              <w:rPr>
                <w:rFonts w:ascii="Arial" w:hAnsi="Arial"/>
              </w:rPr>
              <w:t>(</w:t>
            </w:r>
            <w:r>
              <w:rPr>
                <w:rFonts w:ascii="Arial" w:hAnsi="Arial"/>
              </w:rPr>
              <w:t>with her R Kandjella</w:t>
            </w:r>
            <w:r w:rsidR="00CA1F29">
              <w:rPr>
                <w:rFonts w:ascii="Arial" w:hAnsi="Arial"/>
              </w:rPr>
              <w:t>)</w:t>
            </w:r>
          </w:p>
          <w:p w:rsidR="00ED4060" w:rsidRDefault="00452FF4" w:rsidP="00D66605">
            <w:pPr>
              <w:spacing w:line="480" w:lineRule="auto"/>
              <w:ind w:firstLine="176"/>
              <w:jc w:val="both"/>
              <w:rPr>
                <w:rFonts w:ascii="Arial" w:hAnsi="Arial"/>
              </w:rPr>
            </w:pPr>
            <w:r>
              <w:rPr>
                <w:rFonts w:ascii="Arial" w:hAnsi="Arial"/>
              </w:rPr>
              <w:t xml:space="preserve">Of </w:t>
            </w:r>
            <w:r w:rsidR="00DD4BDD">
              <w:rPr>
                <w:rFonts w:ascii="Arial" w:hAnsi="Arial"/>
              </w:rPr>
              <w:t>AngulaCo Inc</w:t>
            </w:r>
          </w:p>
          <w:p w:rsidR="00ED4060" w:rsidRDefault="00ED4060" w:rsidP="00D66605">
            <w:pPr>
              <w:spacing w:line="480" w:lineRule="auto"/>
              <w:jc w:val="both"/>
              <w:rPr>
                <w:rFonts w:ascii="Arial" w:hAnsi="Arial"/>
              </w:rPr>
            </w:pPr>
          </w:p>
          <w:p w:rsidR="00A24CAD" w:rsidRDefault="00A24CAD" w:rsidP="00D66605">
            <w:pPr>
              <w:spacing w:line="480" w:lineRule="auto"/>
              <w:jc w:val="both"/>
              <w:rPr>
                <w:rFonts w:ascii="Arial" w:hAnsi="Arial"/>
              </w:rPr>
            </w:pPr>
          </w:p>
        </w:tc>
      </w:tr>
    </w:tbl>
    <w:p w:rsidR="00A24CAD" w:rsidRDefault="00A24CAD" w:rsidP="00D66605">
      <w:pPr>
        <w:spacing w:line="480" w:lineRule="auto"/>
        <w:jc w:val="both"/>
        <w:rPr>
          <w:rFonts w:ascii="Arial" w:hAnsi="Arial"/>
        </w:rPr>
      </w:pPr>
    </w:p>
    <w:p w:rsidR="00F64C35" w:rsidRDefault="00F64C35" w:rsidP="00D66605">
      <w:pPr>
        <w:spacing w:line="480" w:lineRule="auto"/>
      </w:pPr>
    </w:p>
    <w:sectPr w:rsidR="00F64C35" w:rsidSect="00177B8B">
      <w:headerReference w:type="default" r:id="rId12"/>
      <w:footerReference w:type="even" r:id="rId13"/>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CD" w:rsidRDefault="00246DCD" w:rsidP="00D9625B">
      <w:r>
        <w:separator/>
      </w:r>
    </w:p>
  </w:endnote>
  <w:endnote w:type="continuationSeparator" w:id="0">
    <w:p w:rsidR="00246DCD" w:rsidRDefault="00246DCD" w:rsidP="00D9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A1" w:rsidRDefault="00C779A1" w:rsidP="00C779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9A1" w:rsidRDefault="00C7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CD" w:rsidRDefault="00246DCD" w:rsidP="00D9625B">
      <w:r>
        <w:separator/>
      </w:r>
    </w:p>
  </w:footnote>
  <w:footnote w:type="continuationSeparator" w:id="0">
    <w:p w:rsidR="00246DCD" w:rsidRDefault="00246DCD" w:rsidP="00D9625B">
      <w:r>
        <w:continuationSeparator/>
      </w:r>
    </w:p>
  </w:footnote>
  <w:footnote w:id="1">
    <w:p w:rsidR="00C779A1" w:rsidRPr="00ED78F3" w:rsidRDefault="00C779A1">
      <w:pPr>
        <w:pStyle w:val="FootnoteText"/>
        <w:rPr>
          <w:lang w:val="en-GB"/>
        </w:rPr>
      </w:pPr>
      <w:r>
        <w:rPr>
          <w:rStyle w:val="FootnoteReference"/>
        </w:rPr>
        <w:footnoteRef/>
      </w:r>
      <w:r>
        <w:t xml:space="preserve"> </w:t>
      </w:r>
      <w:r w:rsidRPr="00ED78F3">
        <w:rPr>
          <w:rFonts w:ascii="Arial" w:hAnsi="Arial" w:cs="Arial"/>
          <w:lang w:val="en-GB"/>
        </w:rPr>
        <w:t>(LCA 6</w:t>
      </w:r>
      <w:r>
        <w:rPr>
          <w:rFonts w:ascii="Arial" w:hAnsi="Arial" w:cs="Arial"/>
          <w:lang w:val="en-GB"/>
        </w:rPr>
        <w:t>-</w:t>
      </w:r>
      <w:r w:rsidRPr="00ED78F3">
        <w:rPr>
          <w:rFonts w:ascii="Arial" w:hAnsi="Arial" w:cs="Arial"/>
          <w:lang w:val="en-GB"/>
        </w:rPr>
        <w:t>2015 [2017] NALCMD 6 (16 February 2017)</w:t>
      </w:r>
      <w:r w:rsidR="00BD196E">
        <w:rPr>
          <w:rFonts w:ascii="Arial" w:hAnsi="Arial" w:cs="Arial"/>
          <w:lang w:val="en-GB"/>
        </w:rPr>
        <w:t>.</w:t>
      </w:r>
    </w:p>
  </w:footnote>
  <w:footnote w:id="2">
    <w:p w:rsidR="00C779A1" w:rsidRPr="001971D1" w:rsidRDefault="00C779A1" w:rsidP="009D4C17">
      <w:pPr>
        <w:pStyle w:val="FootnoteText"/>
        <w:rPr>
          <w:rFonts w:ascii="Arial" w:hAnsi="Arial" w:cs="Arial"/>
        </w:rPr>
      </w:pPr>
      <w:r w:rsidRPr="001971D1">
        <w:rPr>
          <w:rStyle w:val="FootnoteReference"/>
          <w:rFonts w:ascii="Arial" w:hAnsi="Arial" w:cs="Arial"/>
        </w:rPr>
        <w:footnoteRef/>
      </w:r>
      <w:r w:rsidRPr="001971D1">
        <w:rPr>
          <w:rFonts w:ascii="Arial" w:hAnsi="Arial" w:cs="Arial"/>
        </w:rPr>
        <w:t xml:space="preserve"> </w:t>
      </w:r>
      <w:r>
        <w:rPr>
          <w:rFonts w:ascii="Arial" w:hAnsi="Arial" w:cs="Arial"/>
          <w:i/>
        </w:rPr>
        <w:t xml:space="preserve">Sun Square Hotel (Pty) Ltd v Southern Sun Africa </w:t>
      </w:r>
      <w:r w:rsidRPr="001E0603">
        <w:rPr>
          <w:rFonts w:ascii="Arial" w:hAnsi="Arial" w:cs="Arial"/>
        </w:rPr>
        <w:t>(</w:t>
      </w:r>
      <w:r>
        <w:rPr>
          <w:rFonts w:ascii="Arial" w:hAnsi="Arial" w:cs="Arial"/>
        </w:rPr>
        <w:t>SA 26-2018</w:t>
      </w:r>
      <w:r w:rsidRPr="001E0603">
        <w:rPr>
          <w:rFonts w:ascii="Arial" w:hAnsi="Arial" w:cs="Arial"/>
        </w:rPr>
        <w:t xml:space="preserve">) </w:t>
      </w:r>
      <w:r>
        <w:rPr>
          <w:rFonts w:ascii="Arial" w:hAnsi="Arial" w:cs="Arial"/>
        </w:rPr>
        <w:t xml:space="preserve">[2019] </w:t>
      </w:r>
      <w:r w:rsidRPr="001E0603">
        <w:rPr>
          <w:rFonts w:ascii="Arial" w:hAnsi="Arial" w:cs="Arial"/>
        </w:rPr>
        <w:t>N</w:t>
      </w:r>
      <w:r>
        <w:rPr>
          <w:rFonts w:ascii="Arial" w:hAnsi="Arial" w:cs="Arial"/>
        </w:rPr>
        <w:t>ASC (9 December 2019</w:t>
      </w:r>
      <w:r w:rsidRPr="001E0603">
        <w:rPr>
          <w:rFonts w:ascii="Arial" w:hAnsi="Arial" w:cs="Arial"/>
        </w:rPr>
        <w:t>)</w:t>
      </w:r>
      <w:r>
        <w:rPr>
          <w:rFonts w:ascii="Arial" w:hAnsi="Arial" w:cs="Arial"/>
        </w:rPr>
        <w:t xml:space="preserve"> para 13.</w:t>
      </w:r>
    </w:p>
  </w:footnote>
  <w:footnote w:id="3">
    <w:p w:rsidR="00C779A1" w:rsidRPr="00ED78F3" w:rsidRDefault="00C779A1">
      <w:pPr>
        <w:pStyle w:val="FootnoteText"/>
        <w:rPr>
          <w:rFonts w:ascii="Arial" w:hAnsi="Arial" w:cs="Arial"/>
          <w:lang w:val="en-GB"/>
        </w:rPr>
      </w:pPr>
      <w:r w:rsidRPr="00ED78F3">
        <w:rPr>
          <w:rStyle w:val="FootnoteReference"/>
          <w:rFonts w:ascii="Arial" w:hAnsi="Arial" w:cs="Arial"/>
        </w:rPr>
        <w:footnoteRef/>
      </w:r>
      <w:r w:rsidRPr="00ED78F3">
        <w:rPr>
          <w:rFonts w:ascii="Arial" w:hAnsi="Arial" w:cs="Arial"/>
        </w:rPr>
        <w:t xml:space="preserve"> </w:t>
      </w:r>
      <w:r w:rsidRPr="00ED78F3">
        <w:rPr>
          <w:rFonts w:ascii="Arial" w:hAnsi="Arial" w:cs="Arial"/>
          <w:lang w:val="en-GB"/>
        </w:rPr>
        <w:t>Id</w:t>
      </w:r>
      <w:r>
        <w:rPr>
          <w:rFonts w:ascii="Arial" w:hAnsi="Arial" w:cs="Arial"/>
          <w:lang w:val="en-GB"/>
        </w:rPr>
        <w:t>.</w:t>
      </w:r>
      <w:r w:rsidRPr="00ED78F3">
        <w:rPr>
          <w:rFonts w:ascii="Arial" w:hAnsi="Arial" w:cs="Arial"/>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rsidR="00C779A1" w:rsidRPr="00086B10" w:rsidRDefault="00C779A1" w:rsidP="00C779A1">
        <w:pPr>
          <w:pStyle w:val="Header"/>
          <w:jc w:val="right"/>
          <w:rPr>
            <w:rFonts w:ascii="Arial" w:hAnsi="Arial" w:cs="Arial"/>
          </w:rPr>
        </w:pPr>
        <w:r w:rsidRPr="00086B10">
          <w:rPr>
            <w:rFonts w:ascii="Arial" w:hAnsi="Arial" w:cs="Arial"/>
          </w:rPr>
          <w:fldChar w:fldCharType="begin"/>
        </w:r>
        <w:r w:rsidRPr="00086B10">
          <w:rPr>
            <w:rFonts w:ascii="Arial" w:hAnsi="Arial" w:cs="Arial"/>
          </w:rPr>
          <w:instrText xml:space="preserve"> PAGE   \* MERGEFORMAT </w:instrText>
        </w:r>
        <w:r w:rsidRPr="00086B10">
          <w:rPr>
            <w:rFonts w:ascii="Arial" w:hAnsi="Arial" w:cs="Arial"/>
          </w:rPr>
          <w:fldChar w:fldCharType="separate"/>
        </w:r>
        <w:r w:rsidR="00D64BC3">
          <w:rPr>
            <w:rFonts w:ascii="Arial" w:hAnsi="Arial" w:cs="Arial"/>
            <w:noProof/>
          </w:rPr>
          <w:t>2</w:t>
        </w:r>
        <w:r w:rsidRPr="00086B10">
          <w:rPr>
            <w:rFonts w:ascii="Arial" w:hAnsi="Arial" w:cs="Arial"/>
            <w:noProof/>
          </w:rPr>
          <w:fldChar w:fldCharType="end"/>
        </w:r>
      </w:p>
    </w:sdtContent>
  </w:sdt>
  <w:p w:rsidR="00C779A1" w:rsidRDefault="00C77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AA1"/>
    <w:multiLevelType w:val="hybridMultilevel"/>
    <w:tmpl w:val="EC24B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A3A2A"/>
    <w:multiLevelType w:val="hybridMultilevel"/>
    <w:tmpl w:val="D5B2B6EC"/>
    <w:lvl w:ilvl="0" w:tplc="12E2B212">
      <w:start w:val="1"/>
      <w:numFmt w:val="lowerLetter"/>
      <w:lvlText w:val="(%1)"/>
      <w:lvlJc w:val="left"/>
      <w:pPr>
        <w:ind w:left="1144" w:hanging="435"/>
      </w:pPr>
      <w:rPr>
        <w:rFonts w:ascii="Arial" w:eastAsiaTheme="minorHAnsi" w:hAnsi="Arial"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195515"/>
    <w:multiLevelType w:val="hybridMultilevel"/>
    <w:tmpl w:val="7EF2A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476AB"/>
    <w:multiLevelType w:val="hybridMultilevel"/>
    <w:tmpl w:val="84B813FA"/>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C528C"/>
    <w:multiLevelType w:val="hybridMultilevel"/>
    <w:tmpl w:val="96408C2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D19CF"/>
    <w:multiLevelType w:val="hybridMultilevel"/>
    <w:tmpl w:val="C0342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371DD"/>
    <w:multiLevelType w:val="hybridMultilevel"/>
    <w:tmpl w:val="DE9A390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6163A"/>
    <w:multiLevelType w:val="hybridMultilevel"/>
    <w:tmpl w:val="96408C2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C24BD2"/>
    <w:multiLevelType w:val="hybridMultilevel"/>
    <w:tmpl w:val="EE98DB1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F57F08"/>
    <w:multiLevelType w:val="hybridMultilevel"/>
    <w:tmpl w:val="1BFAAAE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E0D6A"/>
    <w:multiLevelType w:val="hybridMultilevel"/>
    <w:tmpl w:val="0A6E9EF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7058AB"/>
    <w:multiLevelType w:val="hybridMultilevel"/>
    <w:tmpl w:val="D2940E0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318FF"/>
    <w:multiLevelType w:val="hybridMultilevel"/>
    <w:tmpl w:val="0A6E9EF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4"/>
  </w:num>
  <w:num w:numId="5">
    <w:abstractNumId w:val="7"/>
  </w:num>
  <w:num w:numId="6">
    <w:abstractNumId w:val="2"/>
  </w:num>
  <w:num w:numId="7">
    <w:abstractNumId w:val="0"/>
  </w:num>
  <w:num w:numId="8">
    <w:abstractNumId w:val="5"/>
  </w:num>
  <w:num w:numId="9">
    <w:abstractNumId w:val="8"/>
  </w:num>
  <w:num w:numId="10">
    <w:abstractNumId w:val="6"/>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9D"/>
    <w:rsid w:val="00017030"/>
    <w:rsid w:val="000211E6"/>
    <w:rsid w:val="000464AB"/>
    <w:rsid w:val="0005425B"/>
    <w:rsid w:val="00062008"/>
    <w:rsid w:val="000649E7"/>
    <w:rsid w:val="00067665"/>
    <w:rsid w:val="00070CE4"/>
    <w:rsid w:val="00070E6B"/>
    <w:rsid w:val="00086667"/>
    <w:rsid w:val="000A3B99"/>
    <w:rsid w:val="000A5615"/>
    <w:rsid w:val="000B1795"/>
    <w:rsid w:val="000B2F77"/>
    <w:rsid w:val="000B6964"/>
    <w:rsid w:val="001371AE"/>
    <w:rsid w:val="00173705"/>
    <w:rsid w:val="00177B8B"/>
    <w:rsid w:val="001956E8"/>
    <w:rsid w:val="001A3506"/>
    <w:rsid w:val="001D4607"/>
    <w:rsid w:val="001D6C3E"/>
    <w:rsid w:val="001F32F9"/>
    <w:rsid w:val="001F344E"/>
    <w:rsid w:val="001F461F"/>
    <w:rsid w:val="002259EE"/>
    <w:rsid w:val="0023085F"/>
    <w:rsid w:val="00233A41"/>
    <w:rsid w:val="00235445"/>
    <w:rsid w:val="002413B1"/>
    <w:rsid w:val="00246DCD"/>
    <w:rsid w:val="00247B5C"/>
    <w:rsid w:val="002536A4"/>
    <w:rsid w:val="00294029"/>
    <w:rsid w:val="002A3DEC"/>
    <w:rsid w:val="002A5DC8"/>
    <w:rsid w:val="002B4AD1"/>
    <w:rsid w:val="002C7984"/>
    <w:rsid w:val="002E6889"/>
    <w:rsid w:val="003019CE"/>
    <w:rsid w:val="0030419B"/>
    <w:rsid w:val="00320A20"/>
    <w:rsid w:val="00340678"/>
    <w:rsid w:val="003733DA"/>
    <w:rsid w:val="00373B61"/>
    <w:rsid w:val="00377667"/>
    <w:rsid w:val="00393954"/>
    <w:rsid w:val="00397A27"/>
    <w:rsid w:val="003D3FB7"/>
    <w:rsid w:val="003D4096"/>
    <w:rsid w:val="003F1DA6"/>
    <w:rsid w:val="00412D74"/>
    <w:rsid w:val="00413618"/>
    <w:rsid w:val="00416308"/>
    <w:rsid w:val="00452FF4"/>
    <w:rsid w:val="00457D7B"/>
    <w:rsid w:val="004618A5"/>
    <w:rsid w:val="00494C39"/>
    <w:rsid w:val="00494E69"/>
    <w:rsid w:val="004C48F4"/>
    <w:rsid w:val="004F1E3B"/>
    <w:rsid w:val="00504AC1"/>
    <w:rsid w:val="0051234D"/>
    <w:rsid w:val="00512C9A"/>
    <w:rsid w:val="0052048B"/>
    <w:rsid w:val="00580592"/>
    <w:rsid w:val="00584D70"/>
    <w:rsid w:val="00596993"/>
    <w:rsid w:val="005A3A43"/>
    <w:rsid w:val="005B4B52"/>
    <w:rsid w:val="005F2FB9"/>
    <w:rsid w:val="005F4F25"/>
    <w:rsid w:val="005F7631"/>
    <w:rsid w:val="00611462"/>
    <w:rsid w:val="006244DD"/>
    <w:rsid w:val="00635CB7"/>
    <w:rsid w:val="00640A6A"/>
    <w:rsid w:val="00666238"/>
    <w:rsid w:val="00680D16"/>
    <w:rsid w:val="00682A0A"/>
    <w:rsid w:val="006A709D"/>
    <w:rsid w:val="006B1063"/>
    <w:rsid w:val="006B2122"/>
    <w:rsid w:val="006B52A5"/>
    <w:rsid w:val="006B6198"/>
    <w:rsid w:val="006B748D"/>
    <w:rsid w:val="006D3B6D"/>
    <w:rsid w:val="006D3C3A"/>
    <w:rsid w:val="006D7F1C"/>
    <w:rsid w:val="006F1C1F"/>
    <w:rsid w:val="00707909"/>
    <w:rsid w:val="007178E2"/>
    <w:rsid w:val="00720F5F"/>
    <w:rsid w:val="00735FE8"/>
    <w:rsid w:val="00737777"/>
    <w:rsid w:val="00744B2C"/>
    <w:rsid w:val="00747F16"/>
    <w:rsid w:val="007540AD"/>
    <w:rsid w:val="007573DB"/>
    <w:rsid w:val="007645AE"/>
    <w:rsid w:val="00777A09"/>
    <w:rsid w:val="00777B36"/>
    <w:rsid w:val="007A656C"/>
    <w:rsid w:val="007D3031"/>
    <w:rsid w:val="007E2508"/>
    <w:rsid w:val="007E3E98"/>
    <w:rsid w:val="007F3C27"/>
    <w:rsid w:val="00803F83"/>
    <w:rsid w:val="00833985"/>
    <w:rsid w:val="008418C7"/>
    <w:rsid w:val="008451EC"/>
    <w:rsid w:val="008556F6"/>
    <w:rsid w:val="00873ADD"/>
    <w:rsid w:val="0088577D"/>
    <w:rsid w:val="008A6D64"/>
    <w:rsid w:val="008A6F73"/>
    <w:rsid w:val="008E5D42"/>
    <w:rsid w:val="008F5399"/>
    <w:rsid w:val="0093692E"/>
    <w:rsid w:val="00965A36"/>
    <w:rsid w:val="009758BC"/>
    <w:rsid w:val="009768B7"/>
    <w:rsid w:val="00992F6E"/>
    <w:rsid w:val="009B5B34"/>
    <w:rsid w:val="009D4C17"/>
    <w:rsid w:val="009D5D14"/>
    <w:rsid w:val="009D71DC"/>
    <w:rsid w:val="009F4573"/>
    <w:rsid w:val="00A06A10"/>
    <w:rsid w:val="00A1363F"/>
    <w:rsid w:val="00A16E62"/>
    <w:rsid w:val="00A24CAD"/>
    <w:rsid w:val="00A43C01"/>
    <w:rsid w:val="00A7051C"/>
    <w:rsid w:val="00A82C05"/>
    <w:rsid w:val="00A858E0"/>
    <w:rsid w:val="00A85F9B"/>
    <w:rsid w:val="00A912C5"/>
    <w:rsid w:val="00AA6F44"/>
    <w:rsid w:val="00AF1477"/>
    <w:rsid w:val="00B15299"/>
    <w:rsid w:val="00B21F23"/>
    <w:rsid w:val="00B22F3C"/>
    <w:rsid w:val="00B319D0"/>
    <w:rsid w:val="00B35D8B"/>
    <w:rsid w:val="00B42CE1"/>
    <w:rsid w:val="00B44CCC"/>
    <w:rsid w:val="00B5101E"/>
    <w:rsid w:val="00B53848"/>
    <w:rsid w:val="00B71D9C"/>
    <w:rsid w:val="00B93C07"/>
    <w:rsid w:val="00B94CE7"/>
    <w:rsid w:val="00B96E9C"/>
    <w:rsid w:val="00BB7A76"/>
    <w:rsid w:val="00BD196E"/>
    <w:rsid w:val="00C00EC9"/>
    <w:rsid w:val="00C05FF3"/>
    <w:rsid w:val="00C070B6"/>
    <w:rsid w:val="00C22D4D"/>
    <w:rsid w:val="00C3689D"/>
    <w:rsid w:val="00C42539"/>
    <w:rsid w:val="00C52D4E"/>
    <w:rsid w:val="00C57BF2"/>
    <w:rsid w:val="00C7129B"/>
    <w:rsid w:val="00C779A1"/>
    <w:rsid w:val="00C94AD1"/>
    <w:rsid w:val="00C96B80"/>
    <w:rsid w:val="00C96D20"/>
    <w:rsid w:val="00CA1F29"/>
    <w:rsid w:val="00CA2133"/>
    <w:rsid w:val="00CA6DB6"/>
    <w:rsid w:val="00CC5B4C"/>
    <w:rsid w:val="00CD1C7B"/>
    <w:rsid w:val="00CD50D0"/>
    <w:rsid w:val="00D25407"/>
    <w:rsid w:val="00D45D6E"/>
    <w:rsid w:val="00D56494"/>
    <w:rsid w:val="00D64BC3"/>
    <w:rsid w:val="00D66605"/>
    <w:rsid w:val="00D90552"/>
    <w:rsid w:val="00D92D13"/>
    <w:rsid w:val="00D9625B"/>
    <w:rsid w:val="00DD4BDD"/>
    <w:rsid w:val="00DD5ABB"/>
    <w:rsid w:val="00E07005"/>
    <w:rsid w:val="00E20BA5"/>
    <w:rsid w:val="00E27491"/>
    <w:rsid w:val="00E54BFB"/>
    <w:rsid w:val="00E72681"/>
    <w:rsid w:val="00E74FDD"/>
    <w:rsid w:val="00E94B3F"/>
    <w:rsid w:val="00EA1279"/>
    <w:rsid w:val="00EA3A1C"/>
    <w:rsid w:val="00EB4004"/>
    <w:rsid w:val="00ED4060"/>
    <w:rsid w:val="00ED78F3"/>
    <w:rsid w:val="00EE1902"/>
    <w:rsid w:val="00EE216D"/>
    <w:rsid w:val="00F05C12"/>
    <w:rsid w:val="00F10B9C"/>
    <w:rsid w:val="00F62CE7"/>
    <w:rsid w:val="00F632DA"/>
    <w:rsid w:val="00F64C35"/>
    <w:rsid w:val="00F81559"/>
    <w:rsid w:val="00F858A2"/>
    <w:rsid w:val="00F85AC8"/>
    <w:rsid w:val="00F9294C"/>
    <w:rsid w:val="00F9426E"/>
    <w:rsid w:val="00FA5D50"/>
    <w:rsid w:val="00FB563C"/>
    <w:rsid w:val="00FC4319"/>
    <w:rsid w:val="00FC7A67"/>
    <w:rsid w:val="00FD5268"/>
    <w:rsid w:val="00FF1349"/>
    <w:rsid w:val="00FF28B7"/>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F28AD-9CA1-49A2-B7EB-147ECC03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AD"/>
    <w:pPr>
      <w:spacing w:line="240" w:lineRule="auto"/>
      <w:jc w:val="left"/>
    </w:pPr>
    <w:rPr>
      <w:rFonts w:asciiTheme="minorHAnsi" w:hAnsiTheme="min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ind w:left="720"/>
      <w:contextualSpacing/>
    </w:pPr>
  </w:style>
  <w:style w:type="paragraph" w:styleId="Footer">
    <w:name w:val="footer"/>
    <w:basedOn w:val="Normal"/>
    <w:link w:val="FooterChar"/>
    <w:uiPriority w:val="99"/>
    <w:unhideWhenUsed/>
    <w:rsid w:val="00A24CAD"/>
    <w:pPr>
      <w:tabs>
        <w:tab w:val="center" w:pos="4320"/>
        <w:tab w:val="right" w:pos="8640"/>
      </w:tabs>
    </w:pPr>
  </w:style>
  <w:style w:type="character" w:customStyle="1" w:styleId="FooterChar">
    <w:name w:val="Footer Char"/>
    <w:basedOn w:val="DefaultParagraphFont"/>
    <w:link w:val="Footer"/>
    <w:uiPriority w:val="99"/>
    <w:rsid w:val="00A24CAD"/>
    <w:rPr>
      <w:rFonts w:asciiTheme="minorHAnsi" w:hAnsiTheme="minorHAnsi"/>
      <w:szCs w:val="24"/>
      <w:lang w:val="en-GB"/>
    </w:rPr>
  </w:style>
  <w:style w:type="character" w:styleId="PageNumber">
    <w:name w:val="page number"/>
    <w:basedOn w:val="DefaultParagraphFont"/>
    <w:uiPriority w:val="99"/>
    <w:semiHidden/>
    <w:unhideWhenUsed/>
    <w:rsid w:val="00A24CAD"/>
  </w:style>
  <w:style w:type="paragraph" w:styleId="Header">
    <w:name w:val="header"/>
    <w:basedOn w:val="Normal"/>
    <w:link w:val="HeaderChar"/>
    <w:uiPriority w:val="99"/>
    <w:unhideWhenUsed/>
    <w:rsid w:val="00A24CAD"/>
    <w:pPr>
      <w:tabs>
        <w:tab w:val="center" w:pos="4513"/>
        <w:tab w:val="right" w:pos="9026"/>
      </w:tabs>
    </w:pPr>
  </w:style>
  <w:style w:type="character" w:customStyle="1" w:styleId="HeaderChar">
    <w:name w:val="Header Char"/>
    <w:basedOn w:val="DefaultParagraphFont"/>
    <w:link w:val="Header"/>
    <w:uiPriority w:val="99"/>
    <w:rsid w:val="00A24CAD"/>
    <w:rPr>
      <w:rFonts w:asciiTheme="minorHAnsi" w:hAnsiTheme="minorHAnsi"/>
      <w:szCs w:val="24"/>
      <w:lang w:val="en-GB"/>
    </w:rPr>
  </w:style>
  <w:style w:type="table" w:styleId="TableGrid">
    <w:name w:val="Table Grid"/>
    <w:basedOn w:val="TableNormal"/>
    <w:uiPriority w:val="59"/>
    <w:rsid w:val="00A24CAD"/>
    <w:pPr>
      <w:spacing w:line="240" w:lineRule="auto"/>
      <w:jc w:val="left"/>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4C17"/>
    <w:rPr>
      <w:sz w:val="20"/>
      <w:szCs w:val="20"/>
      <w:lang w:val="en-ZA"/>
    </w:rPr>
  </w:style>
  <w:style w:type="character" w:customStyle="1" w:styleId="FootnoteTextChar">
    <w:name w:val="Footnote Text Char"/>
    <w:basedOn w:val="DefaultParagraphFont"/>
    <w:link w:val="FootnoteText"/>
    <w:uiPriority w:val="99"/>
    <w:semiHidden/>
    <w:rsid w:val="009D4C17"/>
    <w:rPr>
      <w:rFonts w:asciiTheme="minorHAnsi" w:hAnsiTheme="minorHAnsi"/>
      <w:sz w:val="20"/>
      <w:szCs w:val="20"/>
      <w:lang w:val="en-ZA"/>
    </w:rPr>
  </w:style>
  <w:style w:type="character" w:styleId="FootnoteReference">
    <w:name w:val="footnote reference"/>
    <w:basedOn w:val="DefaultParagraphFont"/>
    <w:uiPriority w:val="99"/>
    <w:semiHidden/>
    <w:unhideWhenUsed/>
    <w:rsid w:val="009D4C17"/>
    <w:rPr>
      <w:vertAlign w:val="superscript"/>
    </w:rPr>
  </w:style>
  <w:style w:type="paragraph" w:styleId="BalloonText">
    <w:name w:val="Balloon Text"/>
    <w:basedOn w:val="Normal"/>
    <w:link w:val="BalloonTextChar"/>
    <w:uiPriority w:val="99"/>
    <w:semiHidden/>
    <w:unhideWhenUsed/>
    <w:rsid w:val="00C71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9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ivute.JUD\Documents\Draft%20Judgments%20Mine\Civil%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2020-10-28T18:30:00+00:00</Judgment_x0020_Date>
    <Year xmlns="63bdd487-88aa-4c54-b893-ddaa81ed2e7c">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964D-DBAF-41AE-A23F-CEEE452C230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6685B383-1326-42FA-8599-486C47796747}">
  <ds:schemaRefs>
    <ds:schemaRef ds:uri="http://schemas.microsoft.com/sharepoint/v3/contenttype/forms"/>
  </ds:schemaRefs>
</ds:datastoreItem>
</file>

<file path=customXml/itemProps3.xml><?xml version="1.0" encoding="utf-8"?>
<ds:datastoreItem xmlns:ds="http://schemas.openxmlformats.org/officeDocument/2006/customXml" ds:itemID="{986479CC-95CA-4A90-ADAB-34860462B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8C051-E91F-4CB6-A9D5-35B15C13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Judgment Template</Template>
  <TotalTime>1</TotalTime>
  <Pages>3</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Namibia Power Corporation (Pty) Ltd v Kaapehi</vt:lpstr>
    </vt:vector>
  </TitlesOfParts>
  <Company/>
  <LinksUpToDate>false</LinksUpToDate>
  <CharactersWithSpaces>24061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Power Corporation (Pty) Ltd v Kaapehi</dc:title>
  <dc:creator>Peter S. Shivute</dc:creator>
  <cp:lastModifiedBy>HOME</cp:lastModifiedBy>
  <cp:revision>2</cp:revision>
  <cp:lastPrinted>2020-10-28T11:13:00Z</cp:lastPrinted>
  <dcterms:created xsi:type="dcterms:W3CDTF">2021-07-19T14:12:00Z</dcterms:created>
  <dcterms:modified xsi:type="dcterms:W3CDTF">2021-07-19T14:12:00Z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