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357EA0"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3670F3">
        <w:rPr>
          <w:rFonts w:ascii="Arial" w:hAnsi="Arial" w:cs="Arial"/>
          <w:sz w:val="24"/>
          <w:szCs w:val="24"/>
        </w:rPr>
        <w:t>68</w:t>
      </w:r>
      <w:r w:rsidRPr="001C25CA">
        <w:rPr>
          <w:rFonts w:ascii="Arial" w:hAnsi="Arial" w:cs="Arial"/>
          <w:sz w:val="24"/>
          <w:szCs w:val="24"/>
        </w:rPr>
        <w:t>/20</w:t>
      </w:r>
      <w:r w:rsidR="003670F3">
        <w:rPr>
          <w:rFonts w:ascii="Arial" w:hAnsi="Arial" w:cs="Arial"/>
          <w:sz w:val="24"/>
          <w:szCs w:val="24"/>
        </w:rPr>
        <w:t>20</w:t>
      </w: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rsidR="00230841" w:rsidRPr="001C25CA" w:rsidRDefault="00230841"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C25CA" w:rsidTr="00B40CD3">
        <w:tc>
          <w:tcPr>
            <w:tcW w:w="6204" w:type="dxa"/>
            <w:shd w:val="clear" w:color="auto" w:fill="auto"/>
          </w:tcPr>
          <w:p w:rsidR="002212AD" w:rsidRPr="001C25CA" w:rsidRDefault="003670F3" w:rsidP="00B40CD3">
            <w:pPr>
              <w:spacing w:line="240" w:lineRule="auto"/>
              <w:jc w:val="both"/>
              <w:rPr>
                <w:rFonts w:ascii="Arial" w:hAnsi="Arial" w:cs="Arial"/>
                <w:b/>
                <w:sz w:val="24"/>
                <w:szCs w:val="24"/>
              </w:rPr>
            </w:pPr>
            <w:r w:rsidRPr="003670F3">
              <w:rPr>
                <w:rFonts w:ascii="Arial" w:hAnsi="Arial" w:cs="Arial"/>
                <w:b/>
                <w:sz w:val="24"/>
                <w:szCs w:val="24"/>
              </w:rPr>
              <w:t>ONAMAGONGWA TRADING ENTERPRISES CC</w:t>
            </w:r>
          </w:p>
        </w:tc>
        <w:tc>
          <w:tcPr>
            <w:tcW w:w="3011" w:type="dxa"/>
            <w:shd w:val="clear" w:color="auto" w:fill="auto"/>
          </w:tcPr>
          <w:p w:rsidR="004859AB" w:rsidRDefault="00E21FA6" w:rsidP="00B40CD3">
            <w:pPr>
              <w:spacing w:line="240" w:lineRule="auto"/>
              <w:jc w:val="right"/>
              <w:rPr>
                <w:rFonts w:ascii="Arial" w:hAnsi="Arial" w:cs="Arial"/>
                <w:b/>
                <w:sz w:val="24"/>
                <w:szCs w:val="24"/>
              </w:rPr>
            </w:pPr>
            <w:r>
              <w:rPr>
                <w:rFonts w:ascii="Arial" w:hAnsi="Arial" w:cs="Arial"/>
                <w:b/>
                <w:sz w:val="24"/>
                <w:szCs w:val="24"/>
              </w:rPr>
              <w:t>Applicant</w:t>
            </w:r>
          </w:p>
          <w:p w:rsidR="008C3367" w:rsidRPr="001C25CA" w:rsidRDefault="008C3367" w:rsidP="00B40CD3">
            <w:pPr>
              <w:spacing w:line="240" w:lineRule="auto"/>
              <w:jc w:val="right"/>
              <w:rPr>
                <w:rFonts w:ascii="Arial" w:hAnsi="Arial" w:cs="Arial"/>
                <w:b/>
                <w:sz w:val="24"/>
                <w:szCs w:val="24"/>
              </w:rPr>
            </w:pPr>
          </w:p>
        </w:tc>
      </w:tr>
      <w:tr w:rsidR="008C3367" w:rsidRPr="001C25CA" w:rsidTr="00B40CD3">
        <w:tc>
          <w:tcPr>
            <w:tcW w:w="6204" w:type="dxa"/>
            <w:shd w:val="clear" w:color="auto" w:fill="auto"/>
          </w:tcPr>
          <w:p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3670F3" w:rsidP="003670F3">
            <w:pPr>
              <w:spacing w:line="240" w:lineRule="auto"/>
              <w:jc w:val="both"/>
              <w:rPr>
                <w:rFonts w:ascii="Arial" w:hAnsi="Arial" w:cs="Arial"/>
                <w:b/>
                <w:sz w:val="24"/>
                <w:szCs w:val="24"/>
              </w:rPr>
            </w:pPr>
            <w:r w:rsidRPr="003670F3">
              <w:rPr>
                <w:rFonts w:ascii="Arial" w:hAnsi="Arial" w:cs="Arial"/>
                <w:b/>
                <w:sz w:val="24"/>
                <w:szCs w:val="24"/>
              </w:rPr>
              <w:t>MINNESOTA TRADING ENTERPRISES GROUP</w:t>
            </w:r>
          </w:p>
        </w:tc>
        <w:tc>
          <w:tcPr>
            <w:tcW w:w="3011" w:type="dxa"/>
            <w:shd w:val="clear" w:color="auto" w:fill="auto"/>
          </w:tcPr>
          <w:p w:rsidR="004859AB" w:rsidRDefault="00584213" w:rsidP="004859AB">
            <w:pPr>
              <w:spacing w:line="240" w:lineRule="auto"/>
              <w:jc w:val="right"/>
              <w:rPr>
                <w:rFonts w:ascii="Arial" w:hAnsi="Arial" w:cs="Arial"/>
                <w:b/>
                <w:sz w:val="24"/>
                <w:szCs w:val="24"/>
              </w:rPr>
            </w:pPr>
            <w:r w:rsidRPr="001C25CA">
              <w:rPr>
                <w:rFonts w:ascii="Arial" w:hAnsi="Arial" w:cs="Arial"/>
                <w:b/>
                <w:sz w:val="24"/>
                <w:szCs w:val="24"/>
              </w:rPr>
              <w:t>Respondent</w:t>
            </w:r>
          </w:p>
          <w:p w:rsidR="00584213" w:rsidRPr="001C25CA" w:rsidRDefault="00584213" w:rsidP="004859AB">
            <w:pPr>
              <w:spacing w:line="240" w:lineRule="auto"/>
              <w:jc w:val="right"/>
              <w:rPr>
                <w:rFonts w:ascii="Arial" w:hAnsi="Arial" w:cs="Arial"/>
                <w:b/>
                <w:sz w:val="24"/>
                <w:szCs w:val="24"/>
              </w:rPr>
            </w:pPr>
          </w:p>
        </w:tc>
      </w:tr>
    </w:tbl>
    <w:p w:rsidR="008C3367" w:rsidRPr="001C25CA" w:rsidRDefault="008C3367" w:rsidP="00B40CD3">
      <w:pPr>
        <w:spacing w:line="240" w:lineRule="auto"/>
        <w:ind w:left="-142" w:firstLine="142"/>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t>SMUTS JA</w:t>
      </w:r>
    </w:p>
    <w:p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E21FA6">
        <w:rPr>
          <w:rFonts w:ascii="Arial" w:hAnsi="Arial" w:cs="Arial"/>
          <w:b/>
          <w:sz w:val="24"/>
          <w:szCs w:val="24"/>
        </w:rPr>
        <w:t>IN CHAMBERS</w:t>
      </w: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3670F3">
        <w:rPr>
          <w:rFonts w:ascii="Arial" w:hAnsi="Arial" w:cs="Arial"/>
          <w:b/>
          <w:sz w:val="24"/>
          <w:szCs w:val="24"/>
        </w:rPr>
        <w:t>2</w:t>
      </w:r>
      <w:r w:rsidR="008154AD">
        <w:rPr>
          <w:rFonts w:ascii="Arial" w:hAnsi="Arial" w:cs="Arial"/>
          <w:b/>
          <w:sz w:val="24"/>
          <w:szCs w:val="24"/>
        </w:rPr>
        <w:t>4</w:t>
      </w:r>
      <w:r w:rsidR="00B151B2">
        <w:rPr>
          <w:rFonts w:ascii="Arial" w:hAnsi="Arial" w:cs="Arial"/>
          <w:b/>
          <w:sz w:val="24"/>
          <w:szCs w:val="24"/>
        </w:rPr>
        <w:t xml:space="preserve"> </w:t>
      </w:r>
      <w:r w:rsidR="003670F3">
        <w:rPr>
          <w:rFonts w:ascii="Arial" w:hAnsi="Arial" w:cs="Arial"/>
          <w:b/>
          <w:sz w:val="24"/>
          <w:szCs w:val="24"/>
        </w:rPr>
        <w:t>September 2020</w:t>
      </w:r>
    </w:p>
    <w:p w:rsidR="00EF6EF1" w:rsidRPr="001C25CA" w:rsidRDefault="00EF6EF1" w:rsidP="007F6CEC">
      <w:pPr>
        <w:pStyle w:val="NoSpacing"/>
        <w:spacing w:line="48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JUDGMENT</w:t>
      </w:r>
      <w:r w:rsidR="00230841">
        <w:rPr>
          <w:rFonts w:ascii="Arial" w:hAnsi="Arial" w:cs="Arial"/>
          <w:b/>
          <w:sz w:val="24"/>
          <w:szCs w:val="24"/>
        </w:rPr>
        <w:t xml:space="preserve"> </w:t>
      </w:r>
      <w:r w:rsidR="00E21FA6">
        <w:rPr>
          <w:rFonts w:ascii="Arial" w:hAnsi="Arial" w:cs="Arial"/>
          <w:b/>
          <w:sz w:val="24"/>
          <w:szCs w:val="24"/>
        </w:rPr>
        <w:t>IN TERMS OF S 14(7</w:t>
      </w:r>
      <w:r w:rsidR="00E21FA6" w:rsidRPr="00E21FA6">
        <w:rPr>
          <w:rFonts w:ascii="Arial" w:hAnsi="Arial" w:cs="Arial"/>
          <w:b/>
          <w:i/>
          <w:sz w:val="24"/>
          <w:szCs w:val="24"/>
        </w:rPr>
        <w:t>)(a)</w:t>
      </w:r>
      <w:r w:rsidR="00E21FA6">
        <w:rPr>
          <w:rFonts w:ascii="Arial" w:hAnsi="Arial" w:cs="Arial"/>
          <w:b/>
          <w:sz w:val="24"/>
          <w:szCs w:val="24"/>
        </w:rPr>
        <w:t xml:space="preserve"> OF ACT 15 OF 1990</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8C3367" w:rsidP="00E21FA6">
      <w:pPr>
        <w:spacing w:line="480" w:lineRule="auto"/>
        <w:jc w:val="both"/>
        <w:rPr>
          <w:rFonts w:ascii="Arial" w:hAnsi="Arial" w:cs="Arial"/>
          <w:sz w:val="24"/>
          <w:szCs w:val="24"/>
        </w:rPr>
      </w:pPr>
      <w:r w:rsidRPr="001C25CA">
        <w:rPr>
          <w:rFonts w:ascii="Arial" w:hAnsi="Arial" w:cs="Arial"/>
          <w:sz w:val="24"/>
          <w:szCs w:val="24"/>
        </w:rPr>
        <w:t>SMUTS JA:</w:t>
      </w:r>
    </w:p>
    <w:p w:rsidR="00B151B2" w:rsidRDefault="00513468" w:rsidP="00B151B2">
      <w:pPr>
        <w:pStyle w:val="NoSpacing"/>
        <w:numPr>
          <w:ilvl w:val="0"/>
          <w:numId w:val="31"/>
        </w:numPr>
        <w:spacing w:line="480" w:lineRule="auto"/>
        <w:ind w:left="0" w:firstLine="0"/>
        <w:jc w:val="both"/>
        <w:rPr>
          <w:rFonts w:ascii="Arial" w:hAnsi="Arial" w:cs="Arial"/>
          <w:sz w:val="24"/>
          <w:szCs w:val="24"/>
        </w:rPr>
      </w:pPr>
      <w:r>
        <w:rPr>
          <w:rFonts w:ascii="Arial" w:hAnsi="Arial" w:cs="Arial"/>
          <w:sz w:val="24"/>
          <w:szCs w:val="24"/>
        </w:rPr>
        <w:t>Th</w:t>
      </w:r>
      <w:r w:rsidR="00230841">
        <w:rPr>
          <w:rFonts w:ascii="Arial" w:hAnsi="Arial" w:cs="Arial"/>
          <w:sz w:val="24"/>
          <w:szCs w:val="24"/>
        </w:rPr>
        <w:t xml:space="preserve">is </w:t>
      </w:r>
      <w:r w:rsidR="00E21FA6">
        <w:rPr>
          <w:rFonts w:ascii="Arial" w:hAnsi="Arial" w:cs="Arial"/>
          <w:sz w:val="24"/>
          <w:szCs w:val="24"/>
        </w:rPr>
        <w:t xml:space="preserve">is an application brought by the </w:t>
      </w:r>
      <w:r w:rsidR="003670F3">
        <w:rPr>
          <w:rFonts w:ascii="Arial" w:hAnsi="Arial" w:cs="Arial"/>
          <w:sz w:val="24"/>
          <w:szCs w:val="24"/>
        </w:rPr>
        <w:t>respondent in this appeal</w:t>
      </w:r>
      <w:r w:rsidR="00E21FA6">
        <w:rPr>
          <w:rFonts w:ascii="Arial" w:hAnsi="Arial" w:cs="Arial"/>
          <w:sz w:val="24"/>
          <w:szCs w:val="24"/>
        </w:rPr>
        <w:t xml:space="preserve"> under s 14(7) of the Supreme Court Act 15 </w:t>
      </w:r>
      <w:r w:rsidR="00520EEA">
        <w:rPr>
          <w:rFonts w:ascii="Arial" w:hAnsi="Arial" w:cs="Arial"/>
          <w:sz w:val="24"/>
          <w:szCs w:val="24"/>
        </w:rPr>
        <w:t>of 1990</w:t>
      </w:r>
      <w:r w:rsidR="00316D2A">
        <w:rPr>
          <w:rFonts w:ascii="Arial" w:hAnsi="Arial" w:cs="Arial"/>
          <w:sz w:val="24"/>
          <w:szCs w:val="24"/>
        </w:rPr>
        <w:t xml:space="preserve"> (the Act)</w:t>
      </w:r>
      <w:r w:rsidR="00520EEA">
        <w:rPr>
          <w:rFonts w:ascii="Arial" w:hAnsi="Arial" w:cs="Arial"/>
          <w:sz w:val="24"/>
          <w:szCs w:val="24"/>
        </w:rPr>
        <w:t xml:space="preserve">, </w:t>
      </w:r>
      <w:r w:rsidR="00E21FA6">
        <w:rPr>
          <w:rFonts w:ascii="Arial" w:hAnsi="Arial" w:cs="Arial"/>
          <w:sz w:val="24"/>
          <w:szCs w:val="24"/>
        </w:rPr>
        <w:t xml:space="preserve">read with rule 6 of the rules of this court for the summary dismissal of the </w:t>
      </w:r>
      <w:r w:rsidR="003670F3">
        <w:rPr>
          <w:rFonts w:ascii="Arial" w:hAnsi="Arial" w:cs="Arial"/>
          <w:sz w:val="24"/>
          <w:szCs w:val="24"/>
        </w:rPr>
        <w:t>appella</w:t>
      </w:r>
      <w:r w:rsidR="00E21FA6">
        <w:rPr>
          <w:rFonts w:ascii="Arial" w:hAnsi="Arial" w:cs="Arial"/>
          <w:sz w:val="24"/>
          <w:szCs w:val="24"/>
        </w:rPr>
        <w:t xml:space="preserve">nt’s appeal on the grounds that it is frivolous and vexatious or has no prospects of success. The </w:t>
      </w:r>
      <w:r w:rsidR="003670F3">
        <w:rPr>
          <w:rFonts w:ascii="Arial" w:hAnsi="Arial" w:cs="Arial"/>
          <w:sz w:val="24"/>
          <w:szCs w:val="24"/>
        </w:rPr>
        <w:t>respondent/</w:t>
      </w:r>
      <w:r w:rsidR="00E21FA6">
        <w:rPr>
          <w:rFonts w:ascii="Arial" w:hAnsi="Arial" w:cs="Arial"/>
          <w:sz w:val="24"/>
          <w:szCs w:val="24"/>
        </w:rPr>
        <w:t xml:space="preserve">applicant </w:t>
      </w:r>
      <w:r w:rsidR="00E21FA6">
        <w:rPr>
          <w:rFonts w:ascii="Arial" w:hAnsi="Arial" w:cs="Arial"/>
          <w:sz w:val="24"/>
          <w:szCs w:val="24"/>
        </w:rPr>
        <w:lastRenderedPageBreak/>
        <w:t>also seeks costs of this application.</w:t>
      </w:r>
      <w:r w:rsidR="003670F3">
        <w:rPr>
          <w:rFonts w:ascii="Arial" w:hAnsi="Arial" w:cs="Arial"/>
          <w:sz w:val="24"/>
          <w:szCs w:val="24"/>
        </w:rPr>
        <w:t xml:space="preserve"> (For the sake of convenience and clarity, the parties are referred to as respondent and appellant and also as plaintiff and defendant</w:t>
      </w:r>
      <w:r w:rsidR="0082641C">
        <w:rPr>
          <w:rFonts w:ascii="Arial" w:hAnsi="Arial" w:cs="Arial"/>
          <w:sz w:val="24"/>
          <w:szCs w:val="24"/>
        </w:rPr>
        <w:t>, respectively</w:t>
      </w:r>
      <w:r w:rsidR="003670F3">
        <w:rPr>
          <w:rFonts w:ascii="Arial" w:hAnsi="Arial" w:cs="Arial"/>
          <w:sz w:val="24"/>
          <w:szCs w:val="24"/>
        </w:rPr>
        <w:t>).</w:t>
      </w:r>
    </w:p>
    <w:p w:rsidR="00B151B2" w:rsidRDefault="00B151B2" w:rsidP="00B151B2">
      <w:pPr>
        <w:pStyle w:val="NoSpacing"/>
        <w:spacing w:line="480" w:lineRule="auto"/>
        <w:jc w:val="both"/>
        <w:rPr>
          <w:rFonts w:ascii="Arial" w:hAnsi="Arial" w:cs="Arial"/>
          <w:sz w:val="24"/>
          <w:szCs w:val="24"/>
        </w:rPr>
      </w:pPr>
    </w:p>
    <w:p w:rsidR="00B151B2" w:rsidRDefault="00E21FA6" w:rsidP="00B151B2">
      <w:pPr>
        <w:pStyle w:val="NoSpacing"/>
        <w:numPr>
          <w:ilvl w:val="0"/>
          <w:numId w:val="31"/>
        </w:numPr>
        <w:spacing w:line="480" w:lineRule="auto"/>
        <w:ind w:left="0" w:firstLine="0"/>
        <w:jc w:val="both"/>
        <w:rPr>
          <w:rFonts w:ascii="Arial" w:hAnsi="Arial" w:cs="Arial"/>
          <w:sz w:val="24"/>
          <w:szCs w:val="24"/>
        </w:rPr>
      </w:pPr>
      <w:r w:rsidRPr="00B151B2">
        <w:rPr>
          <w:rFonts w:ascii="Arial" w:hAnsi="Arial" w:cs="Arial"/>
          <w:sz w:val="24"/>
          <w:szCs w:val="24"/>
        </w:rPr>
        <w:t xml:space="preserve">Section 14(7) of the </w:t>
      </w:r>
      <w:r w:rsidR="00520EEA">
        <w:rPr>
          <w:rFonts w:ascii="Arial" w:hAnsi="Arial" w:cs="Arial"/>
          <w:sz w:val="24"/>
          <w:szCs w:val="24"/>
        </w:rPr>
        <w:t xml:space="preserve">Act </w:t>
      </w:r>
      <w:r w:rsidRPr="00B151B2">
        <w:rPr>
          <w:rFonts w:ascii="Arial" w:hAnsi="Arial" w:cs="Arial"/>
          <w:sz w:val="24"/>
          <w:szCs w:val="24"/>
        </w:rPr>
        <w:t>provides:</w:t>
      </w:r>
    </w:p>
    <w:p w:rsidR="00B151B2" w:rsidRDefault="00B151B2" w:rsidP="00D815A3">
      <w:pPr>
        <w:pStyle w:val="ListParagraph"/>
        <w:spacing w:after="0" w:line="360" w:lineRule="auto"/>
        <w:rPr>
          <w:rFonts w:ascii="Arial" w:hAnsi="Arial" w:cs="Arial"/>
          <w:sz w:val="24"/>
          <w:szCs w:val="24"/>
        </w:rPr>
      </w:pPr>
    </w:p>
    <w:p w:rsidR="00B151B2" w:rsidRPr="006E4C7A" w:rsidRDefault="00B151B2" w:rsidP="00D815A3">
      <w:pPr>
        <w:pStyle w:val="NoSpacing"/>
        <w:spacing w:line="360" w:lineRule="auto"/>
        <w:ind w:left="1701" w:hanging="567"/>
        <w:jc w:val="both"/>
        <w:rPr>
          <w:rFonts w:ascii="Arial" w:hAnsi="Arial" w:cs="Arial"/>
        </w:rPr>
      </w:pPr>
      <w:r w:rsidRPr="006E4C7A">
        <w:rPr>
          <w:rFonts w:ascii="Arial" w:hAnsi="Arial" w:cs="Arial"/>
        </w:rPr>
        <w:t>‘</w:t>
      </w:r>
      <w:r>
        <w:rPr>
          <w:rFonts w:ascii="Arial" w:hAnsi="Arial" w:cs="Arial"/>
        </w:rPr>
        <w:t>(a)</w:t>
      </w:r>
      <w:r>
        <w:rPr>
          <w:rFonts w:ascii="Arial" w:hAnsi="Arial" w:cs="Arial"/>
        </w:rPr>
        <w:tab/>
      </w:r>
      <w:r w:rsidRPr="006E4C7A">
        <w:rPr>
          <w:rFonts w:ascii="Arial" w:hAnsi="Arial" w:cs="Arial"/>
        </w:rPr>
        <w:t xml:space="preserve">Where in any civil proceedings no leave to appeal to the Supreme Court is required in terms of any law, the Chief Justice or any other judge designated for that purpose by the Chief Justice – </w:t>
      </w:r>
    </w:p>
    <w:p w:rsidR="00B151B2" w:rsidRPr="006E4C7A" w:rsidRDefault="00B151B2" w:rsidP="00D815A3">
      <w:pPr>
        <w:pStyle w:val="NoSpacing"/>
        <w:spacing w:line="360" w:lineRule="auto"/>
        <w:jc w:val="both"/>
        <w:rPr>
          <w:rFonts w:ascii="Arial" w:hAnsi="Arial" w:cs="Arial"/>
        </w:rPr>
      </w:pPr>
    </w:p>
    <w:p w:rsidR="00B151B2" w:rsidRDefault="00B151B2" w:rsidP="00D815A3">
      <w:pPr>
        <w:pStyle w:val="NoSpacing"/>
        <w:numPr>
          <w:ilvl w:val="0"/>
          <w:numId w:val="30"/>
        </w:numPr>
        <w:spacing w:line="360" w:lineRule="auto"/>
        <w:ind w:left="2268" w:hanging="567"/>
        <w:jc w:val="both"/>
        <w:rPr>
          <w:rFonts w:ascii="Arial" w:hAnsi="Arial" w:cs="Arial"/>
        </w:rPr>
      </w:pPr>
      <w:r w:rsidRPr="006E4C7A">
        <w:rPr>
          <w:rFonts w:ascii="Arial" w:hAnsi="Arial" w:cs="Arial"/>
        </w:rPr>
        <w:t xml:space="preserve">may, in his or her discretion, summarily dismiss the appeal on the grounds that it is frivolous or vexatious or otherwise has no prospects of success; or </w:t>
      </w:r>
    </w:p>
    <w:p w:rsidR="00B151B2" w:rsidRPr="006E4C7A" w:rsidRDefault="00B151B2" w:rsidP="00D815A3">
      <w:pPr>
        <w:pStyle w:val="NoSpacing"/>
        <w:spacing w:line="360" w:lineRule="auto"/>
        <w:ind w:left="2268"/>
        <w:jc w:val="both"/>
        <w:rPr>
          <w:rFonts w:ascii="Arial" w:hAnsi="Arial" w:cs="Arial"/>
        </w:rPr>
      </w:pPr>
    </w:p>
    <w:p w:rsidR="00B151B2" w:rsidRDefault="00B151B2" w:rsidP="00D815A3">
      <w:pPr>
        <w:pStyle w:val="NoSpacing"/>
        <w:numPr>
          <w:ilvl w:val="0"/>
          <w:numId w:val="30"/>
        </w:numPr>
        <w:spacing w:line="360" w:lineRule="auto"/>
        <w:ind w:left="2268" w:hanging="567"/>
        <w:jc w:val="both"/>
        <w:rPr>
          <w:rFonts w:ascii="Arial" w:hAnsi="Arial" w:cs="Arial"/>
        </w:rPr>
      </w:pPr>
      <w:r w:rsidRPr="006E4C7A">
        <w:rPr>
          <w:rFonts w:ascii="Arial" w:hAnsi="Arial" w:cs="Arial"/>
        </w:rPr>
        <w:t xml:space="preserve">shall, if the appeal is not so dismissed, direct that the appeal be proceeded with in accordance with the procedures prescribed by the rules of court. </w:t>
      </w:r>
    </w:p>
    <w:p w:rsidR="00B151B2" w:rsidRPr="006E4C7A" w:rsidRDefault="00B151B2" w:rsidP="00D815A3">
      <w:pPr>
        <w:pStyle w:val="NoSpacing"/>
        <w:spacing w:line="360" w:lineRule="auto"/>
        <w:ind w:left="1287"/>
        <w:jc w:val="both"/>
        <w:rPr>
          <w:rFonts w:ascii="Arial" w:hAnsi="Arial" w:cs="Arial"/>
        </w:rPr>
      </w:pPr>
    </w:p>
    <w:p w:rsidR="00B151B2" w:rsidRDefault="00B151B2" w:rsidP="00D815A3">
      <w:pPr>
        <w:pStyle w:val="NoSpacing"/>
        <w:spacing w:line="360" w:lineRule="auto"/>
        <w:ind w:left="1701" w:hanging="567"/>
        <w:jc w:val="both"/>
        <w:rPr>
          <w:rFonts w:ascii="Arial" w:hAnsi="Arial" w:cs="Arial"/>
        </w:rPr>
      </w:pPr>
      <w:r>
        <w:rPr>
          <w:rFonts w:ascii="Arial" w:hAnsi="Arial" w:cs="Arial"/>
        </w:rPr>
        <w:t>(b)</w:t>
      </w:r>
      <w:r>
        <w:rPr>
          <w:rFonts w:ascii="Arial" w:hAnsi="Arial" w:cs="Arial"/>
        </w:rPr>
        <w:tab/>
      </w:r>
      <w:r w:rsidRPr="006E4C7A">
        <w:rPr>
          <w:rFonts w:ascii="Arial" w:hAnsi="Arial" w:cs="Arial"/>
        </w:rPr>
        <w:t xml:space="preserve">Where an order has been made dismissing the appeal on any of the grounds referred to in subparagraph (i) of paragraph (a) of this subsection, such order shall be deemed to be an order of the Supreme Court setting aside the appeal. </w:t>
      </w:r>
    </w:p>
    <w:p w:rsidR="00B151B2" w:rsidRDefault="00B151B2" w:rsidP="00D815A3">
      <w:pPr>
        <w:pStyle w:val="NoSpacing"/>
        <w:spacing w:line="360" w:lineRule="auto"/>
        <w:ind w:left="1701" w:hanging="567"/>
        <w:jc w:val="both"/>
        <w:rPr>
          <w:rFonts w:ascii="Arial" w:hAnsi="Arial" w:cs="Arial"/>
        </w:rPr>
      </w:pPr>
    </w:p>
    <w:p w:rsidR="00B151B2" w:rsidRPr="00E21FA6" w:rsidRDefault="00B151B2" w:rsidP="00D815A3">
      <w:pPr>
        <w:pStyle w:val="NoSpacing"/>
        <w:spacing w:line="360" w:lineRule="auto"/>
        <w:ind w:left="1701" w:hanging="567"/>
        <w:jc w:val="both"/>
        <w:rPr>
          <w:rFonts w:ascii="Arial" w:hAnsi="Arial" w:cs="Arial"/>
        </w:rPr>
      </w:pPr>
      <w:r>
        <w:rPr>
          <w:rFonts w:ascii="Arial" w:hAnsi="Arial" w:cs="Arial"/>
        </w:rPr>
        <w:t>(c)</w:t>
      </w:r>
      <w:r>
        <w:rPr>
          <w:rFonts w:ascii="Arial" w:hAnsi="Arial" w:cs="Arial"/>
        </w:rPr>
        <w:tab/>
      </w:r>
      <w:r w:rsidRPr="006E4C7A">
        <w:rPr>
          <w:rFonts w:ascii="Arial" w:hAnsi="Arial" w:cs="Arial"/>
        </w:rPr>
        <w:t>Any decision or direction of the Chief Justice or such other judge in terms of paragraph (a) of this subsection, shall be communicated to the parties concerned by the registrar.’</w:t>
      </w:r>
    </w:p>
    <w:p w:rsidR="00B151B2" w:rsidRDefault="00B151B2" w:rsidP="00D815A3">
      <w:pPr>
        <w:pStyle w:val="ListParagraph"/>
        <w:spacing w:after="0"/>
        <w:rPr>
          <w:rFonts w:ascii="Arial" w:hAnsi="Arial" w:cs="Arial"/>
          <w:sz w:val="24"/>
          <w:szCs w:val="24"/>
        </w:rPr>
      </w:pPr>
    </w:p>
    <w:p w:rsidR="00B151B2" w:rsidRDefault="00E21FA6" w:rsidP="00B151B2">
      <w:pPr>
        <w:pStyle w:val="NoSpacing"/>
        <w:numPr>
          <w:ilvl w:val="0"/>
          <w:numId w:val="31"/>
        </w:numPr>
        <w:spacing w:line="480" w:lineRule="auto"/>
        <w:ind w:left="0" w:firstLine="0"/>
        <w:jc w:val="both"/>
        <w:rPr>
          <w:rFonts w:ascii="Arial" w:hAnsi="Arial" w:cs="Arial"/>
          <w:sz w:val="24"/>
          <w:szCs w:val="24"/>
        </w:rPr>
      </w:pPr>
      <w:r w:rsidRPr="00B151B2">
        <w:rPr>
          <w:rFonts w:ascii="Arial" w:hAnsi="Arial" w:cs="Arial"/>
          <w:sz w:val="24"/>
          <w:szCs w:val="24"/>
        </w:rPr>
        <w:t>The procedure for bringing applications under s 14(7) is set out in rule 6 of the rules of this court.</w:t>
      </w:r>
    </w:p>
    <w:p w:rsidR="00B151B2" w:rsidRDefault="00B151B2" w:rsidP="00B151B2">
      <w:pPr>
        <w:pStyle w:val="NoSpacing"/>
        <w:spacing w:line="480" w:lineRule="auto"/>
        <w:jc w:val="both"/>
        <w:rPr>
          <w:rFonts w:ascii="Arial" w:hAnsi="Arial" w:cs="Arial"/>
          <w:sz w:val="24"/>
          <w:szCs w:val="24"/>
        </w:rPr>
      </w:pPr>
    </w:p>
    <w:p w:rsidR="00B151B2" w:rsidRDefault="00E21FA6" w:rsidP="00B151B2">
      <w:pPr>
        <w:pStyle w:val="NoSpacing"/>
        <w:numPr>
          <w:ilvl w:val="0"/>
          <w:numId w:val="31"/>
        </w:numPr>
        <w:spacing w:line="480" w:lineRule="auto"/>
        <w:ind w:left="0" w:firstLine="0"/>
        <w:jc w:val="both"/>
        <w:rPr>
          <w:rFonts w:ascii="Arial" w:hAnsi="Arial" w:cs="Arial"/>
          <w:sz w:val="24"/>
          <w:szCs w:val="24"/>
        </w:rPr>
      </w:pPr>
      <w:r w:rsidRPr="00B151B2">
        <w:rPr>
          <w:rFonts w:ascii="Arial" w:hAnsi="Arial" w:cs="Arial"/>
          <w:sz w:val="24"/>
          <w:szCs w:val="24"/>
        </w:rPr>
        <w:t xml:space="preserve">The </w:t>
      </w:r>
      <w:r w:rsidR="003670F3">
        <w:rPr>
          <w:rFonts w:ascii="Arial" w:hAnsi="Arial" w:cs="Arial"/>
          <w:sz w:val="24"/>
          <w:szCs w:val="24"/>
        </w:rPr>
        <w:t>respondent</w:t>
      </w:r>
      <w:r w:rsidRPr="00B151B2">
        <w:rPr>
          <w:rFonts w:ascii="Arial" w:hAnsi="Arial" w:cs="Arial"/>
          <w:sz w:val="24"/>
          <w:szCs w:val="24"/>
        </w:rPr>
        <w:t xml:space="preserve"> served its notice of motion and founding affidavit on </w:t>
      </w:r>
      <w:r w:rsidR="003670F3">
        <w:rPr>
          <w:rFonts w:ascii="Arial" w:hAnsi="Arial" w:cs="Arial"/>
          <w:sz w:val="24"/>
          <w:szCs w:val="24"/>
        </w:rPr>
        <w:t>2 September</w:t>
      </w:r>
      <w:r w:rsidRPr="00B151B2">
        <w:rPr>
          <w:rFonts w:ascii="Arial" w:hAnsi="Arial" w:cs="Arial"/>
          <w:sz w:val="24"/>
          <w:szCs w:val="24"/>
        </w:rPr>
        <w:t xml:space="preserve"> 20</w:t>
      </w:r>
      <w:r w:rsidR="003670F3">
        <w:rPr>
          <w:rFonts w:ascii="Arial" w:hAnsi="Arial" w:cs="Arial"/>
          <w:sz w:val="24"/>
          <w:szCs w:val="24"/>
        </w:rPr>
        <w:t>20</w:t>
      </w:r>
      <w:r w:rsidRPr="00B151B2">
        <w:rPr>
          <w:rFonts w:ascii="Arial" w:hAnsi="Arial" w:cs="Arial"/>
          <w:sz w:val="24"/>
          <w:szCs w:val="24"/>
        </w:rPr>
        <w:t xml:space="preserve"> upon the </w:t>
      </w:r>
      <w:r w:rsidR="003670F3">
        <w:rPr>
          <w:rFonts w:ascii="Arial" w:hAnsi="Arial" w:cs="Arial"/>
          <w:sz w:val="24"/>
          <w:szCs w:val="24"/>
        </w:rPr>
        <w:t>appellant</w:t>
      </w:r>
      <w:r w:rsidRPr="00B151B2">
        <w:rPr>
          <w:rFonts w:ascii="Arial" w:hAnsi="Arial" w:cs="Arial"/>
          <w:sz w:val="24"/>
          <w:szCs w:val="24"/>
        </w:rPr>
        <w:t xml:space="preserve">. Despite being called upon to file an answering </w:t>
      </w:r>
      <w:r w:rsidRPr="00B151B2">
        <w:rPr>
          <w:rFonts w:ascii="Arial" w:hAnsi="Arial" w:cs="Arial"/>
          <w:sz w:val="24"/>
          <w:szCs w:val="24"/>
        </w:rPr>
        <w:lastRenderedPageBreak/>
        <w:t xml:space="preserve">affidavit under rule 6(3) within ten days of that service, no answering affidavit was filed by the </w:t>
      </w:r>
      <w:r w:rsidR="003670F3">
        <w:rPr>
          <w:rFonts w:ascii="Arial" w:hAnsi="Arial" w:cs="Arial"/>
          <w:sz w:val="24"/>
          <w:szCs w:val="24"/>
        </w:rPr>
        <w:t xml:space="preserve">appellant </w:t>
      </w:r>
      <w:r w:rsidRPr="00B151B2">
        <w:rPr>
          <w:rFonts w:ascii="Arial" w:hAnsi="Arial" w:cs="Arial"/>
          <w:sz w:val="24"/>
          <w:szCs w:val="24"/>
        </w:rPr>
        <w:t>within that time or to date.</w:t>
      </w:r>
    </w:p>
    <w:p w:rsidR="006E5FF6" w:rsidRDefault="006E5FF6" w:rsidP="006E5FF6">
      <w:pPr>
        <w:pStyle w:val="NoSpacing"/>
        <w:spacing w:line="480" w:lineRule="auto"/>
        <w:jc w:val="both"/>
        <w:rPr>
          <w:rFonts w:ascii="Arial" w:hAnsi="Arial" w:cs="Arial"/>
          <w:sz w:val="24"/>
          <w:szCs w:val="24"/>
        </w:rPr>
      </w:pPr>
    </w:p>
    <w:p w:rsidR="00B151B2" w:rsidRDefault="00E21FA6" w:rsidP="00B151B2">
      <w:pPr>
        <w:pStyle w:val="NoSpacing"/>
        <w:numPr>
          <w:ilvl w:val="0"/>
          <w:numId w:val="31"/>
        </w:numPr>
        <w:spacing w:line="480" w:lineRule="auto"/>
        <w:ind w:left="0" w:firstLine="0"/>
        <w:jc w:val="both"/>
        <w:rPr>
          <w:rFonts w:ascii="Arial" w:hAnsi="Arial" w:cs="Arial"/>
          <w:sz w:val="24"/>
          <w:szCs w:val="24"/>
        </w:rPr>
      </w:pPr>
      <w:r w:rsidRPr="00B151B2">
        <w:rPr>
          <w:rFonts w:ascii="Arial" w:hAnsi="Arial" w:cs="Arial"/>
          <w:sz w:val="24"/>
          <w:szCs w:val="24"/>
        </w:rPr>
        <w:t xml:space="preserve">Having been designated to determine the application under s 14(7) of the Act, I do so under rule 6(4)(a) in chambers on the notice of motion and founding affidavit and annexures seeing that the </w:t>
      </w:r>
      <w:r w:rsidR="003670F3">
        <w:rPr>
          <w:rFonts w:ascii="Arial" w:hAnsi="Arial" w:cs="Arial"/>
          <w:sz w:val="24"/>
          <w:szCs w:val="24"/>
        </w:rPr>
        <w:t>appellant</w:t>
      </w:r>
      <w:r w:rsidRPr="00B151B2">
        <w:rPr>
          <w:rFonts w:ascii="Arial" w:hAnsi="Arial" w:cs="Arial"/>
          <w:sz w:val="24"/>
          <w:szCs w:val="24"/>
        </w:rPr>
        <w:t xml:space="preserve"> has not seen fit to oppose this application and file an affidavit under rule 6(3) within the time period of </w:t>
      </w:r>
      <w:r w:rsidR="00316D2A">
        <w:rPr>
          <w:rFonts w:ascii="Arial" w:hAnsi="Arial" w:cs="Arial"/>
          <w:sz w:val="24"/>
          <w:szCs w:val="24"/>
        </w:rPr>
        <w:t>ten</w:t>
      </w:r>
      <w:r w:rsidRPr="00B151B2">
        <w:rPr>
          <w:rFonts w:ascii="Arial" w:hAnsi="Arial" w:cs="Arial"/>
          <w:sz w:val="24"/>
          <w:szCs w:val="24"/>
        </w:rPr>
        <w:t xml:space="preserve"> days.</w:t>
      </w:r>
    </w:p>
    <w:p w:rsidR="00B151B2" w:rsidRDefault="00B151B2" w:rsidP="00B151B2">
      <w:pPr>
        <w:pStyle w:val="ListParagraph"/>
        <w:rPr>
          <w:rFonts w:ascii="Arial" w:hAnsi="Arial" w:cs="Arial"/>
          <w:sz w:val="24"/>
          <w:szCs w:val="24"/>
        </w:rPr>
      </w:pPr>
    </w:p>
    <w:p w:rsidR="00B151B2" w:rsidRDefault="00E21FA6" w:rsidP="00B151B2">
      <w:pPr>
        <w:pStyle w:val="NoSpacing"/>
        <w:numPr>
          <w:ilvl w:val="0"/>
          <w:numId w:val="31"/>
        </w:numPr>
        <w:spacing w:line="480" w:lineRule="auto"/>
        <w:ind w:left="0" w:firstLine="0"/>
        <w:jc w:val="both"/>
        <w:rPr>
          <w:rFonts w:ascii="Arial" w:hAnsi="Arial" w:cs="Arial"/>
          <w:sz w:val="24"/>
          <w:szCs w:val="24"/>
        </w:rPr>
      </w:pPr>
      <w:r w:rsidRPr="00B151B2">
        <w:rPr>
          <w:rFonts w:ascii="Arial" w:hAnsi="Arial" w:cs="Arial"/>
          <w:sz w:val="24"/>
          <w:szCs w:val="24"/>
        </w:rPr>
        <w:t>Shortly stated, the background facts are these.</w:t>
      </w:r>
    </w:p>
    <w:p w:rsidR="00B151B2" w:rsidRDefault="00B151B2" w:rsidP="00B151B2">
      <w:pPr>
        <w:pStyle w:val="ListParagraph"/>
        <w:rPr>
          <w:rFonts w:ascii="Arial" w:hAnsi="Arial" w:cs="Arial"/>
          <w:sz w:val="24"/>
          <w:szCs w:val="24"/>
        </w:rPr>
      </w:pPr>
    </w:p>
    <w:p w:rsidR="00B151B2" w:rsidRDefault="00E21FA6" w:rsidP="00B151B2">
      <w:pPr>
        <w:pStyle w:val="NoSpacing"/>
        <w:numPr>
          <w:ilvl w:val="0"/>
          <w:numId w:val="31"/>
        </w:numPr>
        <w:spacing w:line="480" w:lineRule="auto"/>
        <w:ind w:left="0" w:firstLine="0"/>
        <w:jc w:val="both"/>
        <w:rPr>
          <w:rFonts w:ascii="Arial" w:hAnsi="Arial" w:cs="Arial"/>
          <w:sz w:val="24"/>
          <w:szCs w:val="24"/>
        </w:rPr>
      </w:pPr>
      <w:r w:rsidRPr="00B151B2">
        <w:rPr>
          <w:rFonts w:ascii="Arial" w:hAnsi="Arial" w:cs="Arial"/>
          <w:sz w:val="24"/>
          <w:szCs w:val="24"/>
        </w:rPr>
        <w:t xml:space="preserve">The </w:t>
      </w:r>
      <w:r w:rsidR="003670F3">
        <w:rPr>
          <w:rFonts w:ascii="Arial" w:hAnsi="Arial" w:cs="Arial"/>
          <w:sz w:val="24"/>
          <w:szCs w:val="24"/>
        </w:rPr>
        <w:t>respondent</w:t>
      </w:r>
      <w:r w:rsidRPr="00B151B2">
        <w:rPr>
          <w:rFonts w:ascii="Arial" w:hAnsi="Arial" w:cs="Arial"/>
          <w:sz w:val="24"/>
          <w:szCs w:val="24"/>
        </w:rPr>
        <w:t xml:space="preserve"> (plaintiff) instituted an action against the </w:t>
      </w:r>
      <w:r w:rsidR="003670F3">
        <w:rPr>
          <w:rFonts w:ascii="Arial" w:hAnsi="Arial" w:cs="Arial"/>
          <w:sz w:val="24"/>
          <w:szCs w:val="24"/>
        </w:rPr>
        <w:t>appellant</w:t>
      </w:r>
      <w:r w:rsidRPr="00B151B2">
        <w:rPr>
          <w:rFonts w:ascii="Arial" w:hAnsi="Arial" w:cs="Arial"/>
          <w:sz w:val="24"/>
          <w:szCs w:val="24"/>
        </w:rPr>
        <w:t xml:space="preserve"> (defendant) in </w:t>
      </w:r>
      <w:r w:rsidR="003670F3">
        <w:rPr>
          <w:rFonts w:ascii="Arial" w:hAnsi="Arial" w:cs="Arial"/>
          <w:sz w:val="24"/>
          <w:szCs w:val="24"/>
        </w:rPr>
        <w:t>March 2020</w:t>
      </w:r>
      <w:r w:rsidRPr="00B151B2">
        <w:rPr>
          <w:rFonts w:ascii="Arial" w:hAnsi="Arial" w:cs="Arial"/>
          <w:sz w:val="24"/>
          <w:szCs w:val="24"/>
        </w:rPr>
        <w:t xml:space="preserve"> for payment of N$7</w:t>
      </w:r>
      <w:r w:rsidR="003670F3">
        <w:rPr>
          <w:rFonts w:ascii="Arial" w:hAnsi="Arial" w:cs="Arial"/>
          <w:sz w:val="24"/>
          <w:szCs w:val="24"/>
        </w:rPr>
        <w:t>31</w:t>
      </w:r>
      <w:r w:rsidR="006E5FF6">
        <w:rPr>
          <w:rFonts w:ascii="Arial" w:hAnsi="Arial" w:cs="Arial"/>
          <w:sz w:val="24"/>
          <w:szCs w:val="24"/>
        </w:rPr>
        <w:t xml:space="preserve"> </w:t>
      </w:r>
      <w:r w:rsidR="003670F3">
        <w:rPr>
          <w:rFonts w:ascii="Arial" w:hAnsi="Arial" w:cs="Arial"/>
          <w:sz w:val="24"/>
          <w:szCs w:val="24"/>
        </w:rPr>
        <w:t>4</w:t>
      </w:r>
      <w:r w:rsidRPr="00B151B2">
        <w:rPr>
          <w:rFonts w:ascii="Arial" w:hAnsi="Arial" w:cs="Arial"/>
          <w:sz w:val="24"/>
          <w:szCs w:val="24"/>
        </w:rPr>
        <w:t xml:space="preserve">00 together with interest and costs in respect of </w:t>
      </w:r>
      <w:r w:rsidR="003670F3">
        <w:rPr>
          <w:rFonts w:ascii="Arial" w:hAnsi="Arial" w:cs="Arial"/>
          <w:sz w:val="24"/>
          <w:szCs w:val="24"/>
        </w:rPr>
        <w:t>services rendered</w:t>
      </w:r>
      <w:r w:rsidRPr="00B151B2">
        <w:rPr>
          <w:rFonts w:ascii="Arial" w:hAnsi="Arial" w:cs="Arial"/>
          <w:sz w:val="24"/>
          <w:szCs w:val="24"/>
        </w:rPr>
        <w:t xml:space="preserve"> by the plaintiff to the defendant. The defendant entered an appearance to defend and the matter proceeded to </w:t>
      </w:r>
      <w:r w:rsidR="003670F3">
        <w:rPr>
          <w:rFonts w:ascii="Arial" w:hAnsi="Arial" w:cs="Arial"/>
          <w:sz w:val="24"/>
          <w:szCs w:val="24"/>
        </w:rPr>
        <w:t>judicial case management. After case planning, t</w:t>
      </w:r>
      <w:r w:rsidRPr="00B151B2">
        <w:rPr>
          <w:rFonts w:ascii="Arial" w:hAnsi="Arial" w:cs="Arial"/>
          <w:sz w:val="24"/>
          <w:szCs w:val="24"/>
        </w:rPr>
        <w:t xml:space="preserve">he </w:t>
      </w:r>
      <w:r w:rsidR="003670F3">
        <w:rPr>
          <w:rFonts w:ascii="Arial" w:hAnsi="Arial" w:cs="Arial"/>
          <w:sz w:val="24"/>
          <w:szCs w:val="24"/>
        </w:rPr>
        <w:t>High Court</w:t>
      </w:r>
      <w:r w:rsidRPr="00B151B2">
        <w:rPr>
          <w:rFonts w:ascii="Arial" w:hAnsi="Arial" w:cs="Arial"/>
          <w:sz w:val="24"/>
          <w:szCs w:val="24"/>
        </w:rPr>
        <w:t xml:space="preserve"> made an order of court on </w:t>
      </w:r>
      <w:r w:rsidR="003670F3">
        <w:rPr>
          <w:rFonts w:ascii="Arial" w:hAnsi="Arial" w:cs="Arial"/>
          <w:sz w:val="24"/>
          <w:szCs w:val="24"/>
        </w:rPr>
        <w:t>6 May</w:t>
      </w:r>
      <w:r w:rsidR="007276F9">
        <w:rPr>
          <w:rFonts w:ascii="Arial" w:hAnsi="Arial" w:cs="Arial"/>
          <w:sz w:val="24"/>
          <w:szCs w:val="24"/>
        </w:rPr>
        <w:t xml:space="preserve"> 20</w:t>
      </w:r>
      <w:r w:rsidR="003670F3">
        <w:rPr>
          <w:rFonts w:ascii="Arial" w:hAnsi="Arial" w:cs="Arial"/>
          <w:sz w:val="24"/>
          <w:szCs w:val="24"/>
        </w:rPr>
        <w:t>20</w:t>
      </w:r>
      <w:r w:rsidRPr="00B151B2">
        <w:rPr>
          <w:rFonts w:ascii="Arial" w:hAnsi="Arial" w:cs="Arial"/>
          <w:sz w:val="24"/>
          <w:szCs w:val="24"/>
        </w:rPr>
        <w:t>, requir</w:t>
      </w:r>
      <w:r w:rsidR="003670F3">
        <w:rPr>
          <w:rFonts w:ascii="Arial" w:hAnsi="Arial" w:cs="Arial"/>
          <w:sz w:val="24"/>
          <w:szCs w:val="24"/>
        </w:rPr>
        <w:t>ing</w:t>
      </w:r>
      <w:r w:rsidRPr="00B151B2">
        <w:rPr>
          <w:rFonts w:ascii="Arial" w:hAnsi="Arial" w:cs="Arial"/>
          <w:sz w:val="24"/>
          <w:szCs w:val="24"/>
        </w:rPr>
        <w:t xml:space="preserve"> that the </w:t>
      </w:r>
      <w:r w:rsidR="003670F3">
        <w:rPr>
          <w:rFonts w:ascii="Arial" w:hAnsi="Arial" w:cs="Arial"/>
          <w:sz w:val="24"/>
          <w:szCs w:val="24"/>
        </w:rPr>
        <w:t>plaintiff file its summary judgment application by 2</w:t>
      </w:r>
      <w:r w:rsidR="0082641C">
        <w:rPr>
          <w:rFonts w:ascii="Arial" w:hAnsi="Arial" w:cs="Arial"/>
          <w:sz w:val="24"/>
          <w:szCs w:val="24"/>
        </w:rPr>
        <w:t>7</w:t>
      </w:r>
      <w:r w:rsidR="003670F3">
        <w:rPr>
          <w:rFonts w:ascii="Arial" w:hAnsi="Arial" w:cs="Arial"/>
          <w:sz w:val="24"/>
          <w:szCs w:val="24"/>
        </w:rPr>
        <w:t xml:space="preserve"> May 2020 and </w:t>
      </w:r>
      <w:r w:rsidR="00D63097">
        <w:rPr>
          <w:rFonts w:ascii="Arial" w:hAnsi="Arial" w:cs="Arial"/>
          <w:sz w:val="24"/>
          <w:szCs w:val="24"/>
        </w:rPr>
        <w:t>that the defendant file its answering affidavit by 17 June 2020 and postponed the case to 1 July 2020 for a status hearing</w:t>
      </w:r>
      <w:r w:rsidR="00316D2A">
        <w:rPr>
          <w:rFonts w:ascii="Arial" w:hAnsi="Arial" w:cs="Arial"/>
          <w:sz w:val="24"/>
          <w:szCs w:val="24"/>
        </w:rPr>
        <w:t>.</w:t>
      </w:r>
    </w:p>
    <w:p w:rsidR="00B151B2" w:rsidRDefault="00B151B2" w:rsidP="00B151B2">
      <w:pPr>
        <w:pStyle w:val="ListParagraph"/>
        <w:rPr>
          <w:rFonts w:ascii="Arial" w:hAnsi="Arial" w:cs="Arial"/>
          <w:sz w:val="24"/>
          <w:szCs w:val="24"/>
        </w:rPr>
      </w:pPr>
    </w:p>
    <w:p w:rsidR="00D63097" w:rsidRPr="00D63097" w:rsidRDefault="00D63097" w:rsidP="00D63097">
      <w:pPr>
        <w:pStyle w:val="NoSpacing"/>
        <w:numPr>
          <w:ilvl w:val="0"/>
          <w:numId w:val="31"/>
        </w:numPr>
        <w:spacing w:line="480" w:lineRule="auto"/>
        <w:ind w:left="0" w:firstLine="0"/>
        <w:jc w:val="both"/>
        <w:rPr>
          <w:rFonts w:ascii="Arial" w:hAnsi="Arial" w:cs="Arial"/>
          <w:sz w:val="24"/>
          <w:szCs w:val="24"/>
        </w:rPr>
      </w:pPr>
      <w:r>
        <w:rPr>
          <w:rFonts w:ascii="Arial" w:hAnsi="Arial" w:cs="Arial"/>
          <w:sz w:val="24"/>
          <w:szCs w:val="24"/>
        </w:rPr>
        <w:t>The defendant however</w:t>
      </w:r>
      <w:r w:rsidR="0082641C">
        <w:rPr>
          <w:rFonts w:ascii="Arial" w:hAnsi="Arial" w:cs="Arial"/>
          <w:sz w:val="24"/>
          <w:szCs w:val="24"/>
        </w:rPr>
        <w:t xml:space="preserve"> failed to</w:t>
      </w:r>
      <w:r>
        <w:rPr>
          <w:rFonts w:ascii="Arial" w:hAnsi="Arial" w:cs="Arial"/>
          <w:sz w:val="24"/>
          <w:szCs w:val="24"/>
        </w:rPr>
        <w:t xml:space="preserve"> file an answering affidavit to the summary judgment application. </w:t>
      </w:r>
      <w:r w:rsidRPr="00D63097">
        <w:rPr>
          <w:rFonts w:ascii="Arial" w:hAnsi="Arial" w:cs="Arial"/>
          <w:sz w:val="24"/>
          <w:szCs w:val="24"/>
        </w:rPr>
        <w:t xml:space="preserve">On 1 July 2020, the High Court postponed the summary judgment application for hearing </w:t>
      </w:r>
      <w:r w:rsidR="00316D2A">
        <w:rPr>
          <w:rFonts w:ascii="Arial" w:hAnsi="Arial" w:cs="Arial"/>
          <w:sz w:val="24"/>
          <w:szCs w:val="24"/>
        </w:rPr>
        <w:t>to</w:t>
      </w:r>
      <w:r w:rsidRPr="00D63097">
        <w:rPr>
          <w:rFonts w:ascii="Arial" w:hAnsi="Arial" w:cs="Arial"/>
          <w:sz w:val="24"/>
          <w:szCs w:val="24"/>
        </w:rPr>
        <w:t xml:space="preserve"> </w:t>
      </w:r>
      <w:r w:rsidR="0082641C">
        <w:rPr>
          <w:rFonts w:ascii="Arial" w:hAnsi="Arial" w:cs="Arial"/>
          <w:sz w:val="24"/>
          <w:szCs w:val="24"/>
        </w:rPr>
        <w:t xml:space="preserve">9 </w:t>
      </w:r>
      <w:r w:rsidRPr="00D63097">
        <w:rPr>
          <w:rFonts w:ascii="Arial" w:hAnsi="Arial" w:cs="Arial"/>
          <w:sz w:val="24"/>
          <w:szCs w:val="24"/>
        </w:rPr>
        <w:t>July 2020. The defendant was represented by a legal practitioner on that occasion.</w:t>
      </w:r>
    </w:p>
    <w:p w:rsidR="00B151B2" w:rsidRDefault="00B151B2" w:rsidP="00B151B2">
      <w:pPr>
        <w:pStyle w:val="ListParagraph"/>
        <w:rPr>
          <w:rFonts w:ascii="Arial" w:hAnsi="Arial" w:cs="Arial"/>
          <w:sz w:val="24"/>
          <w:szCs w:val="24"/>
        </w:rPr>
      </w:pPr>
    </w:p>
    <w:p w:rsidR="00B151B2" w:rsidRDefault="00E21FA6" w:rsidP="00B151B2">
      <w:pPr>
        <w:pStyle w:val="NoSpacing"/>
        <w:numPr>
          <w:ilvl w:val="0"/>
          <w:numId w:val="31"/>
        </w:numPr>
        <w:spacing w:line="480" w:lineRule="auto"/>
        <w:ind w:left="0" w:firstLine="0"/>
        <w:jc w:val="both"/>
        <w:rPr>
          <w:rFonts w:ascii="Arial" w:hAnsi="Arial" w:cs="Arial"/>
          <w:sz w:val="24"/>
          <w:szCs w:val="24"/>
        </w:rPr>
      </w:pPr>
      <w:r w:rsidRPr="00B151B2">
        <w:rPr>
          <w:rFonts w:ascii="Arial" w:hAnsi="Arial" w:cs="Arial"/>
          <w:sz w:val="24"/>
          <w:szCs w:val="24"/>
        </w:rPr>
        <w:t xml:space="preserve">On </w:t>
      </w:r>
      <w:r w:rsidR="00D63097">
        <w:rPr>
          <w:rFonts w:ascii="Arial" w:hAnsi="Arial" w:cs="Arial"/>
          <w:sz w:val="24"/>
          <w:szCs w:val="24"/>
        </w:rPr>
        <w:t>9 July</w:t>
      </w:r>
      <w:r w:rsidRPr="00B151B2">
        <w:rPr>
          <w:rFonts w:ascii="Arial" w:hAnsi="Arial" w:cs="Arial"/>
          <w:sz w:val="24"/>
          <w:szCs w:val="24"/>
        </w:rPr>
        <w:t xml:space="preserve"> 20</w:t>
      </w:r>
      <w:r w:rsidR="00D63097">
        <w:rPr>
          <w:rFonts w:ascii="Arial" w:hAnsi="Arial" w:cs="Arial"/>
          <w:sz w:val="24"/>
          <w:szCs w:val="24"/>
        </w:rPr>
        <w:t>20</w:t>
      </w:r>
      <w:r w:rsidRPr="00B151B2">
        <w:rPr>
          <w:rFonts w:ascii="Arial" w:hAnsi="Arial" w:cs="Arial"/>
          <w:sz w:val="24"/>
          <w:szCs w:val="24"/>
        </w:rPr>
        <w:t xml:space="preserve">, the High Court heard </w:t>
      </w:r>
      <w:r w:rsidR="00D63097">
        <w:rPr>
          <w:rFonts w:ascii="Arial" w:hAnsi="Arial" w:cs="Arial"/>
          <w:sz w:val="24"/>
          <w:szCs w:val="24"/>
        </w:rPr>
        <w:t>the</w:t>
      </w:r>
      <w:r w:rsidRPr="00B151B2">
        <w:rPr>
          <w:rFonts w:ascii="Arial" w:hAnsi="Arial" w:cs="Arial"/>
          <w:sz w:val="24"/>
          <w:szCs w:val="24"/>
        </w:rPr>
        <w:t xml:space="preserve"> application for </w:t>
      </w:r>
      <w:r w:rsidR="00D63097">
        <w:rPr>
          <w:rFonts w:ascii="Arial" w:hAnsi="Arial" w:cs="Arial"/>
          <w:sz w:val="24"/>
          <w:szCs w:val="24"/>
        </w:rPr>
        <w:t>summary</w:t>
      </w:r>
      <w:r w:rsidRPr="00B151B2">
        <w:rPr>
          <w:rFonts w:ascii="Arial" w:hAnsi="Arial" w:cs="Arial"/>
          <w:sz w:val="24"/>
          <w:szCs w:val="24"/>
        </w:rPr>
        <w:t xml:space="preserve"> judgment. The defendant was also represented in court when that application was moved. </w:t>
      </w:r>
      <w:r w:rsidR="00D63097">
        <w:rPr>
          <w:rFonts w:ascii="Arial" w:hAnsi="Arial" w:cs="Arial"/>
          <w:sz w:val="24"/>
          <w:szCs w:val="24"/>
        </w:rPr>
        <w:t xml:space="preserve">The </w:t>
      </w:r>
      <w:r w:rsidR="00D63097">
        <w:rPr>
          <w:rFonts w:ascii="Arial" w:hAnsi="Arial" w:cs="Arial"/>
          <w:sz w:val="24"/>
          <w:szCs w:val="24"/>
        </w:rPr>
        <w:lastRenderedPageBreak/>
        <w:t>court granted summary judgment in favour of the plaintiff in the sum claimed together with interest and costs on that same day (9 July 2020).</w:t>
      </w:r>
    </w:p>
    <w:p w:rsidR="00B151B2" w:rsidRDefault="00B151B2" w:rsidP="00B151B2">
      <w:pPr>
        <w:pStyle w:val="ListParagraph"/>
        <w:rPr>
          <w:rFonts w:ascii="Arial" w:hAnsi="Arial" w:cs="Arial"/>
          <w:sz w:val="24"/>
          <w:szCs w:val="24"/>
        </w:rPr>
      </w:pPr>
    </w:p>
    <w:p w:rsidR="00B151B2" w:rsidRDefault="00E21FA6" w:rsidP="00B151B2">
      <w:pPr>
        <w:pStyle w:val="NoSpacing"/>
        <w:numPr>
          <w:ilvl w:val="0"/>
          <w:numId w:val="31"/>
        </w:numPr>
        <w:spacing w:line="480" w:lineRule="auto"/>
        <w:ind w:left="0" w:firstLine="0"/>
        <w:jc w:val="both"/>
        <w:rPr>
          <w:rFonts w:ascii="Arial" w:hAnsi="Arial" w:cs="Arial"/>
          <w:sz w:val="24"/>
          <w:szCs w:val="24"/>
        </w:rPr>
      </w:pPr>
      <w:r w:rsidRPr="00B151B2">
        <w:rPr>
          <w:rFonts w:ascii="Arial" w:hAnsi="Arial" w:cs="Arial"/>
          <w:sz w:val="24"/>
          <w:szCs w:val="24"/>
        </w:rPr>
        <w:t>The plaintiff’s representative proceeded to</w:t>
      </w:r>
      <w:r w:rsidR="0082641C">
        <w:rPr>
          <w:rFonts w:ascii="Arial" w:hAnsi="Arial" w:cs="Arial"/>
          <w:sz w:val="24"/>
          <w:szCs w:val="24"/>
        </w:rPr>
        <w:t xml:space="preserve"> cause</w:t>
      </w:r>
      <w:r w:rsidRPr="00B151B2">
        <w:rPr>
          <w:rFonts w:ascii="Arial" w:hAnsi="Arial" w:cs="Arial"/>
          <w:sz w:val="24"/>
          <w:szCs w:val="24"/>
        </w:rPr>
        <w:t xml:space="preserve"> </w:t>
      </w:r>
      <w:r w:rsidR="00D63097">
        <w:rPr>
          <w:rFonts w:ascii="Arial" w:hAnsi="Arial" w:cs="Arial"/>
          <w:sz w:val="24"/>
          <w:szCs w:val="24"/>
        </w:rPr>
        <w:t>a writ of execution to be issued on 15 July 2020</w:t>
      </w:r>
      <w:r w:rsidRPr="00B151B2">
        <w:rPr>
          <w:rFonts w:ascii="Arial" w:hAnsi="Arial" w:cs="Arial"/>
          <w:sz w:val="24"/>
          <w:szCs w:val="24"/>
        </w:rPr>
        <w:t>.</w:t>
      </w:r>
    </w:p>
    <w:p w:rsidR="00B151B2" w:rsidRDefault="00B151B2" w:rsidP="00B151B2">
      <w:pPr>
        <w:pStyle w:val="ListParagraph"/>
        <w:rPr>
          <w:rFonts w:ascii="Arial" w:hAnsi="Arial" w:cs="Arial"/>
          <w:sz w:val="24"/>
          <w:szCs w:val="24"/>
        </w:rPr>
      </w:pPr>
    </w:p>
    <w:p w:rsidR="00B151B2" w:rsidRDefault="00D63097" w:rsidP="00B151B2">
      <w:pPr>
        <w:pStyle w:val="NoSpacing"/>
        <w:numPr>
          <w:ilvl w:val="0"/>
          <w:numId w:val="31"/>
        </w:numPr>
        <w:spacing w:line="480" w:lineRule="auto"/>
        <w:ind w:left="0" w:firstLine="0"/>
        <w:jc w:val="both"/>
        <w:rPr>
          <w:rFonts w:ascii="Arial" w:hAnsi="Arial" w:cs="Arial"/>
          <w:sz w:val="24"/>
          <w:szCs w:val="24"/>
        </w:rPr>
      </w:pPr>
      <w:r>
        <w:rPr>
          <w:rFonts w:ascii="Arial" w:hAnsi="Arial" w:cs="Arial"/>
          <w:sz w:val="24"/>
          <w:szCs w:val="24"/>
        </w:rPr>
        <w:t>The Deputy Sheriff executed the writ on 12 August 2020 and made an attachment of moveable goods.</w:t>
      </w:r>
    </w:p>
    <w:p w:rsidR="00B151B2" w:rsidRDefault="00B151B2" w:rsidP="00B151B2">
      <w:pPr>
        <w:pStyle w:val="ListParagraph"/>
        <w:rPr>
          <w:rFonts w:ascii="Arial" w:hAnsi="Arial" w:cs="Arial"/>
          <w:sz w:val="24"/>
          <w:szCs w:val="24"/>
        </w:rPr>
      </w:pPr>
    </w:p>
    <w:p w:rsidR="0082641C" w:rsidRDefault="00E21FA6" w:rsidP="005F11C6">
      <w:pPr>
        <w:pStyle w:val="NoSpacing"/>
        <w:numPr>
          <w:ilvl w:val="0"/>
          <w:numId w:val="31"/>
        </w:numPr>
        <w:spacing w:line="480" w:lineRule="auto"/>
        <w:ind w:left="0" w:firstLine="0"/>
        <w:jc w:val="both"/>
        <w:rPr>
          <w:rFonts w:ascii="Arial" w:hAnsi="Arial" w:cs="Arial"/>
          <w:sz w:val="24"/>
          <w:szCs w:val="24"/>
        </w:rPr>
      </w:pPr>
      <w:r w:rsidRPr="00B151B2">
        <w:rPr>
          <w:rFonts w:ascii="Arial" w:hAnsi="Arial" w:cs="Arial"/>
          <w:sz w:val="24"/>
          <w:szCs w:val="24"/>
        </w:rPr>
        <w:t xml:space="preserve">The defendant thereafter on </w:t>
      </w:r>
      <w:r w:rsidR="00D63097">
        <w:rPr>
          <w:rFonts w:ascii="Arial" w:hAnsi="Arial" w:cs="Arial"/>
          <w:sz w:val="24"/>
          <w:szCs w:val="24"/>
        </w:rPr>
        <w:t>17 August 2020</w:t>
      </w:r>
      <w:r w:rsidRPr="00B151B2">
        <w:rPr>
          <w:rFonts w:ascii="Arial" w:hAnsi="Arial" w:cs="Arial"/>
          <w:sz w:val="24"/>
          <w:szCs w:val="24"/>
        </w:rPr>
        <w:t xml:space="preserve"> filed a not</w:t>
      </w:r>
      <w:r w:rsidR="00D63097">
        <w:rPr>
          <w:rFonts w:ascii="Arial" w:hAnsi="Arial" w:cs="Arial"/>
          <w:sz w:val="24"/>
          <w:szCs w:val="24"/>
        </w:rPr>
        <w:t>ice of appeal against the order. This was done out of time as the days for noting an appeal expired on 7 August 2020. The notice was not accompanied by an applicat</w:t>
      </w:r>
      <w:r w:rsidR="003C5AD4">
        <w:rPr>
          <w:rFonts w:ascii="Arial" w:hAnsi="Arial" w:cs="Arial"/>
          <w:sz w:val="24"/>
          <w:szCs w:val="24"/>
        </w:rPr>
        <w:t>i</w:t>
      </w:r>
      <w:r w:rsidR="00D63097">
        <w:rPr>
          <w:rFonts w:ascii="Arial" w:hAnsi="Arial" w:cs="Arial"/>
          <w:sz w:val="24"/>
          <w:szCs w:val="24"/>
        </w:rPr>
        <w:t>on for condonation</w:t>
      </w:r>
      <w:r w:rsidR="003C5AD4">
        <w:rPr>
          <w:rFonts w:ascii="Arial" w:hAnsi="Arial" w:cs="Arial"/>
          <w:sz w:val="24"/>
          <w:szCs w:val="24"/>
        </w:rPr>
        <w:t xml:space="preserve">, although para </w:t>
      </w:r>
      <w:r w:rsidR="00316D2A">
        <w:rPr>
          <w:rFonts w:ascii="Arial" w:hAnsi="Arial" w:cs="Arial"/>
          <w:sz w:val="24"/>
          <w:szCs w:val="24"/>
        </w:rPr>
        <w:t>one</w:t>
      </w:r>
      <w:r w:rsidR="003C5AD4">
        <w:rPr>
          <w:rFonts w:ascii="Arial" w:hAnsi="Arial" w:cs="Arial"/>
          <w:sz w:val="24"/>
          <w:szCs w:val="24"/>
        </w:rPr>
        <w:t xml:space="preserve"> of the notice seeks condonation for non-compliance with the rules of this court. The notice further complained that the writ was ‘an infringement of appellants’ constitutional right to a fair trial in terms of Art 12 of the constitution’ without specifying any basis for this assertion. It is also stated </w:t>
      </w:r>
      <w:r w:rsidR="006E5FF6">
        <w:rPr>
          <w:rFonts w:ascii="Arial" w:hAnsi="Arial" w:cs="Arial"/>
          <w:sz w:val="24"/>
          <w:szCs w:val="24"/>
        </w:rPr>
        <w:t>in</w:t>
      </w:r>
      <w:r w:rsidR="003C5AD4">
        <w:rPr>
          <w:rFonts w:ascii="Arial" w:hAnsi="Arial" w:cs="Arial"/>
          <w:sz w:val="24"/>
          <w:szCs w:val="24"/>
        </w:rPr>
        <w:t xml:space="preserve"> the notice of appeal that the appellant ‘became aware for the first time of the court order of 15 July 2020 on 11 August 2020’. This despite the order reflecting that its legal practitioner, Mr Awaseb</w:t>
      </w:r>
      <w:r w:rsidR="0082641C">
        <w:rPr>
          <w:rFonts w:ascii="Arial" w:hAnsi="Arial" w:cs="Arial"/>
          <w:sz w:val="24"/>
          <w:szCs w:val="24"/>
        </w:rPr>
        <w:t>,</w:t>
      </w:r>
      <w:r w:rsidR="003C5AD4">
        <w:rPr>
          <w:rFonts w:ascii="Arial" w:hAnsi="Arial" w:cs="Arial"/>
          <w:sz w:val="24"/>
          <w:szCs w:val="24"/>
        </w:rPr>
        <w:t xml:space="preserve"> was present during those proceedings and the uncontested evidence of the respondent’s (plaintiff’s) legal practitioner to that effect. The notice further contends without any factual basis that the plaintiff’s legal practitioners did not have a mandate to issue summons. The notice of appeal also asserts that ‘the court </w:t>
      </w:r>
      <w:r w:rsidR="003C5AD4" w:rsidRPr="003C5AD4">
        <w:rPr>
          <w:rFonts w:ascii="Arial" w:hAnsi="Arial" w:cs="Arial"/>
          <w:i/>
          <w:sz w:val="24"/>
          <w:szCs w:val="24"/>
        </w:rPr>
        <w:t>a quo</w:t>
      </w:r>
      <w:r w:rsidR="003C5AD4">
        <w:rPr>
          <w:rFonts w:ascii="Arial" w:hAnsi="Arial" w:cs="Arial"/>
          <w:sz w:val="24"/>
          <w:szCs w:val="24"/>
        </w:rPr>
        <w:t xml:space="preserve"> erred to apply its mind to the matter placed before it by means of a combined summons in that it failed to exercise authority to enforce delegated legislation </w:t>
      </w:r>
      <w:r w:rsidR="003C5AD4" w:rsidRPr="003C5AD4">
        <w:rPr>
          <w:rFonts w:ascii="Arial" w:hAnsi="Arial" w:cs="Arial"/>
          <w:i/>
          <w:sz w:val="24"/>
          <w:szCs w:val="24"/>
        </w:rPr>
        <w:t>inter alia</w:t>
      </w:r>
      <w:r w:rsidR="003C5AD4">
        <w:rPr>
          <w:rFonts w:ascii="Arial" w:hAnsi="Arial" w:cs="Arial"/>
          <w:sz w:val="24"/>
          <w:szCs w:val="24"/>
        </w:rPr>
        <w:t xml:space="preserve"> the rules of court</w:t>
      </w:r>
      <w:r w:rsidR="006E5FF6">
        <w:rPr>
          <w:rFonts w:ascii="Arial" w:hAnsi="Arial" w:cs="Arial"/>
          <w:sz w:val="24"/>
          <w:szCs w:val="24"/>
        </w:rPr>
        <w:t>’</w:t>
      </w:r>
      <w:r w:rsidR="003C5AD4">
        <w:rPr>
          <w:rFonts w:ascii="Arial" w:hAnsi="Arial" w:cs="Arial"/>
          <w:sz w:val="24"/>
          <w:szCs w:val="24"/>
        </w:rPr>
        <w:t xml:space="preserve">. It is also contended that this matter was of ‘a labour nature’ and should have been brought in the Labour court. </w:t>
      </w:r>
    </w:p>
    <w:p w:rsidR="00B151B2" w:rsidRPr="005F11C6" w:rsidRDefault="003C5AD4" w:rsidP="005F11C6">
      <w:pPr>
        <w:pStyle w:val="NoSpacing"/>
        <w:numPr>
          <w:ilvl w:val="0"/>
          <w:numId w:val="31"/>
        </w:numPr>
        <w:spacing w:line="480" w:lineRule="auto"/>
        <w:ind w:left="0" w:firstLine="0"/>
        <w:jc w:val="both"/>
        <w:rPr>
          <w:rFonts w:ascii="Arial" w:hAnsi="Arial" w:cs="Arial"/>
          <w:sz w:val="24"/>
          <w:szCs w:val="24"/>
        </w:rPr>
      </w:pPr>
      <w:r>
        <w:rPr>
          <w:rFonts w:ascii="Arial" w:hAnsi="Arial" w:cs="Arial"/>
          <w:sz w:val="24"/>
          <w:szCs w:val="24"/>
        </w:rPr>
        <w:lastRenderedPageBreak/>
        <w:t>The facts set out in this application are not contested. The defendant f</w:t>
      </w:r>
      <w:r w:rsidR="0082641C">
        <w:rPr>
          <w:rFonts w:ascii="Arial" w:hAnsi="Arial" w:cs="Arial"/>
          <w:sz w:val="24"/>
          <w:szCs w:val="24"/>
        </w:rPr>
        <w:t>a</w:t>
      </w:r>
      <w:r>
        <w:rPr>
          <w:rFonts w:ascii="Arial" w:hAnsi="Arial" w:cs="Arial"/>
          <w:sz w:val="24"/>
          <w:szCs w:val="24"/>
        </w:rPr>
        <w:t xml:space="preserve">iled to take issue with the plaintiff’s practitioner’s mandate when it </w:t>
      </w:r>
      <w:r w:rsidR="005F11C6">
        <w:rPr>
          <w:rFonts w:ascii="Arial" w:hAnsi="Arial" w:cs="Arial"/>
          <w:sz w:val="24"/>
          <w:szCs w:val="24"/>
        </w:rPr>
        <w:t xml:space="preserve">had an opportunity to do so. It failed to place any factual material before the High Court or this court in that regard, except referring to trite legal precedent in the notice of appeal. In fact, the defendant’s unsupported assertion about authority in the notice of appeal is squarely gainsaid under oath in this application by the sole member of the plaintiff. That statement has not been contested by the defendant despite the opportunity to do so. </w:t>
      </w:r>
      <w:r w:rsidR="0082641C">
        <w:rPr>
          <w:rFonts w:ascii="Arial" w:hAnsi="Arial" w:cs="Arial"/>
          <w:sz w:val="24"/>
          <w:szCs w:val="24"/>
        </w:rPr>
        <w:t>This affidavit would in any event constitute ratification of the proceeding</w:t>
      </w:r>
      <w:r w:rsidR="002C1BE3">
        <w:rPr>
          <w:rFonts w:ascii="Arial" w:hAnsi="Arial" w:cs="Arial"/>
          <w:sz w:val="24"/>
          <w:szCs w:val="24"/>
        </w:rPr>
        <w:t>s</w:t>
      </w:r>
      <w:r w:rsidR="0082641C">
        <w:rPr>
          <w:rFonts w:ascii="Arial" w:hAnsi="Arial" w:cs="Arial"/>
          <w:sz w:val="24"/>
          <w:szCs w:val="24"/>
        </w:rPr>
        <w:t xml:space="preserve"> even if they were unauthorised which is not by any means established [</w:t>
      </w:r>
      <w:r w:rsidR="0082641C" w:rsidRPr="0082641C">
        <w:rPr>
          <w:rFonts w:ascii="Arial" w:hAnsi="Arial" w:cs="Arial"/>
          <w:i/>
          <w:sz w:val="24"/>
          <w:szCs w:val="24"/>
        </w:rPr>
        <w:t>Smith v Kwanonqubela Town Council</w:t>
      </w:r>
      <w:r w:rsidR="0082641C">
        <w:rPr>
          <w:rFonts w:ascii="Arial" w:hAnsi="Arial" w:cs="Arial"/>
          <w:sz w:val="24"/>
          <w:szCs w:val="24"/>
        </w:rPr>
        <w:t xml:space="preserve"> 1999</w:t>
      </w:r>
      <w:r w:rsidR="00316D2A">
        <w:rPr>
          <w:rFonts w:ascii="Arial" w:hAnsi="Arial" w:cs="Arial"/>
          <w:sz w:val="24"/>
          <w:szCs w:val="24"/>
        </w:rPr>
        <w:t xml:space="preserve"> </w:t>
      </w:r>
      <w:r w:rsidR="0082641C">
        <w:rPr>
          <w:rFonts w:ascii="Arial" w:hAnsi="Arial" w:cs="Arial"/>
          <w:sz w:val="24"/>
          <w:szCs w:val="24"/>
        </w:rPr>
        <w:t xml:space="preserve">(4) SA 947 (SCA)]. </w:t>
      </w:r>
      <w:r w:rsidR="005F11C6">
        <w:rPr>
          <w:rFonts w:ascii="Arial" w:hAnsi="Arial" w:cs="Arial"/>
          <w:sz w:val="24"/>
          <w:szCs w:val="24"/>
        </w:rPr>
        <w:t xml:space="preserve">The defendant does not take issue </w:t>
      </w:r>
      <w:r w:rsidR="00E21FA6" w:rsidRPr="005F11C6">
        <w:rPr>
          <w:rFonts w:ascii="Arial" w:hAnsi="Arial" w:cs="Arial"/>
          <w:sz w:val="24"/>
          <w:szCs w:val="24"/>
        </w:rPr>
        <w:t>with the formulation of the plaintiff’s claim</w:t>
      </w:r>
      <w:r w:rsidR="005F11C6">
        <w:rPr>
          <w:rFonts w:ascii="Arial" w:hAnsi="Arial" w:cs="Arial"/>
          <w:sz w:val="24"/>
          <w:szCs w:val="24"/>
        </w:rPr>
        <w:t>. The claim is for services rendered and the High Court plainly had jurisdiction to hear and entertain it. In short, the defendant did not properly raise any</w:t>
      </w:r>
      <w:r w:rsidR="0082641C">
        <w:rPr>
          <w:rFonts w:ascii="Arial" w:hAnsi="Arial" w:cs="Arial"/>
          <w:sz w:val="24"/>
          <w:szCs w:val="24"/>
        </w:rPr>
        <w:t xml:space="preserve"> tenable</w:t>
      </w:r>
      <w:r w:rsidR="005F11C6">
        <w:rPr>
          <w:rFonts w:ascii="Arial" w:hAnsi="Arial" w:cs="Arial"/>
          <w:sz w:val="24"/>
          <w:szCs w:val="24"/>
        </w:rPr>
        <w:t xml:space="preserve"> defence to it when it had the opportunity to do so and while legally represented.</w:t>
      </w:r>
    </w:p>
    <w:p w:rsidR="00B151B2" w:rsidRDefault="00B151B2" w:rsidP="00B151B2">
      <w:pPr>
        <w:pStyle w:val="ListParagraph"/>
        <w:rPr>
          <w:rFonts w:ascii="Arial" w:hAnsi="Arial" w:cs="Arial"/>
          <w:sz w:val="24"/>
          <w:szCs w:val="24"/>
        </w:rPr>
      </w:pPr>
    </w:p>
    <w:p w:rsidR="00B151B2" w:rsidRDefault="00E21FA6" w:rsidP="00B151B2">
      <w:pPr>
        <w:pStyle w:val="NoSpacing"/>
        <w:numPr>
          <w:ilvl w:val="0"/>
          <w:numId w:val="31"/>
        </w:numPr>
        <w:spacing w:line="480" w:lineRule="auto"/>
        <w:ind w:left="0" w:firstLine="0"/>
        <w:jc w:val="both"/>
        <w:rPr>
          <w:rFonts w:ascii="Arial" w:hAnsi="Arial" w:cs="Arial"/>
          <w:sz w:val="24"/>
          <w:szCs w:val="24"/>
        </w:rPr>
      </w:pPr>
      <w:r w:rsidRPr="00B151B2">
        <w:rPr>
          <w:rFonts w:ascii="Arial" w:hAnsi="Arial" w:cs="Arial"/>
          <w:sz w:val="24"/>
          <w:szCs w:val="24"/>
        </w:rPr>
        <w:t xml:space="preserve">In </w:t>
      </w:r>
      <w:r w:rsidR="0082641C">
        <w:rPr>
          <w:rFonts w:ascii="Arial" w:hAnsi="Arial" w:cs="Arial"/>
          <w:sz w:val="24"/>
          <w:szCs w:val="24"/>
        </w:rPr>
        <w:t>short, n</w:t>
      </w:r>
      <w:r w:rsidRPr="00B151B2">
        <w:rPr>
          <w:rFonts w:ascii="Arial" w:hAnsi="Arial" w:cs="Arial"/>
          <w:sz w:val="24"/>
          <w:szCs w:val="24"/>
        </w:rPr>
        <w:t xml:space="preserve">ot a single </w:t>
      </w:r>
      <w:r w:rsidR="0082641C">
        <w:rPr>
          <w:rFonts w:ascii="Arial" w:hAnsi="Arial" w:cs="Arial"/>
          <w:sz w:val="24"/>
          <w:szCs w:val="24"/>
        </w:rPr>
        <w:t xml:space="preserve">tenable </w:t>
      </w:r>
      <w:r w:rsidRPr="00B151B2">
        <w:rPr>
          <w:rFonts w:ascii="Arial" w:hAnsi="Arial" w:cs="Arial"/>
          <w:sz w:val="24"/>
          <w:szCs w:val="24"/>
        </w:rPr>
        <w:t xml:space="preserve">ground is raised in its notice of appeal or in answer to this application why </w:t>
      </w:r>
      <w:r w:rsidR="005F11C6" w:rsidRPr="005F11C6">
        <w:rPr>
          <w:rFonts w:ascii="Arial" w:hAnsi="Arial" w:cs="Arial"/>
          <w:sz w:val="24"/>
          <w:szCs w:val="24"/>
        </w:rPr>
        <w:t xml:space="preserve">summary </w:t>
      </w:r>
      <w:r w:rsidRPr="00B151B2">
        <w:rPr>
          <w:rFonts w:ascii="Arial" w:hAnsi="Arial" w:cs="Arial"/>
          <w:sz w:val="24"/>
          <w:szCs w:val="24"/>
        </w:rPr>
        <w:t>judgment should not have been granted. Indeed</w:t>
      </w:r>
      <w:r w:rsidR="00B151B2">
        <w:rPr>
          <w:rFonts w:ascii="Arial" w:hAnsi="Arial" w:cs="Arial"/>
          <w:sz w:val="24"/>
          <w:szCs w:val="24"/>
        </w:rPr>
        <w:t>,</w:t>
      </w:r>
      <w:r w:rsidRPr="00B151B2">
        <w:rPr>
          <w:rFonts w:ascii="Arial" w:hAnsi="Arial" w:cs="Arial"/>
          <w:sz w:val="24"/>
          <w:szCs w:val="24"/>
        </w:rPr>
        <w:t xml:space="preserve"> this application is unopposed and the averments in the founding affidavit </w:t>
      </w:r>
      <w:r w:rsidR="0082641C">
        <w:rPr>
          <w:rFonts w:ascii="Arial" w:hAnsi="Arial" w:cs="Arial"/>
          <w:sz w:val="24"/>
          <w:szCs w:val="24"/>
        </w:rPr>
        <w:t xml:space="preserve">are </w:t>
      </w:r>
      <w:r w:rsidRPr="00B151B2">
        <w:rPr>
          <w:rFonts w:ascii="Arial" w:hAnsi="Arial" w:cs="Arial"/>
          <w:sz w:val="24"/>
          <w:szCs w:val="24"/>
        </w:rPr>
        <w:t xml:space="preserve">unchallenged. </w:t>
      </w:r>
    </w:p>
    <w:p w:rsidR="00B151B2" w:rsidRDefault="00B151B2" w:rsidP="00B151B2">
      <w:pPr>
        <w:pStyle w:val="ListParagraph"/>
        <w:rPr>
          <w:rFonts w:ascii="Arial" w:hAnsi="Arial" w:cs="Arial"/>
          <w:sz w:val="24"/>
          <w:szCs w:val="24"/>
        </w:rPr>
      </w:pPr>
    </w:p>
    <w:p w:rsidR="00B151B2" w:rsidRDefault="0082641C" w:rsidP="00B151B2">
      <w:pPr>
        <w:pStyle w:val="NoSpacing"/>
        <w:numPr>
          <w:ilvl w:val="0"/>
          <w:numId w:val="31"/>
        </w:numPr>
        <w:spacing w:line="480" w:lineRule="auto"/>
        <w:ind w:left="0" w:firstLine="0"/>
        <w:jc w:val="both"/>
        <w:rPr>
          <w:rFonts w:ascii="Arial" w:hAnsi="Arial" w:cs="Arial"/>
          <w:sz w:val="24"/>
          <w:szCs w:val="24"/>
        </w:rPr>
      </w:pPr>
      <w:r>
        <w:rPr>
          <w:rFonts w:ascii="Arial" w:hAnsi="Arial" w:cs="Arial"/>
          <w:sz w:val="24"/>
          <w:szCs w:val="24"/>
        </w:rPr>
        <w:t xml:space="preserve">Whilst </w:t>
      </w:r>
      <w:r w:rsidR="00E21FA6" w:rsidRPr="00B151B2">
        <w:rPr>
          <w:rFonts w:ascii="Arial" w:hAnsi="Arial" w:cs="Arial"/>
          <w:sz w:val="24"/>
          <w:szCs w:val="24"/>
        </w:rPr>
        <w:t xml:space="preserve">inference </w:t>
      </w:r>
      <w:r>
        <w:rPr>
          <w:rFonts w:ascii="Arial" w:hAnsi="Arial" w:cs="Arial"/>
          <w:sz w:val="24"/>
          <w:szCs w:val="24"/>
        </w:rPr>
        <w:t xml:space="preserve">would appear to be </w:t>
      </w:r>
      <w:r w:rsidR="00E21FA6" w:rsidRPr="00B151B2">
        <w:rPr>
          <w:rFonts w:ascii="Arial" w:hAnsi="Arial" w:cs="Arial"/>
          <w:sz w:val="24"/>
          <w:szCs w:val="24"/>
        </w:rPr>
        <w:t>inescapable that the defendant’s notice of appeal has been filed for the purpose of delay and to frustrat</w:t>
      </w:r>
      <w:r w:rsidR="00B151B2">
        <w:rPr>
          <w:rFonts w:ascii="Arial" w:hAnsi="Arial" w:cs="Arial"/>
          <w:sz w:val="24"/>
          <w:szCs w:val="24"/>
        </w:rPr>
        <w:t>e</w:t>
      </w:r>
      <w:r w:rsidR="00E21FA6" w:rsidRPr="00B151B2">
        <w:rPr>
          <w:rFonts w:ascii="Arial" w:hAnsi="Arial" w:cs="Arial"/>
          <w:sz w:val="24"/>
          <w:szCs w:val="24"/>
        </w:rPr>
        <w:t xml:space="preserve"> the plaintiff’s execution of its judgment duly given by the High Court and </w:t>
      </w:r>
      <w:r>
        <w:rPr>
          <w:rFonts w:ascii="Arial" w:hAnsi="Arial" w:cs="Arial"/>
          <w:sz w:val="24"/>
          <w:szCs w:val="24"/>
        </w:rPr>
        <w:t xml:space="preserve">would </w:t>
      </w:r>
      <w:r w:rsidR="00E21FA6" w:rsidRPr="00B151B2">
        <w:rPr>
          <w:rFonts w:ascii="Arial" w:hAnsi="Arial" w:cs="Arial"/>
          <w:sz w:val="24"/>
          <w:szCs w:val="24"/>
        </w:rPr>
        <w:t>thus constitute an abuse of process</w:t>
      </w:r>
      <w:r>
        <w:rPr>
          <w:rFonts w:ascii="Arial" w:hAnsi="Arial" w:cs="Arial"/>
          <w:sz w:val="24"/>
          <w:szCs w:val="24"/>
        </w:rPr>
        <w:t>, an application under s 14(7) and rule 6 presupposes an appeal pending in this court. Th</w:t>
      </w:r>
      <w:r w:rsidR="002C1BE3">
        <w:rPr>
          <w:rFonts w:ascii="Arial" w:hAnsi="Arial" w:cs="Arial"/>
          <w:sz w:val="24"/>
          <w:szCs w:val="24"/>
        </w:rPr>
        <w:t>e</w:t>
      </w:r>
      <w:r>
        <w:rPr>
          <w:rFonts w:ascii="Arial" w:hAnsi="Arial" w:cs="Arial"/>
          <w:sz w:val="24"/>
          <w:szCs w:val="24"/>
        </w:rPr>
        <w:t xml:space="preserve"> failure to file the notice of appeal in accordance with </w:t>
      </w:r>
      <w:r w:rsidR="006E5FF6">
        <w:rPr>
          <w:rFonts w:ascii="Arial" w:hAnsi="Arial" w:cs="Arial"/>
          <w:sz w:val="24"/>
          <w:szCs w:val="24"/>
        </w:rPr>
        <w:t xml:space="preserve">      </w:t>
      </w:r>
      <w:r>
        <w:rPr>
          <w:rFonts w:ascii="Arial" w:hAnsi="Arial" w:cs="Arial"/>
          <w:sz w:val="24"/>
          <w:szCs w:val="24"/>
        </w:rPr>
        <w:t>rule 7 of the rules of this court means that there is currently no appea</w:t>
      </w:r>
      <w:r w:rsidR="0085324E">
        <w:rPr>
          <w:rFonts w:ascii="Arial" w:hAnsi="Arial" w:cs="Arial"/>
          <w:sz w:val="24"/>
          <w:szCs w:val="24"/>
        </w:rPr>
        <w:t xml:space="preserve">l pending in </w:t>
      </w:r>
      <w:r w:rsidR="0085324E">
        <w:rPr>
          <w:rFonts w:ascii="Arial" w:hAnsi="Arial" w:cs="Arial"/>
          <w:sz w:val="24"/>
          <w:szCs w:val="24"/>
        </w:rPr>
        <w:lastRenderedPageBreak/>
        <w:t xml:space="preserve">this court. The fact that reference is made in the notice of appeal to condonation for this non-compliance does not avail the appellant. There remains no appeal pending. The mere reference in </w:t>
      </w:r>
      <w:r w:rsidR="006E5FF6">
        <w:rPr>
          <w:rFonts w:ascii="Arial" w:hAnsi="Arial" w:cs="Arial"/>
          <w:sz w:val="24"/>
          <w:szCs w:val="24"/>
        </w:rPr>
        <w:t xml:space="preserve">the </w:t>
      </w:r>
      <w:r w:rsidR="0085324E">
        <w:rPr>
          <w:rFonts w:ascii="Arial" w:hAnsi="Arial" w:cs="Arial"/>
          <w:sz w:val="24"/>
          <w:szCs w:val="24"/>
        </w:rPr>
        <w:t xml:space="preserve">notice of appeal to condonation in any event does not amount to an application for condonation. The notice of appeal filed by the appellant thus has no legal effect and would, </w:t>
      </w:r>
      <w:r w:rsidR="006E5FF6">
        <w:rPr>
          <w:rFonts w:ascii="Arial" w:hAnsi="Arial" w:cs="Arial"/>
          <w:sz w:val="24"/>
          <w:szCs w:val="24"/>
        </w:rPr>
        <w:t>o</w:t>
      </w:r>
      <w:r w:rsidR="0085324E">
        <w:rPr>
          <w:rFonts w:ascii="Arial" w:hAnsi="Arial" w:cs="Arial"/>
          <w:sz w:val="24"/>
          <w:szCs w:val="24"/>
        </w:rPr>
        <w:t>f its own, certainly not be any bar to execution</w:t>
      </w:r>
      <w:r w:rsidR="002C1BE3">
        <w:rPr>
          <w:rFonts w:ascii="Arial" w:hAnsi="Arial" w:cs="Arial"/>
          <w:sz w:val="24"/>
          <w:szCs w:val="24"/>
        </w:rPr>
        <w:t xml:space="preserve"> of the High Court judgment</w:t>
      </w:r>
      <w:r w:rsidR="0085324E">
        <w:rPr>
          <w:rFonts w:ascii="Arial" w:hAnsi="Arial" w:cs="Arial"/>
          <w:sz w:val="24"/>
          <w:szCs w:val="24"/>
        </w:rPr>
        <w:t>.</w:t>
      </w:r>
    </w:p>
    <w:p w:rsidR="00B151B2" w:rsidRDefault="00B151B2" w:rsidP="00B151B2">
      <w:pPr>
        <w:pStyle w:val="ListParagraph"/>
        <w:rPr>
          <w:rFonts w:ascii="Arial" w:hAnsi="Arial" w:cs="Arial"/>
          <w:sz w:val="24"/>
          <w:szCs w:val="24"/>
        </w:rPr>
      </w:pPr>
    </w:p>
    <w:p w:rsidR="00B151B2" w:rsidRDefault="0085324E" w:rsidP="00B151B2">
      <w:pPr>
        <w:pStyle w:val="NoSpacing"/>
        <w:numPr>
          <w:ilvl w:val="0"/>
          <w:numId w:val="31"/>
        </w:numPr>
        <w:spacing w:line="480" w:lineRule="auto"/>
        <w:ind w:left="0" w:firstLine="0"/>
        <w:jc w:val="both"/>
        <w:rPr>
          <w:rFonts w:ascii="Arial" w:hAnsi="Arial" w:cs="Arial"/>
          <w:sz w:val="24"/>
          <w:szCs w:val="24"/>
        </w:rPr>
      </w:pPr>
      <w:r>
        <w:rPr>
          <w:rFonts w:ascii="Arial" w:hAnsi="Arial" w:cs="Arial"/>
          <w:sz w:val="24"/>
          <w:szCs w:val="24"/>
        </w:rPr>
        <w:t xml:space="preserve">Despite </w:t>
      </w:r>
      <w:r w:rsidR="00E21FA6" w:rsidRPr="00B151B2">
        <w:rPr>
          <w:rFonts w:ascii="Arial" w:hAnsi="Arial" w:cs="Arial"/>
          <w:sz w:val="24"/>
          <w:szCs w:val="24"/>
        </w:rPr>
        <w:t xml:space="preserve">the </w:t>
      </w:r>
      <w:r w:rsidR="005F11C6">
        <w:rPr>
          <w:rFonts w:ascii="Arial" w:hAnsi="Arial" w:cs="Arial"/>
          <w:sz w:val="24"/>
          <w:szCs w:val="24"/>
        </w:rPr>
        <w:t>plaintiff/respondent</w:t>
      </w:r>
      <w:r w:rsidR="00E21FA6" w:rsidRPr="00B151B2">
        <w:rPr>
          <w:rFonts w:ascii="Arial" w:hAnsi="Arial" w:cs="Arial"/>
          <w:sz w:val="24"/>
          <w:szCs w:val="24"/>
        </w:rPr>
        <w:t xml:space="preserve"> establish</w:t>
      </w:r>
      <w:r>
        <w:rPr>
          <w:rFonts w:ascii="Arial" w:hAnsi="Arial" w:cs="Arial"/>
          <w:sz w:val="24"/>
          <w:szCs w:val="24"/>
        </w:rPr>
        <w:t>ing</w:t>
      </w:r>
      <w:r w:rsidR="00E21FA6" w:rsidRPr="00B151B2">
        <w:rPr>
          <w:rFonts w:ascii="Arial" w:hAnsi="Arial" w:cs="Arial"/>
          <w:sz w:val="24"/>
          <w:szCs w:val="24"/>
        </w:rPr>
        <w:t xml:space="preserve"> </w:t>
      </w:r>
      <w:r w:rsidR="00B151B2">
        <w:rPr>
          <w:rFonts w:ascii="Arial" w:hAnsi="Arial" w:cs="Arial"/>
          <w:sz w:val="24"/>
          <w:szCs w:val="24"/>
        </w:rPr>
        <w:t>the</w:t>
      </w:r>
      <w:r w:rsidR="00E21FA6" w:rsidRPr="00B151B2">
        <w:rPr>
          <w:rFonts w:ascii="Arial" w:hAnsi="Arial" w:cs="Arial"/>
          <w:sz w:val="24"/>
          <w:szCs w:val="24"/>
        </w:rPr>
        <w:t xml:space="preserve"> </w:t>
      </w:r>
      <w:r>
        <w:rPr>
          <w:rFonts w:ascii="Arial" w:hAnsi="Arial" w:cs="Arial"/>
          <w:sz w:val="24"/>
          <w:szCs w:val="24"/>
        </w:rPr>
        <w:t xml:space="preserve">other </w:t>
      </w:r>
      <w:r w:rsidR="00E21FA6" w:rsidRPr="00B151B2">
        <w:rPr>
          <w:rFonts w:ascii="Arial" w:hAnsi="Arial" w:cs="Arial"/>
          <w:sz w:val="24"/>
          <w:szCs w:val="24"/>
        </w:rPr>
        <w:t>elements of s 14(7) of the Act</w:t>
      </w:r>
      <w:r>
        <w:rPr>
          <w:rFonts w:ascii="Arial" w:hAnsi="Arial" w:cs="Arial"/>
          <w:sz w:val="24"/>
          <w:szCs w:val="24"/>
        </w:rPr>
        <w:t>, applications under that section presuppose a pending appeal which is not the case in this matter. An order under that section can only be given in respect of pending appeals</w:t>
      </w:r>
      <w:r w:rsidR="002C1BE3">
        <w:rPr>
          <w:rFonts w:ascii="Arial" w:hAnsi="Arial" w:cs="Arial"/>
          <w:sz w:val="24"/>
          <w:szCs w:val="24"/>
        </w:rPr>
        <w:t xml:space="preserve"> which t</w:t>
      </w:r>
      <w:r>
        <w:rPr>
          <w:rFonts w:ascii="Arial" w:hAnsi="Arial" w:cs="Arial"/>
          <w:sz w:val="24"/>
          <w:szCs w:val="24"/>
        </w:rPr>
        <w:t>his is not</w:t>
      </w:r>
      <w:r w:rsidR="00E21FA6" w:rsidRPr="00B151B2">
        <w:rPr>
          <w:rFonts w:ascii="Arial" w:hAnsi="Arial" w:cs="Arial"/>
          <w:sz w:val="24"/>
          <w:szCs w:val="24"/>
        </w:rPr>
        <w:t>.</w:t>
      </w:r>
      <w:r>
        <w:rPr>
          <w:rFonts w:ascii="Arial" w:hAnsi="Arial" w:cs="Arial"/>
          <w:sz w:val="24"/>
          <w:szCs w:val="24"/>
        </w:rPr>
        <w:t xml:space="preserve"> </w:t>
      </w:r>
      <w:r w:rsidR="006E5FF6">
        <w:rPr>
          <w:rFonts w:ascii="Arial" w:hAnsi="Arial" w:cs="Arial"/>
          <w:sz w:val="24"/>
          <w:szCs w:val="24"/>
        </w:rPr>
        <w:t>It</w:t>
      </w:r>
      <w:r>
        <w:rPr>
          <w:rFonts w:ascii="Arial" w:hAnsi="Arial" w:cs="Arial"/>
          <w:sz w:val="24"/>
          <w:szCs w:val="24"/>
        </w:rPr>
        <w:t xml:space="preserve"> follows that this application cannot be granted and is to be declined. It was not opposed and no order is made as to costs.</w:t>
      </w:r>
    </w:p>
    <w:p w:rsidR="00B151B2" w:rsidRPr="0085324E" w:rsidRDefault="00B151B2" w:rsidP="0085324E">
      <w:pPr>
        <w:rPr>
          <w:rFonts w:ascii="Arial" w:hAnsi="Arial" w:cs="Arial"/>
          <w:sz w:val="24"/>
          <w:szCs w:val="24"/>
        </w:rPr>
      </w:pPr>
    </w:p>
    <w:p w:rsidR="00E21FA6" w:rsidRPr="00B151B2" w:rsidRDefault="00E21FA6" w:rsidP="00B151B2">
      <w:pPr>
        <w:pStyle w:val="NoSpacing"/>
        <w:numPr>
          <w:ilvl w:val="0"/>
          <w:numId w:val="31"/>
        </w:numPr>
        <w:spacing w:line="480" w:lineRule="auto"/>
        <w:ind w:left="0" w:firstLine="0"/>
        <w:jc w:val="both"/>
        <w:rPr>
          <w:rFonts w:ascii="Arial" w:hAnsi="Arial" w:cs="Arial"/>
          <w:sz w:val="24"/>
          <w:szCs w:val="24"/>
        </w:rPr>
      </w:pPr>
      <w:r w:rsidRPr="00B151B2">
        <w:rPr>
          <w:rFonts w:ascii="Arial" w:hAnsi="Arial" w:cs="Arial"/>
          <w:sz w:val="24"/>
          <w:szCs w:val="24"/>
        </w:rPr>
        <w:t>The following order is made:</w:t>
      </w:r>
    </w:p>
    <w:p w:rsidR="00E21FA6" w:rsidRDefault="00E21FA6" w:rsidP="009534EA">
      <w:pPr>
        <w:pStyle w:val="ListParagraph"/>
        <w:spacing w:after="0" w:line="480" w:lineRule="auto"/>
        <w:rPr>
          <w:rFonts w:ascii="Arial" w:hAnsi="Arial" w:cs="Arial"/>
          <w:sz w:val="24"/>
          <w:szCs w:val="24"/>
        </w:rPr>
      </w:pPr>
    </w:p>
    <w:p w:rsidR="00E21FA6" w:rsidRDefault="00E21FA6" w:rsidP="00E21FA6">
      <w:pPr>
        <w:pStyle w:val="NoSpacing"/>
        <w:numPr>
          <w:ilvl w:val="0"/>
          <w:numId w:val="29"/>
        </w:numPr>
        <w:spacing w:line="480" w:lineRule="auto"/>
        <w:ind w:left="1134" w:hanging="567"/>
        <w:jc w:val="both"/>
        <w:rPr>
          <w:rFonts w:ascii="Arial" w:hAnsi="Arial" w:cs="Arial"/>
          <w:sz w:val="24"/>
          <w:szCs w:val="24"/>
        </w:rPr>
      </w:pPr>
      <w:r>
        <w:rPr>
          <w:rFonts w:ascii="Arial" w:hAnsi="Arial" w:cs="Arial"/>
          <w:sz w:val="24"/>
          <w:szCs w:val="24"/>
        </w:rPr>
        <w:t xml:space="preserve">The </w:t>
      </w:r>
      <w:r w:rsidR="0085324E">
        <w:rPr>
          <w:rFonts w:ascii="Arial" w:hAnsi="Arial" w:cs="Arial"/>
          <w:sz w:val="24"/>
          <w:szCs w:val="24"/>
        </w:rPr>
        <w:t>respondent’s application in terms of rule 6 is declined.</w:t>
      </w:r>
    </w:p>
    <w:p w:rsidR="00E21FA6" w:rsidRDefault="00E21FA6" w:rsidP="00E21FA6">
      <w:pPr>
        <w:pStyle w:val="NoSpacing"/>
        <w:spacing w:line="480" w:lineRule="auto"/>
        <w:ind w:left="1134" w:hanging="567"/>
        <w:jc w:val="both"/>
        <w:rPr>
          <w:rFonts w:ascii="Arial" w:hAnsi="Arial" w:cs="Arial"/>
          <w:sz w:val="24"/>
          <w:szCs w:val="24"/>
        </w:rPr>
      </w:pPr>
    </w:p>
    <w:p w:rsidR="00E21FA6" w:rsidRDefault="0085324E" w:rsidP="00E21FA6">
      <w:pPr>
        <w:pStyle w:val="NoSpacing"/>
        <w:numPr>
          <w:ilvl w:val="0"/>
          <w:numId w:val="29"/>
        </w:numPr>
        <w:spacing w:line="480" w:lineRule="auto"/>
        <w:ind w:left="1134" w:hanging="567"/>
        <w:jc w:val="both"/>
        <w:rPr>
          <w:rFonts w:ascii="Arial" w:hAnsi="Arial" w:cs="Arial"/>
          <w:sz w:val="24"/>
          <w:szCs w:val="24"/>
        </w:rPr>
      </w:pPr>
      <w:r>
        <w:rPr>
          <w:rFonts w:ascii="Arial" w:hAnsi="Arial" w:cs="Arial"/>
          <w:sz w:val="24"/>
          <w:szCs w:val="24"/>
        </w:rPr>
        <w:t>No order is made as to costs.</w:t>
      </w:r>
    </w:p>
    <w:p w:rsidR="00B151B2" w:rsidRDefault="00B151B2" w:rsidP="00E21FA6">
      <w:pPr>
        <w:pStyle w:val="NoSpacing"/>
        <w:spacing w:line="480" w:lineRule="auto"/>
        <w:ind w:left="1134" w:hanging="567"/>
        <w:jc w:val="both"/>
        <w:rPr>
          <w:rFonts w:ascii="Arial" w:hAnsi="Arial" w:cs="Arial"/>
          <w:sz w:val="24"/>
          <w:szCs w:val="24"/>
        </w:rPr>
      </w:pPr>
    </w:p>
    <w:p w:rsidR="00E21FA6" w:rsidRPr="00D57105" w:rsidRDefault="00E21FA6" w:rsidP="00E21FA6">
      <w:pPr>
        <w:pStyle w:val="NoSpacing"/>
        <w:numPr>
          <w:ilvl w:val="0"/>
          <w:numId w:val="29"/>
        </w:numPr>
        <w:spacing w:line="480" w:lineRule="auto"/>
        <w:ind w:left="1134" w:hanging="567"/>
        <w:jc w:val="both"/>
        <w:rPr>
          <w:rFonts w:ascii="Arial" w:hAnsi="Arial" w:cs="Arial"/>
          <w:sz w:val="24"/>
          <w:szCs w:val="24"/>
        </w:rPr>
      </w:pPr>
      <w:r>
        <w:rPr>
          <w:rFonts w:ascii="Arial" w:hAnsi="Arial" w:cs="Arial"/>
          <w:sz w:val="24"/>
          <w:szCs w:val="24"/>
        </w:rPr>
        <w:t>The registrar is directed to comply with s 14(7)</w:t>
      </w:r>
      <w:r w:rsidRPr="00B672D9">
        <w:rPr>
          <w:rFonts w:ascii="Arial" w:hAnsi="Arial" w:cs="Arial"/>
          <w:i/>
          <w:sz w:val="24"/>
          <w:szCs w:val="24"/>
        </w:rPr>
        <w:t xml:space="preserve">(c) </w:t>
      </w:r>
      <w:r>
        <w:rPr>
          <w:rFonts w:ascii="Arial" w:hAnsi="Arial" w:cs="Arial"/>
          <w:sz w:val="24"/>
          <w:szCs w:val="24"/>
        </w:rPr>
        <w:t>of Act 15 of 1990.</w:t>
      </w:r>
    </w:p>
    <w:p w:rsidR="00E21FA6" w:rsidRDefault="00E21FA6" w:rsidP="002E426A">
      <w:pPr>
        <w:pStyle w:val="NoSpacing"/>
        <w:spacing w:line="360" w:lineRule="auto"/>
        <w:rPr>
          <w:rFonts w:ascii="Arial" w:hAnsi="Arial" w:cs="Arial"/>
          <w:b/>
          <w:sz w:val="24"/>
          <w:szCs w:val="24"/>
        </w:rPr>
      </w:pPr>
    </w:p>
    <w:p w:rsidR="00D815A3" w:rsidRDefault="00D815A3" w:rsidP="002E426A">
      <w:pPr>
        <w:pStyle w:val="NoSpacing"/>
        <w:spacing w:line="360" w:lineRule="auto"/>
        <w:rPr>
          <w:rFonts w:ascii="Arial" w:hAnsi="Arial" w:cs="Arial"/>
          <w:b/>
          <w:sz w:val="24"/>
          <w:szCs w:val="24"/>
        </w:rPr>
      </w:pPr>
    </w:p>
    <w:p w:rsidR="00D815A3" w:rsidRDefault="00D815A3" w:rsidP="002E426A">
      <w:pPr>
        <w:pStyle w:val="NoSpacing"/>
        <w:spacing w:line="360" w:lineRule="auto"/>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SMUTS JA</w:t>
      </w:r>
    </w:p>
    <w:p w:rsidR="002E426A" w:rsidRPr="001C25CA" w:rsidRDefault="002E426A" w:rsidP="002E426A">
      <w:pPr>
        <w:pStyle w:val="NoSpacing"/>
        <w:rPr>
          <w:rFonts w:ascii="Arial" w:hAnsi="Arial" w:cs="Arial"/>
          <w:b/>
          <w:sz w:val="24"/>
          <w:szCs w:val="24"/>
        </w:rPr>
      </w:pPr>
    </w:p>
    <w:p w:rsidR="00E21FA6" w:rsidRDefault="00E21FA6">
      <w:pPr>
        <w:rPr>
          <w:rFonts w:ascii="Arial" w:hAnsi="Arial" w:cs="Arial"/>
          <w:sz w:val="24"/>
          <w:szCs w:val="24"/>
        </w:rPr>
      </w:pPr>
      <w:r>
        <w:rPr>
          <w:rFonts w:ascii="Arial" w:hAnsi="Arial" w:cs="Arial"/>
          <w:sz w:val="24"/>
          <w:szCs w:val="24"/>
        </w:rPr>
        <w:br w:type="page"/>
      </w:r>
    </w:p>
    <w:p w:rsidR="002E426A" w:rsidRPr="001C25CA" w:rsidRDefault="002E426A" w:rsidP="002E426A">
      <w:pPr>
        <w:pStyle w:val="NoSpacing"/>
        <w:spacing w:line="480" w:lineRule="auto"/>
        <w:jc w:val="both"/>
        <w:rPr>
          <w:rFonts w:ascii="Arial" w:hAnsi="Arial" w:cs="Arial"/>
          <w:sz w:val="24"/>
          <w:szCs w:val="24"/>
        </w:rPr>
      </w:pPr>
    </w:p>
    <w:tbl>
      <w:tblPr>
        <w:tblW w:w="0" w:type="auto"/>
        <w:tblLook w:val="04A0" w:firstRow="1" w:lastRow="0" w:firstColumn="1" w:lastColumn="0" w:noHBand="0" w:noVBand="1"/>
      </w:tblPr>
      <w:tblGrid>
        <w:gridCol w:w="4386"/>
        <w:gridCol w:w="4261"/>
      </w:tblGrid>
      <w:tr w:rsidR="00797509" w:rsidRPr="00797509" w:rsidTr="009943F0">
        <w:tc>
          <w:tcPr>
            <w:tcW w:w="4386" w:type="dxa"/>
            <w:shd w:val="clear" w:color="auto" w:fill="auto"/>
          </w:tcPr>
          <w:p w:rsidR="00797509" w:rsidRDefault="00797509" w:rsidP="00797509">
            <w:pPr>
              <w:ind w:left="-108" w:right="-146"/>
              <w:rPr>
                <w:rFonts w:ascii="Arial" w:hAnsi="Arial" w:cs="Arial"/>
                <w:sz w:val="24"/>
                <w:szCs w:val="24"/>
              </w:rPr>
            </w:pPr>
            <w:r w:rsidRPr="00797509">
              <w:rPr>
                <w:rFonts w:ascii="Arial" w:hAnsi="Arial" w:cs="Arial"/>
                <w:sz w:val="24"/>
                <w:szCs w:val="24"/>
              </w:rPr>
              <w:t>APPEARANCES</w:t>
            </w:r>
          </w:p>
          <w:p w:rsidR="00797509" w:rsidRPr="00797509" w:rsidRDefault="00797509" w:rsidP="00797509">
            <w:pPr>
              <w:ind w:left="-108" w:right="-146"/>
              <w:rPr>
                <w:rFonts w:ascii="Arial" w:hAnsi="Arial" w:cs="Arial"/>
                <w:sz w:val="24"/>
                <w:szCs w:val="24"/>
              </w:rPr>
            </w:pPr>
          </w:p>
          <w:p w:rsidR="00797509" w:rsidRPr="00797509" w:rsidRDefault="00797509" w:rsidP="00797509">
            <w:pPr>
              <w:ind w:left="-108" w:right="-146"/>
              <w:rPr>
                <w:rFonts w:ascii="Arial" w:hAnsi="Arial" w:cs="Arial"/>
                <w:sz w:val="24"/>
                <w:szCs w:val="24"/>
              </w:rPr>
            </w:pPr>
            <w:r>
              <w:rPr>
                <w:rFonts w:ascii="Arial" w:hAnsi="Arial" w:cs="Arial"/>
                <w:sz w:val="24"/>
                <w:szCs w:val="24"/>
              </w:rPr>
              <w:t>APPLICANT</w:t>
            </w:r>
            <w:r w:rsidRPr="00797509">
              <w:rPr>
                <w:rFonts w:ascii="Arial" w:hAnsi="Arial" w:cs="Arial"/>
                <w:sz w:val="24"/>
                <w:szCs w:val="24"/>
              </w:rPr>
              <w:t>:</w:t>
            </w:r>
          </w:p>
        </w:tc>
        <w:tc>
          <w:tcPr>
            <w:tcW w:w="4261" w:type="dxa"/>
            <w:shd w:val="clear" w:color="auto" w:fill="auto"/>
          </w:tcPr>
          <w:p w:rsidR="00797509" w:rsidRPr="00797509" w:rsidRDefault="00797509" w:rsidP="00797509">
            <w:pPr>
              <w:rPr>
                <w:rFonts w:ascii="Arial" w:hAnsi="Arial" w:cs="Arial"/>
                <w:sz w:val="24"/>
                <w:szCs w:val="24"/>
              </w:rPr>
            </w:pPr>
          </w:p>
          <w:p w:rsidR="00797509" w:rsidRPr="00797509" w:rsidRDefault="00797509" w:rsidP="00797509">
            <w:pPr>
              <w:rPr>
                <w:rFonts w:ascii="Arial" w:hAnsi="Arial" w:cs="Arial"/>
                <w:sz w:val="24"/>
                <w:szCs w:val="24"/>
              </w:rPr>
            </w:pPr>
          </w:p>
          <w:p w:rsidR="00797509" w:rsidRDefault="00C225FE" w:rsidP="00797509">
            <w:pPr>
              <w:rPr>
                <w:rFonts w:ascii="Arial" w:hAnsi="Arial" w:cs="Arial"/>
                <w:sz w:val="24"/>
                <w:szCs w:val="24"/>
              </w:rPr>
            </w:pPr>
            <w:r>
              <w:rPr>
                <w:rFonts w:ascii="Arial" w:hAnsi="Arial" w:cs="Arial"/>
                <w:sz w:val="24"/>
                <w:szCs w:val="24"/>
              </w:rPr>
              <w:t>H Awaseb</w:t>
            </w:r>
          </w:p>
          <w:p w:rsidR="00C225FE" w:rsidRPr="00797509" w:rsidRDefault="00C225FE" w:rsidP="00797509">
            <w:pPr>
              <w:rPr>
                <w:rFonts w:ascii="Arial" w:hAnsi="Arial" w:cs="Arial"/>
                <w:sz w:val="24"/>
                <w:szCs w:val="24"/>
              </w:rPr>
            </w:pPr>
            <w:r>
              <w:rPr>
                <w:rFonts w:ascii="Arial" w:hAnsi="Arial" w:cs="Arial"/>
                <w:sz w:val="24"/>
                <w:szCs w:val="24"/>
              </w:rPr>
              <w:t xml:space="preserve">Of Awaseb Law Chambers, Windhoek </w:t>
            </w:r>
          </w:p>
          <w:p w:rsidR="00797509" w:rsidRPr="00797509" w:rsidRDefault="00797509" w:rsidP="00797509">
            <w:pPr>
              <w:rPr>
                <w:rFonts w:ascii="Arial" w:hAnsi="Arial" w:cs="Arial"/>
                <w:sz w:val="24"/>
                <w:szCs w:val="24"/>
              </w:rPr>
            </w:pPr>
          </w:p>
        </w:tc>
      </w:tr>
      <w:tr w:rsidR="00797509" w:rsidRPr="00797509" w:rsidTr="009943F0">
        <w:tc>
          <w:tcPr>
            <w:tcW w:w="4386" w:type="dxa"/>
            <w:shd w:val="clear" w:color="auto" w:fill="auto"/>
          </w:tcPr>
          <w:p w:rsidR="00797509" w:rsidRPr="00797509" w:rsidRDefault="00797509" w:rsidP="00797509">
            <w:pPr>
              <w:ind w:left="-108"/>
              <w:rPr>
                <w:rFonts w:ascii="Arial" w:hAnsi="Arial" w:cs="Arial"/>
                <w:sz w:val="24"/>
                <w:szCs w:val="24"/>
              </w:rPr>
            </w:pPr>
            <w:r w:rsidRPr="00797509">
              <w:rPr>
                <w:rFonts w:ascii="Arial" w:hAnsi="Arial" w:cs="Arial"/>
                <w:sz w:val="24"/>
                <w:szCs w:val="24"/>
              </w:rPr>
              <w:t>RESPONDENT:</w:t>
            </w:r>
          </w:p>
        </w:tc>
        <w:tc>
          <w:tcPr>
            <w:tcW w:w="4261" w:type="dxa"/>
            <w:shd w:val="clear" w:color="auto" w:fill="auto"/>
          </w:tcPr>
          <w:p w:rsidR="00797509" w:rsidRDefault="00C225FE" w:rsidP="00797509">
            <w:pPr>
              <w:rPr>
                <w:rFonts w:ascii="Arial" w:hAnsi="Arial" w:cs="Arial"/>
                <w:sz w:val="24"/>
                <w:szCs w:val="24"/>
              </w:rPr>
            </w:pPr>
            <w:r>
              <w:rPr>
                <w:rFonts w:ascii="Arial" w:hAnsi="Arial" w:cs="Arial"/>
                <w:sz w:val="24"/>
                <w:szCs w:val="24"/>
              </w:rPr>
              <w:t>R P Behrens</w:t>
            </w:r>
          </w:p>
          <w:p w:rsidR="00C225FE" w:rsidRPr="00797509" w:rsidRDefault="00C225FE" w:rsidP="00797509">
            <w:pPr>
              <w:rPr>
                <w:rFonts w:ascii="Arial" w:hAnsi="Arial" w:cs="Arial"/>
                <w:sz w:val="24"/>
                <w:szCs w:val="24"/>
              </w:rPr>
            </w:pPr>
            <w:r>
              <w:rPr>
                <w:rFonts w:ascii="Arial" w:hAnsi="Arial" w:cs="Arial"/>
                <w:sz w:val="24"/>
                <w:szCs w:val="24"/>
              </w:rPr>
              <w:t>Of Behrens &amp; Pfeiffer, Windhoek</w:t>
            </w:r>
          </w:p>
        </w:tc>
      </w:tr>
    </w:tbl>
    <w:p w:rsidR="00721889" w:rsidRPr="001C25CA" w:rsidRDefault="00721889" w:rsidP="00721889">
      <w:pPr>
        <w:pStyle w:val="NoSpacing"/>
        <w:jc w:val="both"/>
        <w:rPr>
          <w:rFonts w:ascii="Arial" w:hAnsi="Arial" w:cs="Arial"/>
          <w:sz w:val="24"/>
          <w:szCs w:val="24"/>
        </w:rPr>
      </w:pPr>
    </w:p>
    <w:sectPr w:rsidR="00721889" w:rsidRPr="001C25CA" w:rsidSect="00F255FF">
      <w:headerReference w:type="default" r:id="rId12"/>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43" w:rsidRDefault="00894043" w:rsidP="00B5013F">
      <w:pPr>
        <w:spacing w:after="0" w:line="240" w:lineRule="auto"/>
      </w:pPr>
      <w:r>
        <w:separator/>
      </w:r>
    </w:p>
  </w:endnote>
  <w:endnote w:type="continuationSeparator" w:id="0">
    <w:p w:rsidR="00894043" w:rsidRDefault="00894043"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43" w:rsidRDefault="00894043" w:rsidP="00B5013F">
      <w:pPr>
        <w:spacing w:after="0" w:line="240" w:lineRule="auto"/>
      </w:pPr>
      <w:r>
        <w:separator/>
      </w:r>
    </w:p>
  </w:footnote>
  <w:footnote w:type="continuationSeparator" w:id="0">
    <w:p w:rsidR="00894043" w:rsidRDefault="00894043" w:rsidP="00B50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F94D1E" w:rsidRPr="00ED46B6" w:rsidRDefault="00F94D1E">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873948">
          <w:rPr>
            <w:rFonts w:ascii="Arial" w:hAnsi="Arial" w:cs="Arial"/>
            <w:noProof/>
            <w:sz w:val="24"/>
            <w:szCs w:val="24"/>
          </w:rPr>
          <w:t>7</w:t>
        </w:r>
        <w:r w:rsidRPr="00ED46B6">
          <w:rPr>
            <w:rFonts w:ascii="Arial" w:hAnsi="Arial" w:cs="Arial"/>
            <w:noProof/>
            <w:sz w:val="24"/>
            <w:szCs w:val="24"/>
          </w:rPr>
          <w:fldChar w:fldCharType="end"/>
        </w:r>
      </w:p>
    </w:sdtContent>
  </w:sdt>
  <w:p w:rsidR="00F94D1E" w:rsidRDefault="00F94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4"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02308"/>
    <w:multiLevelType w:val="hybridMultilevel"/>
    <w:tmpl w:val="EEB64A7E"/>
    <w:lvl w:ilvl="0" w:tplc="301E4A3A">
      <w:start w:val="1"/>
      <w:numFmt w:val="low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9"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E9C1ACB"/>
    <w:multiLevelType w:val="hybridMultilevel"/>
    <w:tmpl w:val="ACB29DBA"/>
    <w:lvl w:ilvl="0" w:tplc="3FF4CA9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445B134E"/>
    <w:multiLevelType w:val="hybridMultilevel"/>
    <w:tmpl w:val="96943A4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7043AFF"/>
    <w:multiLevelType w:val="hybridMultilevel"/>
    <w:tmpl w:val="FD14A19C"/>
    <w:lvl w:ilvl="0" w:tplc="1C09000F">
      <w:start w:val="1"/>
      <w:numFmt w:val="decimal"/>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7"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3"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9625FD"/>
    <w:multiLevelType w:val="hybridMultilevel"/>
    <w:tmpl w:val="4AF4F3E0"/>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8ED6D94"/>
    <w:multiLevelType w:val="hybridMultilevel"/>
    <w:tmpl w:val="B1EA04CC"/>
    <w:lvl w:ilvl="0" w:tplc="3918D2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21"/>
  </w:num>
  <w:num w:numId="3">
    <w:abstractNumId w:val="28"/>
  </w:num>
  <w:num w:numId="4">
    <w:abstractNumId w:val="15"/>
  </w:num>
  <w:num w:numId="5">
    <w:abstractNumId w:val="22"/>
  </w:num>
  <w:num w:numId="6">
    <w:abstractNumId w:val="0"/>
  </w:num>
  <w:num w:numId="7">
    <w:abstractNumId w:val="25"/>
  </w:num>
  <w:num w:numId="8">
    <w:abstractNumId w:val="6"/>
  </w:num>
  <w:num w:numId="9">
    <w:abstractNumId w:val="26"/>
  </w:num>
  <w:num w:numId="10">
    <w:abstractNumId w:val="14"/>
  </w:num>
  <w:num w:numId="11">
    <w:abstractNumId w:val="5"/>
  </w:num>
  <w:num w:numId="12">
    <w:abstractNumId w:val="3"/>
  </w:num>
  <w:num w:numId="13">
    <w:abstractNumId w:val="10"/>
  </w:num>
  <w:num w:numId="14">
    <w:abstractNumId w:val="17"/>
  </w:num>
  <w:num w:numId="15">
    <w:abstractNumId w:val="12"/>
  </w:num>
  <w:num w:numId="16">
    <w:abstractNumId w:val="11"/>
  </w:num>
  <w:num w:numId="17">
    <w:abstractNumId w:val="23"/>
  </w:num>
  <w:num w:numId="18">
    <w:abstractNumId w:val="27"/>
  </w:num>
  <w:num w:numId="19">
    <w:abstractNumId w:val="18"/>
  </w:num>
  <w:num w:numId="20">
    <w:abstractNumId w:val="24"/>
  </w:num>
  <w:num w:numId="21">
    <w:abstractNumId w:val="20"/>
  </w:num>
  <w:num w:numId="22">
    <w:abstractNumId w:val="4"/>
  </w:num>
  <w:num w:numId="23">
    <w:abstractNumId w:val="9"/>
  </w:num>
  <w:num w:numId="24">
    <w:abstractNumId w:val="1"/>
  </w:num>
  <w:num w:numId="25">
    <w:abstractNumId w:val="2"/>
  </w:num>
  <w:num w:numId="26">
    <w:abstractNumId w:val="19"/>
  </w:num>
  <w:num w:numId="27">
    <w:abstractNumId w:val="30"/>
  </w:num>
  <w:num w:numId="28">
    <w:abstractNumId w:val="16"/>
  </w:num>
  <w:num w:numId="29">
    <w:abstractNumId w:val="13"/>
  </w:num>
  <w:num w:numId="30">
    <w:abstractNumId w:va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04C4D"/>
    <w:rsid w:val="00004E68"/>
    <w:rsid w:val="0000525D"/>
    <w:rsid w:val="00011EB9"/>
    <w:rsid w:val="00012D59"/>
    <w:rsid w:val="00016703"/>
    <w:rsid w:val="000177B8"/>
    <w:rsid w:val="00020736"/>
    <w:rsid w:val="00021ECC"/>
    <w:rsid w:val="00022452"/>
    <w:rsid w:val="00022644"/>
    <w:rsid w:val="000231F7"/>
    <w:rsid w:val="00026DD5"/>
    <w:rsid w:val="0002744F"/>
    <w:rsid w:val="000276F0"/>
    <w:rsid w:val="00031EBA"/>
    <w:rsid w:val="00033256"/>
    <w:rsid w:val="000400C4"/>
    <w:rsid w:val="000414C4"/>
    <w:rsid w:val="00042A20"/>
    <w:rsid w:val="00047F1D"/>
    <w:rsid w:val="00052B8A"/>
    <w:rsid w:val="00054236"/>
    <w:rsid w:val="00055805"/>
    <w:rsid w:val="00057B7B"/>
    <w:rsid w:val="000610A3"/>
    <w:rsid w:val="000626CC"/>
    <w:rsid w:val="000643B5"/>
    <w:rsid w:val="00065459"/>
    <w:rsid w:val="00066723"/>
    <w:rsid w:val="00073046"/>
    <w:rsid w:val="00076790"/>
    <w:rsid w:val="00076931"/>
    <w:rsid w:val="00076F53"/>
    <w:rsid w:val="00077B52"/>
    <w:rsid w:val="0008009C"/>
    <w:rsid w:val="000840CA"/>
    <w:rsid w:val="00084121"/>
    <w:rsid w:val="00090B47"/>
    <w:rsid w:val="000918CB"/>
    <w:rsid w:val="00092565"/>
    <w:rsid w:val="00092A31"/>
    <w:rsid w:val="00092D5D"/>
    <w:rsid w:val="00094C79"/>
    <w:rsid w:val="000A2F02"/>
    <w:rsid w:val="000A3C68"/>
    <w:rsid w:val="000A3CA0"/>
    <w:rsid w:val="000A3F6B"/>
    <w:rsid w:val="000A4DEC"/>
    <w:rsid w:val="000B06C9"/>
    <w:rsid w:val="000B0A11"/>
    <w:rsid w:val="000B587E"/>
    <w:rsid w:val="000B6715"/>
    <w:rsid w:val="000C1390"/>
    <w:rsid w:val="000C2A58"/>
    <w:rsid w:val="000C2D19"/>
    <w:rsid w:val="000C4126"/>
    <w:rsid w:val="000D1ADC"/>
    <w:rsid w:val="000D2762"/>
    <w:rsid w:val="000E008B"/>
    <w:rsid w:val="000E0BFC"/>
    <w:rsid w:val="000E3DF0"/>
    <w:rsid w:val="000E4E76"/>
    <w:rsid w:val="000E5305"/>
    <w:rsid w:val="000E6B27"/>
    <w:rsid w:val="000F1A59"/>
    <w:rsid w:val="000F27F1"/>
    <w:rsid w:val="000F3DA6"/>
    <w:rsid w:val="000F4BBD"/>
    <w:rsid w:val="000F61A4"/>
    <w:rsid w:val="000F7D77"/>
    <w:rsid w:val="00101FDB"/>
    <w:rsid w:val="0010254D"/>
    <w:rsid w:val="00107552"/>
    <w:rsid w:val="00111339"/>
    <w:rsid w:val="00112DA2"/>
    <w:rsid w:val="00114682"/>
    <w:rsid w:val="00114929"/>
    <w:rsid w:val="00115A1F"/>
    <w:rsid w:val="00116BE7"/>
    <w:rsid w:val="00121972"/>
    <w:rsid w:val="001227DB"/>
    <w:rsid w:val="0012439B"/>
    <w:rsid w:val="00125DEC"/>
    <w:rsid w:val="00126E64"/>
    <w:rsid w:val="00130103"/>
    <w:rsid w:val="00132216"/>
    <w:rsid w:val="001327CE"/>
    <w:rsid w:val="0013608D"/>
    <w:rsid w:val="00140678"/>
    <w:rsid w:val="00140A9D"/>
    <w:rsid w:val="001423E7"/>
    <w:rsid w:val="0014303A"/>
    <w:rsid w:val="00144097"/>
    <w:rsid w:val="00151FFA"/>
    <w:rsid w:val="0015543F"/>
    <w:rsid w:val="001578CD"/>
    <w:rsid w:val="001634AF"/>
    <w:rsid w:val="0017081A"/>
    <w:rsid w:val="00180CE0"/>
    <w:rsid w:val="001838C9"/>
    <w:rsid w:val="00185996"/>
    <w:rsid w:val="00190F70"/>
    <w:rsid w:val="00192C22"/>
    <w:rsid w:val="00193825"/>
    <w:rsid w:val="00193843"/>
    <w:rsid w:val="00194D51"/>
    <w:rsid w:val="001957EE"/>
    <w:rsid w:val="001958D5"/>
    <w:rsid w:val="001A0E25"/>
    <w:rsid w:val="001A2B18"/>
    <w:rsid w:val="001A4A99"/>
    <w:rsid w:val="001A666A"/>
    <w:rsid w:val="001A6B0E"/>
    <w:rsid w:val="001A7909"/>
    <w:rsid w:val="001B4618"/>
    <w:rsid w:val="001B5BDA"/>
    <w:rsid w:val="001B61E6"/>
    <w:rsid w:val="001C25CA"/>
    <w:rsid w:val="001C558D"/>
    <w:rsid w:val="001C7DF6"/>
    <w:rsid w:val="001D08D7"/>
    <w:rsid w:val="001D4856"/>
    <w:rsid w:val="001D4EB4"/>
    <w:rsid w:val="001D58BA"/>
    <w:rsid w:val="001D608A"/>
    <w:rsid w:val="001E299E"/>
    <w:rsid w:val="001E3888"/>
    <w:rsid w:val="001E44D9"/>
    <w:rsid w:val="001E4C77"/>
    <w:rsid w:val="001E7239"/>
    <w:rsid w:val="001F4CB8"/>
    <w:rsid w:val="001F7942"/>
    <w:rsid w:val="0020312C"/>
    <w:rsid w:val="0020572A"/>
    <w:rsid w:val="00207296"/>
    <w:rsid w:val="00207960"/>
    <w:rsid w:val="00207D05"/>
    <w:rsid w:val="00215D8F"/>
    <w:rsid w:val="002212AD"/>
    <w:rsid w:val="00224757"/>
    <w:rsid w:val="00230841"/>
    <w:rsid w:val="002317A5"/>
    <w:rsid w:val="002337F7"/>
    <w:rsid w:val="00235E57"/>
    <w:rsid w:val="0023748C"/>
    <w:rsid w:val="002441F9"/>
    <w:rsid w:val="002447B6"/>
    <w:rsid w:val="002457A4"/>
    <w:rsid w:val="00251412"/>
    <w:rsid w:val="00262874"/>
    <w:rsid w:val="00262EF8"/>
    <w:rsid w:val="00263481"/>
    <w:rsid w:val="002658ED"/>
    <w:rsid w:val="002662E3"/>
    <w:rsid w:val="00266E2B"/>
    <w:rsid w:val="00273EE9"/>
    <w:rsid w:val="00274F4E"/>
    <w:rsid w:val="002755A3"/>
    <w:rsid w:val="002855CF"/>
    <w:rsid w:val="00286029"/>
    <w:rsid w:val="00286F17"/>
    <w:rsid w:val="00291956"/>
    <w:rsid w:val="002933AF"/>
    <w:rsid w:val="002A2B5C"/>
    <w:rsid w:val="002A4C01"/>
    <w:rsid w:val="002B0CAC"/>
    <w:rsid w:val="002B1CE3"/>
    <w:rsid w:val="002C0FC3"/>
    <w:rsid w:val="002C1BE3"/>
    <w:rsid w:val="002C3E6D"/>
    <w:rsid w:val="002C568C"/>
    <w:rsid w:val="002C5B02"/>
    <w:rsid w:val="002D1B71"/>
    <w:rsid w:val="002D1E38"/>
    <w:rsid w:val="002D1F1E"/>
    <w:rsid w:val="002E1D98"/>
    <w:rsid w:val="002E426A"/>
    <w:rsid w:val="002E4E6A"/>
    <w:rsid w:val="002E708E"/>
    <w:rsid w:val="003039EF"/>
    <w:rsid w:val="003042AF"/>
    <w:rsid w:val="00305FE9"/>
    <w:rsid w:val="00306CA5"/>
    <w:rsid w:val="0030702B"/>
    <w:rsid w:val="0030737F"/>
    <w:rsid w:val="0030775E"/>
    <w:rsid w:val="00310940"/>
    <w:rsid w:val="00316D2A"/>
    <w:rsid w:val="00317522"/>
    <w:rsid w:val="003212CE"/>
    <w:rsid w:val="0032148F"/>
    <w:rsid w:val="00321ED1"/>
    <w:rsid w:val="00324725"/>
    <w:rsid w:val="0032579A"/>
    <w:rsid w:val="00333E58"/>
    <w:rsid w:val="0033772A"/>
    <w:rsid w:val="00337BE9"/>
    <w:rsid w:val="00346C25"/>
    <w:rsid w:val="00352985"/>
    <w:rsid w:val="003551AC"/>
    <w:rsid w:val="00357C85"/>
    <w:rsid w:val="00357EA0"/>
    <w:rsid w:val="00361E96"/>
    <w:rsid w:val="00362560"/>
    <w:rsid w:val="00363974"/>
    <w:rsid w:val="003670F3"/>
    <w:rsid w:val="00370025"/>
    <w:rsid w:val="003745AA"/>
    <w:rsid w:val="003801E5"/>
    <w:rsid w:val="00381349"/>
    <w:rsid w:val="003863FC"/>
    <w:rsid w:val="003879E0"/>
    <w:rsid w:val="00387E33"/>
    <w:rsid w:val="00395B99"/>
    <w:rsid w:val="003A1DAC"/>
    <w:rsid w:val="003A2101"/>
    <w:rsid w:val="003A31DE"/>
    <w:rsid w:val="003A78BA"/>
    <w:rsid w:val="003B0665"/>
    <w:rsid w:val="003B5B36"/>
    <w:rsid w:val="003B72EC"/>
    <w:rsid w:val="003B7CB7"/>
    <w:rsid w:val="003C231E"/>
    <w:rsid w:val="003C276A"/>
    <w:rsid w:val="003C4C67"/>
    <w:rsid w:val="003C5AD4"/>
    <w:rsid w:val="003D4A07"/>
    <w:rsid w:val="003D6A9C"/>
    <w:rsid w:val="003D7216"/>
    <w:rsid w:val="003E1056"/>
    <w:rsid w:val="003E110F"/>
    <w:rsid w:val="003E289D"/>
    <w:rsid w:val="003E34C8"/>
    <w:rsid w:val="003E77F5"/>
    <w:rsid w:val="003E7F28"/>
    <w:rsid w:val="003F3800"/>
    <w:rsid w:val="003F5965"/>
    <w:rsid w:val="00401C43"/>
    <w:rsid w:val="004023CC"/>
    <w:rsid w:val="00406D6A"/>
    <w:rsid w:val="00407728"/>
    <w:rsid w:val="004107D3"/>
    <w:rsid w:val="00413FB2"/>
    <w:rsid w:val="00414C3B"/>
    <w:rsid w:val="004154C8"/>
    <w:rsid w:val="0041592B"/>
    <w:rsid w:val="00416D26"/>
    <w:rsid w:val="00416EF2"/>
    <w:rsid w:val="00417BF1"/>
    <w:rsid w:val="004211CC"/>
    <w:rsid w:val="004215C2"/>
    <w:rsid w:val="00427400"/>
    <w:rsid w:val="00431601"/>
    <w:rsid w:val="00432E79"/>
    <w:rsid w:val="00436AEB"/>
    <w:rsid w:val="00437C60"/>
    <w:rsid w:val="00450915"/>
    <w:rsid w:val="00451609"/>
    <w:rsid w:val="00456D8B"/>
    <w:rsid w:val="00457F24"/>
    <w:rsid w:val="00461B37"/>
    <w:rsid w:val="00464EDD"/>
    <w:rsid w:val="004717FD"/>
    <w:rsid w:val="004738B5"/>
    <w:rsid w:val="00475114"/>
    <w:rsid w:val="00475F4A"/>
    <w:rsid w:val="004774C0"/>
    <w:rsid w:val="00485805"/>
    <w:rsid w:val="004859AB"/>
    <w:rsid w:val="00485BB6"/>
    <w:rsid w:val="00492B12"/>
    <w:rsid w:val="00494F8E"/>
    <w:rsid w:val="00497D6A"/>
    <w:rsid w:val="00497DB0"/>
    <w:rsid w:val="004A4108"/>
    <w:rsid w:val="004A4739"/>
    <w:rsid w:val="004A5FD0"/>
    <w:rsid w:val="004A60BA"/>
    <w:rsid w:val="004A64D1"/>
    <w:rsid w:val="004B1588"/>
    <w:rsid w:val="004B2A80"/>
    <w:rsid w:val="004B31D9"/>
    <w:rsid w:val="004B4AEE"/>
    <w:rsid w:val="004B584B"/>
    <w:rsid w:val="004B6477"/>
    <w:rsid w:val="004C0E0B"/>
    <w:rsid w:val="004C0E72"/>
    <w:rsid w:val="004C4D6B"/>
    <w:rsid w:val="004D1969"/>
    <w:rsid w:val="004E0F45"/>
    <w:rsid w:val="004E198A"/>
    <w:rsid w:val="004E2834"/>
    <w:rsid w:val="004E2A24"/>
    <w:rsid w:val="004E503B"/>
    <w:rsid w:val="004E7000"/>
    <w:rsid w:val="004F0B37"/>
    <w:rsid w:val="004F0C0D"/>
    <w:rsid w:val="004F15DB"/>
    <w:rsid w:val="004F2F0E"/>
    <w:rsid w:val="004F41EF"/>
    <w:rsid w:val="004F5C59"/>
    <w:rsid w:val="004F7C7C"/>
    <w:rsid w:val="005003C0"/>
    <w:rsid w:val="00503269"/>
    <w:rsid w:val="00510B8B"/>
    <w:rsid w:val="00511905"/>
    <w:rsid w:val="00512CAD"/>
    <w:rsid w:val="00513468"/>
    <w:rsid w:val="005157B4"/>
    <w:rsid w:val="005168D5"/>
    <w:rsid w:val="00516EBB"/>
    <w:rsid w:val="005171C3"/>
    <w:rsid w:val="00517EF4"/>
    <w:rsid w:val="00520EEA"/>
    <w:rsid w:val="00525451"/>
    <w:rsid w:val="00525868"/>
    <w:rsid w:val="0053087E"/>
    <w:rsid w:val="00532C17"/>
    <w:rsid w:val="0053623E"/>
    <w:rsid w:val="00536A02"/>
    <w:rsid w:val="0055044E"/>
    <w:rsid w:val="00550DE2"/>
    <w:rsid w:val="00551CFA"/>
    <w:rsid w:val="00552F70"/>
    <w:rsid w:val="00553981"/>
    <w:rsid w:val="00554FF4"/>
    <w:rsid w:val="00556D82"/>
    <w:rsid w:val="00563855"/>
    <w:rsid w:val="005653A5"/>
    <w:rsid w:val="00565510"/>
    <w:rsid w:val="005717E1"/>
    <w:rsid w:val="00571EB3"/>
    <w:rsid w:val="00573289"/>
    <w:rsid w:val="00573E12"/>
    <w:rsid w:val="00576598"/>
    <w:rsid w:val="005821BB"/>
    <w:rsid w:val="00582D9F"/>
    <w:rsid w:val="00584213"/>
    <w:rsid w:val="00584D15"/>
    <w:rsid w:val="00587010"/>
    <w:rsid w:val="0059472F"/>
    <w:rsid w:val="00594EA3"/>
    <w:rsid w:val="00597E4D"/>
    <w:rsid w:val="005A0E6E"/>
    <w:rsid w:val="005A2269"/>
    <w:rsid w:val="005A531E"/>
    <w:rsid w:val="005A73A9"/>
    <w:rsid w:val="005B365F"/>
    <w:rsid w:val="005B483F"/>
    <w:rsid w:val="005B496A"/>
    <w:rsid w:val="005C0BAB"/>
    <w:rsid w:val="005C38CD"/>
    <w:rsid w:val="005C4FE5"/>
    <w:rsid w:val="005C5B26"/>
    <w:rsid w:val="005D1CBE"/>
    <w:rsid w:val="005D3137"/>
    <w:rsid w:val="005D54CF"/>
    <w:rsid w:val="005D6CA4"/>
    <w:rsid w:val="005D6E01"/>
    <w:rsid w:val="005D7FF9"/>
    <w:rsid w:val="005E22D2"/>
    <w:rsid w:val="005E3190"/>
    <w:rsid w:val="005E4D0E"/>
    <w:rsid w:val="005E782B"/>
    <w:rsid w:val="005E79B9"/>
    <w:rsid w:val="005E7A15"/>
    <w:rsid w:val="005F11C6"/>
    <w:rsid w:val="005F2A59"/>
    <w:rsid w:val="005F68D7"/>
    <w:rsid w:val="00607F6F"/>
    <w:rsid w:val="006105DE"/>
    <w:rsid w:val="00613095"/>
    <w:rsid w:val="0061491A"/>
    <w:rsid w:val="00633338"/>
    <w:rsid w:val="00634C4D"/>
    <w:rsid w:val="00642EC4"/>
    <w:rsid w:val="00642FBC"/>
    <w:rsid w:val="006436BC"/>
    <w:rsid w:val="00643C33"/>
    <w:rsid w:val="00644C54"/>
    <w:rsid w:val="006515A9"/>
    <w:rsid w:val="00653E17"/>
    <w:rsid w:val="00662CAC"/>
    <w:rsid w:val="00662DCC"/>
    <w:rsid w:val="00662F25"/>
    <w:rsid w:val="00666F67"/>
    <w:rsid w:val="00667F6C"/>
    <w:rsid w:val="00670783"/>
    <w:rsid w:val="00673B76"/>
    <w:rsid w:val="00673E44"/>
    <w:rsid w:val="0067405A"/>
    <w:rsid w:val="00675D54"/>
    <w:rsid w:val="00676179"/>
    <w:rsid w:val="00676260"/>
    <w:rsid w:val="00682C7E"/>
    <w:rsid w:val="0068387E"/>
    <w:rsid w:val="00684CD4"/>
    <w:rsid w:val="00692548"/>
    <w:rsid w:val="0069532C"/>
    <w:rsid w:val="006A06DE"/>
    <w:rsid w:val="006A29CE"/>
    <w:rsid w:val="006A368C"/>
    <w:rsid w:val="006A7919"/>
    <w:rsid w:val="006B07BC"/>
    <w:rsid w:val="006B30C3"/>
    <w:rsid w:val="006B79FA"/>
    <w:rsid w:val="006C13DA"/>
    <w:rsid w:val="006C367B"/>
    <w:rsid w:val="006C50CB"/>
    <w:rsid w:val="006C7E78"/>
    <w:rsid w:val="006D094B"/>
    <w:rsid w:val="006D7412"/>
    <w:rsid w:val="006E5FF6"/>
    <w:rsid w:val="006E698F"/>
    <w:rsid w:val="006F1A08"/>
    <w:rsid w:val="006F4B7D"/>
    <w:rsid w:val="0070158E"/>
    <w:rsid w:val="00703AD3"/>
    <w:rsid w:val="00710062"/>
    <w:rsid w:val="007104EF"/>
    <w:rsid w:val="00711D32"/>
    <w:rsid w:val="00712D3F"/>
    <w:rsid w:val="007138EE"/>
    <w:rsid w:val="007217AA"/>
    <w:rsid w:val="00721889"/>
    <w:rsid w:val="007233CE"/>
    <w:rsid w:val="00725ABD"/>
    <w:rsid w:val="00726AAE"/>
    <w:rsid w:val="007276F9"/>
    <w:rsid w:val="00730DB7"/>
    <w:rsid w:val="0073324C"/>
    <w:rsid w:val="007402BF"/>
    <w:rsid w:val="00742AE8"/>
    <w:rsid w:val="00742D5B"/>
    <w:rsid w:val="00744D03"/>
    <w:rsid w:val="00745BF5"/>
    <w:rsid w:val="007464EB"/>
    <w:rsid w:val="00747138"/>
    <w:rsid w:val="007531D6"/>
    <w:rsid w:val="007545D2"/>
    <w:rsid w:val="00756C3D"/>
    <w:rsid w:val="00765464"/>
    <w:rsid w:val="00766963"/>
    <w:rsid w:val="00770A11"/>
    <w:rsid w:val="00770A4B"/>
    <w:rsid w:val="00771623"/>
    <w:rsid w:val="0077206A"/>
    <w:rsid w:val="007740F6"/>
    <w:rsid w:val="007755AA"/>
    <w:rsid w:val="007807B5"/>
    <w:rsid w:val="007841FA"/>
    <w:rsid w:val="0078589B"/>
    <w:rsid w:val="00786153"/>
    <w:rsid w:val="00786211"/>
    <w:rsid w:val="00786DEA"/>
    <w:rsid w:val="00787313"/>
    <w:rsid w:val="007973FE"/>
    <w:rsid w:val="00797509"/>
    <w:rsid w:val="007A0174"/>
    <w:rsid w:val="007A1203"/>
    <w:rsid w:val="007B02CA"/>
    <w:rsid w:val="007B28AB"/>
    <w:rsid w:val="007B42C4"/>
    <w:rsid w:val="007B65BB"/>
    <w:rsid w:val="007C69B5"/>
    <w:rsid w:val="007C732D"/>
    <w:rsid w:val="007D1CEC"/>
    <w:rsid w:val="007D43B8"/>
    <w:rsid w:val="007D5428"/>
    <w:rsid w:val="007D6B6E"/>
    <w:rsid w:val="007E349A"/>
    <w:rsid w:val="007E4BD8"/>
    <w:rsid w:val="007E5D66"/>
    <w:rsid w:val="007E667C"/>
    <w:rsid w:val="007E7563"/>
    <w:rsid w:val="007F632F"/>
    <w:rsid w:val="007F6CEC"/>
    <w:rsid w:val="007F7AA0"/>
    <w:rsid w:val="008077D6"/>
    <w:rsid w:val="00811FDA"/>
    <w:rsid w:val="008150CF"/>
    <w:rsid w:val="008154AD"/>
    <w:rsid w:val="00817BE0"/>
    <w:rsid w:val="00817CA5"/>
    <w:rsid w:val="0082641C"/>
    <w:rsid w:val="0082655F"/>
    <w:rsid w:val="00826CA7"/>
    <w:rsid w:val="008301A4"/>
    <w:rsid w:val="00832B89"/>
    <w:rsid w:val="0083377E"/>
    <w:rsid w:val="00844974"/>
    <w:rsid w:val="00852FF1"/>
    <w:rsid w:val="0085324E"/>
    <w:rsid w:val="00853E8A"/>
    <w:rsid w:val="008545FD"/>
    <w:rsid w:val="00854DD1"/>
    <w:rsid w:val="00856376"/>
    <w:rsid w:val="0086095A"/>
    <w:rsid w:val="00860CDF"/>
    <w:rsid w:val="00860DA9"/>
    <w:rsid w:val="00864712"/>
    <w:rsid w:val="0086653F"/>
    <w:rsid w:val="00866B3A"/>
    <w:rsid w:val="0087075D"/>
    <w:rsid w:val="008730E4"/>
    <w:rsid w:val="00873948"/>
    <w:rsid w:val="00874C97"/>
    <w:rsid w:val="0088149D"/>
    <w:rsid w:val="00894043"/>
    <w:rsid w:val="00894EF0"/>
    <w:rsid w:val="008A1028"/>
    <w:rsid w:val="008A1B3F"/>
    <w:rsid w:val="008A3ADD"/>
    <w:rsid w:val="008A55C8"/>
    <w:rsid w:val="008A5BE0"/>
    <w:rsid w:val="008A6323"/>
    <w:rsid w:val="008A76A0"/>
    <w:rsid w:val="008B2795"/>
    <w:rsid w:val="008B65FB"/>
    <w:rsid w:val="008C024E"/>
    <w:rsid w:val="008C1A41"/>
    <w:rsid w:val="008C3367"/>
    <w:rsid w:val="008C3CCB"/>
    <w:rsid w:val="008D2384"/>
    <w:rsid w:val="008D4E59"/>
    <w:rsid w:val="008E6FF0"/>
    <w:rsid w:val="008E7A2B"/>
    <w:rsid w:val="008F0180"/>
    <w:rsid w:val="008F3E78"/>
    <w:rsid w:val="008F45CA"/>
    <w:rsid w:val="009019E9"/>
    <w:rsid w:val="009021BA"/>
    <w:rsid w:val="00903464"/>
    <w:rsid w:val="00906CCA"/>
    <w:rsid w:val="00912521"/>
    <w:rsid w:val="00914143"/>
    <w:rsid w:val="00915E6F"/>
    <w:rsid w:val="0092134E"/>
    <w:rsid w:val="00922881"/>
    <w:rsid w:val="00923375"/>
    <w:rsid w:val="00924775"/>
    <w:rsid w:val="00934B73"/>
    <w:rsid w:val="009435D3"/>
    <w:rsid w:val="00945FA9"/>
    <w:rsid w:val="009509F3"/>
    <w:rsid w:val="009510CB"/>
    <w:rsid w:val="00951A76"/>
    <w:rsid w:val="009534EA"/>
    <w:rsid w:val="00953906"/>
    <w:rsid w:val="009550F7"/>
    <w:rsid w:val="009602DC"/>
    <w:rsid w:val="00960DA5"/>
    <w:rsid w:val="00962C9A"/>
    <w:rsid w:val="009637EC"/>
    <w:rsid w:val="00963EDF"/>
    <w:rsid w:val="00965BB3"/>
    <w:rsid w:val="009667A6"/>
    <w:rsid w:val="009678DB"/>
    <w:rsid w:val="00971638"/>
    <w:rsid w:val="00975830"/>
    <w:rsid w:val="00975FA0"/>
    <w:rsid w:val="009845A3"/>
    <w:rsid w:val="00985510"/>
    <w:rsid w:val="00985768"/>
    <w:rsid w:val="00986AA9"/>
    <w:rsid w:val="00990236"/>
    <w:rsid w:val="0099048E"/>
    <w:rsid w:val="00991227"/>
    <w:rsid w:val="009914CB"/>
    <w:rsid w:val="00991729"/>
    <w:rsid w:val="00992B07"/>
    <w:rsid w:val="00997979"/>
    <w:rsid w:val="009A41F4"/>
    <w:rsid w:val="009A5DA5"/>
    <w:rsid w:val="009A655A"/>
    <w:rsid w:val="009B1CB6"/>
    <w:rsid w:val="009B3D7F"/>
    <w:rsid w:val="009B6CF2"/>
    <w:rsid w:val="009B712C"/>
    <w:rsid w:val="009C0964"/>
    <w:rsid w:val="009C51C5"/>
    <w:rsid w:val="009C70E6"/>
    <w:rsid w:val="009D0357"/>
    <w:rsid w:val="009E035A"/>
    <w:rsid w:val="009E7069"/>
    <w:rsid w:val="009E7CF0"/>
    <w:rsid w:val="009F02EB"/>
    <w:rsid w:val="009F7D37"/>
    <w:rsid w:val="00A001B5"/>
    <w:rsid w:val="00A0072E"/>
    <w:rsid w:val="00A066DB"/>
    <w:rsid w:val="00A06886"/>
    <w:rsid w:val="00A07047"/>
    <w:rsid w:val="00A07A5C"/>
    <w:rsid w:val="00A106B4"/>
    <w:rsid w:val="00A14789"/>
    <w:rsid w:val="00A20498"/>
    <w:rsid w:val="00A22B94"/>
    <w:rsid w:val="00A25AFC"/>
    <w:rsid w:val="00A26B21"/>
    <w:rsid w:val="00A36DC1"/>
    <w:rsid w:val="00A40069"/>
    <w:rsid w:val="00A44318"/>
    <w:rsid w:val="00A4522B"/>
    <w:rsid w:val="00A45FF9"/>
    <w:rsid w:val="00A46447"/>
    <w:rsid w:val="00A47669"/>
    <w:rsid w:val="00A501D5"/>
    <w:rsid w:val="00A528F9"/>
    <w:rsid w:val="00A52E70"/>
    <w:rsid w:val="00A54F78"/>
    <w:rsid w:val="00A567BA"/>
    <w:rsid w:val="00A5797F"/>
    <w:rsid w:val="00A63522"/>
    <w:rsid w:val="00A64F96"/>
    <w:rsid w:val="00A6519D"/>
    <w:rsid w:val="00A66719"/>
    <w:rsid w:val="00A67B61"/>
    <w:rsid w:val="00A8275B"/>
    <w:rsid w:val="00A8322C"/>
    <w:rsid w:val="00A8499D"/>
    <w:rsid w:val="00A92144"/>
    <w:rsid w:val="00A932C8"/>
    <w:rsid w:val="00A94967"/>
    <w:rsid w:val="00AA0631"/>
    <w:rsid w:val="00AA0F94"/>
    <w:rsid w:val="00AA341C"/>
    <w:rsid w:val="00AA4F7E"/>
    <w:rsid w:val="00AA7AAB"/>
    <w:rsid w:val="00AA7B0A"/>
    <w:rsid w:val="00AB05EF"/>
    <w:rsid w:val="00AB06FA"/>
    <w:rsid w:val="00AB3F69"/>
    <w:rsid w:val="00AB4711"/>
    <w:rsid w:val="00AB4D39"/>
    <w:rsid w:val="00AB58A9"/>
    <w:rsid w:val="00AC0134"/>
    <w:rsid w:val="00AD6D9C"/>
    <w:rsid w:val="00AD7F23"/>
    <w:rsid w:val="00AE0C13"/>
    <w:rsid w:val="00AE12F7"/>
    <w:rsid w:val="00AE369C"/>
    <w:rsid w:val="00AE3877"/>
    <w:rsid w:val="00AE3BD5"/>
    <w:rsid w:val="00AE4FE7"/>
    <w:rsid w:val="00AE6161"/>
    <w:rsid w:val="00AE78DB"/>
    <w:rsid w:val="00AF011B"/>
    <w:rsid w:val="00AF0A60"/>
    <w:rsid w:val="00AF2889"/>
    <w:rsid w:val="00AF7042"/>
    <w:rsid w:val="00AF7B6D"/>
    <w:rsid w:val="00B02710"/>
    <w:rsid w:val="00B02B85"/>
    <w:rsid w:val="00B02CAE"/>
    <w:rsid w:val="00B032CF"/>
    <w:rsid w:val="00B040F4"/>
    <w:rsid w:val="00B06B54"/>
    <w:rsid w:val="00B06BAE"/>
    <w:rsid w:val="00B130D7"/>
    <w:rsid w:val="00B13A45"/>
    <w:rsid w:val="00B13B3A"/>
    <w:rsid w:val="00B151B2"/>
    <w:rsid w:val="00B231CE"/>
    <w:rsid w:val="00B23B40"/>
    <w:rsid w:val="00B23DF3"/>
    <w:rsid w:val="00B25242"/>
    <w:rsid w:val="00B265AB"/>
    <w:rsid w:val="00B26C68"/>
    <w:rsid w:val="00B30010"/>
    <w:rsid w:val="00B30288"/>
    <w:rsid w:val="00B32436"/>
    <w:rsid w:val="00B4005A"/>
    <w:rsid w:val="00B40CD3"/>
    <w:rsid w:val="00B41390"/>
    <w:rsid w:val="00B44617"/>
    <w:rsid w:val="00B45E78"/>
    <w:rsid w:val="00B45FBC"/>
    <w:rsid w:val="00B46341"/>
    <w:rsid w:val="00B5013F"/>
    <w:rsid w:val="00B501DF"/>
    <w:rsid w:val="00B51071"/>
    <w:rsid w:val="00B539E3"/>
    <w:rsid w:val="00B53ED8"/>
    <w:rsid w:val="00B551E3"/>
    <w:rsid w:val="00B558A2"/>
    <w:rsid w:val="00B55A60"/>
    <w:rsid w:val="00B56B94"/>
    <w:rsid w:val="00B56F30"/>
    <w:rsid w:val="00B57A5E"/>
    <w:rsid w:val="00B62F28"/>
    <w:rsid w:val="00B63FA5"/>
    <w:rsid w:val="00B65AAF"/>
    <w:rsid w:val="00B65D05"/>
    <w:rsid w:val="00B665DC"/>
    <w:rsid w:val="00B672D9"/>
    <w:rsid w:val="00B756B8"/>
    <w:rsid w:val="00B76AE2"/>
    <w:rsid w:val="00B85752"/>
    <w:rsid w:val="00B863A6"/>
    <w:rsid w:val="00B94BF9"/>
    <w:rsid w:val="00B94C64"/>
    <w:rsid w:val="00B95E84"/>
    <w:rsid w:val="00B95F70"/>
    <w:rsid w:val="00BA09F8"/>
    <w:rsid w:val="00BA5821"/>
    <w:rsid w:val="00BA6518"/>
    <w:rsid w:val="00BB108F"/>
    <w:rsid w:val="00BC05AF"/>
    <w:rsid w:val="00BC27C7"/>
    <w:rsid w:val="00BC2B32"/>
    <w:rsid w:val="00BC5BFA"/>
    <w:rsid w:val="00BD0CB3"/>
    <w:rsid w:val="00BD1121"/>
    <w:rsid w:val="00BD1685"/>
    <w:rsid w:val="00BD516C"/>
    <w:rsid w:val="00BE0BE7"/>
    <w:rsid w:val="00BE13E7"/>
    <w:rsid w:val="00BE3075"/>
    <w:rsid w:val="00BE3CC2"/>
    <w:rsid w:val="00BF0146"/>
    <w:rsid w:val="00BF17E1"/>
    <w:rsid w:val="00BF3B10"/>
    <w:rsid w:val="00BF42DD"/>
    <w:rsid w:val="00C01777"/>
    <w:rsid w:val="00C03DC2"/>
    <w:rsid w:val="00C15776"/>
    <w:rsid w:val="00C17055"/>
    <w:rsid w:val="00C17592"/>
    <w:rsid w:val="00C17EAE"/>
    <w:rsid w:val="00C21C41"/>
    <w:rsid w:val="00C225FE"/>
    <w:rsid w:val="00C24B1F"/>
    <w:rsid w:val="00C25ACC"/>
    <w:rsid w:val="00C27B12"/>
    <w:rsid w:val="00C31EDE"/>
    <w:rsid w:val="00C3277B"/>
    <w:rsid w:val="00C40889"/>
    <w:rsid w:val="00C437F3"/>
    <w:rsid w:val="00C47094"/>
    <w:rsid w:val="00C500BF"/>
    <w:rsid w:val="00C50740"/>
    <w:rsid w:val="00C522BA"/>
    <w:rsid w:val="00C53D6F"/>
    <w:rsid w:val="00C543B6"/>
    <w:rsid w:val="00C54BFE"/>
    <w:rsid w:val="00C55F13"/>
    <w:rsid w:val="00C5715F"/>
    <w:rsid w:val="00C57BF0"/>
    <w:rsid w:val="00C65A0E"/>
    <w:rsid w:val="00C70FB4"/>
    <w:rsid w:val="00C720A8"/>
    <w:rsid w:val="00C726FE"/>
    <w:rsid w:val="00C76FB3"/>
    <w:rsid w:val="00C7748D"/>
    <w:rsid w:val="00C8032B"/>
    <w:rsid w:val="00C82509"/>
    <w:rsid w:val="00C85199"/>
    <w:rsid w:val="00C8542E"/>
    <w:rsid w:val="00C87343"/>
    <w:rsid w:val="00C971C0"/>
    <w:rsid w:val="00CA1800"/>
    <w:rsid w:val="00CA3D0A"/>
    <w:rsid w:val="00CA7917"/>
    <w:rsid w:val="00CB32A7"/>
    <w:rsid w:val="00CB754A"/>
    <w:rsid w:val="00CC108A"/>
    <w:rsid w:val="00CC7A02"/>
    <w:rsid w:val="00CD0B62"/>
    <w:rsid w:val="00CD1D09"/>
    <w:rsid w:val="00CD41B8"/>
    <w:rsid w:val="00CE2AC5"/>
    <w:rsid w:val="00CE3A02"/>
    <w:rsid w:val="00CE6404"/>
    <w:rsid w:val="00D019CC"/>
    <w:rsid w:val="00D01CF5"/>
    <w:rsid w:val="00D03039"/>
    <w:rsid w:val="00D05662"/>
    <w:rsid w:val="00D05BB6"/>
    <w:rsid w:val="00D05E6A"/>
    <w:rsid w:val="00D07A51"/>
    <w:rsid w:val="00D11E3A"/>
    <w:rsid w:val="00D16EC4"/>
    <w:rsid w:val="00D20E1D"/>
    <w:rsid w:val="00D27B21"/>
    <w:rsid w:val="00D27E99"/>
    <w:rsid w:val="00D301B6"/>
    <w:rsid w:val="00D3451B"/>
    <w:rsid w:val="00D36DE1"/>
    <w:rsid w:val="00D479D5"/>
    <w:rsid w:val="00D63097"/>
    <w:rsid w:val="00D644FB"/>
    <w:rsid w:val="00D65D0E"/>
    <w:rsid w:val="00D76EC6"/>
    <w:rsid w:val="00D815A3"/>
    <w:rsid w:val="00D8490D"/>
    <w:rsid w:val="00D84BAC"/>
    <w:rsid w:val="00D85432"/>
    <w:rsid w:val="00D864C0"/>
    <w:rsid w:val="00D86876"/>
    <w:rsid w:val="00D87798"/>
    <w:rsid w:val="00D916AA"/>
    <w:rsid w:val="00D94F14"/>
    <w:rsid w:val="00D95C1E"/>
    <w:rsid w:val="00DA3E01"/>
    <w:rsid w:val="00DA42B7"/>
    <w:rsid w:val="00DA7694"/>
    <w:rsid w:val="00DA7AAC"/>
    <w:rsid w:val="00DB1F2D"/>
    <w:rsid w:val="00DB1FA6"/>
    <w:rsid w:val="00DB39B3"/>
    <w:rsid w:val="00DB6B70"/>
    <w:rsid w:val="00DB77E5"/>
    <w:rsid w:val="00DC0068"/>
    <w:rsid w:val="00DC016F"/>
    <w:rsid w:val="00DC594F"/>
    <w:rsid w:val="00DC5D28"/>
    <w:rsid w:val="00DD0E92"/>
    <w:rsid w:val="00DD165B"/>
    <w:rsid w:val="00DD3B6E"/>
    <w:rsid w:val="00DD3C6D"/>
    <w:rsid w:val="00DD7541"/>
    <w:rsid w:val="00DD756E"/>
    <w:rsid w:val="00DE039D"/>
    <w:rsid w:val="00DE1A54"/>
    <w:rsid w:val="00DE3A43"/>
    <w:rsid w:val="00DE4719"/>
    <w:rsid w:val="00DF1F9C"/>
    <w:rsid w:val="00DF2594"/>
    <w:rsid w:val="00E02EDF"/>
    <w:rsid w:val="00E059A9"/>
    <w:rsid w:val="00E0755A"/>
    <w:rsid w:val="00E10EEA"/>
    <w:rsid w:val="00E15E54"/>
    <w:rsid w:val="00E16776"/>
    <w:rsid w:val="00E1692E"/>
    <w:rsid w:val="00E1729A"/>
    <w:rsid w:val="00E174AB"/>
    <w:rsid w:val="00E17E65"/>
    <w:rsid w:val="00E2050D"/>
    <w:rsid w:val="00E21FA6"/>
    <w:rsid w:val="00E251F7"/>
    <w:rsid w:val="00E3218C"/>
    <w:rsid w:val="00E32B77"/>
    <w:rsid w:val="00E34535"/>
    <w:rsid w:val="00E350CD"/>
    <w:rsid w:val="00E42454"/>
    <w:rsid w:val="00E437B4"/>
    <w:rsid w:val="00E4534A"/>
    <w:rsid w:val="00E454C2"/>
    <w:rsid w:val="00E46EBC"/>
    <w:rsid w:val="00E50E95"/>
    <w:rsid w:val="00E52942"/>
    <w:rsid w:val="00E54957"/>
    <w:rsid w:val="00E62AEF"/>
    <w:rsid w:val="00E63D3D"/>
    <w:rsid w:val="00E65443"/>
    <w:rsid w:val="00E71546"/>
    <w:rsid w:val="00E72932"/>
    <w:rsid w:val="00E7527A"/>
    <w:rsid w:val="00E75B15"/>
    <w:rsid w:val="00E76268"/>
    <w:rsid w:val="00E76B62"/>
    <w:rsid w:val="00E76EE1"/>
    <w:rsid w:val="00E770D7"/>
    <w:rsid w:val="00E81F72"/>
    <w:rsid w:val="00E84B55"/>
    <w:rsid w:val="00E870EB"/>
    <w:rsid w:val="00E90AFE"/>
    <w:rsid w:val="00EA0987"/>
    <w:rsid w:val="00EA5644"/>
    <w:rsid w:val="00EA6B24"/>
    <w:rsid w:val="00EB0CBE"/>
    <w:rsid w:val="00EB403B"/>
    <w:rsid w:val="00EB4AB3"/>
    <w:rsid w:val="00EB6C94"/>
    <w:rsid w:val="00EC48CC"/>
    <w:rsid w:val="00EC5C7D"/>
    <w:rsid w:val="00EC7850"/>
    <w:rsid w:val="00ED04F8"/>
    <w:rsid w:val="00ED252F"/>
    <w:rsid w:val="00ED46B6"/>
    <w:rsid w:val="00EE7401"/>
    <w:rsid w:val="00EF4407"/>
    <w:rsid w:val="00EF4C4C"/>
    <w:rsid w:val="00EF4E74"/>
    <w:rsid w:val="00EF68AC"/>
    <w:rsid w:val="00EF6EF1"/>
    <w:rsid w:val="00F00E47"/>
    <w:rsid w:val="00F01D36"/>
    <w:rsid w:val="00F03ABF"/>
    <w:rsid w:val="00F221DC"/>
    <w:rsid w:val="00F2398D"/>
    <w:rsid w:val="00F255FF"/>
    <w:rsid w:val="00F25A0A"/>
    <w:rsid w:val="00F2608D"/>
    <w:rsid w:val="00F35ACA"/>
    <w:rsid w:val="00F362EB"/>
    <w:rsid w:val="00F36521"/>
    <w:rsid w:val="00F36C83"/>
    <w:rsid w:val="00F41D83"/>
    <w:rsid w:val="00F43DE5"/>
    <w:rsid w:val="00F45878"/>
    <w:rsid w:val="00F468F2"/>
    <w:rsid w:val="00F47291"/>
    <w:rsid w:val="00F50379"/>
    <w:rsid w:val="00F507DB"/>
    <w:rsid w:val="00F54752"/>
    <w:rsid w:val="00F5582B"/>
    <w:rsid w:val="00F55C3C"/>
    <w:rsid w:val="00F560A6"/>
    <w:rsid w:val="00F653DE"/>
    <w:rsid w:val="00F7039E"/>
    <w:rsid w:val="00F7134F"/>
    <w:rsid w:val="00F71373"/>
    <w:rsid w:val="00F713EC"/>
    <w:rsid w:val="00F732B8"/>
    <w:rsid w:val="00F741A7"/>
    <w:rsid w:val="00F92A4A"/>
    <w:rsid w:val="00F94D1E"/>
    <w:rsid w:val="00F9698D"/>
    <w:rsid w:val="00F96BC1"/>
    <w:rsid w:val="00FA0DDF"/>
    <w:rsid w:val="00FA147E"/>
    <w:rsid w:val="00FA2A00"/>
    <w:rsid w:val="00FA4B55"/>
    <w:rsid w:val="00FB1479"/>
    <w:rsid w:val="00FB1B6F"/>
    <w:rsid w:val="00FB1DB0"/>
    <w:rsid w:val="00FB31DF"/>
    <w:rsid w:val="00FB50B1"/>
    <w:rsid w:val="00FB5BE0"/>
    <w:rsid w:val="00FC02A9"/>
    <w:rsid w:val="00FC060D"/>
    <w:rsid w:val="00FC1EA5"/>
    <w:rsid w:val="00FC4AEE"/>
    <w:rsid w:val="00FC5809"/>
    <w:rsid w:val="00FC672E"/>
    <w:rsid w:val="00FC6CE4"/>
    <w:rsid w:val="00FC7A6B"/>
    <w:rsid w:val="00FD1E6B"/>
    <w:rsid w:val="00FD247C"/>
    <w:rsid w:val="00FD2C12"/>
    <w:rsid w:val="00FD2E1C"/>
    <w:rsid w:val="00FD6FB2"/>
    <w:rsid w:val="00FE076C"/>
    <w:rsid w:val="00FE5E27"/>
    <w:rsid w:val="00FE5E3B"/>
    <w:rsid w:val="00FE7278"/>
    <w:rsid w:val="00FF37E6"/>
    <w:rsid w:val="00FF3ADC"/>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2020-09-23T18:30:00+00:00</Judgment_x0020_Date>
    <Year xmlns="63bdd487-88aa-4c54-b893-ddaa81ed2e7c">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56BA1-DEB0-4AED-A9C6-D60A4E8338FF}">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6BFC3F6C-009E-4BA4-AF93-9E42F8BFF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E4D79-983F-4E25-B957-A9472437E53F}">
  <ds:schemaRefs>
    <ds:schemaRef ds:uri="http://schemas.microsoft.com/sharepoint/v3/contenttype/forms"/>
  </ds:schemaRefs>
</ds:datastoreItem>
</file>

<file path=customXml/itemProps4.xml><?xml version="1.0" encoding="utf-8"?>
<ds:datastoreItem xmlns:ds="http://schemas.openxmlformats.org/officeDocument/2006/customXml" ds:itemID="{3961F3E9-896E-4E35-9F52-A23ECE21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Onamangongwa Trading Enterprises CC v Minnesota Trading Enterprises Group</vt:lpstr>
    </vt:vector>
  </TitlesOfParts>
  <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Onamangongwa Trading Enterprises CC v Minnesota Trading Enterprises Group</dc:title>
  <dc:creator>David</dc:creator>
  <cp:lastModifiedBy>HOME</cp:lastModifiedBy>
  <cp:revision>2</cp:revision>
  <cp:lastPrinted>2020-09-24T13:57:00Z</cp:lastPrinted>
  <dcterms:created xsi:type="dcterms:W3CDTF">2021-07-19T14:10:00Z</dcterms:created>
  <dcterms:modified xsi:type="dcterms:W3CDTF">2021-07-19T14:10:00Z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