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136880">
        <w:rPr>
          <w:rFonts w:ascii="Arial" w:hAnsi="Arial" w:cs="Arial"/>
          <w:sz w:val="24"/>
          <w:szCs w:val="24"/>
        </w:rPr>
        <w:t>53</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18</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396B62" w:rsidRPr="001C25CA"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61C35" w:rsidTr="00B40CD3">
        <w:tc>
          <w:tcPr>
            <w:tcW w:w="6204" w:type="dxa"/>
            <w:shd w:val="clear" w:color="auto" w:fill="auto"/>
          </w:tcPr>
          <w:p w:rsidR="002212AD" w:rsidRPr="00161C35" w:rsidRDefault="00136880" w:rsidP="00161C35">
            <w:pPr>
              <w:pStyle w:val="NoSpacing"/>
              <w:spacing w:line="360" w:lineRule="auto"/>
              <w:rPr>
                <w:rFonts w:ascii="Arial" w:hAnsi="Arial" w:cs="Arial"/>
                <w:b/>
              </w:rPr>
            </w:pPr>
            <w:r>
              <w:rPr>
                <w:rFonts w:ascii="Arial" w:hAnsi="Arial" w:cs="Arial"/>
                <w:b/>
              </w:rPr>
              <w:t>ROCKVIEW INVESTMENT NUMBER SEVENTY ONE CC</w:t>
            </w:r>
          </w:p>
        </w:tc>
        <w:tc>
          <w:tcPr>
            <w:tcW w:w="3011" w:type="dxa"/>
            <w:shd w:val="clear" w:color="auto" w:fill="auto"/>
          </w:tcPr>
          <w:p w:rsidR="008C3367" w:rsidRPr="00161C35" w:rsidRDefault="008C3367" w:rsidP="00161C35">
            <w:pPr>
              <w:pStyle w:val="NoSpacing"/>
              <w:spacing w:line="360" w:lineRule="auto"/>
              <w:jc w:val="right"/>
              <w:rPr>
                <w:rFonts w:ascii="Arial" w:hAnsi="Arial" w:cs="Arial"/>
                <w:b/>
              </w:rPr>
            </w:pPr>
            <w:r w:rsidRPr="00161C35">
              <w:rPr>
                <w:rFonts w:ascii="Arial" w:hAnsi="Arial" w:cs="Arial"/>
                <w:b/>
              </w:rPr>
              <w:t>Appellant</w:t>
            </w:r>
          </w:p>
        </w:tc>
      </w:tr>
      <w:tr w:rsidR="008C3367" w:rsidRPr="00161C35" w:rsidTr="00B40CD3">
        <w:tc>
          <w:tcPr>
            <w:tcW w:w="6204" w:type="dxa"/>
            <w:shd w:val="clear" w:color="auto" w:fill="auto"/>
          </w:tcPr>
          <w:p w:rsidR="008C3367" w:rsidRPr="00161C35" w:rsidRDefault="000D1F3C" w:rsidP="00161C35">
            <w:pPr>
              <w:pStyle w:val="NoSpacing"/>
              <w:spacing w:line="360" w:lineRule="auto"/>
              <w:rPr>
                <w:rFonts w:ascii="Arial" w:hAnsi="Arial" w:cs="Arial"/>
                <w:b/>
              </w:rPr>
            </w:pPr>
            <w:r w:rsidRPr="00161C35">
              <w:rPr>
                <w:rFonts w:ascii="Arial" w:hAnsi="Arial" w:cs="Arial"/>
                <w:b/>
              </w:rPr>
              <w:t xml:space="preserve"> </w:t>
            </w:r>
          </w:p>
        </w:tc>
        <w:tc>
          <w:tcPr>
            <w:tcW w:w="3011" w:type="dxa"/>
            <w:shd w:val="clear" w:color="auto" w:fill="auto"/>
          </w:tcPr>
          <w:p w:rsidR="008C3367" w:rsidRPr="00161C35" w:rsidRDefault="008C3367" w:rsidP="00161C35">
            <w:pPr>
              <w:pStyle w:val="NoSpacing"/>
              <w:spacing w:line="360" w:lineRule="auto"/>
              <w:rPr>
                <w:rFonts w:ascii="Arial" w:hAnsi="Arial" w:cs="Arial"/>
                <w:b/>
              </w:rPr>
            </w:pPr>
          </w:p>
        </w:tc>
      </w:tr>
      <w:tr w:rsidR="008C3367" w:rsidRPr="00136880" w:rsidTr="00B40CD3">
        <w:tc>
          <w:tcPr>
            <w:tcW w:w="6204" w:type="dxa"/>
            <w:shd w:val="clear" w:color="auto" w:fill="auto"/>
          </w:tcPr>
          <w:p w:rsidR="008C3367" w:rsidRPr="00136880" w:rsidRDefault="007C732D" w:rsidP="00161C35">
            <w:pPr>
              <w:pStyle w:val="NoSpacing"/>
              <w:spacing w:line="360" w:lineRule="auto"/>
              <w:rPr>
                <w:rFonts w:ascii="Arial" w:hAnsi="Arial" w:cs="Arial"/>
              </w:rPr>
            </w:pPr>
            <w:r w:rsidRPr="00136880">
              <w:rPr>
                <w:rFonts w:ascii="Arial" w:hAnsi="Arial" w:cs="Arial"/>
              </w:rPr>
              <w:t>a</w:t>
            </w:r>
            <w:r w:rsidR="008C3367" w:rsidRPr="00136880">
              <w:rPr>
                <w:rFonts w:ascii="Arial" w:hAnsi="Arial" w:cs="Arial"/>
              </w:rPr>
              <w:t>nd</w:t>
            </w:r>
          </w:p>
        </w:tc>
        <w:tc>
          <w:tcPr>
            <w:tcW w:w="3011" w:type="dxa"/>
            <w:shd w:val="clear" w:color="auto" w:fill="auto"/>
          </w:tcPr>
          <w:p w:rsidR="008C3367" w:rsidRPr="00136880" w:rsidRDefault="008C3367" w:rsidP="00161C35">
            <w:pPr>
              <w:pStyle w:val="NoSpacing"/>
              <w:spacing w:line="360" w:lineRule="auto"/>
              <w:rPr>
                <w:rFonts w:ascii="Arial" w:hAnsi="Arial" w:cs="Arial"/>
              </w:rPr>
            </w:pPr>
          </w:p>
        </w:tc>
      </w:tr>
      <w:tr w:rsidR="008C3367" w:rsidRPr="00161C35" w:rsidTr="00B40CD3">
        <w:tc>
          <w:tcPr>
            <w:tcW w:w="6204" w:type="dxa"/>
            <w:shd w:val="clear" w:color="auto" w:fill="auto"/>
          </w:tcPr>
          <w:p w:rsidR="008C3367" w:rsidRPr="00161C35" w:rsidRDefault="008C3367" w:rsidP="00161C35">
            <w:pPr>
              <w:pStyle w:val="NoSpacing"/>
              <w:spacing w:line="360" w:lineRule="auto"/>
              <w:rPr>
                <w:rFonts w:ascii="Arial" w:hAnsi="Arial" w:cs="Arial"/>
                <w:b/>
              </w:rPr>
            </w:pPr>
          </w:p>
        </w:tc>
        <w:tc>
          <w:tcPr>
            <w:tcW w:w="3011" w:type="dxa"/>
            <w:shd w:val="clear" w:color="auto" w:fill="auto"/>
          </w:tcPr>
          <w:p w:rsidR="008C3367" w:rsidRPr="00161C35" w:rsidRDefault="008C3367" w:rsidP="00161C35">
            <w:pPr>
              <w:pStyle w:val="NoSpacing"/>
              <w:spacing w:line="360" w:lineRule="auto"/>
              <w:rPr>
                <w:rFonts w:ascii="Arial" w:hAnsi="Arial" w:cs="Arial"/>
                <w:b/>
              </w:rPr>
            </w:pPr>
          </w:p>
        </w:tc>
      </w:tr>
      <w:tr w:rsidR="008C3367" w:rsidRPr="00161C35" w:rsidTr="00B40CD3">
        <w:tc>
          <w:tcPr>
            <w:tcW w:w="6204" w:type="dxa"/>
            <w:shd w:val="clear" w:color="auto" w:fill="auto"/>
          </w:tcPr>
          <w:p w:rsidR="008C3367" w:rsidRPr="00161C35" w:rsidRDefault="00136880" w:rsidP="007F76A6">
            <w:pPr>
              <w:pStyle w:val="NoSpacing"/>
              <w:spacing w:line="360" w:lineRule="auto"/>
              <w:rPr>
                <w:rFonts w:ascii="Arial" w:hAnsi="Arial" w:cs="Arial"/>
                <w:b/>
              </w:rPr>
            </w:pPr>
            <w:r>
              <w:rPr>
                <w:rFonts w:ascii="Arial" w:hAnsi="Arial" w:cs="Arial"/>
                <w:b/>
              </w:rPr>
              <w:t>NOTTINGHAM INCORPORATED</w:t>
            </w:r>
          </w:p>
        </w:tc>
        <w:tc>
          <w:tcPr>
            <w:tcW w:w="3011" w:type="dxa"/>
            <w:shd w:val="clear" w:color="auto" w:fill="auto"/>
          </w:tcPr>
          <w:p w:rsidR="00584213" w:rsidRPr="00161C35" w:rsidRDefault="00584213" w:rsidP="00235497">
            <w:pPr>
              <w:pStyle w:val="NoSpacing"/>
              <w:spacing w:line="360" w:lineRule="auto"/>
              <w:jc w:val="right"/>
              <w:rPr>
                <w:rFonts w:ascii="Arial" w:hAnsi="Arial" w:cs="Arial"/>
                <w:b/>
              </w:rPr>
            </w:pPr>
            <w:r w:rsidRPr="00161C35">
              <w:rPr>
                <w:rFonts w:ascii="Arial" w:hAnsi="Arial" w:cs="Arial"/>
                <w:b/>
              </w:rPr>
              <w:t>Respondent</w:t>
            </w:r>
          </w:p>
        </w:tc>
      </w:tr>
    </w:tbl>
    <w:p w:rsidR="00AA0F94" w:rsidRDefault="00AA0F94" w:rsidP="00B40CD3">
      <w:pPr>
        <w:spacing w:line="240" w:lineRule="auto"/>
        <w:ind w:left="-142" w:firstLine="142"/>
        <w:jc w:val="both"/>
        <w:rPr>
          <w:rFonts w:ascii="Arial" w:hAnsi="Arial" w:cs="Arial"/>
          <w:b/>
          <w:sz w:val="24"/>
          <w:szCs w:val="24"/>
        </w:rPr>
      </w:pPr>
    </w:p>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161C35">
      <w:pPr>
        <w:spacing w:line="240" w:lineRule="auto"/>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7F76A6">
        <w:rPr>
          <w:rFonts w:ascii="Arial" w:hAnsi="Arial" w:cs="Arial"/>
          <w:sz w:val="24"/>
          <w:szCs w:val="24"/>
        </w:rPr>
        <w:t>DAMASEB</w:t>
      </w:r>
      <w:r w:rsidR="002212AD" w:rsidRPr="001C25CA">
        <w:rPr>
          <w:rFonts w:ascii="Arial" w:hAnsi="Arial" w:cs="Arial"/>
          <w:sz w:val="24"/>
          <w:szCs w:val="24"/>
        </w:rPr>
        <w:t xml:space="preserve"> </w:t>
      </w:r>
      <w:r w:rsidR="007F76A6">
        <w:rPr>
          <w:rFonts w:ascii="Arial" w:hAnsi="Arial" w:cs="Arial"/>
          <w:sz w:val="24"/>
          <w:szCs w:val="24"/>
        </w:rPr>
        <w:t>DCJ</w:t>
      </w:r>
      <w:r w:rsidRPr="001C25CA">
        <w:rPr>
          <w:rFonts w:ascii="Arial" w:hAnsi="Arial" w:cs="Arial"/>
          <w:sz w:val="24"/>
          <w:szCs w:val="24"/>
        </w:rPr>
        <w:t>, SMUTS JA</w:t>
      </w:r>
      <w:r w:rsidR="009C70E6" w:rsidRPr="001C25CA">
        <w:rPr>
          <w:rFonts w:ascii="Arial" w:hAnsi="Arial" w:cs="Arial"/>
          <w:sz w:val="24"/>
          <w:szCs w:val="24"/>
        </w:rPr>
        <w:t xml:space="preserve"> and </w:t>
      </w:r>
      <w:r w:rsidR="007F76A6">
        <w:rPr>
          <w:rFonts w:ascii="Arial" w:hAnsi="Arial" w:cs="Arial"/>
          <w:sz w:val="24"/>
          <w:szCs w:val="24"/>
        </w:rPr>
        <w:t>FRANK</w:t>
      </w:r>
      <w:r w:rsidR="009C70E6" w:rsidRPr="001C25CA">
        <w:rPr>
          <w:rFonts w:ascii="Arial" w:hAnsi="Arial" w:cs="Arial"/>
          <w:sz w:val="24"/>
          <w:szCs w:val="24"/>
        </w:rPr>
        <w:t xml:space="preserve"> </w:t>
      </w:r>
      <w:r w:rsidR="007F76A6">
        <w:rPr>
          <w:rFonts w:ascii="Arial" w:hAnsi="Arial" w:cs="Arial"/>
          <w:sz w:val="24"/>
          <w:szCs w:val="24"/>
        </w:rPr>
        <w:t>A</w:t>
      </w:r>
      <w:r w:rsidR="009C70E6" w:rsidRPr="001C25CA">
        <w:rPr>
          <w:rFonts w:ascii="Arial" w:hAnsi="Arial" w:cs="Arial"/>
          <w:sz w:val="24"/>
          <w:szCs w:val="24"/>
        </w:rPr>
        <w:t>JA</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136880">
        <w:rPr>
          <w:rFonts w:ascii="Arial" w:hAnsi="Arial" w:cs="Arial"/>
          <w:b/>
          <w:sz w:val="24"/>
          <w:szCs w:val="24"/>
        </w:rPr>
        <w:t>10</w:t>
      </w:r>
      <w:r w:rsidR="00396B62">
        <w:rPr>
          <w:rFonts w:ascii="Arial" w:hAnsi="Arial" w:cs="Arial"/>
          <w:b/>
          <w:sz w:val="24"/>
          <w:szCs w:val="24"/>
        </w:rPr>
        <w:t xml:space="preserve"> Ju</w:t>
      </w:r>
      <w:r w:rsidR="007F76A6">
        <w:rPr>
          <w:rFonts w:ascii="Arial" w:hAnsi="Arial" w:cs="Arial"/>
          <w:b/>
          <w:sz w:val="24"/>
          <w:szCs w:val="24"/>
        </w:rPr>
        <w:t>ly</w:t>
      </w:r>
      <w:r w:rsidR="003C276A">
        <w:rPr>
          <w:rFonts w:ascii="Arial" w:hAnsi="Arial" w:cs="Arial"/>
          <w:b/>
          <w:sz w:val="24"/>
          <w:szCs w:val="24"/>
        </w:rPr>
        <w:t xml:space="preserve"> 20</w:t>
      </w:r>
      <w:r w:rsidR="00CD0281">
        <w:rPr>
          <w:rFonts w:ascii="Arial" w:hAnsi="Arial" w:cs="Arial"/>
          <w:b/>
          <w:sz w:val="24"/>
          <w:szCs w:val="24"/>
        </w:rPr>
        <w:t>20</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041B56">
        <w:rPr>
          <w:rFonts w:ascii="Arial" w:hAnsi="Arial" w:cs="Arial"/>
          <w:b/>
          <w:sz w:val="24"/>
          <w:szCs w:val="24"/>
        </w:rPr>
        <w:tab/>
        <w:t xml:space="preserve">11 </w:t>
      </w:r>
      <w:r w:rsidR="00666249">
        <w:rPr>
          <w:rFonts w:ascii="Arial" w:hAnsi="Arial" w:cs="Arial"/>
          <w:b/>
          <w:sz w:val="24"/>
          <w:szCs w:val="24"/>
        </w:rPr>
        <w:t>August</w:t>
      </w:r>
      <w:r w:rsidR="00CD0281">
        <w:rPr>
          <w:rFonts w:ascii="Arial" w:hAnsi="Arial" w:cs="Arial"/>
          <w:b/>
          <w:sz w:val="24"/>
          <w:szCs w:val="24"/>
        </w:rPr>
        <w:t xml:space="preserve"> 2020</w:t>
      </w:r>
    </w:p>
    <w:p w:rsidR="00A26B21" w:rsidRPr="001C25CA" w:rsidRDefault="00A26B21" w:rsidP="00584213">
      <w:pPr>
        <w:spacing w:line="240" w:lineRule="auto"/>
        <w:ind w:left="-142"/>
        <w:jc w:val="both"/>
        <w:rPr>
          <w:rFonts w:ascii="Arial" w:hAnsi="Arial" w:cs="Arial"/>
          <w:b/>
          <w:sz w:val="24"/>
          <w:szCs w:val="24"/>
          <w:lang w:val="en-GB"/>
        </w:rPr>
      </w:pPr>
    </w:p>
    <w:p w:rsidR="006B0139" w:rsidRDefault="008C3367" w:rsidP="006B0139">
      <w:pPr>
        <w:tabs>
          <w:tab w:val="left" w:pos="994"/>
        </w:tabs>
        <w:spacing w:after="0"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BA2888">
        <w:rPr>
          <w:rFonts w:ascii="Arial" w:hAnsi="Arial" w:cs="Arial"/>
          <w:sz w:val="24"/>
          <w:szCs w:val="24"/>
        </w:rPr>
        <w:t xml:space="preserve"> </w:t>
      </w:r>
      <w:r w:rsidR="006B0139">
        <w:rPr>
          <w:rFonts w:ascii="Arial" w:hAnsi="Arial" w:cs="Arial"/>
          <w:sz w:val="24"/>
          <w:szCs w:val="24"/>
        </w:rPr>
        <w:t xml:space="preserve">The High Court simultaneously ordered the winding-up </w:t>
      </w:r>
      <w:r w:rsidR="008B6477">
        <w:rPr>
          <w:rFonts w:ascii="Arial" w:hAnsi="Arial" w:cs="Arial"/>
          <w:sz w:val="24"/>
          <w:szCs w:val="24"/>
        </w:rPr>
        <w:t xml:space="preserve">of </w:t>
      </w:r>
      <w:r w:rsidR="006B0139">
        <w:rPr>
          <w:rFonts w:ascii="Arial" w:hAnsi="Arial" w:cs="Arial"/>
          <w:sz w:val="24"/>
          <w:szCs w:val="24"/>
        </w:rPr>
        <w:t>Rockview Investment Number Seventy One CC (the appellant) and a related entity VXK Investments Thirty (Pty) Ltd (VXK) – entities registered in Namibia - in accordance with a liquidation application instituted by Nottingham Incorporated (Nottingham). Nottingham was a corporation incorporated in the state of Georgia in the United States of America (USA). VXK and Nottingham entered into a sale of shares agreement. The appellant stood suretyship and</w:t>
      </w:r>
      <w:r w:rsidR="00C416BF">
        <w:rPr>
          <w:rFonts w:ascii="Arial" w:hAnsi="Arial" w:cs="Arial"/>
          <w:sz w:val="24"/>
          <w:szCs w:val="24"/>
        </w:rPr>
        <w:t xml:space="preserve"> was</w:t>
      </w:r>
      <w:r w:rsidR="006B0139">
        <w:rPr>
          <w:rFonts w:ascii="Arial" w:hAnsi="Arial" w:cs="Arial"/>
          <w:sz w:val="24"/>
          <w:szCs w:val="24"/>
        </w:rPr>
        <w:t xml:space="preserve"> joint principal debtor for certain of VXK’s obligations under this sale agreement. Subsequent to the sale agreement, Nottingham was placed under receivership by a court in Georgia, USA. The court appointed receiver (in the name of Nottingham) instituted the arbitration proceedings </w:t>
      </w:r>
      <w:r w:rsidR="00C416BF">
        <w:rPr>
          <w:rFonts w:ascii="Arial" w:hAnsi="Arial" w:cs="Arial"/>
          <w:sz w:val="24"/>
          <w:szCs w:val="24"/>
        </w:rPr>
        <w:lastRenderedPageBreak/>
        <w:t xml:space="preserve">against VXK </w:t>
      </w:r>
      <w:r w:rsidR="006B0139">
        <w:rPr>
          <w:rFonts w:ascii="Arial" w:hAnsi="Arial" w:cs="Arial"/>
          <w:sz w:val="24"/>
          <w:szCs w:val="24"/>
        </w:rPr>
        <w:t xml:space="preserve">(in South Africa), arising from the sale of shares </w:t>
      </w:r>
      <w:r w:rsidR="00C416BF">
        <w:rPr>
          <w:rFonts w:ascii="Arial" w:hAnsi="Arial" w:cs="Arial"/>
          <w:sz w:val="24"/>
          <w:szCs w:val="24"/>
        </w:rPr>
        <w:t>agreement and made the resultant award an order of court in South Africa and later in Namibia. The receiver thereafter successfully instituted liquidation proceedings against the appellant and VXK</w:t>
      </w:r>
      <w:r w:rsidR="006B0139">
        <w:rPr>
          <w:rFonts w:ascii="Arial" w:hAnsi="Arial" w:cs="Arial"/>
          <w:sz w:val="24"/>
          <w:szCs w:val="24"/>
        </w:rPr>
        <w:t>.</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Pr>
          <w:rFonts w:ascii="Arial" w:hAnsi="Arial" w:cs="Arial"/>
          <w:sz w:val="24"/>
          <w:szCs w:val="24"/>
        </w:rPr>
        <w:t xml:space="preserve">The appellant is appealing the High Court’s winding-up order. In the court </w:t>
      </w:r>
      <w:r w:rsidRPr="00A247A4">
        <w:rPr>
          <w:rFonts w:ascii="Arial" w:hAnsi="Arial" w:cs="Arial"/>
          <w:i/>
          <w:sz w:val="24"/>
          <w:szCs w:val="24"/>
        </w:rPr>
        <w:t>a quo</w:t>
      </w:r>
      <w:r>
        <w:rPr>
          <w:rFonts w:ascii="Arial" w:hAnsi="Arial" w:cs="Arial"/>
          <w:sz w:val="24"/>
          <w:szCs w:val="24"/>
        </w:rPr>
        <w:t>, appellant raised a number of preliminary and technical points and a defence on the merits.</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Pr>
          <w:rFonts w:ascii="Arial" w:hAnsi="Arial" w:cs="Arial"/>
          <w:sz w:val="24"/>
          <w:szCs w:val="24"/>
        </w:rPr>
        <w:t>On appeal however, the issues narrowed to whether the respondent had standing (</w:t>
      </w:r>
      <w:r w:rsidRPr="00A96066">
        <w:rPr>
          <w:rFonts w:ascii="Arial" w:hAnsi="Arial" w:cs="Arial"/>
          <w:i/>
          <w:sz w:val="24"/>
          <w:szCs w:val="24"/>
        </w:rPr>
        <w:t>locus standi in judicio</w:t>
      </w:r>
      <w:r>
        <w:rPr>
          <w:rFonts w:ascii="Arial" w:hAnsi="Arial" w:cs="Arial"/>
          <w:sz w:val="24"/>
          <w:szCs w:val="24"/>
        </w:rPr>
        <w:t xml:space="preserve">) to bring the application and whether the defence raised on the merits meets the threshold of establishing that the respondent’s claim is </w:t>
      </w:r>
      <w:r w:rsidRPr="00A96066">
        <w:rPr>
          <w:rFonts w:ascii="Arial" w:hAnsi="Arial" w:cs="Arial"/>
          <w:i/>
          <w:sz w:val="24"/>
          <w:szCs w:val="24"/>
        </w:rPr>
        <w:t>bona fide</w:t>
      </w:r>
      <w:r>
        <w:rPr>
          <w:rFonts w:ascii="Arial" w:hAnsi="Arial" w:cs="Arial"/>
          <w:sz w:val="24"/>
          <w:szCs w:val="24"/>
        </w:rPr>
        <w:t xml:space="preserve"> disputed and on reasonable grounds.</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Pr>
          <w:rFonts w:ascii="Arial" w:hAnsi="Arial" w:cs="Arial"/>
          <w:sz w:val="24"/>
          <w:szCs w:val="24"/>
        </w:rPr>
        <w:t xml:space="preserve">Appellant argued that the founding affidavit and court order did not establish standing for the receiver to bring the winding-up proceedings on behalf of Nottingham. It further argued that for the receiver to bring these proceedings, recognition was a prerequisite – reference was made to the case of </w:t>
      </w:r>
      <w:r>
        <w:rPr>
          <w:rFonts w:ascii="Arial" w:hAnsi="Arial" w:cs="Arial"/>
          <w:i/>
          <w:sz w:val="24"/>
          <w:szCs w:val="24"/>
        </w:rPr>
        <w:t>Miller &amp; others NNO v Prosperity Africa Holdings (Pty) Ltd</w:t>
      </w:r>
      <w:r>
        <w:rPr>
          <w:rFonts w:ascii="Arial" w:hAnsi="Arial" w:cs="Arial"/>
          <w:sz w:val="24"/>
          <w:szCs w:val="24"/>
        </w:rPr>
        <w:t xml:space="preserve"> 2019 (4) NR 905 (SC). In the absence of recognition, appellant argued that it was not competent for the receiver to institute proceedings on behalf of the respondent. On the issue of the defence raised, appellant argued that</w:t>
      </w:r>
      <w:r w:rsidR="00C416BF">
        <w:rPr>
          <w:rFonts w:ascii="Arial" w:hAnsi="Arial" w:cs="Arial"/>
          <w:sz w:val="24"/>
          <w:szCs w:val="24"/>
        </w:rPr>
        <w:t xml:space="preserve"> </w:t>
      </w:r>
      <w:r w:rsidR="00666249">
        <w:rPr>
          <w:rFonts w:ascii="Arial" w:hAnsi="Arial" w:cs="Arial"/>
          <w:sz w:val="24"/>
          <w:szCs w:val="24"/>
        </w:rPr>
        <w:t>its</w:t>
      </w:r>
      <w:r w:rsidR="00C416BF">
        <w:rPr>
          <w:rFonts w:ascii="Arial" w:hAnsi="Arial" w:cs="Arial"/>
          <w:sz w:val="24"/>
          <w:szCs w:val="24"/>
        </w:rPr>
        <w:t xml:space="preserve"> suretyship was only in respect of the obligation to deliver granite to the value of US$2 500</w:t>
      </w:r>
      <w:r w:rsidR="004178DB">
        <w:rPr>
          <w:rFonts w:ascii="Arial" w:hAnsi="Arial" w:cs="Arial"/>
          <w:sz w:val="24"/>
          <w:szCs w:val="24"/>
        </w:rPr>
        <w:t> </w:t>
      </w:r>
      <w:r w:rsidR="00C416BF">
        <w:rPr>
          <w:rFonts w:ascii="Arial" w:hAnsi="Arial" w:cs="Arial"/>
          <w:sz w:val="24"/>
          <w:szCs w:val="24"/>
        </w:rPr>
        <w:t>000</w:t>
      </w:r>
      <w:r w:rsidR="004178DB">
        <w:rPr>
          <w:rFonts w:ascii="Arial" w:hAnsi="Arial" w:cs="Arial"/>
          <w:sz w:val="24"/>
          <w:szCs w:val="24"/>
        </w:rPr>
        <w:t xml:space="preserve"> </w:t>
      </w:r>
      <w:r w:rsidR="00C416BF">
        <w:rPr>
          <w:rFonts w:ascii="Arial" w:hAnsi="Arial" w:cs="Arial"/>
          <w:sz w:val="24"/>
          <w:szCs w:val="24"/>
        </w:rPr>
        <w:t>(as a portion of the purchase price) and</w:t>
      </w:r>
      <w:r>
        <w:rPr>
          <w:rFonts w:ascii="Arial" w:hAnsi="Arial" w:cs="Arial"/>
          <w:sz w:val="24"/>
          <w:szCs w:val="24"/>
        </w:rPr>
        <w:t xml:space="preserve"> the respondent failed to place orders or to receive granite from VXK as per clause 4.3 of the sale</w:t>
      </w:r>
      <w:r w:rsidR="00C416BF">
        <w:rPr>
          <w:rFonts w:ascii="Arial" w:hAnsi="Arial" w:cs="Arial"/>
          <w:sz w:val="24"/>
          <w:szCs w:val="24"/>
        </w:rPr>
        <w:t xml:space="preserve"> of shares</w:t>
      </w:r>
      <w:r>
        <w:rPr>
          <w:rFonts w:ascii="Arial" w:hAnsi="Arial" w:cs="Arial"/>
          <w:sz w:val="24"/>
          <w:szCs w:val="24"/>
        </w:rPr>
        <w:t xml:space="preserve"> agreement (the defence of frustration). Appellant submitted that Nottingham was in breach of its obligation to VXK and frustrated VXK’s ability to deliver granite under clause 4.3.</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Pr>
          <w:rFonts w:ascii="Arial" w:hAnsi="Arial" w:cs="Arial"/>
          <w:sz w:val="24"/>
          <w:szCs w:val="24"/>
        </w:rPr>
        <w:t xml:space="preserve">Respondent argue that the court order appointing the receiver provided authority for the bringing of the application. It argued that the decision in </w:t>
      </w:r>
      <w:r w:rsidRPr="009043B8">
        <w:rPr>
          <w:rFonts w:ascii="Arial" w:hAnsi="Arial" w:cs="Arial"/>
          <w:i/>
          <w:sz w:val="24"/>
          <w:szCs w:val="24"/>
        </w:rPr>
        <w:t>Miller</w:t>
      </w:r>
      <w:r>
        <w:rPr>
          <w:rFonts w:ascii="Arial" w:hAnsi="Arial" w:cs="Arial"/>
          <w:sz w:val="24"/>
          <w:szCs w:val="24"/>
        </w:rPr>
        <w:t xml:space="preserve"> is distinguishable on the facts (in </w:t>
      </w:r>
      <w:r w:rsidRPr="00E17660">
        <w:rPr>
          <w:rFonts w:ascii="Arial" w:hAnsi="Arial" w:cs="Arial"/>
          <w:i/>
          <w:sz w:val="24"/>
          <w:szCs w:val="24"/>
        </w:rPr>
        <w:t>Miller</w:t>
      </w:r>
      <w:r>
        <w:rPr>
          <w:rFonts w:ascii="Arial" w:hAnsi="Arial" w:cs="Arial"/>
          <w:sz w:val="24"/>
          <w:szCs w:val="24"/>
        </w:rPr>
        <w:t xml:space="preserve">, the company’s capacity and that of its directors was curtailed by the liquidation – only the liquidators could act on behalf of the company). Respondent submitted that the appointment of a receiver did not alter Nottingham’s juristic status. It was thus Nottingham and not the receiver who instituted the </w:t>
      </w:r>
      <w:r>
        <w:rPr>
          <w:rFonts w:ascii="Arial" w:hAnsi="Arial" w:cs="Arial"/>
          <w:sz w:val="24"/>
          <w:szCs w:val="24"/>
        </w:rPr>
        <w:lastRenderedPageBreak/>
        <w:t xml:space="preserve">arbitration proceedings and that the award was owing to Nottingham and not to the receiver. It further argued that it was Nottingham who approached the court to liquidate the appellant and not the receiver who would have brought the application in his own name </w:t>
      </w:r>
      <w:r>
        <w:rPr>
          <w:rFonts w:ascii="Arial" w:hAnsi="Arial" w:cs="Arial"/>
          <w:i/>
          <w:sz w:val="24"/>
          <w:szCs w:val="24"/>
        </w:rPr>
        <w:t>nomine officio</w:t>
      </w:r>
      <w:r>
        <w:rPr>
          <w:rFonts w:ascii="Arial" w:hAnsi="Arial" w:cs="Arial"/>
          <w:sz w:val="24"/>
          <w:szCs w:val="24"/>
        </w:rPr>
        <w:t>. The respondent further argued that the defence of frustration had been rejected by the arbitrator in the proceedings against VXK (the appellant was however not party to those proceedings).</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211C63">
        <w:rPr>
          <w:rFonts w:ascii="Arial" w:hAnsi="Arial" w:cs="Arial"/>
          <w:i/>
          <w:sz w:val="24"/>
          <w:szCs w:val="24"/>
        </w:rPr>
        <w:t>Held that</w:t>
      </w:r>
      <w:r>
        <w:rPr>
          <w:rFonts w:ascii="Arial" w:hAnsi="Arial" w:cs="Arial"/>
          <w:sz w:val="24"/>
          <w:szCs w:val="24"/>
        </w:rPr>
        <w:t xml:space="preserve">, the receiver was appointed to manage the affairs of Nottingham, and acting in that capacity, the receiver launched these proceedings. As stated in </w:t>
      </w:r>
      <w:r>
        <w:rPr>
          <w:rFonts w:ascii="Arial" w:hAnsi="Arial" w:cs="Arial"/>
          <w:i/>
          <w:sz w:val="24"/>
          <w:szCs w:val="24"/>
        </w:rPr>
        <w:t>Miller</w:t>
      </w:r>
      <w:r>
        <w:rPr>
          <w:rFonts w:ascii="Arial" w:hAnsi="Arial" w:cs="Arial"/>
          <w:sz w:val="24"/>
          <w:szCs w:val="24"/>
        </w:rPr>
        <w:t>, once a company is liquidated, its capacity to act is curtailed and its directors and management can no longer represent it, with the consequence that the liquidators (or receivers) are required to do so subject to the powers conferred upon them (by court order and applicable legislation).</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211C63">
        <w:rPr>
          <w:rFonts w:ascii="Arial" w:hAnsi="Arial" w:cs="Arial"/>
          <w:i/>
          <w:sz w:val="24"/>
          <w:szCs w:val="24"/>
        </w:rPr>
        <w:t>Held that</w:t>
      </w:r>
      <w:r>
        <w:rPr>
          <w:rFonts w:ascii="Arial" w:hAnsi="Arial" w:cs="Arial"/>
          <w:sz w:val="24"/>
          <w:szCs w:val="24"/>
        </w:rPr>
        <w:t xml:space="preserve">, the receiver brought the winding-up application on behalf of Nottingham. Whether or not the application was brought in the name of Nottingham or in the name of the receiver </w:t>
      </w:r>
      <w:r w:rsidRPr="00B46062">
        <w:rPr>
          <w:rFonts w:ascii="Arial" w:hAnsi="Arial" w:cs="Arial"/>
          <w:i/>
          <w:sz w:val="24"/>
          <w:szCs w:val="24"/>
        </w:rPr>
        <w:t>nomine officio</w:t>
      </w:r>
      <w:r>
        <w:rPr>
          <w:rFonts w:ascii="Arial" w:hAnsi="Arial" w:cs="Arial"/>
          <w:sz w:val="24"/>
          <w:szCs w:val="24"/>
        </w:rPr>
        <w:t>, this court would have regard to substance and require that the receiver first obtain recognition by the High Court in order to do so. This was not done. In the absence of recognition, the receiver does not have standing to bring these proceedings.</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214BF4">
        <w:rPr>
          <w:rFonts w:ascii="Arial" w:hAnsi="Arial" w:cs="Arial"/>
          <w:i/>
          <w:sz w:val="24"/>
          <w:szCs w:val="24"/>
        </w:rPr>
        <w:t>Held that</w:t>
      </w:r>
      <w:r>
        <w:rPr>
          <w:rFonts w:ascii="Arial" w:hAnsi="Arial" w:cs="Arial"/>
          <w:sz w:val="24"/>
          <w:szCs w:val="24"/>
        </w:rPr>
        <w:t xml:space="preserve">, the institution of winding-up proceedings against the appellant on behalf of Nottingham is </w:t>
      </w:r>
      <w:r w:rsidR="00C416BF">
        <w:rPr>
          <w:rFonts w:ascii="Arial" w:hAnsi="Arial" w:cs="Arial"/>
          <w:sz w:val="24"/>
          <w:szCs w:val="24"/>
        </w:rPr>
        <w:t xml:space="preserve">also </w:t>
      </w:r>
      <w:r>
        <w:rPr>
          <w:rFonts w:ascii="Arial" w:hAnsi="Arial" w:cs="Arial"/>
          <w:sz w:val="24"/>
          <w:szCs w:val="24"/>
        </w:rPr>
        <w:t>not authorised by the court order. The receiver relies upon the court order for the authority to bring the proceedings and in the absence of it being supplemented by an appropriate power, these proceedings cannot be said to be authorised by the court order.</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8D3546">
        <w:rPr>
          <w:rFonts w:ascii="Arial" w:hAnsi="Arial" w:cs="Arial"/>
          <w:i/>
          <w:sz w:val="24"/>
          <w:szCs w:val="24"/>
        </w:rPr>
        <w:t>Held</w:t>
      </w:r>
      <w:r>
        <w:rPr>
          <w:rFonts w:ascii="Arial" w:hAnsi="Arial" w:cs="Arial"/>
          <w:sz w:val="24"/>
          <w:szCs w:val="24"/>
        </w:rPr>
        <w:t>, on</w:t>
      </w:r>
      <w:r w:rsidRPr="008D3546">
        <w:rPr>
          <w:rFonts w:ascii="Arial" w:hAnsi="Arial" w:cs="Arial"/>
          <w:sz w:val="24"/>
          <w:szCs w:val="24"/>
        </w:rPr>
        <w:t xml:space="preserve"> the issue of </w:t>
      </w:r>
      <w:r w:rsidRPr="008D3546">
        <w:rPr>
          <w:rFonts w:ascii="Arial" w:hAnsi="Arial" w:cs="Arial"/>
          <w:i/>
          <w:sz w:val="24"/>
          <w:szCs w:val="24"/>
        </w:rPr>
        <w:t>locus standi</w:t>
      </w:r>
      <w:r w:rsidRPr="008D3546">
        <w:rPr>
          <w:rFonts w:ascii="Arial" w:hAnsi="Arial" w:cs="Arial"/>
          <w:sz w:val="24"/>
          <w:szCs w:val="24"/>
        </w:rPr>
        <w:t>, this court finds that,</w:t>
      </w:r>
      <w:r>
        <w:rPr>
          <w:rFonts w:ascii="Arial" w:hAnsi="Arial" w:cs="Arial"/>
          <w:sz w:val="24"/>
          <w:szCs w:val="24"/>
        </w:rPr>
        <w:t xml:space="preserve"> the respondent has not established </w:t>
      </w:r>
      <w:r w:rsidRPr="00B46062">
        <w:rPr>
          <w:rFonts w:ascii="Arial" w:hAnsi="Arial" w:cs="Arial"/>
          <w:i/>
          <w:sz w:val="24"/>
          <w:szCs w:val="24"/>
        </w:rPr>
        <w:t>locus standi</w:t>
      </w:r>
      <w:r>
        <w:rPr>
          <w:rFonts w:ascii="Arial" w:hAnsi="Arial" w:cs="Arial"/>
          <w:sz w:val="24"/>
          <w:szCs w:val="24"/>
        </w:rPr>
        <w:t xml:space="preserve"> </w:t>
      </w:r>
      <w:r w:rsidRPr="00C04C67">
        <w:rPr>
          <w:rFonts w:ascii="Arial" w:hAnsi="Arial" w:cs="Arial"/>
          <w:i/>
          <w:sz w:val="24"/>
          <w:szCs w:val="24"/>
        </w:rPr>
        <w:t>in</w:t>
      </w:r>
      <w:r>
        <w:rPr>
          <w:rFonts w:ascii="Arial" w:hAnsi="Arial" w:cs="Arial"/>
          <w:sz w:val="24"/>
          <w:szCs w:val="24"/>
        </w:rPr>
        <w:t xml:space="preserve"> </w:t>
      </w:r>
      <w:r w:rsidRPr="00B46062">
        <w:rPr>
          <w:rFonts w:ascii="Arial" w:hAnsi="Arial" w:cs="Arial"/>
          <w:i/>
          <w:sz w:val="24"/>
          <w:szCs w:val="24"/>
        </w:rPr>
        <w:t>judicio</w:t>
      </w:r>
      <w:r>
        <w:rPr>
          <w:rFonts w:ascii="Arial" w:hAnsi="Arial" w:cs="Arial"/>
          <w:sz w:val="24"/>
          <w:szCs w:val="24"/>
        </w:rPr>
        <w:t xml:space="preserve"> to bring the winding-up application and that the application should have been dismissed for this reason.</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AE0F64">
        <w:rPr>
          <w:rFonts w:ascii="Arial" w:hAnsi="Arial" w:cs="Arial"/>
          <w:i/>
          <w:sz w:val="24"/>
          <w:szCs w:val="24"/>
        </w:rPr>
        <w:t>It is held that</w:t>
      </w:r>
      <w:r>
        <w:rPr>
          <w:rFonts w:ascii="Arial" w:hAnsi="Arial" w:cs="Arial"/>
          <w:sz w:val="24"/>
          <w:szCs w:val="24"/>
        </w:rPr>
        <w:t>, the fundamental principle developed from the common law that a person is not permitted ‘to improve his condition by his own wrongdoing’.</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AE0F64">
        <w:rPr>
          <w:rFonts w:ascii="Arial" w:hAnsi="Arial" w:cs="Arial"/>
          <w:i/>
          <w:sz w:val="24"/>
          <w:szCs w:val="24"/>
        </w:rPr>
        <w:lastRenderedPageBreak/>
        <w:t>Held that</w:t>
      </w:r>
      <w:r>
        <w:rPr>
          <w:rFonts w:ascii="Arial" w:hAnsi="Arial" w:cs="Arial"/>
          <w:sz w:val="24"/>
          <w:szCs w:val="24"/>
        </w:rPr>
        <w:t>, this defence was raised by VXK in the arbitration proceedings and dismissed by the arbitrator.</w:t>
      </w:r>
    </w:p>
    <w:p w:rsidR="007A14D2" w:rsidRDefault="007A14D2"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AE0F64">
        <w:rPr>
          <w:rFonts w:ascii="Arial" w:hAnsi="Arial" w:cs="Arial"/>
          <w:i/>
          <w:sz w:val="24"/>
          <w:szCs w:val="24"/>
        </w:rPr>
        <w:t>Held that</w:t>
      </w:r>
      <w:r>
        <w:rPr>
          <w:rFonts w:ascii="Arial" w:hAnsi="Arial" w:cs="Arial"/>
          <w:sz w:val="24"/>
          <w:szCs w:val="24"/>
        </w:rPr>
        <w:t>, the appellant was not party to those arbitration proceedings and the arbitrator’s findings between Nottingham and VXK are not binding upon the appellant and are irrelevant for a consideration of the defence raised in respect of the appellant’s indebtedness to the respondent’s claim.</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sidRPr="00AE0F64">
        <w:rPr>
          <w:rFonts w:ascii="Arial" w:hAnsi="Arial" w:cs="Arial"/>
          <w:i/>
          <w:sz w:val="24"/>
          <w:szCs w:val="24"/>
        </w:rPr>
        <w:t>That</w:t>
      </w:r>
      <w:r>
        <w:rPr>
          <w:rFonts w:ascii="Arial" w:hAnsi="Arial" w:cs="Arial"/>
          <w:sz w:val="24"/>
          <w:szCs w:val="24"/>
        </w:rPr>
        <w:t xml:space="preserve">, there are thus prospects that the appellant would </w:t>
      </w:r>
      <w:r w:rsidR="00C416BF">
        <w:rPr>
          <w:rFonts w:ascii="Arial" w:hAnsi="Arial" w:cs="Arial"/>
          <w:sz w:val="24"/>
          <w:szCs w:val="24"/>
        </w:rPr>
        <w:t xml:space="preserve">in any event </w:t>
      </w:r>
      <w:r>
        <w:rPr>
          <w:rFonts w:ascii="Arial" w:hAnsi="Arial" w:cs="Arial"/>
          <w:sz w:val="24"/>
          <w:szCs w:val="24"/>
        </w:rPr>
        <w:t xml:space="preserve">meet the low threshold of establishing a </w:t>
      </w:r>
      <w:r>
        <w:rPr>
          <w:rFonts w:ascii="Arial" w:hAnsi="Arial" w:cs="Arial"/>
          <w:i/>
          <w:sz w:val="24"/>
          <w:szCs w:val="24"/>
        </w:rPr>
        <w:t>bona fide</w:t>
      </w:r>
      <w:r>
        <w:rPr>
          <w:rFonts w:ascii="Arial" w:hAnsi="Arial" w:cs="Arial"/>
          <w:sz w:val="24"/>
          <w:szCs w:val="24"/>
        </w:rPr>
        <w:t xml:space="preserve"> dispute of indebtedness on reasonable grounds.</w:t>
      </w:r>
    </w:p>
    <w:p w:rsidR="006B0139" w:rsidRDefault="006B0139" w:rsidP="006B0139">
      <w:pPr>
        <w:tabs>
          <w:tab w:val="left" w:pos="994"/>
        </w:tabs>
        <w:spacing w:after="0" w:line="360" w:lineRule="auto"/>
        <w:jc w:val="both"/>
        <w:rPr>
          <w:rFonts w:ascii="Arial" w:hAnsi="Arial" w:cs="Arial"/>
          <w:sz w:val="24"/>
          <w:szCs w:val="24"/>
        </w:rPr>
      </w:pPr>
    </w:p>
    <w:p w:rsidR="006B0139" w:rsidRDefault="006B0139" w:rsidP="006B0139">
      <w:pPr>
        <w:tabs>
          <w:tab w:val="left" w:pos="994"/>
        </w:tabs>
        <w:spacing w:after="0" w:line="360" w:lineRule="auto"/>
        <w:jc w:val="both"/>
        <w:rPr>
          <w:rFonts w:ascii="Arial" w:hAnsi="Arial" w:cs="Arial"/>
          <w:sz w:val="24"/>
          <w:szCs w:val="24"/>
        </w:rPr>
      </w:pPr>
      <w:r>
        <w:rPr>
          <w:rFonts w:ascii="Arial" w:hAnsi="Arial" w:cs="Arial"/>
          <w:sz w:val="24"/>
          <w:szCs w:val="24"/>
        </w:rPr>
        <w:t>The appeal succeeds with costs.</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7F76A6">
        <w:rPr>
          <w:rFonts w:ascii="Arial" w:hAnsi="Arial" w:cs="Arial"/>
          <w:sz w:val="24"/>
          <w:szCs w:val="24"/>
        </w:rPr>
        <w:t>DAMASEB DCJ</w:t>
      </w:r>
      <w:r w:rsidR="00CD0281" w:rsidRPr="001C25CA">
        <w:rPr>
          <w:rFonts w:ascii="Arial" w:hAnsi="Arial" w:cs="Arial"/>
          <w:sz w:val="24"/>
          <w:szCs w:val="24"/>
        </w:rPr>
        <w:t xml:space="preserve"> and </w:t>
      </w:r>
      <w:r w:rsidR="007F76A6">
        <w:rPr>
          <w:rFonts w:ascii="Arial" w:hAnsi="Arial" w:cs="Arial"/>
          <w:sz w:val="24"/>
          <w:szCs w:val="24"/>
        </w:rPr>
        <w:t>FRANK</w:t>
      </w:r>
      <w:r w:rsidR="00CD0281">
        <w:rPr>
          <w:rFonts w:ascii="Arial" w:hAnsi="Arial" w:cs="Arial"/>
          <w:sz w:val="24"/>
          <w:szCs w:val="24"/>
        </w:rPr>
        <w:t xml:space="preserve"> </w:t>
      </w:r>
      <w:r w:rsidR="007F76A6">
        <w:rPr>
          <w:rFonts w:ascii="Arial" w:hAnsi="Arial" w:cs="Arial"/>
          <w:sz w:val="24"/>
          <w:szCs w:val="24"/>
        </w:rPr>
        <w:t>A</w:t>
      </w:r>
      <w:r w:rsidR="00CD0281" w:rsidRPr="001C25CA">
        <w:rPr>
          <w:rFonts w:ascii="Arial" w:hAnsi="Arial" w:cs="Arial"/>
          <w:sz w:val="24"/>
          <w:szCs w:val="24"/>
        </w:rPr>
        <w:t>JA concurring</w:t>
      </w:r>
      <w:r w:rsidR="008C3367" w:rsidRPr="001C25CA">
        <w:rPr>
          <w:rFonts w:ascii="Arial" w:hAnsi="Arial" w:cs="Arial"/>
          <w:sz w:val="24"/>
          <w:szCs w:val="24"/>
        </w:rPr>
        <w:t>):</w:t>
      </w:r>
    </w:p>
    <w:p w:rsidR="00136880" w:rsidRDefault="00081A0D" w:rsidP="0013688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w:t>
      </w:r>
      <w:r w:rsidR="007F76A6">
        <w:rPr>
          <w:rFonts w:ascii="Arial" w:hAnsi="Arial" w:cs="Arial"/>
          <w:sz w:val="24"/>
          <w:szCs w:val="24"/>
        </w:rPr>
        <w:t>his appeal</w:t>
      </w:r>
      <w:r w:rsidR="00A23540">
        <w:rPr>
          <w:rFonts w:ascii="Arial" w:hAnsi="Arial" w:cs="Arial"/>
          <w:sz w:val="24"/>
          <w:szCs w:val="24"/>
        </w:rPr>
        <w:t xml:space="preserve">, the appellant challenges the order of the High Court winding it up. A number of </w:t>
      </w:r>
      <w:r w:rsidR="003F2001">
        <w:rPr>
          <w:rFonts w:ascii="Arial" w:hAnsi="Arial" w:cs="Arial"/>
          <w:sz w:val="24"/>
          <w:szCs w:val="24"/>
        </w:rPr>
        <w:t xml:space="preserve">preliminary and </w:t>
      </w:r>
      <w:r w:rsidR="00A23540">
        <w:rPr>
          <w:rFonts w:ascii="Arial" w:hAnsi="Arial" w:cs="Arial"/>
          <w:sz w:val="24"/>
          <w:szCs w:val="24"/>
        </w:rPr>
        <w:t xml:space="preserve">technical points and a defence on the merits were raised in the High Court. The issues have narrowed </w:t>
      </w:r>
      <w:r w:rsidR="003F2001">
        <w:rPr>
          <w:rFonts w:ascii="Arial" w:hAnsi="Arial" w:cs="Arial"/>
          <w:sz w:val="24"/>
          <w:szCs w:val="24"/>
        </w:rPr>
        <w:t>o</w:t>
      </w:r>
      <w:r w:rsidR="00A23540">
        <w:rPr>
          <w:rFonts w:ascii="Arial" w:hAnsi="Arial" w:cs="Arial"/>
          <w:sz w:val="24"/>
          <w:szCs w:val="24"/>
        </w:rPr>
        <w:t>n appeal as to whether the respondent had standing (</w:t>
      </w:r>
      <w:r w:rsidR="00A23540" w:rsidRPr="00A23540">
        <w:rPr>
          <w:rFonts w:ascii="Arial" w:hAnsi="Arial" w:cs="Arial"/>
          <w:i/>
          <w:sz w:val="24"/>
          <w:szCs w:val="24"/>
        </w:rPr>
        <w:t>locus standi in judicio</w:t>
      </w:r>
      <w:r w:rsidR="00A23540">
        <w:rPr>
          <w:rFonts w:ascii="Arial" w:hAnsi="Arial" w:cs="Arial"/>
          <w:sz w:val="24"/>
          <w:szCs w:val="24"/>
        </w:rPr>
        <w:t xml:space="preserve">) to bring </w:t>
      </w:r>
      <w:r w:rsidR="00786DD2">
        <w:rPr>
          <w:rFonts w:ascii="Arial" w:hAnsi="Arial" w:cs="Arial"/>
          <w:sz w:val="24"/>
          <w:szCs w:val="24"/>
        </w:rPr>
        <w:t xml:space="preserve">the application and whether the defence raised on the merits meets the threshold of establishing that the respondent’s claim is </w:t>
      </w:r>
      <w:r w:rsidR="00786DD2">
        <w:rPr>
          <w:rFonts w:ascii="Arial" w:hAnsi="Arial" w:cs="Arial"/>
          <w:i/>
          <w:sz w:val="24"/>
          <w:szCs w:val="24"/>
        </w:rPr>
        <w:t xml:space="preserve">bona fide </w:t>
      </w:r>
      <w:r w:rsidR="003F2001">
        <w:rPr>
          <w:rFonts w:ascii="Arial" w:hAnsi="Arial" w:cs="Arial"/>
          <w:sz w:val="24"/>
          <w:szCs w:val="24"/>
        </w:rPr>
        <w:t xml:space="preserve">disputed </w:t>
      </w:r>
      <w:r w:rsidR="00786DD2">
        <w:rPr>
          <w:rFonts w:ascii="Arial" w:hAnsi="Arial" w:cs="Arial"/>
          <w:sz w:val="24"/>
          <w:szCs w:val="24"/>
        </w:rPr>
        <w:t>and on reasonable grounds.</w:t>
      </w:r>
    </w:p>
    <w:p w:rsidR="00786DD2" w:rsidRDefault="00786DD2" w:rsidP="00786DD2">
      <w:pPr>
        <w:pStyle w:val="NoSpacing"/>
        <w:spacing w:line="480" w:lineRule="auto"/>
        <w:jc w:val="both"/>
        <w:rPr>
          <w:rFonts w:ascii="Arial" w:hAnsi="Arial" w:cs="Arial"/>
          <w:sz w:val="24"/>
          <w:szCs w:val="24"/>
        </w:rPr>
      </w:pPr>
    </w:p>
    <w:p w:rsidR="00F95BDB" w:rsidRPr="00F95BDB" w:rsidRDefault="00F95BDB" w:rsidP="00786DD2">
      <w:pPr>
        <w:pStyle w:val="NoSpacing"/>
        <w:spacing w:line="480" w:lineRule="auto"/>
        <w:jc w:val="both"/>
        <w:rPr>
          <w:rFonts w:ascii="Arial" w:hAnsi="Arial" w:cs="Arial"/>
          <w:sz w:val="24"/>
          <w:szCs w:val="24"/>
          <w:u w:val="single"/>
        </w:rPr>
      </w:pPr>
      <w:r>
        <w:rPr>
          <w:rFonts w:ascii="Arial" w:hAnsi="Arial" w:cs="Arial"/>
          <w:sz w:val="24"/>
          <w:szCs w:val="24"/>
          <w:u w:val="single"/>
        </w:rPr>
        <w:t>Factual background</w:t>
      </w:r>
    </w:p>
    <w:p w:rsidR="00034839" w:rsidRDefault="00786DD2" w:rsidP="0003483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simultaneously </w:t>
      </w:r>
      <w:r w:rsidR="0030014D">
        <w:rPr>
          <w:rFonts w:ascii="Arial" w:hAnsi="Arial" w:cs="Arial"/>
          <w:sz w:val="24"/>
          <w:szCs w:val="24"/>
        </w:rPr>
        <w:t>ordered the winding</w:t>
      </w:r>
      <w:r w:rsidR="000C48E5">
        <w:rPr>
          <w:rFonts w:ascii="Arial" w:hAnsi="Arial" w:cs="Arial"/>
          <w:sz w:val="24"/>
          <w:szCs w:val="24"/>
        </w:rPr>
        <w:t>-</w:t>
      </w:r>
      <w:r w:rsidR="0030014D">
        <w:rPr>
          <w:rFonts w:ascii="Arial" w:hAnsi="Arial" w:cs="Arial"/>
          <w:sz w:val="24"/>
          <w:szCs w:val="24"/>
        </w:rPr>
        <w:t>up of the appellant</w:t>
      </w:r>
      <w:r w:rsidR="005D14EF">
        <w:rPr>
          <w:rFonts w:ascii="Arial" w:hAnsi="Arial" w:cs="Arial"/>
          <w:sz w:val="24"/>
          <w:szCs w:val="24"/>
        </w:rPr>
        <w:t xml:space="preserve"> and</w:t>
      </w:r>
      <w:r w:rsidR="0030014D">
        <w:rPr>
          <w:rFonts w:ascii="Arial" w:hAnsi="Arial" w:cs="Arial"/>
          <w:sz w:val="24"/>
          <w:szCs w:val="24"/>
        </w:rPr>
        <w:t xml:space="preserve"> </w:t>
      </w:r>
      <w:r w:rsidR="003F2001">
        <w:rPr>
          <w:rFonts w:ascii="Arial" w:hAnsi="Arial" w:cs="Arial"/>
          <w:sz w:val="24"/>
          <w:szCs w:val="24"/>
        </w:rPr>
        <w:t>a related entity,</w:t>
      </w:r>
      <w:r w:rsidR="003F2001" w:rsidRPr="003F2001">
        <w:rPr>
          <w:rFonts w:ascii="Arial" w:hAnsi="Arial" w:cs="Arial"/>
          <w:sz w:val="24"/>
          <w:szCs w:val="24"/>
        </w:rPr>
        <w:t xml:space="preserve"> </w:t>
      </w:r>
      <w:r w:rsidR="0030014D">
        <w:rPr>
          <w:rFonts w:ascii="Arial" w:hAnsi="Arial" w:cs="Arial"/>
          <w:sz w:val="24"/>
          <w:szCs w:val="24"/>
        </w:rPr>
        <w:t xml:space="preserve">VXK Investments Thirty (Pty) Ltd (VXK) on 28 August 2018. Those applications were preceded by arbitration proceedings in South Africa in which the </w:t>
      </w:r>
      <w:r w:rsidR="0030014D">
        <w:rPr>
          <w:rFonts w:ascii="Arial" w:hAnsi="Arial" w:cs="Arial"/>
          <w:sz w:val="24"/>
          <w:szCs w:val="24"/>
        </w:rPr>
        <w:lastRenderedPageBreak/>
        <w:t>respondent obtained an award against VXK in the sum</w:t>
      </w:r>
      <w:r w:rsidR="00034839">
        <w:rPr>
          <w:rFonts w:ascii="Arial" w:hAnsi="Arial" w:cs="Arial"/>
          <w:sz w:val="24"/>
          <w:szCs w:val="24"/>
        </w:rPr>
        <w:t>s</w:t>
      </w:r>
      <w:r w:rsidR="0030014D">
        <w:rPr>
          <w:rFonts w:ascii="Arial" w:hAnsi="Arial" w:cs="Arial"/>
          <w:sz w:val="24"/>
          <w:szCs w:val="24"/>
        </w:rPr>
        <w:t xml:space="preserve"> of </w:t>
      </w:r>
      <w:r w:rsidR="0080270E">
        <w:rPr>
          <w:rFonts w:ascii="Arial" w:hAnsi="Arial" w:cs="Arial"/>
          <w:sz w:val="24"/>
          <w:szCs w:val="24"/>
        </w:rPr>
        <w:t xml:space="preserve">US$437 500 and         US$2 434 </w:t>
      </w:r>
      <w:r w:rsidR="00034839">
        <w:rPr>
          <w:rFonts w:ascii="Arial" w:hAnsi="Arial" w:cs="Arial"/>
          <w:sz w:val="24"/>
          <w:szCs w:val="24"/>
        </w:rPr>
        <w:t>135 plus interest</w:t>
      </w:r>
      <w:r w:rsidR="003F2001">
        <w:rPr>
          <w:rFonts w:ascii="Arial" w:hAnsi="Arial" w:cs="Arial"/>
          <w:sz w:val="24"/>
          <w:szCs w:val="24"/>
        </w:rPr>
        <w:t xml:space="preserve"> (the award)</w:t>
      </w:r>
      <w:r w:rsidR="00034839">
        <w:rPr>
          <w:rFonts w:ascii="Arial" w:hAnsi="Arial" w:cs="Arial"/>
          <w:sz w:val="24"/>
          <w:szCs w:val="24"/>
        </w:rPr>
        <w:t>.</w:t>
      </w:r>
      <w:r w:rsidR="00041B56">
        <w:rPr>
          <w:rFonts w:ascii="Arial" w:hAnsi="Arial" w:cs="Arial"/>
          <w:sz w:val="24"/>
          <w:szCs w:val="24"/>
        </w:rPr>
        <w:t xml:space="preserve"> The</w:t>
      </w:r>
      <w:r w:rsidR="0030014D">
        <w:rPr>
          <w:rFonts w:ascii="Arial" w:hAnsi="Arial" w:cs="Arial"/>
          <w:sz w:val="24"/>
          <w:szCs w:val="24"/>
        </w:rPr>
        <w:t xml:space="preserve"> award was made an order of court in South Africa and </w:t>
      </w:r>
      <w:r w:rsidR="006C3C07">
        <w:rPr>
          <w:rFonts w:ascii="Arial" w:hAnsi="Arial" w:cs="Arial"/>
          <w:sz w:val="24"/>
          <w:szCs w:val="24"/>
        </w:rPr>
        <w:t xml:space="preserve">subsequently in </w:t>
      </w:r>
      <w:r w:rsidR="0030014D">
        <w:rPr>
          <w:rFonts w:ascii="Arial" w:hAnsi="Arial" w:cs="Arial"/>
          <w:sz w:val="24"/>
          <w:szCs w:val="24"/>
        </w:rPr>
        <w:t xml:space="preserve">the High Court </w:t>
      </w:r>
      <w:r w:rsidR="006C3C07">
        <w:rPr>
          <w:rFonts w:ascii="Arial" w:hAnsi="Arial" w:cs="Arial"/>
          <w:sz w:val="24"/>
          <w:szCs w:val="24"/>
        </w:rPr>
        <w:t>of Namibia</w:t>
      </w:r>
      <w:r w:rsidR="0005466C">
        <w:rPr>
          <w:rFonts w:ascii="Arial" w:hAnsi="Arial" w:cs="Arial"/>
          <w:sz w:val="24"/>
          <w:szCs w:val="24"/>
        </w:rPr>
        <w:t>.</w:t>
      </w:r>
    </w:p>
    <w:p w:rsidR="0005466C" w:rsidRPr="006B0139" w:rsidRDefault="0005466C" w:rsidP="0005466C">
      <w:pPr>
        <w:pStyle w:val="NoSpacing"/>
        <w:spacing w:line="480" w:lineRule="auto"/>
        <w:jc w:val="both"/>
        <w:rPr>
          <w:rFonts w:ascii="Arial" w:hAnsi="Arial" w:cs="Arial"/>
          <w:sz w:val="24"/>
          <w:szCs w:val="24"/>
        </w:rPr>
      </w:pPr>
    </w:p>
    <w:p w:rsidR="00786DD2" w:rsidRDefault="0030014D" w:rsidP="0013688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claim in the arbitration proceedings arose from </w:t>
      </w:r>
      <w:r w:rsidR="006C3C07">
        <w:rPr>
          <w:rFonts w:ascii="Arial" w:hAnsi="Arial" w:cs="Arial"/>
          <w:sz w:val="24"/>
          <w:szCs w:val="24"/>
        </w:rPr>
        <w:t>the</w:t>
      </w:r>
      <w:r>
        <w:rPr>
          <w:rFonts w:ascii="Arial" w:hAnsi="Arial" w:cs="Arial"/>
          <w:sz w:val="24"/>
          <w:szCs w:val="24"/>
        </w:rPr>
        <w:t xml:space="preserve"> sale of shares and claims </w:t>
      </w:r>
      <w:r w:rsidR="00034839">
        <w:rPr>
          <w:rFonts w:ascii="Arial" w:hAnsi="Arial" w:cs="Arial"/>
          <w:sz w:val="24"/>
          <w:szCs w:val="24"/>
        </w:rPr>
        <w:t xml:space="preserve">by the respondent to VXK </w:t>
      </w:r>
      <w:r>
        <w:rPr>
          <w:rFonts w:ascii="Arial" w:hAnsi="Arial" w:cs="Arial"/>
          <w:sz w:val="24"/>
          <w:szCs w:val="24"/>
        </w:rPr>
        <w:t>for a total pu</w:t>
      </w:r>
      <w:r w:rsidR="0080270E">
        <w:rPr>
          <w:rFonts w:ascii="Arial" w:hAnsi="Arial" w:cs="Arial"/>
          <w:sz w:val="24"/>
          <w:szCs w:val="24"/>
        </w:rPr>
        <w:t xml:space="preserve">rchase price </w:t>
      </w:r>
      <w:r w:rsidR="0080270E" w:rsidRPr="006B0139">
        <w:rPr>
          <w:rFonts w:ascii="Arial" w:hAnsi="Arial" w:cs="Arial"/>
          <w:sz w:val="24"/>
          <w:szCs w:val="24"/>
        </w:rPr>
        <w:t xml:space="preserve">of </w:t>
      </w:r>
      <w:r w:rsidR="006B0139">
        <w:rPr>
          <w:rFonts w:ascii="Arial" w:hAnsi="Arial" w:cs="Arial"/>
          <w:sz w:val="24"/>
          <w:szCs w:val="24"/>
        </w:rPr>
        <w:t xml:space="preserve">                </w:t>
      </w:r>
      <w:r w:rsidR="004178DB">
        <w:rPr>
          <w:rFonts w:ascii="Arial" w:hAnsi="Arial" w:cs="Arial"/>
          <w:sz w:val="24"/>
          <w:szCs w:val="24"/>
        </w:rPr>
        <w:t>US$</w:t>
      </w:r>
      <w:r w:rsidR="006B0139" w:rsidRPr="006B0139">
        <w:rPr>
          <w:rFonts w:ascii="Arial" w:hAnsi="Arial" w:cs="Arial"/>
          <w:sz w:val="24"/>
          <w:szCs w:val="24"/>
        </w:rPr>
        <w:t>4 </w:t>
      </w:r>
      <w:r w:rsidR="00F95BDB" w:rsidRPr="006B0139">
        <w:rPr>
          <w:rFonts w:ascii="Arial" w:hAnsi="Arial" w:cs="Arial"/>
          <w:sz w:val="24"/>
          <w:szCs w:val="24"/>
        </w:rPr>
        <w:t>5</w:t>
      </w:r>
      <w:r w:rsidR="006B0139" w:rsidRPr="006B0139">
        <w:rPr>
          <w:rFonts w:ascii="Arial" w:hAnsi="Arial" w:cs="Arial"/>
          <w:sz w:val="24"/>
          <w:szCs w:val="24"/>
        </w:rPr>
        <w:t>00</w:t>
      </w:r>
      <w:r w:rsidR="006B0139">
        <w:rPr>
          <w:rFonts w:ascii="Arial" w:hAnsi="Arial" w:cs="Arial"/>
          <w:sz w:val="24"/>
          <w:szCs w:val="24"/>
        </w:rPr>
        <w:t xml:space="preserve"> 000</w:t>
      </w:r>
      <w:r w:rsidR="00F95BDB">
        <w:rPr>
          <w:rFonts w:ascii="Arial" w:hAnsi="Arial" w:cs="Arial"/>
          <w:sz w:val="24"/>
          <w:szCs w:val="24"/>
        </w:rPr>
        <w:t>. The respondent</w:t>
      </w:r>
      <w:r w:rsidR="003F2001">
        <w:rPr>
          <w:rFonts w:ascii="Arial" w:hAnsi="Arial" w:cs="Arial"/>
          <w:sz w:val="24"/>
          <w:szCs w:val="24"/>
        </w:rPr>
        <w:t>, Nottingham Incorporated (Nottingham)</w:t>
      </w:r>
      <w:r w:rsidR="005D14EF">
        <w:rPr>
          <w:rFonts w:ascii="Arial" w:hAnsi="Arial" w:cs="Arial"/>
          <w:sz w:val="24"/>
          <w:szCs w:val="24"/>
        </w:rPr>
        <w:t>,</w:t>
      </w:r>
      <w:r w:rsidR="00F95BDB">
        <w:rPr>
          <w:rFonts w:ascii="Arial" w:hAnsi="Arial" w:cs="Arial"/>
          <w:sz w:val="24"/>
          <w:szCs w:val="24"/>
        </w:rPr>
        <w:t xml:space="preserve"> was then a corporation incorporated in the </w:t>
      </w:r>
      <w:r w:rsidR="00034839">
        <w:rPr>
          <w:rFonts w:ascii="Arial" w:hAnsi="Arial" w:cs="Arial"/>
          <w:sz w:val="24"/>
          <w:szCs w:val="24"/>
        </w:rPr>
        <w:t>s</w:t>
      </w:r>
      <w:r w:rsidR="00F95BDB">
        <w:rPr>
          <w:rFonts w:ascii="Arial" w:hAnsi="Arial" w:cs="Arial"/>
          <w:sz w:val="24"/>
          <w:szCs w:val="24"/>
        </w:rPr>
        <w:t xml:space="preserve">tate of Georgia in the United States of America. Subsequent to the sale, it </w:t>
      </w:r>
      <w:r w:rsidR="00F834A4">
        <w:rPr>
          <w:rFonts w:ascii="Arial" w:hAnsi="Arial" w:cs="Arial"/>
          <w:sz w:val="24"/>
          <w:szCs w:val="24"/>
        </w:rPr>
        <w:t>would appear to have been</w:t>
      </w:r>
      <w:r w:rsidR="00F95BDB">
        <w:rPr>
          <w:rFonts w:ascii="Arial" w:hAnsi="Arial" w:cs="Arial"/>
          <w:sz w:val="24"/>
          <w:szCs w:val="24"/>
        </w:rPr>
        <w:t xml:space="preserve"> placed under receivership by a court in Georgia. The</w:t>
      </w:r>
      <w:r w:rsidR="006C3C07">
        <w:rPr>
          <w:rFonts w:ascii="Arial" w:hAnsi="Arial" w:cs="Arial"/>
          <w:sz w:val="24"/>
          <w:szCs w:val="24"/>
        </w:rPr>
        <w:t xml:space="preserve"> cour</w:t>
      </w:r>
      <w:r w:rsidR="005D14EF">
        <w:rPr>
          <w:rFonts w:ascii="Arial" w:hAnsi="Arial" w:cs="Arial"/>
          <w:sz w:val="24"/>
          <w:szCs w:val="24"/>
        </w:rPr>
        <w:t>t</w:t>
      </w:r>
      <w:r w:rsidR="00F95BDB">
        <w:rPr>
          <w:rFonts w:ascii="Arial" w:hAnsi="Arial" w:cs="Arial"/>
          <w:sz w:val="24"/>
          <w:szCs w:val="24"/>
        </w:rPr>
        <w:t xml:space="preserve"> appointed receiver instituted the arbitration</w:t>
      </w:r>
      <w:r w:rsidR="00034839">
        <w:rPr>
          <w:rFonts w:ascii="Arial" w:hAnsi="Arial" w:cs="Arial"/>
          <w:sz w:val="24"/>
          <w:szCs w:val="24"/>
        </w:rPr>
        <w:t xml:space="preserve"> </w:t>
      </w:r>
      <w:r w:rsidR="003F2001">
        <w:rPr>
          <w:rFonts w:ascii="Arial" w:hAnsi="Arial" w:cs="Arial"/>
          <w:sz w:val="24"/>
          <w:szCs w:val="24"/>
        </w:rPr>
        <w:t xml:space="preserve">proceedings in the name of the respondent </w:t>
      </w:r>
      <w:r w:rsidR="00034839">
        <w:rPr>
          <w:rFonts w:ascii="Arial" w:hAnsi="Arial" w:cs="Arial"/>
          <w:sz w:val="24"/>
          <w:szCs w:val="24"/>
        </w:rPr>
        <w:t>against VXK</w:t>
      </w:r>
      <w:r w:rsidR="00F95BDB">
        <w:rPr>
          <w:rFonts w:ascii="Arial" w:hAnsi="Arial" w:cs="Arial"/>
          <w:sz w:val="24"/>
          <w:szCs w:val="24"/>
        </w:rPr>
        <w:t xml:space="preserve"> and </w:t>
      </w:r>
      <w:r w:rsidR="00034839">
        <w:rPr>
          <w:rFonts w:ascii="Arial" w:hAnsi="Arial" w:cs="Arial"/>
          <w:sz w:val="24"/>
          <w:szCs w:val="24"/>
        </w:rPr>
        <w:t>later liquidation</w:t>
      </w:r>
      <w:r w:rsidR="00F95BDB">
        <w:rPr>
          <w:rFonts w:ascii="Arial" w:hAnsi="Arial" w:cs="Arial"/>
          <w:sz w:val="24"/>
          <w:szCs w:val="24"/>
        </w:rPr>
        <w:t xml:space="preserve"> proceedings </w:t>
      </w:r>
      <w:r w:rsidR="00034839">
        <w:rPr>
          <w:rFonts w:ascii="Arial" w:hAnsi="Arial" w:cs="Arial"/>
          <w:sz w:val="24"/>
          <w:szCs w:val="24"/>
        </w:rPr>
        <w:t>against the appellant and VXK (both entities registered in Namibia)</w:t>
      </w:r>
      <w:r w:rsidR="00F95BDB">
        <w:rPr>
          <w:rFonts w:ascii="Arial" w:hAnsi="Arial" w:cs="Arial"/>
          <w:sz w:val="24"/>
          <w:szCs w:val="24"/>
        </w:rPr>
        <w:t>.</w:t>
      </w:r>
    </w:p>
    <w:p w:rsidR="00F95BDB" w:rsidRDefault="00F95BDB" w:rsidP="00F95BDB">
      <w:pPr>
        <w:pStyle w:val="ListParagraph"/>
        <w:rPr>
          <w:rFonts w:ascii="Arial" w:hAnsi="Arial" w:cs="Arial"/>
          <w:sz w:val="24"/>
          <w:szCs w:val="24"/>
        </w:rPr>
      </w:pPr>
    </w:p>
    <w:p w:rsidR="00F95BDB" w:rsidRDefault="00F95BDB" w:rsidP="0013688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stood suretyship for certain of VXK’s obligations under </w:t>
      </w:r>
      <w:r w:rsidR="006C3C07">
        <w:rPr>
          <w:rFonts w:ascii="Arial" w:hAnsi="Arial" w:cs="Arial"/>
          <w:sz w:val="24"/>
          <w:szCs w:val="24"/>
        </w:rPr>
        <w:t xml:space="preserve">the </w:t>
      </w:r>
      <w:r>
        <w:rPr>
          <w:rFonts w:ascii="Arial" w:hAnsi="Arial" w:cs="Arial"/>
          <w:sz w:val="24"/>
          <w:szCs w:val="24"/>
        </w:rPr>
        <w:t>sale agreement. The terms of the suretyship are referred to in more detail below.</w:t>
      </w:r>
    </w:p>
    <w:p w:rsidR="00F95BDB" w:rsidRDefault="00F95BDB" w:rsidP="00F95BDB">
      <w:pPr>
        <w:pStyle w:val="ListParagraph"/>
        <w:rPr>
          <w:rFonts w:ascii="Arial" w:hAnsi="Arial" w:cs="Arial"/>
          <w:sz w:val="24"/>
          <w:szCs w:val="24"/>
        </w:rPr>
      </w:pPr>
    </w:p>
    <w:p w:rsidR="00AA7FA0" w:rsidRDefault="00F95BDB" w:rsidP="0013688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Under the sale agreement, it was agreed that the </w:t>
      </w:r>
      <w:r w:rsidR="003F2001">
        <w:rPr>
          <w:rFonts w:ascii="Arial" w:hAnsi="Arial" w:cs="Arial"/>
          <w:sz w:val="24"/>
          <w:szCs w:val="24"/>
        </w:rPr>
        <w:t xml:space="preserve">purchase price of </w:t>
      </w:r>
      <w:r w:rsidR="0080270E">
        <w:rPr>
          <w:rFonts w:ascii="Arial" w:hAnsi="Arial" w:cs="Arial"/>
          <w:sz w:val="24"/>
          <w:szCs w:val="24"/>
        </w:rPr>
        <w:t xml:space="preserve">       </w:t>
      </w:r>
      <w:r w:rsidR="006B0139" w:rsidRPr="006B0139">
        <w:rPr>
          <w:rFonts w:ascii="Arial" w:hAnsi="Arial" w:cs="Arial"/>
          <w:sz w:val="24"/>
          <w:szCs w:val="24"/>
        </w:rPr>
        <w:t>US$4 </w:t>
      </w:r>
      <w:r w:rsidR="003F2001" w:rsidRPr="006B0139">
        <w:rPr>
          <w:rFonts w:ascii="Arial" w:hAnsi="Arial" w:cs="Arial"/>
          <w:sz w:val="24"/>
          <w:szCs w:val="24"/>
        </w:rPr>
        <w:t>5</w:t>
      </w:r>
      <w:r w:rsidR="006B0139" w:rsidRPr="006B0139">
        <w:rPr>
          <w:rFonts w:ascii="Arial" w:hAnsi="Arial" w:cs="Arial"/>
          <w:sz w:val="24"/>
          <w:szCs w:val="24"/>
        </w:rPr>
        <w:t>00 000</w:t>
      </w:r>
      <w:r>
        <w:rPr>
          <w:rFonts w:ascii="Arial" w:hAnsi="Arial" w:cs="Arial"/>
          <w:sz w:val="24"/>
          <w:szCs w:val="24"/>
        </w:rPr>
        <w:t xml:space="preserve"> was payable</w:t>
      </w:r>
      <w:r w:rsidR="003F2001">
        <w:rPr>
          <w:rFonts w:ascii="Arial" w:hAnsi="Arial" w:cs="Arial"/>
          <w:sz w:val="24"/>
          <w:szCs w:val="24"/>
        </w:rPr>
        <w:t xml:space="preserve"> by</w:t>
      </w:r>
      <w:r w:rsidR="006C3C07">
        <w:rPr>
          <w:rFonts w:ascii="Arial" w:hAnsi="Arial" w:cs="Arial"/>
          <w:sz w:val="24"/>
          <w:szCs w:val="24"/>
        </w:rPr>
        <w:t xml:space="preserve"> way of</w:t>
      </w:r>
      <w:r w:rsidR="0080270E">
        <w:rPr>
          <w:rFonts w:ascii="Arial" w:hAnsi="Arial" w:cs="Arial"/>
          <w:sz w:val="24"/>
          <w:szCs w:val="24"/>
        </w:rPr>
        <w:t xml:space="preserve"> the sum of US</w:t>
      </w:r>
      <w:r w:rsidR="003F2001">
        <w:rPr>
          <w:rFonts w:ascii="Arial" w:hAnsi="Arial" w:cs="Arial"/>
          <w:sz w:val="24"/>
          <w:szCs w:val="24"/>
        </w:rPr>
        <w:t>$2 million</w:t>
      </w:r>
      <w:r>
        <w:rPr>
          <w:rFonts w:ascii="Arial" w:hAnsi="Arial" w:cs="Arial"/>
          <w:sz w:val="24"/>
          <w:szCs w:val="24"/>
        </w:rPr>
        <w:t xml:space="preserve"> in cash and the </w:t>
      </w:r>
      <w:r w:rsidR="0080270E">
        <w:rPr>
          <w:rFonts w:ascii="Arial" w:hAnsi="Arial" w:cs="Arial"/>
          <w:sz w:val="24"/>
          <w:szCs w:val="24"/>
        </w:rPr>
        <w:t>balance of US</w:t>
      </w:r>
      <w:r>
        <w:rPr>
          <w:rFonts w:ascii="Arial" w:hAnsi="Arial" w:cs="Arial"/>
          <w:sz w:val="24"/>
          <w:szCs w:val="24"/>
        </w:rPr>
        <w:t>$2</w:t>
      </w:r>
      <w:r w:rsidR="0080270E">
        <w:rPr>
          <w:rFonts w:ascii="Arial" w:hAnsi="Arial" w:cs="Arial"/>
          <w:sz w:val="24"/>
          <w:szCs w:val="24"/>
        </w:rPr>
        <w:t xml:space="preserve"> </w:t>
      </w:r>
      <w:r>
        <w:rPr>
          <w:rFonts w:ascii="Arial" w:hAnsi="Arial" w:cs="Arial"/>
          <w:sz w:val="24"/>
          <w:szCs w:val="24"/>
        </w:rPr>
        <w:t>5</w:t>
      </w:r>
      <w:r w:rsidR="0080270E">
        <w:rPr>
          <w:rFonts w:ascii="Arial" w:hAnsi="Arial" w:cs="Arial"/>
          <w:sz w:val="24"/>
          <w:szCs w:val="24"/>
        </w:rPr>
        <w:t>00 000</w:t>
      </w:r>
      <w:r>
        <w:rPr>
          <w:rFonts w:ascii="Arial" w:hAnsi="Arial" w:cs="Arial"/>
          <w:sz w:val="24"/>
          <w:szCs w:val="24"/>
        </w:rPr>
        <w:t xml:space="preserve"> would be paid in kind</w:t>
      </w:r>
      <w:r w:rsidR="00034839">
        <w:rPr>
          <w:rFonts w:ascii="Arial" w:hAnsi="Arial" w:cs="Arial"/>
          <w:sz w:val="24"/>
          <w:szCs w:val="24"/>
        </w:rPr>
        <w:t xml:space="preserve"> by</w:t>
      </w:r>
      <w:r>
        <w:rPr>
          <w:rFonts w:ascii="Arial" w:hAnsi="Arial" w:cs="Arial"/>
          <w:sz w:val="24"/>
          <w:szCs w:val="24"/>
        </w:rPr>
        <w:t xml:space="preserve"> way of the delivery of granite stone by VXK to the respondent. VXK paid the first two instalments in the </w:t>
      </w:r>
      <w:r w:rsidR="00034839">
        <w:rPr>
          <w:rFonts w:ascii="Arial" w:hAnsi="Arial" w:cs="Arial"/>
          <w:sz w:val="24"/>
          <w:szCs w:val="24"/>
        </w:rPr>
        <w:t xml:space="preserve">total </w:t>
      </w:r>
      <w:r w:rsidR="0080270E">
        <w:rPr>
          <w:rFonts w:ascii="Arial" w:hAnsi="Arial" w:cs="Arial"/>
          <w:sz w:val="24"/>
          <w:szCs w:val="24"/>
        </w:rPr>
        <w:t xml:space="preserve">sum of </w:t>
      </w:r>
      <w:r>
        <w:rPr>
          <w:rFonts w:ascii="Arial" w:hAnsi="Arial" w:cs="Arial"/>
          <w:sz w:val="24"/>
          <w:szCs w:val="24"/>
        </w:rPr>
        <w:t>US$1</w:t>
      </w:r>
      <w:r w:rsidR="0080270E">
        <w:rPr>
          <w:rFonts w:ascii="Arial" w:hAnsi="Arial" w:cs="Arial"/>
          <w:sz w:val="24"/>
          <w:szCs w:val="24"/>
        </w:rPr>
        <w:t xml:space="preserve"> 562 </w:t>
      </w:r>
      <w:r>
        <w:rPr>
          <w:rFonts w:ascii="Arial" w:hAnsi="Arial" w:cs="Arial"/>
          <w:sz w:val="24"/>
          <w:szCs w:val="24"/>
        </w:rPr>
        <w:t xml:space="preserve">500 and also procured the delivery of granite worth </w:t>
      </w:r>
      <w:r w:rsidR="00034839">
        <w:rPr>
          <w:rFonts w:ascii="Arial" w:hAnsi="Arial" w:cs="Arial"/>
          <w:sz w:val="24"/>
          <w:szCs w:val="24"/>
        </w:rPr>
        <w:t>US$</w:t>
      </w:r>
      <w:r w:rsidR="00AA7FA0">
        <w:rPr>
          <w:rFonts w:ascii="Arial" w:hAnsi="Arial" w:cs="Arial"/>
          <w:sz w:val="24"/>
          <w:szCs w:val="24"/>
        </w:rPr>
        <w:t xml:space="preserve">65 865 to the respondent. VXK failed to pay the cash balance of US$437 500 and did not deliver granite </w:t>
      </w:r>
      <w:r w:rsidR="00034839">
        <w:rPr>
          <w:rFonts w:ascii="Arial" w:hAnsi="Arial" w:cs="Arial"/>
          <w:sz w:val="24"/>
          <w:szCs w:val="24"/>
        </w:rPr>
        <w:t>for</w:t>
      </w:r>
      <w:r w:rsidR="0080270E">
        <w:rPr>
          <w:rFonts w:ascii="Arial" w:hAnsi="Arial" w:cs="Arial"/>
          <w:sz w:val="24"/>
          <w:szCs w:val="24"/>
        </w:rPr>
        <w:t xml:space="preserve"> the balance of US$2 434 </w:t>
      </w:r>
      <w:r w:rsidR="00AA7FA0">
        <w:rPr>
          <w:rFonts w:ascii="Arial" w:hAnsi="Arial" w:cs="Arial"/>
          <w:sz w:val="24"/>
          <w:szCs w:val="24"/>
        </w:rPr>
        <w:t>135.</w:t>
      </w:r>
    </w:p>
    <w:p w:rsidR="00AA7FA0" w:rsidRDefault="00AA7FA0" w:rsidP="00AA7FA0">
      <w:pPr>
        <w:pStyle w:val="ListParagraph"/>
        <w:rPr>
          <w:rFonts w:ascii="Arial" w:hAnsi="Arial" w:cs="Arial"/>
          <w:sz w:val="24"/>
          <w:szCs w:val="24"/>
        </w:rPr>
      </w:pPr>
    </w:p>
    <w:p w:rsidR="00AA7FA0" w:rsidRDefault="00AA7FA0"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sale agreement provided for the determination of disputes by way of arbitration which</w:t>
      </w:r>
      <w:r w:rsidR="00707ADB">
        <w:rPr>
          <w:rFonts w:ascii="Arial" w:hAnsi="Arial" w:cs="Arial"/>
          <w:sz w:val="24"/>
          <w:szCs w:val="24"/>
        </w:rPr>
        <w:t xml:space="preserve"> </w:t>
      </w:r>
      <w:r w:rsidR="003F2001">
        <w:rPr>
          <w:rFonts w:ascii="Arial" w:hAnsi="Arial" w:cs="Arial"/>
          <w:sz w:val="24"/>
          <w:szCs w:val="24"/>
        </w:rPr>
        <w:t xml:space="preserve">then </w:t>
      </w:r>
      <w:r w:rsidR="00707ADB">
        <w:rPr>
          <w:rFonts w:ascii="Arial" w:hAnsi="Arial" w:cs="Arial"/>
          <w:sz w:val="24"/>
          <w:szCs w:val="24"/>
        </w:rPr>
        <w:t>took place in South Africa and</w:t>
      </w:r>
      <w:r>
        <w:rPr>
          <w:rFonts w:ascii="Arial" w:hAnsi="Arial" w:cs="Arial"/>
          <w:sz w:val="24"/>
          <w:szCs w:val="24"/>
        </w:rPr>
        <w:t xml:space="preserve"> resulted in </w:t>
      </w:r>
      <w:r w:rsidR="003F2001">
        <w:rPr>
          <w:rFonts w:ascii="Arial" w:hAnsi="Arial" w:cs="Arial"/>
          <w:sz w:val="24"/>
          <w:szCs w:val="24"/>
        </w:rPr>
        <w:t>the</w:t>
      </w:r>
      <w:r>
        <w:rPr>
          <w:rFonts w:ascii="Arial" w:hAnsi="Arial" w:cs="Arial"/>
          <w:sz w:val="24"/>
          <w:szCs w:val="24"/>
        </w:rPr>
        <w:t xml:space="preserve"> award </w:t>
      </w:r>
      <w:r w:rsidR="00707ADB">
        <w:rPr>
          <w:rFonts w:ascii="Arial" w:hAnsi="Arial" w:cs="Arial"/>
          <w:sz w:val="24"/>
          <w:szCs w:val="24"/>
        </w:rPr>
        <w:t xml:space="preserve">against </w:t>
      </w:r>
      <w:r w:rsidR="00707ADB">
        <w:rPr>
          <w:rFonts w:ascii="Arial" w:hAnsi="Arial" w:cs="Arial"/>
          <w:sz w:val="24"/>
          <w:szCs w:val="24"/>
        </w:rPr>
        <w:lastRenderedPageBreak/>
        <w:t>VXK.</w:t>
      </w:r>
      <w:r>
        <w:rPr>
          <w:rFonts w:ascii="Arial" w:hAnsi="Arial" w:cs="Arial"/>
          <w:sz w:val="24"/>
          <w:szCs w:val="24"/>
        </w:rPr>
        <w:t xml:space="preserve"> That award was made an order of court in South Africa and </w:t>
      </w:r>
      <w:r w:rsidR="00707ADB">
        <w:rPr>
          <w:rFonts w:ascii="Arial" w:hAnsi="Arial" w:cs="Arial"/>
          <w:sz w:val="24"/>
          <w:szCs w:val="24"/>
        </w:rPr>
        <w:t xml:space="preserve">subsequently </w:t>
      </w:r>
      <w:r>
        <w:rPr>
          <w:rFonts w:ascii="Arial" w:hAnsi="Arial" w:cs="Arial"/>
          <w:sz w:val="24"/>
          <w:szCs w:val="24"/>
        </w:rPr>
        <w:t>in the High Court on 31 July 2015.</w:t>
      </w:r>
    </w:p>
    <w:p w:rsidR="00AA7FA0" w:rsidRPr="005D14EF" w:rsidRDefault="00AA7FA0" w:rsidP="005D14EF">
      <w:pPr>
        <w:rPr>
          <w:rFonts w:ascii="Arial" w:hAnsi="Arial" w:cs="Arial"/>
          <w:sz w:val="24"/>
          <w:szCs w:val="24"/>
        </w:rPr>
      </w:pPr>
    </w:p>
    <w:p w:rsidR="005D14EF" w:rsidRDefault="00AA7FA0"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 subsequently applied</w:t>
      </w:r>
      <w:r w:rsidR="006C3C07">
        <w:rPr>
          <w:rFonts w:ascii="Arial" w:hAnsi="Arial" w:cs="Arial"/>
          <w:sz w:val="24"/>
          <w:szCs w:val="24"/>
        </w:rPr>
        <w:t xml:space="preserve"> in the High Court</w:t>
      </w:r>
      <w:r>
        <w:rPr>
          <w:rFonts w:ascii="Arial" w:hAnsi="Arial" w:cs="Arial"/>
          <w:sz w:val="24"/>
          <w:szCs w:val="24"/>
        </w:rPr>
        <w:t xml:space="preserve"> for the winding</w:t>
      </w:r>
      <w:r w:rsidR="000C48E5">
        <w:rPr>
          <w:rFonts w:ascii="Arial" w:hAnsi="Arial" w:cs="Arial"/>
          <w:sz w:val="24"/>
          <w:szCs w:val="24"/>
        </w:rPr>
        <w:t>-</w:t>
      </w:r>
      <w:r>
        <w:rPr>
          <w:rFonts w:ascii="Arial" w:hAnsi="Arial" w:cs="Arial"/>
          <w:sz w:val="24"/>
          <w:szCs w:val="24"/>
        </w:rPr>
        <w:t>up of both VXK and the appellant. In the case of the appellant, the application was preceded by a stat</w:t>
      </w:r>
      <w:r w:rsidR="0080270E">
        <w:rPr>
          <w:rFonts w:ascii="Arial" w:hAnsi="Arial" w:cs="Arial"/>
          <w:sz w:val="24"/>
          <w:szCs w:val="24"/>
        </w:rPr>
        <w:t>utory demand in the sum of US$2 500 000</w:t>
      </w:r>
      <w:r w:rsidR="00623F46">
        <w:rPr>
          <w:rFonts w:ascii="Arial" w:hAnsi="Arial" w:cs="Arial"/>
          <w:sz w:val="24"/>
          <w:szCs w:val="24"/>
        </w:rPr>
        <w:t xml:space="preserve"> to settle the fu</w:t>
      </w:r>
      <w:r w:rsidR="005D14EF">
        <w:rPr>
          <w:rFonts w:ascii="Arial" w:hAnsi="Arial" w:cs="Arial"/>
          <w:sz w:val="24"/>
          <w:szCs w:val="24"/>
        </w:rPr>
        <w:t>ll amount of VXK judgment debt.</w:t>
      </w:r>
    </w:p>
    <w:p w:rsidR="005D14EF" w:rsidRPr="005D14EF" w:rsidRDefault="005D14EF" w:rsidP="005D14EF">
      <w:pPr>
        <w:rPr>
          <w:rFonts w:ascii="Arial" w:hAnsi="Arial" w:cs="Arial"/>
          <w:sz w:val="24"/>
          <w:szCs w:val="24"/>
        </w:rPr>
      </w:pPr>
    </w:p>
    <w:p w:rsidR="00F95BDB" w:rsidRDefault="00623F46"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Prior to the sale agreement, the appellant </w:t>
      </w:r>
      <w:r w:rsidR="00707ADB">
        <w:rPr>
          <w:rFonts w:ascii="Arial" w:hAnsi="Arial" w:cs="Arial"/>
          <w:sz w:val="24"/>
          <w:szCs w:val="24"/>
        </w:rPr>
        <w:t xml:space="preserve">had </w:t>
      </w:r>
      <w:r>
        <w:rPr>
          <w:rFonts w:ascii="Arial" w:hAnsi="Arial" w:cs="Arial"/>
          <w:sz w:val="24"/>
          <w:szCs w:val="24"/>
        </w:rPr>
        <w:t xml:space="preserve">bound itself as surety and </w:t>
      </w:r>
      <w:r w:rsidR="00707ADB">
        <w:rPr>
          <w:rFonts w:ascii="Arial" w:hAnsi="Arial" w:cs="Arial"/>
          <w:sz w:val="24"/>
          <w:szCs w:val="24"/>
        </w:rPr>
        <w:t>joint principal</w:t>
      </w:r>
      <w:r>
        <w:rPr>
          <w:rFonts w:ascii="Arial" w:hAnsi="Arial" w:cs="Arial"/>
          <w:sz w:val="24"/>
          <w:szCs w:val="24"/>
        </w:rPr>
        <w:t xml:space="preserve"> debtor for the due fulfilment of certain obligations of VXK under the sale agreement but th</w:t>
      </w:r>
      <w:r w:rsidR="00707ADB">
        <w:rPr>
          <w:rFonts w:ascii="Arial" w:hAnsi="Arial" w:cs="Arial"/>
          <w:sz w:val="24"/>
          <w:szCs w:val="24"/>
        </w:rPr>
        <w:t>e suretyship was limited to US$</w:t>
      </w:r>
      <w:r w:rsidR="0080270E">
        <w:rPr>
          <w:rFonts w:ascii="Arial" w:hAnsi="Arial" w:cs="Arial"/>
          <w:sz w:val="24"/>
          <w:szCs w:val="24"/>
        </w:rPr>
        <w:t xml:space="preserve">2 </w:t>
      </w:r>
      <w:r>
        <w:rPr>
          <w:rFonts w:ascii="Arial" w:hAnsi="Arial" w:cs="Arial"/>
          <w:sz w:val="24"/>
          <w:szCs w:val="24"/>
        </w:rPr>
        <w:t>5</w:t>
      </w:r>
      <w:r w:rsidR="0080270E">
        <w:rPr>
          <w:rFonts w:ascii="Arial" w:hAnsi="Arial" w:cs="Arial"/>
          <w:sz w:val="24"/>
          <w:szCs w:val="24"/>
        </w:rPr>
        <w:t>00 000</w:t>
      </w:r>
      <w:r>
        <w:rPr>
          <w:rFonts w:ascii="Arial" w:hAnsi="Arial" w:cs="Arial"/>
          <w:sz w:val="24"/>
          <w:szCs w:val="24"/>
        </w:rPr>
        <w:t>.</w:t>
      </w:r>
      <w:r w:rsidR="00707ADB">
        <w:rPr>
          <w:rFonts w:ascii="Arial" w:hAnsi="Arial" w:cs="Arial"/>
          <w:sz w:val="24"/>
          <w:szCs w:val="24"/>
        </w:rPr>
        <w:t xml:space="preserve"> In response to the statutory demand, the appellant made a written settlement offer to the respondent</w:t>
      </w:r>
      <w:r w:rsidR="006C3C07">
        <w:rPr>
          <w:rFonts w:ascii="Arial" w:hAnsi="Arial" w:cs="Arial"/>
          <w:sz w:val="24"/>
          <w:szCs w:val="24"/>
        </w:rPr>
        <w:t>,</w:t>
      </w:r>
      <w:r w:rsidR="00707ADB">
        <w:rPr>
          <w:rFonts w:ascii="Arial" w:hAnsi="Arial" w:cs="Arial"/>
          <w:sz w:val="24"/>
          <w:szCs w:val="24"/>
        </w:rPr>
        <w:t xml:space="preserve"> accompanied by draft annual financial statements for </w:t>
      </w:r>
      <w:r w:rsidR="00F834A4">
        <w:rPr>
          <w:rFonts w:ascii="Arial" w:hAnsi="Arial" w:cs="Arial"/>
          <w:sz w:val="24"/>
          <w:szCs w:val="24"/>
        </w:rPr>
        <w:t>the period ending June 2014 and</w:t>
      </w:r>
      <w:r w:rsidR="00707ADB">
        <w:rPr>
          <w:rFonts w:ascii="Arial" w:hAnsi="Arial" w:cs="Arial"/>
          <w:sz w:val="24"/>
          <w:szCs w:val="24"/>
        </w:rPr>
        <w:t xml:space="preserve"> management accounts for the subsequent period ending June 2015. The respondent rejected the settlement offer. The respondent contended that the appellant was commercially insolvent in view of its obligation as surety </w:t>
      </w:r>
      <w:r w:rsidR="003F2001">
        <w:rPr>
          <w:rFonts w:ascii="Arial" w:hAnsi="Arial" w:cs="Arial"/>
          <w:sz w:val="24"/>
          <w:szCs w:val="24"/>
        </w:rPr>
        <w:t>for</w:t>
      </w:r>
      <w:r w:rsidR="00707ADB">
        <w:rPr>
          <w:rFonts w:ascii="Arial" w:hAnsi="Arial" w:cs="Arial"/>
          <w:sz w:val="24"/>
          <w:szCs w:val="24"/>
        </w:rPr>
        <w:t xml:space="preserve"> VXK</w:t>
      </w:r>
      <w:r w:rsidR="003F2001">
        <w:rPr>
          <w:rFonts w:ascii="Arial" w:hAnsi="Arial" w:cs="Arial"/>
          <w:sz w:val="24"/>
          <w:szCs w:val="24"/>
        </w:rPr>
        <w:t>’s judgment debt</w:t>
      </w:r>
      <w:r w:rsidR="00707ADB">
        <w:rPr>
          <w:rFonts w:ascii="Arial" w:hAnsi="Arial" w:cs="Arial"/>
          <w:sz w:val="24"/>
          <w:szCs w:val="24"/>
        </w:rPr>
        <w:t xml:space="preserve"> alternatively deemed to be unable to pay its debts.</w:t>
      </w:r>
    </w:p>
    <w:p w:rsidR="00623F46" w:rsidRDefault="00623F46" w:rsidP="00623F46">
      <w:pPr>
        <w:pStyle w:val="ListParagraph"/>
        <w:rPr>
          <w:rFonts w:ascii="Arial" w:hAnsi="Arial" w:cs="Arial"/>
          <w:sz w:val="24"/>
          <w:szCs w:val="24"/>
        </w:rPr>
      </w:pPr>
    </w:p>
    <w:p w:rsidR="00623F46" w:rsidRDefault="00623F46"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Both liquidation applications were opposed. They were heard together because of the interrelationship of </w:t>
      </w:r>
      <w:r w:rsidR="00707ADB">
        <w:rPr>
          <w:rFonts w:ascii="Arial" w:hAnsi="Arial" w:cs="Arial"/>
          <w:sz w:val="24"/>
          <w:szCs w:val="24"/>
        </w:rPr>
        <w:t>VXK and the appellant</w:t>
      </w:r>
      <w:r>
        <w:rPr>
          <w:rFonts w:ascii="Arial" w:hAnsi="Arial" w:cs="Arial"/>
          <w:sz w:val="24"/>
          <w:szCs w:val="24"/>
        </w:rPr>
        <w:t xml:space="preserve">. </w:t>
      </w:r>
    </w:p>
    <w:p w:rsidR="00623F46" w:rsidRDefault="00623F46" w:rsidP="00623F46">
      <w:pPr>
        <w:pStyle w:val="ListParagraph"/>
        <w:rPr>
          <w:rFonts w:ascii="Arial" w:hAnsi="Arial" w:cs="Arial"/>
          <w:sz w:val="24"/>
          <w:szCs w:val="24"/>
        </w:rPr>
      </w:pPr>
    </w:p>
    <w:p w:rsidR="00623F46" w:rsidRDefault="00623F46"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placed both VXK and the appellant under final liquidation. They both noted appeals. Shortly before the hearing</w:t>
      </w:r>
      <w:r w:rsidR="00707ADB">
        <w:rPr>
          <w:rFonts w:ascii="Arial" w:hAnsi="Arial" w:cs="Arial"/>
          <w:sz w:val="24"/>
          <w:szCs w:val="24"/>
        </w:rPr>
        <w:t>,</w:t>
      </w:r>
      <w:r>
        <w:rPr>
          <w:rFonts w:ascii="Arial" w:hAnsi="Arial" w:cs="Arial"/>
          <w:sz w:val="24"/>
          <w:szCs w:val="24"/>
        </w:rPr>
        <w:t xml:space="preserve"> VXK’s appeal was abandoned.</w:t>
      </w:r>
    </w:p>
    <w:p w:rsidR="00623F46" w:rsidRDefault="00623F46" w:rsidP="00623F46">
      <w:pPr>
        <w:pStyle w:val="ListParagraph"/>
        <w:rPr>
          <w:rFonts w:ascii="Arial" w:hAnsi="Arial" w:cs="Arial"/>
          <w:sz w:val="24"/>
          <w:szCs w:val="24"/>
        </w:rPr>
      </w:pPr>
    </w:p>
    <w:p w:rsidR="00B37F89" w:rsidRDefault="00623F46" w:rsidP="00752471">
      <w:pPr>
        <w:pStyle w:val="NoSpacing"/>
        <w:numPr>
          <w:ilvl w:val="0"/>
          <w:numId w:val="4"/>
        </w:numPr>
        <w:spacing w:line="480" w:lineRule="auto"/>
        <w:ind w:left="0" w:firstLine="0"/>
        <w:jc w:val="both"/>
        <w:rPr>
          <w:rFonts w:ascii="Arial" w:hAnsi="Arial" w:cs="Arial"/>
          <w:sz w:val="24"/>
          <w:szCs w:val="24"/>
        </w:rPr>
      </w:pPr>
      <w:r w:rsidRPr="005D14EF">
        <w:rPr>
          <w:rFonts w:ascii="Arial" w:hAnsi="Arial" w:cs="Arial"/>
          <w:sz w:val="24"/>
          <w:szCs w:val="24"/>
        </w:rPr>
        <w:t>In opposition to the winding</w:t>
      </w:r>
      <w:r w:rsidR="000C48E5">
        <w:rPr>
          <w:rFonts w:ascii="Arial" w:hAnsi="Arial" w:cs="Arial"/>
          <w:sz w:val="24"/>
          <w:szCs w:val="24"/>
        </w:rPr>
        <w:t>-</w:t>
      </w:r>
      <w:r w:rsidRPr="005D14EF">
        <w:rPr>
          <w:rFonts w:ascii="Arial" w:hAnsi="Arial" w:cs="Arial"/>
          <w:sz w:val="24"/>
          <w:szCs w:val="24"/>
        </w:rPr>
        <w:t>up application, the appellant raised a</w:t>
      </w:r>
      <w:r w:rsidR="00707ADB" w:rsidRPr="005D14EF">
        <w:rPr>
          <w:rFonts w:ascii="Arial" w:hAnsi="Arial" w:cs="Arial"/>
          <w:sz w:val="24"/>
          <w:szCs w:val="24"/>
        </w:rPr>
        <w:t xml:space="preserve"> wide</w:t>
      </w:r>
      <w:r w:rsidRPr="005D14EF">
        <w:rPr>
          <w:rFonts w:ascii="Arial" w:hAnsi="Arial" w:cs="Arial"/>
          <w:sz w:val="24"/>
          <w:szCs w:val="24"/>
        </w:rPr>
        <w:t xml:space="preserve"> range of technical </w:t>
      </w:r>
      <w:r w:rsidR="003F2001" w:rsidRPr="005D14EF">
        <w:rPr>
          <w:rFonts w:ascii="Arial" w:hAnsi="Arial" w:cs="Arial"/>
          <w:sz w:val="24"/>
          <w:szCs w:val="24"/>
        </w:rPr>
        <w:t xml:space="preserve">and preliminary </w:t>
      </w:r>
      <w:r w:rsidRPr="005D14EF">
        <w:rPr>
          <w:rFonts w:ascii="Arial" w:hAnsi="Arial" w:cs="Arial"/>
          <w:sz w:val="24"/>
          <w:szCs w:val="24"/>
        </w:rPr>
        <w:t xml:space="preserve">points. Only one of those remains relevant. It concerns the respondent’s </w:t>
      </w:r>
      <w:r w:rsidRPr="005D14EF">
        <w:rPr>
          <w:rFonts w:ascii="Arial" w:hAnsi="Arial" w:cs="Arial"/>
          <w:i/>
          <w:sz w:val="24"/>
          <w:szCs w:val="24"/>
        </w:rPr>
        <w:t>locus standi</w:t>
      </w:r>
      <w:r w:rsidRPr="005D14EF">
        <w:rPr>
          <w:rFonts w:ascii="Arial" w:hAnsi="Arial" w:cs="Arial"/>
          <w:sz w:val="24"/>
          <w:szCs w:val="24"/>
        </w:rPr>
        <w:t>.</w:t>
      </w:r>
      <w:r w:rsidR="00B37F89" w:rsidRPr="005D14EF">
        <w:rPr>
          <w:rFonts w:ascii="Arial" w:hAnsi="Arial" w:cs="Arial"/>
          <w:sz w:val="24"/>
          <w:szCs w:val="24"/>
        </w:rPr>
        <w:t xml:space="preserve"> The appellant also raised a defence on the merits of the</w:t>
      </w:r>
      <w:r w:rsidR="005D14EF">
        <w:rPr>
          <w:rFonts w:ascii="Arial" w:hAnsi="Arial" w:cs="Arial"/>
          <w:sz w:val="24"/>
          <w:szCs w:val="24"/>
        </w:rPr>
        <w:t xml:space="preserve"> respondent’s claim against it.</w:t>
      </w:r>
    </w:p>
    <w:p w:rsidR="005D14EF" w:rsidRPr="005D14EF" w:rsidRDefault="005D14EF" w:rsidP="005D14EF">
      <w:pPr>
        <w:pStyle w:val="NoSpacing"/>
        <w:spacing w:line="480" w:lineRule="auto"/>
        <w:jc w:val="both"/>
        <w:rPr>
          <w:rFonts w:ascii="Arial" w:hAnsi="Arial" w:cs="Arial"/>
          <w:sz w:val="24"/>
          <w:szCs w:val="24"/>
        </w:rPr>
      </w:pPr>
    </w:p>
    <w:p w:rsidR="00DA3A3B" w:rsidRDefault="00707ADB"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are two separate components to the appellant’s</w:t>
      </w:r>
      <w:r w:rsidR="00DA3A3B">
        <w:rPr>
          <w:rFonts w:ascii="Arial" w:hAnsi="Arial" w:cs="Arial"/>
          <w:sz w:val="24"/>
          <w:szCs w:val="24"/>
        </w:rPr>
        <w:t xml:space="preserve"> defence of a lack of </w:t>
      </w:r>
      <w:r w:rsidR="00DA3A3B">
        <w:rPr>
          <w:rFonts w:ascii="Arial" w:hAnsi="Arial" w:cs="Arial"/>
          <w:i/>
          <w:sz w:val="24"/>
          <w:szCs w:val="24"/>
        </w:rPr>
        <w:t>locus standi</w:t>
      </w:r>
      <w:r w:rsidR="00DA3A3B" w:rsidRPr="00DA3A3B">
        <w:rPr>
          <w:rFonts w:ascii="Arial" w:hAnsi="Arial" w:cs="Arial"/>
          <w:sz w:val="24"/>
          <w:szCs w:val="24"/>
        </w:rPr>
        <w:t>.</w:t>
      </w:r>
      <w:r w:rsidR="00DA3A3B">
        <w:rPr>
          <w:rFonts w:ascii="Arial" w:hAnsi="Arial" w:cs="Arial"/>
          <w:sz w:val="24"/>
          <w:szCs w:val="24"/>
        </w:rPr>
        <w:t xml:space="preserve"> The first is that Nottingham was placed under receivership by a Superior Court in Georgia, United States of America. The receiver was appointed in terms of a court order attached to the founding affidavit. </w:t>
      </w:r>
      <w:r w:rsidR="003F0E71">
        <w:rPr>
          <w:rFonts w:ascii="Arial" w:hAnsi="Arial" w:cs="Arial"/>
          <w:sz w:val="24"/>
          <w:szCs w:val="24"/>
        </w:rPr>
        <w:t>According to that court order, t</w:t>
      </w:r>
      <w:r w:rsidR="00DA3A3B">
        <w:rPr>
          <w:rFonts w:ascii="Arial" w:hAnsi="Arial" w:cs="Arial"/>
          <w:sz w:val="24"/>
          <w:szCs w:val="24"/>
        </w:rPr>
        <w:t xml:space="preserve">he receivership proceedings were at the instance of a banking institution against a group of companies and Nottingham was one of </w:t>
      </w:r>
      <w:r w:rsidR="004178DB">
        <w:rPr>
          <w:rFonts w:ascii="Arial" w:hAnsi="Arial" w:cs="Arial"/>
          <w:sz w:val="24"/>
          <w:szCs w:val="24"/>
        </w:rPr>
        <w:t xml:space="preserve">the </w:t>
      </w:r>
      <w:r w:rsidR="00DA3A3B">
        <w:rPr>
          <w:rFonts w:ascii="Arial" w:hAnsi="Arial" w:cs="Arial"/>
          <w:sz w:val="24"/>
          <w:szCs w:val="24"/>
        </w:rPr>
        <w:t>defendants and borrowers</w:t>
      </w:r>
      <w:r w:rsidR="003061EB">
        <w:rPr>
          <w:rFonts w:ascii="Arial" w:hAnsi="Arial" w:cs="Arial"/>
          <w:sz w:val="24"/>
          <w:szCs w:val="24"/>
        </w:rPr>
        <w:t xml:space="preserve"> in those proceedings</w:t>
      </w:r>
      <w:r w:rsidR="00DA3A3B">
        <w:rPr>
          <w:rFonts w:ascii="Arial" w:hAnsi="Arial" w:cs="Arial"/>
          <w:sz w:val="24"/>
          <w:szCs w:val="24"/>
        </w:rPr>
        <w:t>. The receivership was in respect of administering, preserving or recover</w:t>
      </w:r>
      <w:r w:rsidR="006C3C07">
        <w:rPr>
          <w:rFonts w:ascii="Arial" w:hAnsi="Arial" w:cs="Arial"/>
          <w:sz w:val="24"/>
          <w:szCs w:val="24"/>
        </w:rPr>
        <w:t>ing</w:t>
      </w:r>
      <w:r w:rsidR="00DA3A3B">
        <w:rPr>
          <w:rFonts w:ascii="Arial" w:hAnsi="Arial" w:cs="Arial"/>
          <w:sz w:val="24"/>
          <w:szCs w:val="24"/>
        </w:rPr>
        <w:t xml:space="preserve"> collateral as defined in the court order.</w:t>
      </w:r>
    </w:p>
    <w:p w:rsidR="003276F9" w:rsidRDefault="003276F9" w:rsidP="003276F9">
      <w:pPr>
        <w:pStyle w:val="ListParagraph"/>
        <w:rPr>
          <w:rFonts w:ascii="Arial" w:hAnsi="Arial" w:cs="Arial"/>
          <w:sz w:val="24"/>
          <w:szCs w:val="24"/>
        </w:rPr>
      </w:pPr>
    </w:p>
    <w:p w:rsidR="003276F9" w:rsidRDefault="003276F9" w:rsidP="003061E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contended on behalf of the appellant that the definitions </w:t>
      </w:r>
      <w:r w:rsidR="00F834A4">
        <w:rPr>
          <w:rFonts w:ascii="Arial" w:hAnsi="Arial" w:cs="Arial"/>
          <w:sz w:val="24"/>
          <w:szCs w:val="24"/>
        </w:rPr>
        <w:t xml:space="preserve">in the court order </w:t>
      </w:r>
      <w:r>
        <w:rPr>
          <w:rFonts w:ascii="Arial" w:hAnsi="Arial" w:cs="Arial"/>
          <w:sz w:val="24"/>
          <w:szCs w:val="24"/>
        </w:rPr>
        <w:t xml:space="preserve">of personal property collateral, real property collateral and collateral do not include </w:t>
      </w:r>
      <w:r w:rsidR="00B82DFC">
        <w:rPr>
          <w:rFonts w:ascii="Arial" w:hAnsi="Arial" w:cs="Arial"/>
          <w:sz w:val="24"/>
          <w:szCs w:val="24"/>
        </w:rPr>
        <w:t>assets and claims of Nottingham. Nor were the steps contemplated by the order sufficiently widely</w:t>
      </w:r>
      <w:r w:rsidR="000C48E5">
        <w:rPr>
          <w:rFonts w:ascii="Arial" w:hAnsi="Arial" w:cs="Arial"/>
          <w:sz w:val="24"/>
          <w:szCs w:val="24"/>
        </w:rPr>
        <w:t xml:space="preserve"> described to include a winding-</w:t>
      </w:r>
      <w:r w:rsidR="00B82DFC">
        <w:rPr>
          <w:rFonts w:ascii="Arial" w:hAnsi="Arial" w:cs="Arial"/>
          <w:sz w:val="24"/>
          <w:szCs w:val="24"/>
        </w:rPr>
        <w:t>up application of Nottingham. The appellant accordingly contended that the receiver lacke</w:t>
      </w:r>
      <w:r w:rsidR="000C48E5">
        <w:rPr>
          <w:rFonts w:ascii="Arial" w:hAnsi="Arial" w:cs="Arial"/>
          <w:sz w:val="24"/>
          <w:szCs w:val="24"/>
        </w:rPr>
        <w:t>d standing to bring the winding-</w:t>
      </w:r>
      <w:r w:rsidR="00B82DFC">
        <w:rPr>
          <w:rFonts w:ascii="Arial" w:hAnsi="Arial" w:cs="Arial"/>
          <w:sz w:val="24"/>
          <w:szCs w:val="24"/>
        </w:rPr>
        <w:t>up application</w:t>
      </w:r>
      <w:r w:rsidR="00F834A4">
        <w:rPr>
          <w:rFonts w:ascii="Arial" w:hAnsi="Arial" w:cs="Arial"/>
          <w:sz w:val="24"/>
          <w:szCs w:val="24"/>
        </w:rPr>
        <w:t xml:space="preserve"> under the court order</w:t>
      </w:r>
      <w:r w:rsidR="00B82DFC">
        <w:rPr>
          <w:rFonts w:ascii="Arial" w:hAnsi="Arial" w:cs="Arial"/>
          <w:sz w:val="24"/>
          <w:szCs w:val="24"/>
        </w:rPr>
        <w:t>.</w:t>
      </w:r>
    </w:p>
    <w:p w:rsidR="00FB0EA5" w:rsidRPr="003061EB" w:rsidRDefault="00FB0EA5" w:rsidP="00FB0EA5">
      <w:pPr>
        <w:pStyle w:val="NoSpacing"/>
        <w:spacing w:line="480" w:lineRule="auto"/>
        <w:jc w:val="both"/>
        <w:rPr>
          <w:rFonts w:ascii="Arial" w:hAnsi="Arial" w:cs="Arial"/>
          <w:sz w:val="24"/>
          <w:szCs w:val="24"/>
        </w:rPr>
      </w:pPr>
    </w:p>
    <w:p w:rsidR="00B82DFC" w:rsidRDefault="00FB0EA5" w:rsidP="007A14D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second place, t</w:t>
      </w:r>
      <w:r w:rsidR="00B82DFC">
        <w:rPr>
          <w:rFonts w:ascii="Arial" w:hAnsi="Arial" w:cs="Arial"/>
          <w:sz w:val="24"/>
          <w:szCs w:val="24"/>
        </w:rPr>
        <w:t>he point was also taken that there was no al</w:t>
      </w:r>
      <w:r w:rsidR="003F0E71">
        <w:rPr>
          <w:rFonts w:ascii="Arial" w:hAnsi="Arial" w:cs="Arial"/>
          <w:sz w:val="24"/>
          <w:szCs w:val="24"/>
        </w:rPr>
        <w:t>legation</w:t>
      </w:r>
      <w:r w:rsidR="00B82DFC">
        <w:rPr>
          <w:rFonts w:ascii="Arial" w:hAnsi="Arial" w:cs="Arial"/>
          <w:sz w:val="24"/>
          <w:szCs w:val="24"/>
        </w:rPr>
        <w:t xml:space="preserve"> that the receiver</w:t>
      </w:r>
      <w:r w:rsidR="006C3C07">
        <w:rPr>
          <w:rFonts w:ascii="Arial" w:hAnsi="Arial" w:cs="Arial"/>
          <w:sz w:val="24"/>
          <w:szCs w:val="24"/>
        </w:rPr>
        <w:t>,</w:t>
      </w:r>
      <w:r w:rsidR="00B82DFC">
        <w:rPr>
          <w:rFonts w:ascii="Arial" w:hAnsi="Arial" w:cs="Arial"/>
          <w:sz w:val="24"/>
          <w:szCs w:val="24"/>
        </w:rPr>
        <w:t xml:space="preserve"> as a foreign receiver</w:t>
      </w:r>
      <w:r w:rsidR="006C3C07">
        <w:rPr>
          <w:rFonts w:ascii="Arial" w:hAnsi="Arial" w:cs="Arial"/>
          <w:sz w:val="24"/>
          <w:szCs w:val="24"/>
        </w:rPr>
        <w:t>,</w:t>
      </w:r>
      <w:r w:rsidR="00B82DFC">
        <w:rPr>
          <w:rFonts w:ascii="Arial" w:hAnsi="Arial" w:cs="Arial"/>
          <w:sz w:val="24"/>
          <w:szCs w:val="24"/>
        </w:rPr>
        <w:t xml:space="preserve"> had been recognised in this jurisdiction and that this is necessar</w:t>
      </w:r>
      <w:r w:rsidR="000C48E5">
        <w:rPr>
          <w:rFonts w:ascii="Arial" w:hAnsi="Arial" w:cs="Arial"/>
          <w:sz w:val="24"/>
          <w:szCs w:val="24"/>
        </w:rPr>
        <w:t>y in order to institute winding-</w:t>
      </w:r>
      <w:r w:rsidR="00B82DFC">
        <w:rPr>
          <w:rFonts w:ascii="Arial" w:hAnsi="Arial" w:cs="Arial"/>
          <w:sz w:val="24"/>
          <w:szCs w:val="24"/>
        </w:rPr>
        <w:t>up proceedings against the appellant, an entity domiciled in Namibia. Counsel for the appellant in written argument relied on a judgment of this court</w:t>
      </w:r>
      <w:r w:rsidR="00F834A4">
        <w:rPr>
          <w:rFonts w:ascii="Arial" w:hAnsi="Arial" w:cs="Arial"/>
          <w:sz w:val="24"/>
          <w:szCs w:val="24"/>
        </w:rPr>
        <w:t>, namely</w:t>
      </w:r>
      <w:r w:rsidR="00B82DFC">
        <w:rPr>
          <w:rFonts w:ascii="Arial" w:hAnsi="Arial" w:cs="Arial"/>
          <w:sz w:val="24"/>
          <w:szCs w:val="24"/>
        </w:rPr>
        <w:t xml:space="preserve"> </w:t>
      </w:r>
      <w:r w:rsidR="0080270E">
        <w:rPr>
          <w:rFonts w:ascii="Arial" w:hAnsi="Arial" w:cs="Arial"/>
          <w:i/>
          <w:sz w:val="24"/>
          <w:szCs w:val="24"/>
        </w:rPr>
        <w:t>Miller &amp;</w:t>
      </w:r>
      <w:r w:rsidR="00B82DFC">
        <w:rPr>
          <w:rFonts w:ascii="Arial" w:hAnsi="Arial" w:cs="Arial"/>
          <w:i/>
          <w:sz w:val="24"/>
          <w:szCs w:val="24"/>
        </w:rPr>
        <w:t xml:space="preserve"> others NNO v Prosperity Africa Holdings (Pty) Ltd</w:t>
      </w:r>
      <w:r w:rsidR="00B82DFC" w:rsidRPr="0080270E">
        <w:rPr>
          <w:rStyle w:val="FootnoteReference"/>
          <w:rFonts w:ascii="Arial" w:hAnsi="Arial" w:cs="Arial"/>
          <w:sz w:val="24"/>
          <w:szCs w:val="24"/>
        </w:rPr>
        <w:footnoteReference w:id="1"/>
      </w:r>
      <w:r w:rsidR="00B82DFC">
        <w:rPr>
          <w:rFonts w:ascii="Arial" w:hAnsi="Arial" w:cs="Arial"/>
          <w:sz w:val="24"/>
          <w:szCs w:val="24"/>
        </w:rPr>
        <w:t xml:space="preserve"> in support of this contention.</w:t>
      </w:r>
    </w:p>
    <w:p w:rsidR="000373D3" w:rsidRPr="007A14D2" w:rsidRDefault="000373D3" w:rsidP="000373D3">
      <w:pPr>
        <w:pStyle w:val="NoSpacing"/>
        <w:spacing w:line="480" w:lineRule="auto"/>
        <w:jc w:val="both"/>
        <w:rPr>
          <w:rFonts w:ascii="Arial" w:hAnsi="Arial" w:cs="Arial"/>
          <w:sz w:val="24"/>
          <w:szCs w:val="24"/>
        </w:rPr>
      </w:pPr>
    </w:p>
    <w:p w:rsidR="00B82DFC" w:rsidRPr="005D14EF" w:rsidRDefault="00B82DFC" w:rsidP="00730B0F">
      <w:pPr>
        <w:pStyle w:val="NoSpacing"/>
        <w:numPr>
          <w:ilvl w:val="0"/>
          <w:numId w:val="4"/>
        </w:numPr>
        <w:spacing w:line="480" w:lineRule="auto"/>
        <w:ind w:left="0" w:firstLine="0"/>
        <w:jc w:val="both"/>
        <w:rPr>
          <w:rFonts w:ascii="Arial" w:hAnsi="Arial" w:cs="Arial"/>
          <w:sz w:val="24"/>
          <w:szCs w:val="24"/>
        </w:rPr>
      </w:pPr>
      <w:r w:rsidRPr="005D14EF">
        <w:rPr>
          <w:rFonts w:ascii="Arial" w:hAnsi="Arial" w:cs="Arial"/>
          <w:sz w:val="24"/>
          <w:szCs w:val="24"/>
        </w:rPr>
        <w:t xml:space="preserve">On the merits, the appellant </w:t>
      </w:r>
      <w:r w:rsidR="003F0E71" w:rsidRPr="005D14EF">
        <w:rPr>
          <w:rFonts w:ascii="Arial" w:hAnsi="Arial" w:cs="Arial"/>
          <w:sz w:val="24"/>
          <w:szCs w:val="24"/>
        </w:rPr>
        <w:t>referred to the terms of the deed of</w:t>
      </w:r>
      <w:r w:rsidRPr="005D14EF">
        <w:rPr>
          <w:rFonts w:ascii="Arial" w:hAnsi="Arial" w:cs="Arial"/>
          <w:sz w:val="24"/>
          <w:szCs w:val="24"/>
        </w:rPr>
        <w:t xml:space="preserve"> suretyship </w:t>
      </w:r>
      <w:r w:rsidR="003F0E71" w:rsidRPr="005D14EF">
        <w:rPr>
          <w:rFonts w:ascii="Arial" w:hAnsi="Arial" w:cs="Arial"/>
          <w:sz w:val="24"/>
          <w:szCs w:val="24"/>
        </w:rPr>
        <w:t xml:space="preserve">and argued that its obligation </w:t>
      </w:r>
      <w:r w:rsidRPr="005D14EF">
        <w:rPr>
          <w:rFonts w:ascii="Arial" w:hAnsi="Arial" w:cs="Arial"/>
          <w:sz w:val="24"/>
          <w:szCs w:val="24"/>
        </w:rPr>
        <w:t>was specifically restricted to only one cause of action, namely VXK</w:t>
      </w:r>
      <w:r w:rsidR="003061EB">
        <w:rPr>
          <w:rFonts w:ascii="Arial" w:hAnsi="Arial" w:cs="Arial"/>
          <w:sz w:val="24"/>
          <w:szCs w:val="24"/>
        </w:rPr>
        <w:t>’s failure to deliver granite to</w:t>
      </w:r>
      <w:r w:rsidRPr="005D14EF">
        <w:rPr>
          <w:rFonts w:ascii="Arial" w:hAnsi="Arial" w:cs="Arial"/>
          <w:sz w:val="24"/>
          <w:szCs w:val="24"/>
        </w:rPr>
        <w:t xml:space="preserve"> pay that comp</w:t>
      </w:r>
      <w:r w:rsidR="006C3C07" w:rsidRPr="005D14EF">
        <w:rPr>
          <w:rFonts w:ascii="Arial" w:hAnsi="Arial" w:cs="Arial"/>
          <w:sz w:val="24"/>
          <w:szCs w:val="24"/>
        </w:rPr>
        <w:t>on</w:t>
      </w:r>
      <w:r w:rsidRPr="005D14EF">
        <w:rPr>
          <w:rFonts w:ascii="Arial" w:hAnsi="Arial" w:cs="Arial"/>
          <w:sz w:val="24"/>
          <w:szCs w:val="24"/>
        </w:rPr>
        <w:t>ent</w:t>
      </w:r>
      <w:r w:rsidR="0080270E">
        <w:rPr>
          <w:rFonts w:ascii="Arial" w:hAnsi="Arial" w:cs="Arial"/>
          <w:sz w:val="24"/>
          <w:szCs w:val="24"/>
        </w:rPr>
        <w:t xml:space="preserve"> (US$2 </w:t>
      </w:r>
      <w:r w:rsidR="00F834A4">
        <w:rPr>
          <w:rFonts w:ascii="Arial" w:hAnsi="Arial" w:cs="Arial"/>
          <w:sz w:val="24"/>
          <w:szCs w:val="24"/>
        </w:rPr>
        <w:t>5</w:t>
      </w:r>
      <w:r w:rsidR="0080270E">
        <w:rPr>
          <w:rFonts w:ascii="Arial" w:hAnsi="Arial" w:cs="Arial"/>
          <w:sz w:val="24"/>
          <w:szCs w:val="24"/>
        </w:rPr>
        <w:t>00 000</w:t>
      </w:r>
      <w:r w:rsidR="00F834A4">
        <w:rPr>
          <w:rFonts w:ascii="Arial" w:hAnsi="Arial" w:cs="Arial"/>
          <w:sz w:val="24"/>
          <w:szCs w:val="24"/>
        </w:rPr>
        <w:t>)</w:t>
      </w:r>
      <w:r w:rsidRPr="005D14EF">
        <w:rPr>
          <w:rFonts w:ascii="Arial" w:hAnsi="Arial" w:cs="Arial"/>
          <w:sz w:val="24"/>
          <w:szCs w:val="24"/>
        </w:rPr>
        <w:t xml:space="preserve"> of the purchase price under clause 4.3 of the </w:t>
      </w:r>
      <w:r w:rsidR="003061EB">
        <w:rPr>
          <w:rFonts w:ascii="Arial" w:hAnsi="Arial" w:cs="Arial"/>
          <w:sz w:val="24"/>
          <w:szCs w:val="24"/>
        </w:rPr>
        <w:t>sale agreement</w:t>
      </w:r>
      <w:r w:rsidRPr="005D14EF">
        <w:rPr>
          <w:rFonts w:ascii="Arial" w:hAnsi="Arial" w:cs="Arial"/>
          <w:sz w:val="24"/>
          <w:szCs w:val="24"/>
        </w:rPr>
        <w:t xml:space="preserve">. </w:t>
      </w:r>
      <w:r w:rsidR="005D14EF" w:rsidRPr="005D14EF">
        <w:rPr>
          <w:rFonts w:ascii="Arial" w:hAnsi="Arial" w:cs="Arial"/>
          <w:sz w:val="24"/>
          <w:szCs w:val="24"/>
        </w:rPr>
        <w:t xml:space="preserve">The appellant asserted a defence of delivery – </w:t>
      </w:r>
      <w:r w:rsidR="005D14EF" w:rsidRPr="005D14EF">
        <w:rPr>
          <w:rFonts w:ascii="Arial" w:hAnsi="Arial" w:cs="Arial"/>
          <w:i/>
          <w:sz w:val="24"/>
          <w:szCs w:val="24"/>
        </w:rPr>
        <w:t>ad factum praestandum</w:t>
      </w:r>
      <w:r w:rsidR="005D14EF" w:rsidRPr="005D14EF">
        <w:rPr>
          <w:rFonts w:ascii="Arial" w:hAnsi="Arial" w:cs="Arial"/>
          <w:sz w:val="24"/>
          <w:szCs w:val="24"/>
        </w:rPr>
        <w:t xml:space="preserve"> against that claim, even though this defence had been dismissed by the arbitrator in the claim against VXK. A defence of prescription was also raised.</w:t>
      </w:r>
      <w:r w:rsidR="005D14EF">
        <w:rPr>
          <w:rFonts w:ascii="Arial" w:hAnsi="Arial" w:cs="Arial"/>
          <w:sz w:val="24"/>
          <w:szCs w:val="24"/>
        </w:rPr>
        <w:t xml:space="preserve"> </w:t>
      </w:r>
      <w:r w:rsidRPr="005D14EF">
        <w:rPr>
          <w:rFonts w:ascii="Arial" w:hAnsi="Arial" w:cs="Arial"/>
          <w:sz w:val="24"/>
          <w:szCs w:val="24"/>
        </w:rPr>
        <w:t xml:space="preserve">It was further argued that it was open to the appellant to raise any defence which was open to the VXK as principal debtor and that the </w:t>
      </w:r>
      <w:r w:rsidR="003061EB">
        <w:rPr>
          <w:rFonts w:ascii="Arial" w:hAnsi="Arial" w:cs="Arial"/>
          <w:sz w:val="24"/>
          <w:szCs w:val="24"/>
        </w:rPr>
        <w:t>appellant</w:t>
      </w:r>
      <w:r w:rsidRPr="005D14EF">
        <w:rPr>
          <w:rFonts w:ascii="Arial" w:hAnsi="Arial" w:cs="Arial"/>
          <w:sz w:val="24"/>
          <w:szCs w:val="24"/>
        </w:rPr>
        <w:t xml:space="preserve">’s liability under the suretyship was to indemnify Nottingham for VXK’s failure to </w:t>
      </w:r>
      <w:r w:rsidR="00562666" w:rsidRPr="005D14EF">
        <w:rPr>
          <w:rFonts w:ascii="Arial" w:hAnsi="Arial" w:cs="Arial"/>
          <w:sz w:val="24"/>
          <w:szCs w:val="24"/>
        </w:rPr>
        <w:t>deliver</w:t>
      </w:r>
      <w:r w:rsidRPr="005D14EF">
        <w:rPr>
          <w:rFonts w:ascii="Arial" w:hAnsi="Arial" w:cs="Arial"/>
          <w:sz w:val="24"/>
          <w:szCs w:val="24"/>
        </w:rPr>
        <w:t xml:space="preserve"> granite </w:t>
      </w:r>
      <w:r w:rsidR="00562666" w:rsidRPr="005D14EF">
        <w:rPr>
          <w:rFonts w:ascii="Arial" w:hAnsi="Arial" w:cs="Arial"/>
          <w:sz w:val="24"/>
          <w:szCs w:val="24"/>
        </w:rPr>
        <w:t xml:space="preserve">to the value required as part of the purchase price. The appellant maintained that owing to Nottingham’s deteriorating financial position, which proceeded its receivership, it failed to place orders or receive granite despite </w:t>
      </w:r>
      <w:r w:rsidR="003F0E71" w:rsidRPr="005D14EF">
        <w:rPr>
          <w:rFonts w:ascii="Arial" w:hAnsi="Arial" w:cs="Arial"/>
          <w:sz w:val="24"/>
          <w:szCs w:val="24"/>
        </w:rPr>
        <w:t>the</w:t>
      </w:r>
      <w:r w:rsidR="00562666" w:rsidRPr="005D14EF">
        <w:rPr>
          <w:rFonts w:ascii="Arial" w:hAnsi="Arial" w:cs="Arial"/>
          <w:sz w:val="24"/>
          <w:szCs w:val="24"/>
        </w:rPr>
        <w:t xml:space="preserve"> availability </w:t>
      </w:r>
      <w:r w:rsidR="003F0E71" w:rsidRPr="005D14EF">
        <w:rPr>
          <w:rFonts w:ascii="Arial" w:hAnsi="Arial" w:cs="Arial"/>
          <w:sz w:val="24"/>
          <w:szCs w:val="24"/>
        </w:rPr>
        <w:t>of granite and</w:t>
      </w:r>
      <w:r w:rsidR="00562666" w:rsidRPr="005D14EF">
        <w:rPr>
          <w:rFonts w:ascii="Arial" w:hAnsi="Arial" w:cs="Arial"/>
          <w:sz w:val="24"/>
          <w:szCs w:val="24"/>
        </w:rPr>
        <w:t xml:space="preserve"> VXK’s </w:t>
      </w:r>
      <w:r w:rsidR="003F0E71" w:rsidRPr="005D14EF">
        <w:rPr>
          <w:rFonts w:ascii="Arial" w:hAnsi="Arial" w:cs="Arial"/>
          <w:sz w:val="24"/>
          <w:szCs w:val="24"/>
        </w:rPr>
        <w:t>willingness to supply it</w:t>
      </w:r>
      <w:r w:rsidR="00562666" w:rsidRPr="005D14EF">
        <w:rPr>
          <w:rFonts w:ascii="Arial" w:hAnsi="Arial" w:cs="Arial"/>
          <w:sz w:val="24"/>
          <w:szCs w:val="24"/>
        </w:rPr>
        <w:t>. The appellant concluded that Nottingham was thus in breach of its obligations to order and receive granite which frustrated VXK’s ability to deliver granite and perform under the sale agreement.</w:t>
      </w:r>
    </w:p>
    <w:p w:rsidR="00562666" w:rsidRDefault="00562666" w:rsidP="00562666">
      <w:pPr>
        <w:pStyle w:val="ListParagraph"/>
        <w:rPr>
          <w:rFonts w:ascii="Arial" w:hAnsi="Arial" w:cs="Arial"/>
          <w:sz w:val="24"/>
          <w:szCs w:val="24"/>
        </w:rPr>
      </w:pPr>
    </w:p>
    <w:p w:rsidR="00562666" w:rsidRDefault="00562666" w:rsidP="000373D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respondent’s response to this defence of frustration was to point out that this defence had been rejected by the arbitrator in th</w:t>
      </w:r>
      <w:r w:rsidR="003061EB">
        <w:rPr>
          <w:rFonts w:ascii="Arial" w:hAnsi="Arial" w:cs="Arial"/>
          <w:sz w:val="24"/>
          <w:szCs w:val="24"/>
        </w:rPr>
        <w:t>e proceedings against VXK. T</w:t>
      </w:r>
      <w:r>
        <w:rPr>
          <w:rFonts w:ascii="Arial" w:hAnsi="Arial" w:cs="Arial"/>
          <w:sz w:val="24"/>
          <w:szCs w:val="24"/>
        </w:rPr>
        <w:t xml:space="preserve">he appellant was not </w:t>
      </w:r>
      <w:r w:rsidR="003061EB">
        <w:rPr>
          <w:rFonts w:ascii="Arial" w:hAnsi="Arial" w:cs="Arial"/>
          <w:sz w:val="24"/>
          <w:szCs w:val="24"/>
        </w:rPr>
        <w:t xml:space="preserve">however </w:t>
      </w:r>
      <w:r>
        <w:rPr>
          <w:rFonts w:ascii="Arial" w:hAnsi="Arial" w:cs="Arial"/>
          <w:sz w:val="24"/>
          <w:szCs w:val="24"/>
        </w:rPr>
        <w:t>party to those proceedings. It was pointed out that the arbitrator’</w:t>
      </w:r>
      <w:r w:rsidR="003061EB">
        <w:rPr>
          <w:rFonts w:ascii="Arial" w:hAnsi="Arial" w:cs="Arial"/>
          <w:sz w:val="24"/>
          <w:szCs w:val="24"/>
        </w:rPr>
        <w:t>s finding would be irrelevant in</w:t>
      </w:r>
      <w:r>
        <w:rPr>
          <w:rFonts w:ascii="Arial" w:hAnsi="Arial" w:cs="Arial"/>
          <w:sz w:val="24"/>
          <w:szCs w:val="24"/>
        </w:rPr>
        <w:t xml:space="preserve"> separate proceedings between different parties.</w:t>
      </w:r>
    </w:p>
    <w:p w:rsidR="000373D3" w:rsidRPr="000373D3" w:rsidRDefault="000373D3" w:rsidP="000373D3">
      <w:pPr>
        <w:pStyle w:val="NoSpacing"/>
        <w:spacing w:line="480" w:lineRule="auto"/>
        <w:jc w:val="both"/>
        <w:rPr>
          <w:rFonts w:ascii="Arial" w:hAnsi="Arial" w:cs="Arial"/>
          <w:sz w:val="24"/>
          <w:szCs w:val="24"/>
        </w:rPr>
      </w:pPr>
    </w:p>
    <w:p w:rsidR="00562666" w:rsidRDefault="00562666"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Appellant’s counsel contended that this defence met </w:t>
      </w:r>
      <w:r w:rsidR="003F0E71">
        <w:rPr>
          <w:rFonts w:ascii="Arial" w:hAnsi="Arial" w:cs="Arial"/>
          <w:sz w:val="24"/>
          <w:szCs w:val="24"/>
        </w:rPr>
        <w:t xml:space="preserve">the </w:t>
      </w:r>
      <w:r>
        <w:rPr>
          <w:rFonts w:ascii="Arial" w:hAnsi="Arial" w:cs="Arial"/>
          <w:sz w:val="24"/>
          <w:szCs w:val="24"/>
        </w:rPr>
        <w:t xml:space="preserve">low threshold </w:t>
      </w:r>
      <w:r w:rsidR="003F0E71">
        <w:rPr>
          <w:rFonts w:ascii="Arial" w:hAnsi="Arial" w:cs="Arial"/>
          <w:sz w:val="24"/>
          <w:szCs w:val="24"/>
        </w:rPr>
        <w:t>which</w:t>
      </w:r>
      <w:r>
        <w:rPr>
          <w:rFonts w:ascii="Arial" w:hAnsi="Arial" w:cs="Arial"/>
          <w:sz w:val="24"/>
          <w:szCs w:val="24"/>
        </w:rPr>
        <w:t xml:space="preserve"> respondent is required to </w:t>
      </w:r>
      <w:r w:rsidR="003061EB">
        <w:rPr>
          <w:rFonts w:ascii="Arial" w:hAnsi="Arial" w:cs="Arial"/>
          <w:sz w:val="24"/>
          <w:szCs w:val="24"/>
        </w:rPr>
        <w:t>meet</w:t>
      </w:r>
      <w:r>
        <w:rPr>
          <w:rFonts w:ascii="Arial" w:hAnsi="Arial" w:cs="Arial"/>
          <w:sz w:val="24"/>
          <w:szCs w:val="24"/>
        </w:rPr>
        <w:t xml:space="preserve"> in disputing indebtedne</w:t>
      </w:r>
      <w:r w:rsidR="003061EB">
        <w:rPr>
          <w:rFonts w:ascii="Arial" w:hAnsi="Arial" w:cs="Arial"/>
          <w:sz w:val="24"/>
          <w:szCs w:val="24"/>
        </w:rPr>
        <w:t>ss in winding</w:t>
      </w:r>
      <w:r w:rsidR="000C48E5">
        <w:rPr>
          <w:rFonts w:ascii="Arial" w:hAnsi="Arial" w:cs="Arial"/>
          <w:sz w:val="24"/>
          <w:szCs w:val="24"/>
        </w:rPr>
        <w:t>-</w:t>
      </w:r>
      <w:r w:rsidR="003061EB">
        <w:rPr>
          <w:rFonts w:ascii="Arial" w:hAnsi="Arial" w:cs="Arial"/>
          <w:sz w:val="24"/>
          <w:szCs w:val="24"/>
        </w:rPr>
        <w:t>up proceedings - by</w:t>
      </w:r>
      <w:r>
        <w:rPr>
          <w:rFonts w:ascii="Arial" w:hAnsi="Arial" w:cs="Arial"/>
          <w:sz w:val="24"/>
          <w:szCs w:val="24"/>
        </w:rPr>
        <w:t xml:space="preserve"> discharging the onus of proving</w:t>
      </w:r>
      <w:r w:rsidR="003061EB">
        <w:rPr>
          <w:rFonts w:ascii="Arial" w:hAnsi="Arial" w:cs="Arial"/>
          <w:sz w:val="24"/>
          <w:szCs w:val="24"/>
        </w:rPr>
        <w:t xml:space="preserve"> on</w:t>
      </w:r>
      <w:r>
        <w:rPr>
          <w:rFonts w:ascii="Arial" w:hAnsi="Arial" w:cs="Arial"/>
          <w:sz w:val="24"/>
          <w:szCs w:val="24"/>
        </w:rPr>
        <w:t xml:space="preserve"> a balance of probabilities that the dispute (of indebtedness) is </w:t>
      </w:r>
      <w:r>
        <w:rPr>
          <w:rFonts w:ascii="Arial" w:hAnsi="Arial" w:cs="Arial"/>
          <w:i/>
          <w:sz w:val="24"/>
          <w:szCs w:val="24"/>
        </w:rPr>
        <w:t>bona fide</w:t>
      </w:r>
      <w:r>
        <w:rPr>
          <w:rFonts w:ascii="Arial" w:hAnsi="Arial" w:cs="Arial"/>
          <w:sz w:val="24"/>
          <w:szCs w:val="24"/>
        </w:rPr>
        <w:t xml:space="preserve"> and on reasonable grounds.</w:t>
      </w:r>
      <w:r>
        <w:rPr>
          <w:rStyle w:val="FootnoteReference"/>
          <w:rFonts w:ascii="Arial" w:hAnsi="Arial" w:cs="Arial"/>
          <w:sz w:val="24"/>
          <w:szCs w:val="24"/>
        </w:rPr>
        <w:footnoteReference w:id="2"/>
      </w:r>
    </w:p>
    <w:p w:rsidR="00684F4E" w:rsidRDefault="00684F4E" w:rsidP="00684F4E">
      <w:pPr>
        <w:pStyle w:val="ListParagraph"/>
        <w:rPr>
          <w:rFonts w:ascii="Arial" w:hAnsi="Arial" w:cs="Arial"/>
          <w:sz w:val="24"/>
          <w:szCs w:val="24"/>
        </w:rPr>
      </w:pPr>
    </w:p>
    <w:p w:rsidR="00684F4E" w:rsidRDefault="00684F4E"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Respondent’s counsel disputed the appellant’s interpretation of the suretyship and argued that, as co-principal debtor, the appellant was liable </w:t>
      </w:r>
      <w:r w:rsidR="006C3C07">
        <w:rPr>
          <w:rFonts w:ascii="Arial" w:hAnsi="Arial" w:cs="Arial"/>
          <w:sz w:val="24"/>
          <w:szCs w:val="24"/>
        </w:rPr>
        <w:t xml:space="preserve">for the judgment debt </w:t>
      </w:r>
      <w:r>
        <w:rPr>
          <w:rFonts w:ascii="Arial" w:hAnsi="Arial" w:cs="Arial"/>
          <w:sz w:val="24"/>
          <w:szCs w:val="24"/>
        </w:rPr>
        <w:t>under the suretyship. Counsel also pointed out that reliance was placed upon the court order reflecting VXK’s indebtedness and that the appellant as surety was liable for that.</w:t>
      </w:r>
    </w:p>
    <w:p w:rsidR="003F0E71" w:rsidRDefault="003F0E71" w:rsidP="003F0E71">
      <w:pPr>
        <w:rPr>
          <w:rFonts w:ascii="Arial" w:hAnsi="Arial" w:cs="Arial"/>
          <w:sz w:val="24"/>
          <w:szCs w:val="24"/>
        </w:rPr>
      </w:pPr>
    </w:p>
    <w:p w:rsidR="003F0E71" w:rsidRPr="003F0E71" w:rsidRDefault="003F0E71" w:rsidP="003F0E71">
      <w:pPr>
        <w:rPr>
          <w:rFonts w:ascii="Arial" w:hAnsi="Arial" w:cs="Arial"/>
          <w:sz w:val="24"/>
          <w:szCs w:val="24"/>
          <w:u w:val="single"/>
        </w:rPr>
      </w:pPr>
      <w:r>
        <w:rPr>
          <w:rFonts w:ascii="Arial" w:hAnsi="Arial" w:cs="Arial"/>
          <w:sz w:val="24"/>
          <w:szCs w:val="24"/>
          <w:u w:val="single"/>
        </w:rPr>
        <w:t xml:space="preserve">The respondent’s </w:t>
      </w:r>
      <w:r w:rsidRPr="003F0E71">
        <w:rPr>
          <w:rFonts w:ascii="Arial" w:hAnsi="Arial" w:cs="Arial"/>
          <w:i/>
          <w:sz w:val="24"/>
          <w:szCs w:val="24"/>
          <w:u w:val="single"/>
        </w:rPr>
        <w:t>locus standi</w:t>
      </w:r>
    </w:p>
    <w:p w:rsidR="003F0E71" w:rsidRDefault="003F0E71"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liquidation</w:t>
      </w:r>
      <w:r w:rsidR="00F834A4">
        <w:rPr>
          <w:rFonts w:ascii="Arial" w:hAnsi="Arial" w:cs="Arial"/>
          <w:sz w:val="24"/>
          <w:szCs w:val="24"/>
        </w:rPr>
        <w:t xml:space="preserve"> application</w:t>
      </w:r>
      <w:r>
        <w:rPr>
          <w:rFonts w:ascii="Arial" w:hAnsi="Arial" w:cs="Arial"/>
          <w:sz w:val="24"/>
          <w:szCs w:val="24"/>
        </w:rPr>
        <w:t xml:space="preserve"> was brought by a firm appointed as receiver in terms of a court order </w:t>
      </w:r>
      <w:r w:rsidR="006C0094">
        <w:rPr>
          <w:rFonts w:ascii="Arial" w:hAnsi="Arial" w:cs="Arial"/>
          <w:sz w:val="24"/>
          <w:szCs w:val="24"/>
        </w:rPr>
        <w:t xml:space="preserve">of </w:t>
      </w:r>
      <w:r>
        <w:rPr>
          <w:rFonts w:ascii="Arial" w:hAnsi="Arial" w:cs="Arial"/>
          <w:sz w:val="24"/>
          <w:szCs w:val="24"/>
        </w:rPr>
        <w:t>the Superior Court of Douglas County, State of Georgia on 22 July 2011</w:t>
      </w:r>
      <w:r w:rsidR="006C3C07">
        <w:rPr>
          <w:rFonts w:ascii="Arial" w:hAnsi="Arial" w:cs="Arial"/>
          <w:sz w:val="24"/>
          <w:szCs w:val="24"/>
        </w:rPr>
        <w:t xml:space="preserve">. A </w:t>
      </w:r>
      <w:r>
        <w:rPr>
          <w:rFonts w:ascii="Arial" w:hAnsi="Arial" w:cs="Arial"/>
          <w:sz w:val="24"/>
          <w:szCs w:val="24"/>
        </w:rPr>
        <w:t xml:space="preserve">partner of that firm deposed to the founding affidavit and stated that the attached order had appointed his firm as receiver for several companies listed in it, including </w:t>
      </w:r>
      <w:r w:rsidR="003061EB">
        <w:rPr>
          <w:rFonts w:ascii="Arial" w:hAnsi="Arial" w:cs="Arial"/>
          <w:sz w:val="24"/>
          <w:szCs w:val="24"/>
        </w:rPr>
        <w:t>Nottingham</w:t>
      </w:r>
      <w:r>
        <w:rPr>
          <w:rFonts w:ascii="Arial" w:hAnsi="Arial" w:cs="Arial"/>
          <w:sz w:val="24"/>
          <w:szCs w:val="24"/>
        </w:rPr>
        <w:t>. Nottingham had been cited as a defendant in the proceedings culminating in the appointment of the receiver and had not opposed those proceedings or the appointment of the receiver.</w:t>
      </w:r>
    </w:p>
    <w:p w:rsidR="003F0E71" w:rsidRDefault="003F0E71" w:rsidP="003F0E71">
      <w:pPr>
        <w:pStyle w:val="ListParagraph"/>
        <w:rPr>
          <w:rFonts w:ascii="Arial" w:hAnsi="Arial" w:cs="Arial"/>
          <w:sz w:val="24"/>
          <w:szCs w:val="24"/>
        </w:rPr>
      </w:pPr>
    </w:p>
    <w:p w:rsidR="003F0E71" w:rsidRDefault="003061EB" w:rsidP="000373D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receiver had</w:t>
      </w:r>
      <w:r w:rsidR="003F0E71">
        <w:rPr>
          <w:rFonts w:ascii="Arial" w:hAnsi="Arial" w:cs="Arial"/>
          <w:sz w:val="24"/>
          <w:szCs w:val="24"/>
        </w:rPr>
        <w:t xml:space="preserve"> pursued Nottingham’s claim under the share sale agreement against VXK. This resulted in the arbitration proceedings in the second half of 2014 and culminated in the award made in January 2015.</w:t>
      </w:r>
    </w:p>
    <w:p w:rsidR="0005466C" w:rsidRPr="000373D3" w:rsidRDefault="0005466C" w:rsidP="0005466C">
      <w:pPr>
        <w:pStyle w:val="NoSpacing"/>
        <w:spacing w:line="480" w:lineRule="auto"/>
        <w:jc w:val="both"/>
        <w:rPr>
          <w:rFonts w:ascii="Arial" w:hAnsi="Arial" w:cs="Arial"/>
          <w:sz w:val="24"/>
          <w:szCs w:val="24"/>
        </w:rPr>
      </w:pPr>
    </w:p>
    <w:p w:rsidR="003F0E71" w:rsidRDefault="003F0E71" w:rsidP="006B013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applicant in the liquidation proceedings against the appellant is described</w:t>
      </w:r>
      <w:r w:rsidR="006C3C07">
        <w:rPr>
          <w:rFonts w:ascii="Arial" w:hAnsi="Arial" w:cs="Arial"/>
          <w:sz w:val="24"/>
          <w:szCs w:val="24"/>
        </w:rPr>
        <w:t xml:space="preserve"> by the receiver</w:t>
      </w:r>
      <w:r w:rsidR="00F834A4">
        <w:rPr>
          <w:rFonts w:ascii="Arial" w:hAnsi="Arial" w:cs="Arial"/>
          <w:sz w:val="24"/>
          <w:szCs w:val="24"/>
        </w:rPr>
        <w:t xml:space="preserve"> in the following way:</w:t>
      </w:r>
    </w:p>
    <w:p w:rsidR="007A14D2" w:rsidRPr="006B0139" w:rsidRDefault="007A14D2" w:rsidP="007A14D2">
      <w:pPr>
        <w:pStyle w:val="NoSpacing"/>
        <w:spacing w:line="480" w:lineRule="auto"/>
        <w:jc w:val="both"/>
        <w:rPr>
          <w:rFonts w:ascii="Arial" w:hAnsi="Arial" w:cs="Arial"/>
          <w:sz w:val="24"/>
          <w:szCs w:val="24"/>
        </w:rPr>
      </w:pPr>
    </w:p>
    <w:p w:rsidR="003F0E71" w:rsidRPr="00BE009E" w:rsidRDefault="00A82D85" w:rsidP="00BE009E">
      <w:pPr>
        <w:pStyle w:val="NoSpacing"/>
        <w:spacing w:line="360" w:lineRule="auto"/>
        <w:ind w:left="1440" w:hanging="720"/>
        <w:jc w:val="both"/>
        <w:rPr>
          <w:rFonts w:ascii="Arial" w:hAnsi="Arial" w:cs="Arial"/>
        </w:rPr>
      </w:pPr>
      <w:r w:rsidRPr="00BE009E">
        <w:rPr>
          <w:rFonts w:ascii="Arial" w:hAnsi="Arial" w:cs="Arial"/>
        </w:rPr>
        <w:t>‘</w:t>
      </w:r>
      <w:r w:rsidR="00BE009E" w:rsidRPr="00BE009E">
        <w:rPr>
          <w:rFonts w:ascii="Arial" w:hAnsi="Arial" w:cs="Arial"/>
        </w:rPr>
        <w:t>3.</w:t>
      </w:r>
      <w:r w:rsidR="00BE009E" w:rsidRPr="00BE009E">
        <w:rPr>
          <w:rFonts w:ascii="Arial" w:hAnsi="Arial" w:cs="Arial"/>
        </w:rPr>
        <w:tab/>
        <w:t>The applicant is Nottingham Incorporated, a company registered as such in accordance with the laws of the State of Georgia, United States of America, having its principle place of business at 1590 Jason Industrial Parkway, Winston, Douglas County, Georgia, United States of America.</w:t>
      </w:r>
    </w:p>
    <w:p w:rsidR="00BE009E" w:rsidRPr="00BE009E" w:rsidRDefault="00BE009E" w:rsidP="00BE009E">
      <w:pPr>
        <w:pStyle w:val="NoSpacing"/>
        <w:spacing w:line="360" w:lineRule="auto"/>
        <w:ind w:left="1440" w:hanging="720"/>
        <w:jc w:val="both"/>
        <w:rPr>
          <w:rFonts w:ascii="Arial" w:hAnsi="Arial" w:cs="Arial"/>
        </w:rPr>
      </w:pPr>
    </w:p>
    <w:p w:rsidR="00BE009E" w:rsidRPr="00BE009E" w:rsidRDefault="00BE009E" w:rsidP="00BE009E">
      <w:pPr>
        <w:pStyle w:val="NoSpacing"/>
        <w:spacing w:line="360" w:lineRule="auto"/>
        <w:ind w:left="1440" w:hanging="720"/>
        <w:jc w:val="both"/>
        <w:rPr>
          <w:rFonts w:ascii="Arial" w:hAnsi="Arial" w:cs="Arial"/>
        </w:rPr>
      </w:pPr>
      <w:r w:rsidRPr="00BE009E">
        <w:rPr>
          <w:rFonts w:ascii="Arial" w:hAnsi="Arial" w:cs="Arial"/>
        </w:rPr>
        <w:t>4.</w:t>
      </w:r>
      <w:r w:rsidRPr="00BE009E">
        <w:rPr>
          <w:rFonts w:ascii="Arial" w:hAnsi="Arial" w:cs="Arial"/>
        </w:rPr>
        <w:tab/>
        <w:t>The Superior Court of Douglas County, State of Georgia, U.S.A appointed Finley, Colmer &amp; Co as the Receiver of several companies incorporated in the U.S.A, including the applicant in this application, as appears from annexure MS 1 hereto. The order has been extended</w:t>
      </w:r>
      <w:r w:rsidR="00F834A4">
        <w:rPr>
          <w:rFonts w:ascii="Arial" w:hAnsi="Arial" w:cs="Arial"/>
        </w:rPr>
        <w:t xml:space="preserve"> on several occasions, as </w:t>
      </w:r>
      <w:r w:rsidR="00F834A4" w:rsidRPr="00DB681D">
        <w:rPr>
          <w:rFonts w:ascii="Arial" w:hAnsi="Arial" w:cs="Arial"/>
          <w:i/>
        </w:rPr>
        <w:t>inter</w:t>
      </w:r>
      <w:r w:rsidRPr="00DB681D">
        <w:rPr>
          <w:rFonts w:ascii="Arial" w:hAnsi="Arial" w:cs="Arial"/>
          <w:i/>
        </w:rPr>
        <w:t xml:space="preserve"> alia</w:t>
      </w:r>
      <w:r w:rsidRPr="00BE009E">
        <w:rPr>
          <w:rFonts w:ascii="Arial" w:hAnsi="Arial" w:cs="Arial"/>
        </w:rPr>
        <w:t xml:space="preserve"> appears from annexure MS 2 hereto.’</w:t>
      </w:r>
    </w:p>
    <w:p w:rsidR="003F0E71" w:rsidRPr="00BE009E" w:rsidRDefault="003F0E71" w:rsidP="00BE009E">
      <w:pPr>
        <w:pStyle w:val="ListParagraph"/>
        <w:spacing w:line="360" w:lineRule="auto"/>
        <w:rPr>
          <w:rFonts w:ascii="Arial" w:hAnsi="Arial" w:cs="Arial"/>
        </w:rPr>
      </w:pPr>
    </w:p>
    <w:p w:rsidR="003F0E71" w:rsidRDefault="00A82D85"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firm appointed as receiver th</w:t>
      </w:r>
      <w:r w:rsidR="003061EB">
        <w:rPr>
          <w:rFonts w:ascii="Arial" w:hAnsi="Arial" w:cs="Arial"/>
          <w:sz w:val="24"/>
          <w:szCs w:val="24"/>
        </w:rPr>
        <w:t>us</w:t>
      </w:r>
      <w:r>
        <w:rPr>
          <w:rFonts w:ascii="Arial" w:hAnsi="Arial" w:cs="Arial"/>
          <w:sz w:val="24"/>
          <w:szCs w:val="24"/>
        </w:rPr>
        <w:t xml:space="preserve"> </w:t>
      </w:r>
      <w:r w:rsidR="006C3C07">
        <w:rPr>
          <w:rFonts w:ascii="Arial" w:hAnsi="Arial" w:cs="Arial"/>
          <w:sz w:val="24"/>
          <w:szCs w:val="24"/>
        </w:rPr>
        <w:t>sought to bring</w:t>
      </w:r>
      <w:r>
        <w:rPr>
          <w:rFonts w:ascii="Arial" w:hAnsi="Arial" w:cs="Arial"/>
          <w:sz w:val="24"/>
          <w:szCs w:val="24"/>
        </w:rPr>
        <w:t xml:space="preserve"> the application on behalf of Nottingham.</w:t>
      </w:r>
    </w:p>
    <w:p w:rsidR="003F0E71" w:rsidRDefault="003F0E71" w:rsidP="003F0E71">
      <w:pPr>
        <w:pStyle w:val="ListParagraph"/>
        <w:rPr>
          <w:rFonts w:ascii="Arial" w:hAnsi="Arial" w:cs="Arial"/>
          <w:sz w:val="24"/>
          <w:szCs w:val="24"/>
        </w:rPr>
      </w:pPr>
    </w:p>
    <w:p w:rsidR="003061EB" w:rsidRDefault="00A82D85" w:rsidP="003061EB">
      <w:pPr>
        <w:pStyle w:val="NoSpacing"/>
        <w:numPr>
          <w:ilvl w:val="0"/>
          <w:numId w:val="4"/>
        </w:numPr>
        <w:spacing w:line="480" w:lineRule="auto"/>
        <w:ind w:left="0" w:firstLine="0"/>
        <w:jc w:val="both"/>
        <w:rPr>
          <w:rFonts w:ascii="Arial" w:hAnsi="Arial" w:cs="Arial"/>
          <w:sz w:val="24"/>
          <w:szCs w:val="24"/>
        </w:rPr>
      </w:pPr>
      <w:r w:rsidRPr="003061EB">
        <w:rPr>
          <w:rFonts w:ascii="Arial" w:hAnsi="Arial" w:cs="Arial"/>
          <w:sz w:val="24"/>
          <w:szCs w:val="24"/>
        </w:rPr>
        <w:t xml:space="preserve">There is no affidavit by an expert </w:t>
      </w:r>
      <w:r w:rsidR="006C3C07" w:rsidRPr="003061EB">
        <w:rPr>
          <w:rFonts w:ascii="Arial" w:hAnsi="Arial" w:cs="Arial"/>
          <w:sz w:val="24"/>
          <w:szCs w:val="24"/>
        </w:rPr>
        <w:t>o</w:t>
      </w:r>
      <w:r w:rsidRPr="003061EB">
        <w:rPr>
          <w:rFonts w:ascii="Arial" w:hAnsi="Arial" w:cs="Arial"/>
          <w:sz w:val="24"/>
          <w:szCs w:val="24"/>
        </w:rPr>
        <w:t>n the law of the State of Georgia testifying as to the powers of receiver</w:t>
      </w:r>
      <w:r w:rsidR="006C3C07" w:rsidRPr="003061EB">
        <w:rPr>
          <w:rFonts w:ascii="Arial" w:hAnsi="Arial" w:cs="Arial"/>
          <w:sz w:val="24"/>
          <w:szCs w:val="24"/>
        </w:rPr>
        <w:t>s</w:t>
      </w:r>
      <w:r w:rsidRPr="003061EB">
        <w:rPr>
          <w:rFonts w:ascii="Arial" w:hAnsi="Arial" w:cs="Arial"/>
          <w:sz w:val="24"/>
          <w:szCs w:val="24"/>
        </w:rPr>
        <w:t xml:space="preserve"> in these circumstances and the effect of such an order upon Nottingham. </w:t>
      </w:r>
    </w:p>
    <w:p w:rsidR="003061EB" w:rsidRPr="003061EB" w:rsidRDefault="003061EB" w:rsidP="003061EB">
      <w:pPr>
        <w:pStyle w:val="NoSpacing"/>
        <w:spacing w:line="480" w:lineRule="auto"/>
        <w:jc w:val="both"/>
        <w:rPr>
          <w:rFonts w:ascii="Arial" w:hAnsi="Arial" w:cs="Arial"/>
          <w:sz w:val="24"/>
          <w:szCs w:val="24"/>
        </w:rPr>
      </w:pPr>
    </w:p>
    <w:p w:rsidR="003F0E71" w:rsidRDefault="00A82D85"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challenge to Nottingham’s </w:t>
      </w:r>
      <w:r w:rsidRPr="00A82D85">
        <w:rPr>
          <w:rFonts w:ascii="Arial" w:hAnsi="Arial" w:cs="Arial"/>
          <w:i/>
          <w:sz w:val="24"/>
          <w:szCs w:val="24"/>
        </w:rPr>
        <w:t>locus standi</w:t>
      </w:r>
      <w:r>
        <w:rPr>
          <w:rFonts w:ascii="Arial" w:hAnsi="Arial" w:cs="Arial"/>
          <w:sz w:val="24"/>
          <w:szCs w:val="24"/>
        </w:rPr>
        <w:t xml:space="preserve"> is two pronged. It was firstly contended that the founding affidavit and court order did not establish standing for the receiver to bring the</w:t>
      </w:r>
      <w:r w:rsidR="000C48E5">
        <w:rPr>
          <w:rFonts w:ascii="Arial" w:hAnsi="Arial" w:cs="Arial"/>
          <w:sz w:val="24"/>
          <w:szCs w:val="24"/>
        </w:rPr>
        <w:t xml:space="preserve"> winding-</w:t>
      </w:r>
      <w:r w:rsidR="00F834A4">
        <w:rPr>
          <w:rFonts w:ascii="Arial" w:hAnsi="Arial" w:cs="Arial"/>
          <w:sz w:val="24"/>
          <w:szCs w:val="24"/>
        </w:rPr>
        <w:t>up</w:t>
      </w:r>
      <w:r>
        <w:rPr>
          <w:rFonts w:ascii="Arial" w:hAnsi="Arial" w:cs="Arial"/>
          <w:sz w:val="24"/>
          <w:szCs w:val="24"/>
        </w:rPr>
        <w:t xml:space="preserve"> proceedings on behalf of Nottingham. In the second place, it was argued that for the receiver to bring the proceedings, recognition was a prerequisite</w:t>
      </w:r>
      <w:r w:rsidR="003061EB">
        <w:rPr>
          <w:rFonts w:ascii="Arial" w:hAnsi="Arial" w:cs="Arial"/>
          <w:sz w:val="24"/>
          <w:szCs w:val="24"/>
        </w:rPr>
        <w:t xml:space="preserve">, citing this court’s judgment in </w:t>
      </w:r>
      <w:r w:rsidR="003061EB" w:rsidRPr="003061EB">
        <w:rPr>
          <w:rFonts w:ascii="Arial" w:hAnsi="Arial" w:cs="Arial"/>
          <w:i/>
          <w:sz w:val="24"/>
          <w:szCs w:val="24"/>
        </w:rPr>
        <w:t>Miller</w:t>
      </w:r>
      <w:r w:rsidR="003061EB">
        <w:rPr>
          <w:rFonts w:ascii="Arial" w:hAnsi="Arial" w:cs="Arial"/>
          <w:sz w:val="24"/>
          <w:szCs w:val="24"/>
        </w:rPr>
        <w:t>.</w:t>
      </w:r>
      <w:r>
        <w:rPr>
          <w:rFonts w:ascii="Arial" w:hAnsi="Arial" w:cs="Arial"/>
          <w:sz w:val="24"/>
          <w:szCs w:val="24"/>
        </w:rPr>
        <w:t xml:space="preserve"> In the absence of recognition, it </w:t>
      </w:r>
      <w:r w:rsidR="00F834A4">
        <w:rPr>
          <w:rFonts w:ascii="Arial" w:hAnsi="Arial" w:cs="Arial"/>
          <w:sz w:val="24"/>
          <w:szCs w:val="24"/>
        </w:rPr>
        <w:t xml:space="preserve">was argued that it </w:t>
      </w:r>
      <w:r>
        <w:rPr>
          <w:rFonts w:ascii="Arial" w:hAnsi="Arial" w:cs="Arial"/>
          <w:sz w:val="24"/>
          <w:szCs w:val="24"/>
        </w:rPr>
        <w:t xml:space="preserve">was not competent for the receiver to do so. </w:t>
      </w:r>
    </w:p>
    <w:p w:rsidR="003F0E71" w:rsidRDefault="003F0E71" w:rsidP="003F0E71">
      <w:pPr>
        <w:pStyle w:val="ListParagraph"/>
        <w:rPr>
          <w:rFonts w:ascii="Arial" w:hAnsi="Arial" w:cs="Arial"/>
          <w:sz w:val="24"/>
          <w:szCs w:val="24"/>
        </w:rPr>
      </w:pPr>
    </w:p>
    <w:p w:rsidR="00B56701" w:rsidRDefault="00B56701" w:rsidP="00B5670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respondent’s response was that the court order appointing the receiver, read in context</w:t>
      </w:r>
      <w:r w:rsidR="00F834A4">
        <w:rPr>
          <w:rFonts w:ascii="Arial" w:hAnsi="Arial" w:cs="Arial"/>
          <w:sz w:val="24"/>
          <w:szCs w:val="24"/>
        </w:rPr>
        <w:t>,</w:t>
      </w:r>
      <w:r>
        <w:rPr>
          <w:rFonts w:ascii="Arial" w:hAnsi="Arial" w:cs="Arial"/>
          <w:sz w:val="24"/>
          <w:szCs w:val="24"/>
        </w:rPr>
        <w:t xml:space="preserve"> provided </w:t>
      </w:r>
      <w:r w:rsidR="006C3C07">
        <w:rPr>
          <w:rFonts w:ascii="Arial" w:hAnsi="Arial" w:cs="Arial"/>
          <w:sz w:val="24"/>
          <w:szCs w:val="24"/>
        </w:rPr>
        <w:t>authority</w:t>
      </w:r>
      <w:r>
        <w:rPr>
          <w:rFonts w:ascii="Arial" w:hAnsi="Arial" w:cs="Arial"/>
          <w:sz w:val="24"/>
          <w:szCs w:val="24"/>
        </w:rPr>
        <w:t xml:space="preserve"> for the bringing of the application. It was further contended that Nottingham took an order in the High Court against VXK which is </w:t>
      </w:r>
      <w:r w:rsidR="007A14D2">
        <w:rPr>
          <w:rFonts w:ascii="Arial" w:hAnsi="Arial" w:cs="Arial"/>
          <w:sz w:val="24"/>
          <w:szCs w:val="24"/>
        </w:rPr>
        <w:t>enforceable.</w:t>
      </w:r>
    </w:p>
    <w:p w:rsidR="007A14D2" w:rsidRPr="006C0094" w:rsidRDefault="007A14D2" w:rsidP="007A14D2">
      <w:pPr>
        <w:pStyle w:val="NoSpacing"/>
        <w:spacing w:line="480" w:lineRule="auto"/>
        <w:jc w:val="both"/>
        <w:rPr>
          <w:rFonts w:ascii="Arial" w:hAnsi="Arial" w:cs="Arial"/>
          <w:sz w:val="24"/>
          <w:szCs w:val="24"/>
        </w:rPr>
      </w:pPr>
    </w:p>
    <w:p w:rsidR="00B56701" w:rsidRDefault="00B56701"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few days after the hearing of oral argument, this court requested the parties to file written supplementary argument on the effect of this court’s judgment in </w:t>
      </w:r>
      <w:r>
        <w:rPr>
          <w:rFonts w:ascii="Arial" w:hAnsi="Arial" w:cs="Arial"/>
          <w:i/>
          <w:sz w:val="24"/>
          <w:szCs w:val="24"/>
        </w:rPr>
        <w:t>Miller</w:t>
      </w:r>
      <w:r>
        <w:rPr>
          <w:rFonts w:ascii="Arial" w:hAnsi="Arial" w:cs="Arial"/>
          <w:sz w:val="24"/>
          <w:szCs w:val="24"/>
        </w:rPr>
        <w:t xml:space="preserve"> upon these proceedings</w:t>
      </w:r>
      <w:r w:rsidR="006C3C07">
        <w:rPr>
          <w:rFonts w:ascii="Arial" w:hAnsi="Arial" w:cs="Arial"/>
          <w:sz w:val="24"/>
          <w:szCs w:val="24"/>
        </w:rPr>
        <w:t xml:space="preserve"> as oral argument was not delivered on that issue</w:t>
      </w:r>
      <w:r>
        <w:rPr>
          <w:rFonts w:ascii="Arial" w:hAnsi="Arial" w:cs="Arial"/>
          <w:sz w:val="24"/>
          <w:szCs w:val="24"/>
        </w:rPr>
        <w:t>.</w:t>
      </w:r>
    </w:p>
    <w:p w:rsidR="00127445" w:rsidRDefault="00127445" w:rsidP="00127445">
      <w:pPr>
        <w:pStyle w:val="ListParagraph"/>
        <w:rPr>
          <w:rFonts w:ascii="Arial" w:hAnsi="Arial" w:cs="Arial"/>
          <w:sz w:val="24"/>
          <w:szCs w:val="24"/>
        </w:rPr>
      </w:pPr>
    </w:p>
    <w:p w:rsidR="00127445" w:rsidRDefault="00127445"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court in </w:t>
      </w:r>
      <w:r>
        <w:rPr>
          <w:rFonts w:ascii="Arial" w:hAnsi="Arial" w:cs="Arial"/>
          <w:i/>
          <w:sz w:val="24"/>
          <w:szCs w:val="24"/>
        </w:rPr>
        <w:t xml:space="preserve">Miller </w:t>
      </w:r>
      <w:r w:rsidRPr="00127445">
        <w:rPr>
          <w:rFonts w:ascii="Arial" w:hAnsi="Arial" w:cs="Arial"/>
          <w:sz w:val="24"/>
          <w:szCs w:val="24"/>
        </w:rPr>
        <w:t>conducted</w:t>
      </w:r>
      <w:r>
        <w:rPr>
          <w:rFonts w:ascii="Arial" w:hAnsi="Arial" w:cs="Arial"/>
          <w:sz w:val="24"/>
          <w:szCs w:val="24"/>
        </w:rPr>
        <w:t xml:space="preserve"> an extensive survey</w:t>
      </w:r>
      <w:r w:rsidR="00676451">
        <w:rPr>
          <w:rFonts w:ascii="Arial" w:hAnsi="Arial" w:cs="Arial"/>
          <w:sz w:val="24"/>
          <w:szCs w:val="24"/>
        </w:rPr>
        <w:t xml:space="preserve"> of applicable authority and concluded that foreign appointed liquidators of foreign corporations </w:t>
      </w:r>
      <w:r w:rsidR="006C3C07">
        <w:rPr>
          <w:rFonts w:ascii="Arial" w:hAnsi="Arial" w:cs="Arial"/>
          <w:sz w:val="24"/>
          <w:szCs w:val="24"/>
        </w:rPr>
        <w:t xml:space="preserve">are </w:t>
      </w:r>
      <w:r w:rsidR="00676451">
        <w:rPr>
          <w:rFonts w:ascii="Arial" w:hAnsi="Arial" w:cs="Arial"/>
          <w:sz w:val="24"/>
          <w:szCs w:val="24"/>
        </w:rPr>
        <w:t xml:space="preserve">required to seek and obtain recognition of the High Court to deal </w:t>
      </w:r>
      <w:r w:rsidR="006C3C07">
        <w:rPr>
          <w:rFonts w:ascii="Arial" w:hAnsi="Arial" w:cs="Arial"/>
          <w:sz w:val="24"/>
          <w:szCs w:val="24"/>
        </w:rPr>
        <w:t xml:space="preserve">in Namibia </w:t>
      </w:r>
      <w:r w:rsidR="00676451">
        <w:rPr>
          <w:rFonts w:ascii="Arial" w:hAnsi="Arial" w:cs="Arial"/>
          <w:sz w:val="24"/>
          <w:szCs w:val="24"/>
        </w:rPr>
        <w:t>with the assets of the corporation in liquidation.</w:t>
      </w:r>
      <w:r w:rsidR="00676451">
        <w:rPr>
          <w:rStyle w:val="FootnoteReference"/>
          <w:rFonts w:ascii="Arial" w:hAnsi="Arial" w:cs="Arial"/>
          <w:sz w:val="24"/>
          <w:szCs w:val="24"/>
        </w:rPr>
        <w:footnoteReference w:id="3"/>
      </w:r>
      <w:r w:rsidR="00676451">
        <w:rPr>
          <w:rFonts w:ascii="Arial" w:hAnsi="Arial" w:cs="Arial"/>
          <w:sz w:val="24"/>
          <w:szCs w:val="24"/>
        </w:rPr>
        <w:t xml:space="preserve"> As </w:t>
      </w:r>
      <w:r w:rsidR="006C3C07">
        <w:rPr>
          <w:rFonts w:ascii="Arial" w:hAnsi="Arial" w:cs="Arial"/>
          <w:sz w:val="24"/>
          <w:szCs w:val="24"/>
        </w:rPr>
        <w:t xml:space="preserve">was </w:t>
      </w:r>
      <w:r w:rsidR="00676451">
        <w:rPr>
          <w:rFonts w:ascii="Arial" w:hAnsi="Arial" w:cs="Arial"/>
          <w:sz w:val="24"/>
          <w:szCs w:val="24"/>
        </w:rPr>
        <w:t xml:space="preserve">held in </w:t>
      </w:r>
      <w:r w:rsidR="00676451">
        <w:rPr>
          <w:rFonts w:ascii="Arial" w:hAnsi="Arial" w:cs="Arial"/>
          <w:i/>
          <w:sz w:val="24"/>
          <w:szCs w:val="24"/>
        </w:rPr>
        <w:t>Miller</w:t>
      </w:r>
      <w:r w:rsidR="003061EB">
        <w:rPr>
          <w:rFonts w:ascii="Arial" w:hAnsi="Arial" w:cs="Arial"/>
          <w:sz w:val="24"/>
          <w:szCs w:val="24"/>
        </w:rPr>
        <w:t>:</w:t>
      </w:r>
    </w:p>
    <w:p w:rsidR="00676451" w:rsidRPr="00BE009E" w:rsidRDefault="00676451" w:rsidP="00BE009E">
      <w:pPr>
        <w:pStyle w:val="ListParagraph"/>
        <w:spacing w:line="360" w:lineRule="auto"/>
        <w:rPr>
          <w:rFonts w:ascii="Arial" w:hAnsi="Arial" w:cs="Arial"/>
        </w:rPr>
      </w:pPr>
    </w:p>
    <w:p w:rsidR="00676451" w:rsidRPr="00BE009E" w:rsidRDefault="00676451" w:rsidP="00BE009E">
      <w:pPr>
        <w:pStyle w:val="NoSpacing"/>
        <w:spacing w:line="360" w:lineRule="auto"/>
        <w:ind w:left="720"/>
        <w:jc w:val="both"/>
        <w:rPr>
          <w:rFonts w:ascii="Arial" w:hAnsi="Arial" w:cs="Arial"/>
        </w:rPr>
      </w:pPr>
      <w:r w:rsidRPr="00BE009E">
        <w:rPr>
          <w:rFonts w:ascii="Arial" w:hAnsi="Arial" w:cs="Arial"/>
        </w:rPr>
        <w:t>‘A foreign liquidator whose appointment has not been recognised simply lacks the power to act in that capacity in Namibia.’</w:t>
      </w:r>
      <w:r w:rsidRPr="00BE009E">
        <w:rPr>
          <w:rStyle w:val="FootnoteReference"/>
          <w:rFonts w:ascii="Arial" w:hAnsi="Arial" w:cs="Arial"/>
        </w:rPr>
        <w:footnoteReference w:id="4"/>
      </w:r>
    </w:p>
    <w:p w:rsidR="00676451" w:rsidRPr="00BE009E" w:rsidRDefault="00676451" w:rsidP="00BE009E">
      <w:pPr>
        <w:pStyle w:val="ListParagraph"/>
        <w:spacing w:line="360" w:lineRule="auto"/>
        <w:rPr>
          <w:rFonts w:ascii="Arial" w:hAnsi="Arial" w:cs="Arial"/>
        </w:rPr>
      </w:pPr>
    </w:p>
    <w:p w:rsidR="00676451" w:rsidRDefault="006C3C07"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w:t>
      </w:r>
      <w:r w:rsidR="00676451">
        <w:rPr>
          <w:rFonts w:ascii="Arial" w:hAnsi="Arial" w:cs="Arial"/>
          <w:sz w:val="24"/>
          <w:szCs w:val="24"/>
        </w:rPr>
        <w:t xml:space="preserve"> response to this invitation</w:t>
      </w:r>
      <w:r>
        <w:rPr>
          <w:rFonts w:ascii="Arial" w:hAnsi="Arial" w:cs="Arial"/>
          <w:sz w:val="24"/>
          <w:szCs w:val="24"/>
        </w:rPr>
        <w:t xml:space="preserve"> for further argument</w:t>
      </w:r>
      <w:r w:rsidR="00676451">
        <w:rPr>
          <w:rFonts w:ascii="Arial" w:hAnsi="Arial" w:cs="Arial"/>
          <w:sz w:val="24"/>
          <w:szCs w:val="24"/>
        </w:rPr>
        <w:t>, the appellant referred to its two pronged challenge or the issue of standing.</w:t>
      </w:r>
    </w:p>
    <w:p w:rsidR="00676451" w:rsidRDefault="00676451" w:rsidP="00676451">
      <w:pPr>
        <w:pStyle w:val="ListParagraph"/>
        <w:rPr>
          <w:rFonts w:ascii="Arial" w:hAnsi="Arial" w:cs="Arial"/>
          <w:sz w:val="24"/>
          <w:szCs w:val="24"/>
        </w:rPr>
      </w:pPr>
    </w:p>
    <w:p w:rsidR="00676451" w:rsidRDefault="00676451"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on the other hand contended that </w:t>
      </w:r>
      <w:r>
        <w:rPr>
          <w:rFonts w:ascii="Arial" w:hAnsi="Arial" w:cs="Arial"/>
          <w:i/>
          <w:sz w:val="24"/>
          <w:szCs w:val="24"/>
        </w:rPr>
        <w:t>Miller</w:t>
      </w:r>
      <w:r>
        <w:rPr>
          <w:rFonts w:ascii="Arial" w:hAnsi="Arial" w:cs="Arial"/>
          <w:sz w:val="24"/>
          <w:szCs w:val="24"/>
        </w:rPr>
        <w:t xml:space="preserve"> was distinguishable on the facts.</w:t>
      </w:r>
      <w:r w:rsidR="00B033BC">
        <w:rPr>
          <w:rFonts w:ascii="Arial" w:hAnsi="Arial" w:cs="Arial"/>
          <w:sz w:val="24"/>
          <w:szCs w:val="24"/>
        </w:rPr>
        <w:t xml:space="preserve"> It was argued that i</w:t>
      </w:r>
      <w:r w:rsidR="006C3C07">
        <w:rPr>
          <w:rFonts w:ascii="Arial" w:hAnsi="Arial" w:cs="Arial"/>
          <w:sz w:val="24"/>
          <w:szCs w:val="24"/>
        </w:rPr>
        <w:t>n</w:t>
      </w:r>
      <w:r>
        <w:rPr>
          <w:rFonts w:ascii="Arial" w:hAnsi="Arial" w:cs="Arial"/>
          <w:sz w:val="24"/>
          <w:szCs w:val="24"/>
        </w:rPr>
        <w:t xml:space="preserve"> </w:t>
      </w:r>
      <w:r>
        <w:rPr>
          <w:rFonts w:ascii="Arial" w:hAnsi="Arial" w:cs="Arial"/>
          <w:i/>
          <w:sz w:val="24"/>
          <w:szCs w:val="24"/>
        </w:rPr>
        <w:t>Miller</w:t>
      </w:r>
      <w:r>
        <w:rPr>
          <w:rFonts w:ascii="Arial" w:hAnsi="Arial" w:cs="Arial"/>
          <w:sz w:val="24"/>
          <w:szCs w:val="24"/>
        </w:rPr>
        <w:t>, the company’s capacity to act was curtailed and the directors could not act – and only the liquidators for practical purposes</w:t>
      </w:r>
      <w:r w:rsidR="003061EB">
        <w:rPr>
          <w:rFonts w:ascii="Arial" w:hAnsi="Arial" w:cs="Arial"/>
          <w:sz w:val="24"/>
          <w:szCs w:val="24"/>
        </w:rPr>
        <w:t xml:space="preserve"> could do so,</w:t>
      </w:r>
      <w:r>
        <w:rPr>
          <w:rFonts w:ascii="Arial" w:hAnsi="Arial" w:cs="Arial"/>
          <w:sz w:val="24"/>
          <w:szCs w:val="24"/>
        </w:rPr>
        <w:t xml:space="preserve"> whose powers were limited. It was contended that th</w:t>
      </w:r>
      <w:r w:rsidR="003061EB">
        <w:rPr>
          <w:rFonts w:ascii="Arial" w:hAnsi="Arial" w:cs="Arial"/>
          <w:sz w:val="24"/>
          <w:szCs w:val="24"/>
        </w:rPr>
        <w:t>e present</w:t>
      </w:r>
      <w:r>
        <w:rPr>
          <w:rFonts w:ascii="Arial" w:hAnsi="Arial" w:cs="Arial"/>
          <w:sz w:val="24"/>
          <w:szCs w:val="24"/>
        </w:rPr>
        <w:t xml:space="preserve"> </w:t>
      </w:r>
      <w:r w:rsidR="006C3C07">
        <w:rPr>
          <w:rFonts w:ascii="Arial" w:hAnsi="Arial" w:cs="Arial"/>
          <w:sz w:val="24"/>
          <w:szCs w:val="24"/>
        </w:rPr>
        <w:t>case</w:t>
      </w:r>
      <w:r>
        <w:rPr>
          <w:rFonts w:ascii="Arial" w:hAnsi="Arial" w:cs="Arial"/>
          <w:sz w:val="24"/>
          <w:szCs w:val="24"/>
        </w:rPr>
        <w:t xml:space="preserve"> is different. In</w:t>
      </w:r>
      <w:r w:rsidR="00F834A4">
        <w:rPr>
          <w:rFonts w:ascii="Arial" w:hAnsi="Arial" w:cs="Arial"/>
          <w:sz w:val="24"/>
          <w:szCs w:val="24"/>
        </w:rPr>
        <w:t xml:space="preserve"> its</w:t>
      </w:r>
      <w:r>
        <w:rPr>
          <w:rFonts w:ascii="Arial" w:hAnsi="Arial" w:cs="Arial"/>
          <w:sz w:val="24"/>
          <w:szCs w:val="24"/>
        </w:rPr>
        <w:t xml:space="preserve"> </w:t>
      </w:r>
      <w:r w:rsidR="006C3C07">
        <w:rPr>
          <w:rFonts w:ascii="Arial" w:hAnsi="Arial" w:cs="Arial"/>
          <w:sz w:val="24"/>
          <w:szCs w:val="24"/>
        </w:rPr>
        <w:t xml:space="preserve">supplementary </w:t>
      </w:r>
      <w:r w:rsidR="003061EB">
        <w:rPr>
          <w:rFonts w:ascii="Arial" w:hAnsi="Arial" w:cs="Arial"/>
          <w:sz w:val="24"/>
          <w:szCs w:val="24"/>
        </w:rPr>
        <w:t xml:space="preserve">written </w:t>
      </w:r>
      <w:r>
        <w:rPr>
          <w:rFonts w:ascii="Arial" w:hAnsi="Arial" w:cs="Arial"/>
          <w:sz w:val="24"/>
          <w:szCs w:val="24"/>
        </w:rPr>
        <w:t>argument</w:t>
      </w:r>
      <w:r w:rsidR="00F834A4">
        <w:rPr>
          <w:rFonts w:ascii="Arial" w:hAnsi="Arial" w:cs="Arial"/>
          <w:sz w:val="24"/>
          <w:szCs w:val="24"/>
        </w:rPr>
        <w:t>,</w:t>
      </w:r>
      <w:r>
        <w:rPr>
          <w:rFonts w:ascii="Arial" w:hAnsi="Arial" w:cs="Arial"/>
          <w:sz w:val="24"/>
          <w:szCs w:val="24"/>
        </w:rPr>
        <w:t xml:space="preserve"> it is stated </w:t>
      </w:r>
      <w:r w:rsidR="00F834A4">
        <w:rPr>
          <w:rFonts w:ascii="Arial" w:hAnsi="Arial" w:cs="Arial"/>
          <w:sz w:val="24"/>
          <w:szCs w:val="24"/>
        </w:rPr>
        <w:t>on behalf of the respondent</w:t>
      </w:r>
      <w:r w:rsidR="00DB681D">
        <w:rPr>
          <w:rFonts w:ascii="Arial" w:hAnsi="Arial" w:cs="Arial"/>
          <w:sz w:val="24"/>
          <w:szCs w:val="24"/>
        </w:rPr>
        <w:t xml:space="preserve"> </w:t>
      </w:r>
      <w:r>
        <w:rPr>
          <w:rFonts w:ascii="Arial" w:hAnsi="Arial" w:cs="Arial"/>
          <w:sz w:val="24"/>
          <w:szCs w:val="24"/>
        </w:rPr>
        <w:t xml:space="preserve">that the juristic status of </w:t>
      </w:r>
      <w:r w:rsidR="002C2CDC">
        <w:rPr>
          <w:rFonts w:ascii="Arial" w:hAnsi="Arial" w:cs="Arial"/>
          <w:sz w:val="24"/>
          <w:szCs w:val="24"/>
        </w:rPr>
        <w:t>Nottingham, registered in Georgia in the USA,</w:t>
      </w:r>
      <w:r w:rsidR="006C3C07">
        <w:rPr>
          <w:rFonts w:ascii="Arial" w:hAnsi="Arial" w:cs="Arial"/>
          <w:sz w:val="24"/>
          <w:szCs w:val="24"/>
        </w:rPr>
        <w:t xml:space="preserve"> had</w:t>
      </w:r>
      <w:r w:rsidR="002C2CDC">
        <w:rPr>
          <w:rFonts w:ascii="Arial" w:hAnsi="Arial" w:cs="Arial"/>
          <w:sz w:val="24"/>
          <w:szCs w:val="24"/>
        </w:rPr>
        <w:t xml:space="preserve"> not been altered by t</w:t>
      </w:r>
      <w:r w:rsidR="003061EB">
        <w:rPr>
          <w:rFonts w:ascii="Arial" w:hAnsi="Arial" w:cs="Arial"/>
          <w:sz w:val="24"/>
          <w:szCs w:val="24"/>
        </w:rPr>
        <w:t>he appointment of the receivers</w:t>
      </w:r>
      <w:r w:rsidR="002C2CDC">
        <w:rPr>
          <w:rFonts w:ascii="Arial" w:hAnsi="Arial" w:cs="Arial"/>
          <w:sz w:val="24"/>
          <w:szCs w:val="24"/>
        </w:rPr>
        <w:t xml:space="preserve"> and that ‘the receiver was appointed for G </w:t>
      </w:r>
      <w:r w:rsidR="000A3CE5">
        <w:rPr>
          <w:rFonts w:ascii="Arial" w:hAnsi="Arial" w:cs="Arial"/>
          <w:sz w:val="24"/>
          <w:szCs w:val="24"/>
        </w:rPr>
        <w:t>&amp;</w:t>
      </w:r>
      <w:r w:rsidR="002C2CDC">
        <w:rPr>
          <w:rFonts w:ascii="Arial" w:hAnsi="Arial" w:cs="Arial"/>
          <w:sz w:val="24"/>
          <w:szCs w:val="24"/>
        </w:rPr>
        <w:t xml:space="preserve"> L Marble and the collateral, not for the respondent.’ It is further stated that </w:t>
      </w:r>
      <w:r w:rsidR="00415417">
        <w:rPr>
          <w:rFonts w:ascii="Arial" w:hAnsi="Arial" w:cs="Arial"/>
          <w:sz w:val="24"/>
          <w:szCs w:val="24"/>
        </w:rPr>
        <w:t>Nottingham</w:t>
      </w:r>
      <w:r w:rsidR="002C2CDC">
        <w:rPr>
          <w:rFonts w:ascii="Arial" w:hAnsi="Arial" w:cs="Arial"/>
          <w:sz w:val="24"/>
          <w:szCs w:val="24"/>
        </w:rPr>
        <w:t xml:space="preserve"> and not the receiver instituted the arbitration proceedings and that the award was owing to </w:t>
      </w:r>
      <w:r w:rsidR="00415417">
        <w:rPr>
          <w:rFonts w:ascii="Arial" w:hAnsi="Arial" w:cs="Arial"/>
          <w:sz w:val="24"/>
          <w:szCs w:val="24"/>
        </w:rPr>
        <w:t>Nottingham</w:t>
      </w:r>
      <w:r w:rsidR="002C2CDC">
        <w:rPr>
          <w:rFonts w:ascii="Arial" w:hAnsi="Arial" w:cs="Arial"/>
          <w:sz w:val="24"/>
          <w:szCs w:val="24"/>
        </w:rPr>
        <w:t xml:space="preserve"> and not </w:t>
      </w:r>
      <w:r w:rsidR="003061EB">
        <w:rPr>
          <w:rFonts w:ascii="Arial" w:hAnsi="Arial" w:cs="Arial"/>
          <w:sz w:val="24"/>
          <w:szCs w:val="24"/>
        </w:rPr>
        <w:t xml:space="preserve">to </w:t>
      </w:r>
      <w:r w:rsidR="002C2CDC">
        <w:rPr>
          <w:rFonts w:ascii="Arial" w:hAnsi="Arial" w:cs="Arial"/>
          <w:sz w:val="24"/>
          <w:szCs w:val="24"/>
        </w:rPr>
        <w:t xml:space="preserve">the receiver. It was </w:t>
      </w:r>
      <w:r w:rsidR="006C3C07">
        <w:rPr>
          <w:rFonts w:ascii="Arial" w:hAnsi="Arial" w:cs="Arial"/>
          <w:sz w:val="24"/>
          <w:szCs w:val="24"/>
        </w:rPr>
        <w:t xml:space="preserve">argued that it was </w:t>
      </w:r>
      <w:r w:rsidR="002C2CDC">
        <w:rPr>
          <w:rFonts w:ascii="Arial" w:hAnsi="Arial" w:cs="Arial"/>
          <w:sz w:val="24"/>
          <w:szCs w:val="24"/>
        </w:rPr>
        <w:t xml:space="preserve">accordingly Nottingham which </w:t>
      </w:r>
      <w:r w:rsidR="006C3C07">
        <w:rPr>
          <w:rFonts w:ascii="Arial" w:hAnsi="Arial" w:cs="Arial"/>
          <w:sz w:val="24"/>
          <w:szCs w:val="24"/>
        </w:rPr>
        <w:t xml:space="preserve">had </w:t>
      </w:r>
      <w:r w:rsidR="002C2CDC">
        <w:rPr>
          <w:rFonts w:ascii="Arial" w:hAnsi="Arial" w:cs="Arial"/>
          <w:sz w:val="24"/>
          <w:szCs w:val="24"/>
        </w:rPr>
        <w:t xml:space="preserve">approached the court to liquidate the appellant and not the receiver who would have brought the application in his own name </w:t>
      </w:r>
      <w:r w:rsidR="002C2CDC">
        <w:rPr>
          <w:rFonts w:ascii="Arial" w:hAnsi="Arial" w:cs="Arial"/>
          <w:i/>
          <w:sz w:val="24"/>
          <w:szCs w:val="24"/>
        </w:rPr>
        <w:t>nomine officio</w:t>
      </w:r>
      <w:r w:rsidR="002C2CDC">
        <w:rPr>
          <w:rFonts w:ascii="Arial" w:hAnsi="Arial" w:cs="Arial"/>
          <w:sz w:val="24"/>
          <w:szCs w:val="24"/>
        </w:rPr>
        <w:t>.</w:t>
      </w:r>
    </w:p>
    <w:p w:rsidR="00676451" w:rsidRDefault="00676451" w:rsidP="00676451">
      <w:pPr>
        <w:pStyle w:val="ListParagraph"/>
        <w:rPr>
          <w:rFonts w:ascii="Arial" w:hAnsi="Arial" w:cs="Arial"/>
          <w:sz w:val="24"/>
          <w:szCs w:val="24"/>
        </w:rPr>
      </w:pPr>
    </w:p>
    <w:p w:rsidR="00676451" w:rsidRDefault="002C2CDC"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Despite the contention by the respondent that Nottingham’s juristic status has not been altered by the appointment of the receiver, this is not supported by the evidence of the deponent (a partner in the firm appointed as receiver). Nor is there any evidence of the law in the State of Georgia in the United States </w:t>
      </w:r>
      <w:r w:rsidR="00DB681D">
        <w:rPr>
          <w:rFonts w:ascii="Arial" w:hAnsi="Arial" w:cs="Arial"/>
          <w:sz w:val="24"/>
          <w:szCs w:val="24"/>
        </w:rPr>
        <w:t xml:space="preserve">of America </w:t>
      </w:r>
      <w:r>
        <w:rPr>
          <w:rFonts w:ascii="Arial" w:hAnsi="Arial" w:cs="Arial"/>
          <w:sz w:val="24"/>
          <w:szCs w:val="24"/>
        </w:rPr>
        <w:t>on the effect of the</w:t>
      </w:r>
      <w:r w:rsidR="006C3C07">
        <w:rPr>
          <w:rFonts w:ascii="Arial" w:hAnsi="Arial" w:cs="Arial"/>
          <w:sz w:val="24"/>
          <w:szCs w:val="24"/>
        </w:rPr>
        <w:t xml:space="preserve"> attached</w:t>
      </w:r>
      <w:r>
        <w:rPr>
          <w:rFonts w:ascii="Arial" w:hAnsi="Arial" w:cs="Arial"/>
          <w:sz w:val="24"/>
          <w:szCs w:val="24"/>
        </w:rPr>
        <w:t xml:space="preserve"> order of receivership upon the legal capacity to litig</w:t>
      </w:r>
      <w:r w:rsidR="00415417">
        <w:rPr>
          <w:rFonts w:ascii="Arial" w:hAnsi="Arial" w:cs="Arial"/>
          <w:sz w:val="24"/>
          <w:szCs w:val="24"/>
        </w:rPr>
        <w:t xml:space="preserve">ate on the part of Nottingham. </w:t>
      </w:r>
      <w:r>
        <w:rPr>
          <w:rFonts w:ascii="Arial" w:hAnsi="Arial" w:cs="Arial"/>
          <w:sz w:val="24"/>
          <w:szCs w:val="24"/>
        </w:rPr>
        <w:t xml:space="preserve">This court is accordingly confined to the </w:t>
      </w:r>
      <w:r w:rsidR="003061EB">
        <w:rPr>
          <w:rFonts w:ascii="Arial" w:hAnsi="Arial" w:cs="Arial"/>
          <w:sz w:val="24"/>
          <w:szCs w:val="24"/>
        </w:rPr>
        <w:t>evidence in</w:t>
      </w:r>
      <w:r w:rsidR="00DB681D">
        <w:rPr>
          <w:rFonts w:ascii="Arial" w:hAnsi="Arial" w:cs="Arial"/>
          <w:sz w:val="24"/>
          <w:szCs w:val="24"/>
        </w:rPr>
        <w:t xml:space="preserve"> the</w:t>
      </w:r>
      <w:r w:rsidR="003061EB">
        <w:rPr>
          <w:rFonts w:ascii="Arial" w:hAnsi="Arial" w:cs="Arial"/>
          <w:sz w:val="24"/>
          <w:szCs w:val="24"/>
        </w:rPr>
        <w:t xml:space="preserve"> founding</w:t>
      </w:r>
      <w:r>
        <w:rPr>
          <w:rFonts w:ascii="Arial" w:hAnsi="Arial" w:cs="Arial"/>
          <w:sz w:val="24"/>
          <w:szCs w:val="24"/>
        </w:rPr>
        <w:t xml:space="preserve"> affidavit </w:t>
      </w:r>
      <w:r w:rsidR="003061EB">
        <w:rPr>
          <w:rFonts w:ascii="Arial" w:hAnsi="Arial" w:cs="Arial"/>
          <w:sz w:val="24"/>
          <w:szCs w:val="24"/>
        </w:rPr>
        <w:t xml:space="preserve">of the partner in the receiver firm </w:t>
      </w:r>
      <w:r>
        <w:rPr>
          <w:rFonts w:ascii="Arial" w:hAnsi="Arial" w:cs="Arial"/>
          <w:sz w:val="24"/>
          <w:szCs w:val="24"/>
        </w:rPr>
        <w:t>in this regard and the terms of the attached court order.</w:t>
      </w:r>
    </w:p>
    <w:p w:rsidR="00676451" w:rsidRPr="003061EB" w:rsidRDefault="00676451" w:rsidP="003061EB">
      <w:pPr>
        <w:rPr>
          <w:rFonts w:ascii="Arial" w:hAnsi="Arial" w:cs="Arial"/>
          <w:sz w:val="24"/>
          <w:szCs w:val="24"/>
        </w:rPr>
      </w:pPr>
    </w:p>
    <w:p w:rsidR="00676451" w:rsidRDefault="002C2CDC"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Despite the respondent’s belated contention that the r</w:t>
      </w:r>
      <w:r w:rsidR="000A3CE5">
        <w:rPr>
          <w:rFonts w:ascii="Arial" w:hAnsi="Arial" w:cs="Arial"/>
          <w:sz w:val="24"/>
          <w:szCs w:val="24"/>
        </w:rPr>
        <w:t>eceiver was appointed for G &amp; L</w:t>
      </w:r>
      <w:r>
        <w:rPr>
          <w:rFonts w:ascii="Arial" w:hAnsi="Arial" w:cs="Arial"/>
          <w:sz w:val="24"/>
          <w:szCs w:val="24"/>
        </w:rPr>
        <w:t xml:space="preserve"> Marble Inc and not for Nottingham, the </w:t>
      </w:r>
      <w:r w:rsidR="006C3C07">
        <w:rPr>
          <w:rFonts w:ascii="Arial" w:hAnsi="Arial" w:cs="Arial"/>
          <w:sz w:val="24"/>
          <w:szCs w:val="24"/>
        </w:rPr>
        <w:t xml:space="preserve">receiver’s </w:t>
      </w:r>
      <w:r>
        <w:rPr>
          <w:rFonts w:ascii="Arial" w:hAnsi="Arial" w:cs="Arial"/>
          <w:sz w:val="24"/>
          <w:szCs w:val="24"/>
        </w:rPr>
        <w:t xml:space="preserve">founding affidavit is to the contrary. The deponent unequivocally states that his firm was appointed as receiver ‘for several companies, including the </w:t>
      </w:r>
      <w:r w:rsidR="000A3CE5">
        <w:rPr>
          <w:rFonts w:ascii="Arial" w:hAnsi="Arial" w:cs="Arial"/>
          <w:sz w:val="24"/>
          <w:szCs w:val="24"/>
        </w:rPr>
        <w:t>applicant</w:t>
      </w:r>
      <w:r>
        <w:rPr>
          <w:rFonts w:ascii="Arial" w:hAnsi="Arial" w:cs="Arial"/>
          <w:sz w:val="24"/>
          <w:szCs w:val="24"/>
        </w:rPr>
        <w:t xml:space="preserve"> (Nottingham)</w:t>
      </w:r>
      <w:r w:rsidR="000A3CE5">
        <w:rPr>
          <w:rFonts w:ascii="Arial" w:hAnsi="Arial" w:cs="Arial"/>
          <w:sz w:val="24"/>
          <w:szCs w:val="24"/>
        </w:rPr>
        <w:t>’</w:t>
      </w:r>
      <w:r>
        <w:rPr>
          <w:rFonts w:ascii="Arial" w:hAnsi="Arial" w:cs="Arial"/>
          <w:sz w:val="24"/>
          <w:szCs w:val="24"/>
        </w:rPr>
        <w:t>.</w:t>
      </w:r>
      <w:r w:rsidR="000A3CE5">
        <w:rPr>
          <w:rFonts w:ascii="Arial" w:hAnsi="Arial" w:cs="Arial"/>
          <w:sz w:val="24"/>
          <w:szCs w:val="24"/>
        </w:rPr>
        <w:t xml:space="preserve"> The order itself groups G &amp; L Marble Inc and nine other companies </w:t>
      </w:r>
      <w:r w:rsidR="006C3C07">
        <w:rPr>
          <w:rFonts w:ascii="Arial" w:hAnsi="Arial" w:cs="Arial"/>
          <w:sz w:val="24"/>
          <w:szCs w:val="24"/>
        </w:rPr>
        <w:t xml:space="preserve">including Nottingham </w:t>
      </w:r>
      <w:r w:rsidR="000A3CE5">
        <w:rPr>
          <w:rFonts w:ascii="Arial" w:hAnsi="Arial" w:cs="Arial"/>
          <w:sz w:val="24"/>
          <w:szCs w:val="24"/>
        </w:rPr>
        <w:t xml:space="preserve">together as the ‘borrowers’ which were cited as defendants. </w:t>
      </w:r>
      <w:r w:rsidR="003061EB">
        <w:rPr>
          <w:rFonts w:ascii="Arial" w:hAnsi="Arial" w:cs="Arial"/>
          <w:sz w:val="24"/>
          <w:szCs w:val="24"/>
        </w:rPr>
        <w:t>The order</w:t>
      </w:r>
      <w:r w:rsidR="000A3CE5">
        <w:rPr>
          <w:rFonts w:ascii="Arial" w:hAnsi="Arial" w:cs="Arial"/>
          <w:sz w:val="24"/>
          <w:szCs w:val="24"/>
        </w:rPr>
        <w:t xml:space="preserve"> proceeds to appoint the firm as receiver of G &amp; L Marble</w:t>
      </w:r>
      <w:r w:rsidR="006C3C07">
        <w:rPr>
          <w:rFonts w:ascii="Arial" w:hAnsi="Arial" w:cs="Arial"/>
          <w:sz w:val="24"/>
          <w:szCs w:val="24"/>
        </w:rPr>
        <w:t xml:space="preserve"> Inc ‘and the collateral’. C</w:t>
      </w:r>
      <w:r w:rsidR="000A3CE5">
        <w:rPr>
          <w:rFonts w:ascii="Arial" w:hAnsi="Arial" w:cs="Arial"/>
          <w:sz w:val="24"/>
          <w:szCs w:val="24"/>
        </w:rPr>
        <w:t xml:space="preserve">ollateral is </w:t>
      </w:r>
      <w:r w:rsidR="003061EB">
        <w:rPr>
          <w:rFonts w:ascii="Arial" w:hAnsi="Arial" w:cs="Arial"/>
          <w:sz w:val="24"/>
          <w:szCs w:val="24"/>
        </w:rPr>
        <w:t>defined</w:t>
      </w:r>
      <w:r w:rsidR="000A3CE5">
        <w:rPr>
          <w:rFonts w:ascii="Arial" w:hAnsi="Arial" w:cs="Arial"/>
          <w:sz w:val="24"/>
          <w:szCs w:val="24"/>
        </w:rPr>
        <w:t xml:space="preserve"> in the order as </w:t>
      </w:r>
      <w:r w:rsidR="006C3C07">
        <w:rPr>
          <w:rFonts w:ascii="Arial" w:hAnsi="Arial" w:cs="Arial"/>
          <w:sz w:val="24"/>
          <w:szCs w:val="24"/>
        </w:rPr>
        <w:t xml:space="preserve">the </w:t>
      </w:r>
      <w:r w:rsidR="000A3CE5">
        <w:rPr>
          <w:rFonts w:ascii="Arial" w:hAnsi="Arial" w:cs="Arial"/>
          <w:sz w:val="24"/>
          <w:szCs w:val="24"/>
        </w:rPr>
        <w:t>listed items of specified companies cited as defendants and borrowers as ‘personal property collateral’. It also refers to secured interest in real property specified in respect of certain of the same borrower</w:t>
      </w:r>
      <w:r w:rsidR="006C3C07">
        <w:rPr>
          <w:rFonts w:ascii="Arial" w:hAnsi="Arial" w:cs="Arial"/>
          <w:sz w:val="24"/>
          <w:szCs w:val="24"/>
        </w:rPr>
        <w:t>s</w:t>
      </w:r>
      <w:r w:rsidR="000A3CE5">
        <w:rPr>
          <w:rFonts w:ascii="Arial" w:hAnsi="Arial" w:cs="Arial"/>
          <w:sz w:val="24"/>
          <w:szCs w:val="24"/>
        </w:rPr>
        <w:t xml:space="preserve">. These </w:t>
      </w:r>
      <w:r w:rsidR="003061EB">
        <w:rPr>
          <w:rFonts w:ascii="Arial" w:hAnsi="Arial" w:cs="Arial"/>
          <w:sz w:val="24"/>
          <w:szCs w:val="24"/>
        </w:rPr>
        <w:t xml:space="preserve">interests </w:t>
      </w:r>
      <w:r w:rsidR="000A3CE5">
        <w:rPr>
          <w:rFonts w:ascii="Arial" w:hAnsi="Arial" w:cs="Arial"/>
          <w:sz w:val="24"/>
          <w:szCs w:val="24"/>
        </w:rPr>
        <w:t xml:space="preserve">are </w:t>
      </w:r>
      <w:r w:rsidR="006C3C07">
        <w:rPr>
          <w:rFonts w:ascii="Arial" w:hAnsi="Arial" w:cs="Arial"/>
          <w:sz w:val="24"/>
          <w:szCs w:val="24"/>
        </w:rPr>
        <w:t xml:space="preserve">in turn </w:t>
      </w:r>
      <w:r w:rsidR="000A3CE5">
        <w:rPr>
          <w:rFonts w:ascii="Arial" w:hAnsi="Arial" w:cs="Arial"/>
          <w:sz w:val="24"/>
          <w:szCs w:val="24"/>
        </w:rPr>
        <w:t xml:space="preserve">referred to as ‘real property collateral’ which together with the defined </w:t>
      </w:r>
      <w:r w:rsidR="006C3C07">
        <w:rPr>
          <w:rFonts w:ascii="Arial" w:hAnsi="Arial" w:cs="Arial"/>
          <w:sz w:val="24"/>
          <w:szCs w:val="24"/>
        </w:rPr>
        <w:t>‘</w:t>
      </w:r>
      <w:r w:rsidR="000A3CE5">
        <w:rPr>
          <w:rFonts w:ascii="Arial" w:hAnsi="Arial" w:cs="Arial"/>
          <w:sz w:val="24"/>
          <w:szCs w:val="24"/>
        </w:rPr>
        <w:t>personal property collateral</w:t>
      </w:r>
      <w:r w:rsidR="006C3C07">
        <w:rPr>
          <w:rFonts w:ascii="Arial" w:hAnsi="Arial" w:cs="Arial"/>
          <w:sz w:val="24"/>
          <w:szCs w:val="24"/>
        </w:rPr>
        <w:t>’</w:t>
      </w:r>
      <w:r w:rsidR="000A3CE5">
        <w:rPr>
          <w:rFonts w:ascii="Arial" w:hAnsi="Arial" w:cs="Arial"/>
          <w:sz w:val="24"/>
          <w:szCs w:val="24"/>
        </w:rPr>
        <w:t xml:space="preserve"> are collectively referred to as ‘the collateral’. That is how collateral is define</w:t>
      </w:r>
      <w:r w:rsidR="006C3C07">
        <w:rPr>
          <w:rFonts w:ascii="Arial" w:hAnsi="Arial" w:cs="Arial"/>
          <w:sz w:val="24"/>
          <w:szCs w:val="24"/>
        </w:rPr>
        <w:t>d</w:t>
      </w:r>
      <w:r w:rsidR="000A3CE5">
        <w:rPr>
          <w:rFonts w:ascii="Arial" w:hAnsi="Arial" w:cs="Arial"/>
          <w:sz w:val="24"/>
          <w:szCs w:val="24"/>
        </w:rPr>
        <w:t xml:space="preserve"> and </w:t>
      </w:r>
      <w:r w:rsidR="003061EB">
        <w:rPr>
          <w:rFonts w:ascii="Arial" w:hAnsi="Arial" w:cs="Arial"/>
          <w:sz w:val="24"/>
          <w:szCs w:val="24"/>
        </w:rPr>
        <w:t xml:space="preserve">is </w:t>
      </w:r>
      <w:r w:rsidR="000A3CE5">
        <w:rPr>
          <w:rFonts w:ascii="Arial" w:hAnsi="Arial" w:cs="Arial"/>
          <w:sz w:val="24"/>
          <w:szCs w:val="24"/>
        </w:rPr>
        <w:t xml:space="preserve">to be understood for the purpose </w:t>
      </w:r>
      <w:r w:rsidR="004F44AA">
        <w:rPr>
          <w:rFonts w:ascii="Arial" w:hAnsi="Arial" w:cs="Arial"/>
          <w:sz w:val="24"/>
          <w:szCs w:val="24"/>
        </w:rPr>
        <w:t>of the order. The firm’s appointment is as receiver of G &amp; L Marble Inc ‘and of the collateral.’</w:t>
      </w:r>
    </w:p>
    <w:p w:rsidR="00676451" w:rsidRDefault="00676451" w:rsidP="00676451">
      <w:pPr>
        <w:pStyle w:val="ListParagraph"/>
        <w:rPr>
          <w:rFonts w:ascii="Arial" w:hAnsi="Arial" w:cs="Arial"/>
          <w:sz w:val="24"/>
          <w:szCs w:val="24"/>
        </w:rPr>
      </w:pPr>
    </w:p>
    <w:p w:rsidR="00676451" w:rsidRDefault="004F44AA"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order further provides that the borrowers (which by definition includes Nottingham) and their employees and principals are ‘restrained and enjoined from the transaction of any business of the borrower or the collateral except with the prior approval of the receiver’. The receivership </w:t>
      </w:r>
      <w:r w:rsidR="003061EB">
        <w:rPr>
          <w:rFonts w:ascii="Arial" w:hAnsi="Arial" w:cs="Arial"/>
          <w:sz w:val="24"/>
          <w:szCs w:val="24"/>
        </w:rPr>
        <w:t>order vests</w:t>
      </w:r>
      <w:r w:rsidR="00534547">
        <w:rPr>
          <w:rFonts w:ascii="Arial" w:hAnsi="Arial" w:cs="Arial"/>
          <w:sz w:val="24"/>
          <w:szCs w:val="24"/>
        </w:rPr>
        <w:t xml:space="preserve"> authority in the receiver to the collateral which supersedes directors and shareholders of the borrowers with respect to the collateral. The order further provid</w:t>
      </w:r>
      <w:r w:rsidR="003061EB">
        <w:rPr>
          <w:rFonts w:ascii="Arial" w:hAnsi="Arial" w:cs="Arial"/>
          <w:sz w:val="24"/>
          <w:szCs w:val="24"/>
        </w:rPr>
        <w:t>es</w:t>
      </w:r>
      <w:r w:rsidR="00534547">
        <w:rPr>
          <w:rFonts w:ascii="Arial" w:hAnsi="Arial" w:cs="Arial"/>
          <w:sz w:val="24"/>
          <w:szCs w:val="24"/>
        </w:rPr>
        <w:t xml:space="preserve"> that the receiver was to take immediate possession of the collateral ‘and act as an officer of t</w:t>
      </w:r>
      <w:r w:rsidR="00415417">
        <w:rPr>
          <w:rFonts w:ascii="Arial" w:hAnsi="Arial" w:cs="Arial"/>
          <w:sz w:val="24"/>
          <w:szCs w:val="24"/>
        </w:rPr>
        <w:t>his court according to Georgia l</w:t>
      </w:r>
      <w:r w:rsidR="00534547">
        <w:rPr>
          <w:rFonts w:ascii="Arial" w:hAnsi="Arial" w:cs="Arial"/>
          <w:sz w:val="24"/>
          <w:szCs w:val="24"/>
        </w:rPr>
        <w:t>aw’.</w:t>
      </w:r>
    </w:p>
    <w:p w:rsidR="00676451" w:rsidRDefault="00676451" w:rsidP="00676451">
      <w:pPr>
        <w:pStyle w:val="ListParagraph"/>
        <w:rPr>
          <w:rFonts w:ascii="Arial" w:hAnsi="Arial" w:cs="Arial"/>
          <w:sz w:val="24"/>
          <w:szCs w:val="24"/>
        </w:rPr>
      </w:pPr>
    </w:p>
    <w:p w:rsidR="00676451" w:rsidRDefault="00534547"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position is in essence that Nottingham </w:t>
      </w:r>
      <w:r w:rsidR="008D28F6">
        <w:rPr>
          <w:rFonts w:ascii="Arial" w:hAnsi="Arial" w:cs="Arial"/>
          <w:sz w:val="24"/>
          <w:szCs w:val="24"/>
        </w:rPr>
        <w:t>and not the receiver is the applicant for liquidation. As a foreign company, it has sought recourse in this jurisdiction.</w:t>
      </w:r>
    </w:p>
    <w:p w:rsidR="008D28F6" w:rsidRDefault="008D28F6" w:rsidP="008D28F6">
      <w:pPr>
        <w:pStyle w:val="ListParagraph"/>
        <w:rPr>
          <w:rFonts w:ascii="Arial" w:hAnsi="Arial" w:cs="Arial"/>
          <w:sz w:val="24"/>
          <w:szCs w:val="24"/>
        </w:rPr>
      </w:pPr>
    </w:p>
    <w:p w:rsidR="008D28F6" w:rsidRDefault="008D28F6"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founding affidavit does not however bear out this contention. Whilst Nottingham is described and identified as the applicant – as a com</w:t>
      </w:r>
      <w:r w:rsidR="003061EB">
        <w:rPr>
          <w:rFonts w:ascii="Arial" w:hAnsi="Arial" w:cs="Arial"/>
          <w:sz w:val="24"/>
          <w:szCs w:val="24"/>
        </w:rPr>
        <w:t>pany registered in Georgia, USA -</w:t>
      </w:r>
      <w:r>
        <w:rPr>
          <w:rFonts w:ascii="Arial" w:hAnsi="Arial" w:cs="Arial"/>
          <w:sz w:val="24"/>
          <w:szCs w:val="24"/>
        </w:rPr>
        <w:t xml:space="preserve"> the partner in the receiver firm thereupon states that his firm is appointed as receiver for Nottingham in terms of the order</w:t>
      </w:r>
      <w:r w:rsidR="003061EB">
        <w:rPr>
          <w:rFonts w:ascii="Arial" w:hAnsi="Arial" w:cs="Arial"/>
          <w:sz w:val="24"/>
          <w:szCs w:val="24"/>
        </w:rPr>
        <w:t xml:space="preserve"> and that he acts on its behalf in bringing the application</w:t>
      </w:r>
      <w:r>
        <w:rPr>
          <w:rFonts w:ascii="Arial" w:hAnsi="Arial" w:cs="Arial"/>
          <w:sz w:val="24"/>
          <w:szCs w:val="24"/>
        </w:rPr>
        <w:t xml:space="preserve">. The fact that the proceedings are brought in the name of Nottingham and not by the receiver firm </w:t>
      </w:r>
      <w:r w:rsidRPr="008D28F6">
        <w:rPr>
          <w:rFonts w:ascii="Arial" w:hAnsi="Arial" w:cs="Arial"/>
          <w:i/>
          <w:sz w:val="24"/>
          <w:szCs w:val="24"/>
        </w:rPr>
        <w:t>nomine officio</w:t>
      </w:r>
      <w:r>
        <w:rPr>
          <w:rFonts w:ascii="Arial" w:hAnsi="Arial" w:cs="Arial"/>
          <w:sz w:val="24"/>
          <w:szCs w:val="24"/>
        </w:rPr>
        <w:t xml:space="preserve"> would not affect the actual position</w:t>
      </w:r>
      <w:r w:rsidR="00271DA7">
        <w:rPr>
          <w:rFonts w:ascii="Arial" w:hAnsi="Arial" w:cs="Arial"/>
          <w:sz w:val="24"/>
          <w:szCs w:val="24"/>
        </w:rPr>
        <w:t xml:space="preserve"> as to who is in fact bringing the application</w:t>
      </w:r>
      <w:r>
        <w:rPr>
          <w:rFonts w:ascii="Arial" w:hAnsi="Arial" w:cs="Arial"/>
          <w:sz w:val="24"/>
          <w:szCs w:val="24"/>
        </w:rPr>
        <w:t>. A court would after</w:t>
      </w:r>
      <w:r w:rsidR="00BE009E">
        <w:rPr>
          <w:rFonts w:ascii="Arial" w:hAnsi="Arial" w:cs="Arial"/>
          <w:sz w:val="24"/>
          <w:szCs w:val="24"/>
        </w:rPr>
        <w:t xml:space="preserve"> </w:t>
      </w:r>
      <w:r>
        <w:rPr>
          <w:rFonts w:ascii="Arial" w:hAnsi="Arial" w:cs="Arial"/>
          <w:sz w:val="24"/>
          <w:szCs w:val="24"/>
        </w:rPr>
        <w:t xml:space="preserve">all have regard to the substance and </w:t>
      </w:r>
      <w:r w:rsidR="006C3C07">
        <w:rPr>
          <w:rFonts w:ascii="Arial" w:hAnsi="Arial" w:cs="Arial"/>
          <w:sz w:val="24"/>
          <w:szCs w:val="24"/>
        </w:rPr>
        <w:t xml:space="preserve">not </w:t>
      </w:r>
      <w:r>
        <w:rPr>
          <w:rFonts w:ascii="Arial" w:hAnsi="Arial" w:cs="Arial"/>
          <w:sz w:val="24"/>
          <w:szCs w:val="24"/>
        </w:rPr>
        <w:t>the form in which the application is brought.</w:t>
      </w:r>
    </w:p>
    <w:p w:rsidR="00676451" w:rsidRDefault="00676451" w:rsidP="00676451">
      <w:pPr>
        <w:pStyle w:val="ListParagraph"/>
        <w:rPr>
          <w:rFonts w:ascii="Arial" w:hAnsi="Arial" w:cs="Arial"/>
          <w:sz w:val="24"/>
          <w:szCs w:val="24"/>
        </w:rPr>
      </w:pPr>
    </w:p>
    <w:p w:rsidR="00676451" w:rsidRDefault="006C3C07"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Furthermore</w:t>
      </w:r>
      <w:r w:rsidR="00DB681D">
        <w:rPr>
          <w:rFonts w:ascii="Arial" w:hAnsi="Arial" w:cs="Arial"/>
          <w:sz w:val="24"/>
          <w:szCs w:val="24"/>
        </w:rPr>
        <w:t>,</w:t>
      </w:r>
      <w:r>
        <w:rPr>
          <w:rFonts w:ascii="Arial" w:hAnsi="Arial" w:cs="Arial"/>
          <w:sz w:val="24"/>
          <w:szCs w:val="24"/>
        </w:rPr>
        <w:t xml:space="preserve"> the application was not</w:t>
      </w:r>
      <w:r w:rsidR="008D28F6">
        <w:rPr>
          <w:rFonts w:ascii="Arial" w:hAnsi="Arial" w:cs="Arial"/>
          <w:sz w:val="24"/>
          <w:szCs w:val="24"/>
        </w:rPr>
        <w:t xml:space="preserve"> launched by the ordinary structure of the company – by </w:t>
      </w:r>
      <w:r w:rsidR="00415417">
        <w:rPr>
          <w:rFonts w:ascii="Arial" w:hAnsi="Arial" w:cs="Arial"/>
          <w:sz w:val="24"/>
          <w:szCs w:val="24"/>
        </w:rPr>
        <w:t>its</w:t>
      </w:r>
      <w:r w:rsidR="008D28F6">
        <w:rPr>
          <w:rFonts w:ascii="Arial" w:hAnsi="Arial" w:cs="Arial"/>
          <w:sz w:val="24"/>
          <w:szCs w:val="24"/>
        </w:rPr>
        <w:t xml:space="preserve"> directors or its management – </w:t>
      </w:r>
      <w:r>
        <w:rPr>
          <w:rFonts w:ascii="Arial" w:hAnsi="Arial" w:cs="Arial"/>
          <w:sz w:val="24"/>
          <w:szCs w:val="24"/>
        </w:rPr>
        <w:t>but</w:t>
      </w:r>
      <w:r w:rsidR="008D28F6">
        <w:rPr>
          <w:rFonts w:ascii="Arial" w:hAnsi="Arial" w:cs="Arial"/>
          <w:sz w:val="24"/>
          <w:szCs w:val="24"/>
        </w:rPr>
        <w:t xml:space="preserve"> by the court appointed receiver in the capacity as receiver (as is stated under oath by the partner in </w:t>
      </w:r>
      <w:r w:rsidR="006C0094">
        <w:rPr>
          <w:rFonts w:ascii="Arial" w:hAnsi="Arial" w:cs="Arial"/>
          <w:sz w:val="24"/>
          <w:szCs w:val="24"/>
        </w:rPr>
        <w:t xml:space="preserve">the </w:t>
      </w:r>
      <w:r w:rsidR="008D28F6">
        <w:rPr>
          <w:rFonts w:ascii="Arial" w:hAnsi="Arial" w:cs="Arial"/>
          <w:sz w:val="24"/>
          <w:szCs w:val="24"/>
        </w:rPr>
        <w:t>receiver firm).</w:t>
      </w:r>
    </w:p>
    <w:p w:rsidR="00676451" w:rsidRDefault="00676451" w:rsidP="00676451">
      <w:pPr>
        <w:pStyle w:val="ListParagraph"/>
        <w:rPr>
          <w:rFonts w:ascii="Arial" w:hAnsi="Arial" w:cs="Arial"/>
          <w:sz w:val="24"/>
          <w:szCs w:val="24"/>
        </w:rPr>
      </w:pPr>
    </w:p>
    <w:p w:rsidR="00676451" w:rsidRDefault="008D28F6"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00271DA7">
        <w:rPr>
          <w:rFonts w:ascii="Arial" w:hAnsi="Arial" w:cs="Arial"/>
          <w:sz w:val="24"/>
          <w:szCs w:val="24"/>
        </w:rPr>
        <w:t xml:space="preserve">order </w:t>
      </w:r>
      <w:r>
        <w:rPr>
          <w:rFonts w:ascii="Arial" w:hAnsi="Arial" w:cs="Arial"/>
          <w:sz w:val="24"/>
          <w:szCs w:val="24"/>
        </w:rPr>
        <w:t>further expressly contemplates that Nottingham is precluded from transacting business save through or with the approval of the receiver.</w:t>
      </w:r>
    </w:p>
    <w:p w:rsidR="00F84318" w:rsidRDefault="00F84318" w:rsidP="00F84318">
      <w:pPr>
        <w:pStyle w:val="ListParagraph"/>
        <w:rPr>
          <w:rFonts w:ascii="Arial" w:hAnsi="Arial" w:cs="Arial"/>
          <w:sz w:val="24"/>
          <w:szCs w:val="24"/>
        </w:rPr>
      </w:pPr>
    </w:p>
    <w:p w:rsidR="00F84318" w:rsidRDefault="00F84318"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did not place any evidence as to the position under the law of Georgia of a receiver and the powers and </w:t>
      </w:r>
      <w:r w:rsidRPr="00C1315F">
        <w:rPr>
          <w:rFonts w:ascii="Arial" w:hAnsi="Arial" w:cs="Arial"/>
          <w:sz w:val="24"/>
          <w:szCs w:val="24"/>
        </w:rPr>
        <w:t>capacit</w:t>
      </w:r>
      <w:r w:rsidR="00C1315F" w:rsidRPr="00C1315F">
        <w:rPr>
          <w:rFonts w:ascii="Arial" w:hAnsi="Arial" w:cs="Arial"/>
          <w:sz w:val="24"/>
          <w:szCs w:val="24"/>
        </w:rPr>
        <w:t>ies</w:t>
      </w:r>
      <w:r w:rsidRPr="00C1315F">
        <w:rPr>
          <w:rFonts w:ascii="Arial" w:hAnsi="Arial" w:cs="Arial"/>
          <w:sz w:val="24"/>
          <w:szCs w:val="24"/>
        </w:rPr>
        <w:t xml:space="preserve"> v</w:t>
      </w:r>
      <w:r>
        <w:rPr>
          <w:rFonts w:ascii="Arial" w:hAnsi="Arial" w:cs="Arial"/>
          <w:sz w:val="24"/>
          <w:szCs w:val="24"/>
        </w:rPr>
        <w:t xml:space="preserve">ested in that office. The </w:t>
      </w:r>
      <w:r w:rsidR="00C04C67">
        <w:rPr>
          <w:rFonts w:ascii="Arial" w:hAnsi="Arial" w:cs="Arial"/>
          <w:sz w:val="24"/>
          <w:szCs w:val="24"/>
        </w:rPr>
        <w:t>belated</w:t>
      </w:r>
      <w:r>
        <w:rPr>
          <w:rFonts w:ascii="Arial" w:hAnsi="Arial" w:cs="Arial"/>
          <w:sz w:val="24"/>
          <w:szCs w:val="24"/>
        </w:rPr>
        <w:t xml:space="preserve"> assertion in supplementary</w:t>
      </w:r>
      <w:r w:rsidR="00271DA7">
        <w:rPr>
          <w:rFonts w:ascii="Arial" w:hAnsi="Arial" w:cs="Arial"/>
          <w:sz w:val="24"/>
          <w:szCs w:val="24"/>
        </w:rPr>
        <w:t xml:space="preserve"> written</w:t>
      </w:r>
      <w:r>
        <w:rPr>
          <w:rFonts w:ascii="Arial" w:hAnsi="Arial" w:cs="Arial"/>
          <w:sz w:val="24"/>
          <w:szCs w:val="24"/>
        </w:rPr>
        <w:t xml:space="preserve"> argument concerning the legal status of Nottingham upon appointment of a receiver cannot avail the respondent. It has not been properly e</w:t>
      </w:r>
      <w:r w:rsidR="00C04C67">
        <w:rPr>
          <w:rFonts w:ascii="Arial" w:hAnsi="Arial" w:cs="Arial"/>
          <w:sz w:val="24"/>
          <w:szCs w:val="24"/>
        </w:rPr>
        <w:t>stablish</w:t>
      </w:r>
      <w:r w:rsidR="00271DA7">
        <w:rPr>
          <w:rFonts w:ascii="Arial" w:hAnsi="Arial" w:cs="Arial"/>
          <w:sz w:val="24"/>
          <w:szCs w:val="24"/>
        </w:rPr>
        <w:t>ed</w:t>
      </w:r>
      <w:r w:rsidR="00C04C67">
        <w:rPr>
          <w:rFonts w:ascii="Arial" w:hAnsi="Arial" w:cs="Arial"/>
          <w:sz w:val="24"/>
          <w:szCs w:val="24"/>
        </w:rPr>
        <w:t xml:space="preserve"> and cannot be accepted and is in any event contrary to the evidence placed before the court.</w:t>
      </w:r>
    </w:p>
    <w:p w:rsidR="00DB681D" w:rsidRDefault="00DB681D" w:rsidP="00DB681D">
      <w:pPr>
        <w:pStyle w:val="NoSpacing"/>
        <w:spacing w:line="480" w:lineRule="auto"/>
        <w:jc w:val="both"/>
        <w:rPr>
          <w:rFonts w:ascii="Arial" w:hAnsi="Arial" w:cs="Arial"/>
          <w:sz w:val="24"/>
          <w:szCs w:val="24"/>
        </w:rPr>
      </w:pPr>
    </w:p>
    <w:p w:rsidR="00271DA7" w:rsidRDefault="00271DA7" w:rsidP="00F779B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would thus appear that the receiver appointed to manage the affairs of Nottingham, acting in that capacity, </w:t>
      </w:r>
      <w:r w:rsidR="00B033BC">
        <w:rPr>
          <w:rFonts w:ascii="Arial" w:hAnsi="Arial" w:cs="Arial"/>
          <w:sz w:val="24"/>
          <w:szCs w:val="24"/>
        </w:rPr>
        <w:t xml:space="preserve">launched </w:t>
      </w:r>
      <w:r>
        <w:rPr>
          <w:rFonts w:ascii="Arial" w:hAnsi="Arial" w:cs="Arial"/>
          <w:sz w:val="24"/>
          <w:szCs w:val="24"/>
        </w:rPr>
        <w:t xml:space="preserve">these proceedings. As has been spelt out in </w:t>
      </w:r>
      <w:r>
        <w:rPr>
          <w:rFonts w:ascii="Arial" w:hAnsi="Arial" w:cs="Arial"/>
          <w:i/>
          <w:sz w:val="24"/>
          <w:szCs w:val="24"/>
        </w:rPr>
        <w:t>Miller</w:t>
      </w:r>
      <w:r>
        <w:rPr>
          <w:rFonts w:ascii="Arial" w:hAnsi="Arial" w:cs="Arial"/>
          <w:sz w:val="24"/>
          <w:szCs w:val="24"/>
        </w:rPr>
        <w:t xml:space="preserve">, once a company is liquidated, its capacity to act is curtailed and its directors and management can no longer represent it, with the consequence that the liquidators (or receivers) are required to do so subject to the powers conferred upon them (by court order and applicable legislation). This is also reflected in the court order attached to the founding affidavit – in terms of which Nottingham’s capacity to act is severely curtailed. As was held in </w:t>
      </w:r>
      <w:r>
        <w:rPr>
          <w:rFonts w:ascii="Arial" w:hAnsi="Arial" w:cs="Arial"/>
          <w:i/>
          <w:sz w:val="24"/>
          <w:szCs w:val="24"/>
        </w:rPr>
        <w:t>Miller</w:t>
      </w:r>
      <w:r>
        <w:rPr>
          <w:rFonts w:ascii="Arial" w:hAnsi="Arial" w:cs="Arial"/>
          <w:sz w:val="24"/>
          <w:szCs w:val="24"/>
        </w:rPr>
        <w:t>, a liquidator (or receiver) would not be able to litigate in Namibia without recognition by the High Court.</w:t>
      </w:r>
      <w:r>
        <w:rPr>
          <w:rStyle w:val="FootnoteReference"/>
          <w:rFonts w:ascii="Arial" w:hAnsi="Arial" w:cs="Arial"/>
          <w:sz w:val="24"/>
          <w:szCs w:val="24"/>
        </w:rPr>
        <w:footnoteReference w:id="5"/>
      </w:r>
    </w:p>
    <w:p w:rsidR="00BC7791" w:rsidRPr="00F779B4" w:rsidRDefault="00BC7791" w:rsidP="00BC7791">
      <w:pPr>
        <w:pStyle w:val="NoSpacing"/>
        <w:spacing w:line="480" w:lineRule="auto"/>
        <w:jc w:val="both"/>
        <w:rPr>
          <w:rFonts w:ascii="Arial" w:hAnsi="Arial" w:cs="Arial"/>
          <w:sz w:val="24"/>
          <w:szCs w:val="24"/>
        </w:rPr>
      </w:pPr>
    </w:p>
    <w:p w:rsidR="00271DA7" w:rsidRDefault="00271DA7" w:rsidP="00271DA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underlying common law principle was neatly summarised in </w:t>
      </w:r>
      <w:r w:rsidR="00DB681D">
        <w:rPr>
          <w:rFonts w:ascii="Arial" w:hAnsi="Arial" w:cs="Arial"/>
          <w:i/>
          <w:sz w:val="24"/>
          <w:szCs w:val="24"/>
        </w:rPr>
        <w:t>Zinn NO</w:t>
      </w:r>
      <w:r>
        <w:rPr>
          <w:rFonts w:ascii="Arial" w:hAnsi="Arial" w:cs="Arial"/>
          <w:i/>
          <w:sz w:val="24"/>
          <w:szCs w:val="24"/>
        </w:rPr>
        <w:t xml:space="preserve"> v Westminster Bank Ltd</w:t>
      </w:r>
      <w:r w:rsidRPr="00B46062">
        <w:rPr>
          <w:rStyle w:val="FootnoteReference"/>
          <w:rFonts w:ascii="Arial" w:hAnsi="Arial" w:cs="Arial"/>
          <w:sz w:val="24"/>
          <w:szCs w:val="24"/>
        </w:rPr>
        <w:footnoteReference w:id="6"/>
      </w:r>
      <w:r w:rsidRPr="00B46062">
        <w:rPr>
          <w:rFonts w:ascii="Arial" w:hAnsi="Arial" w:cs="Arial"/>
          <w:sz w:val="24"/>
          <w:szCs w:val="24"/>
        </w:rPr>
        <w:t xml:space="preserve"> </w:t>
      </w:r>
      <w:r>
        <w:rPr>
          <w:rFonts w:ascii="Arial" w:hAnsi="Arial" w:cs="Arial"/>
          <w:sz w:val="24"/>
          <w:szCs w:val="24"/>
        </w:rPr>
        <w:t xml:space="preserve">(as followed by this court in </w:t>
      </w:r>
      <w:r>
        <w:rPr>
          <w:rFonts w:ascii="Arial" w:hAnsi="Arial" w:cs="Arial"/>
          <w:i/>
          <w:sz w:val="24"/>
          <w:szCs w:val="24"/>
        </w:rPr>
        <w:t>Miller</w:t>
      </w:r>
      <w:r>
        <w:rPr>
          <w:rFonts w:ascii="Arial" w:hAnsi="Arial" w:cs="Arial"/>
          <w:sz w:val="24"/>
          <w:szCs w:val="24"/>
        </w:rPr>
        <w:t>):</w:t>
      </w:r>
    </w:p>
    <w:p w:rsidR="00271DA7" w:rsidRPr="00BE009E" w:rsidRDefault="00271DA7" w:rsidP="00271DA7">
      <w:pPr>
        <w:pStyle w:val="ListParagraph"/>
        <w:spacing w:line="360" w:lineRule="auto"/>
        <w:rPr>
          <w:rFonts w:ascii="Arial" w:hAnsi="Arial" w:cs="Arial"/>
        </w:rPr>
      </w:pPr>
    </w:p>
    <w:p w:rsidR="00271DA7" w:rsidRPr="00BE009E" w:rsidRDefault="00271DA7" w:rsidP="00271DA7">
      <w:pPr>
        <w:pStyle w:val="NoSpacing"/>
        <w:spacing w:line="360" w:lineRule="auto"/>
        <w:ind w:left="720"/>
        <w:jc w:val="both"/>
        <w:rPr>
          <w:rFonts w:ascii="Arial" w:hAnsi="Arial" w:cs="Arial"/>
        </w:rPr>
      </w:pPr>
      <w:r w:rsidRPr="00BE009E">
        <w:rPr>
          <w:rFonts w:ascii="Arial" w:hAnsi="Arial" w:cs="Arial"/>
        </w:rPr>
        <w:t>‘. . . (w</w:t>
      </w:r>
      <w:r>
        <w:rPr>
          <w:rFonts w:ascii="Arial" w:hAnsi="Arial" w:cs="Arial"/>
        </w:rPr>
        <w:t>)</w:t>
      </w:r>
      <w:r w:rsidRPr="00BE009E">
        <w:rPr>
          <w:rFonts w:ascii="Arial" w:hAnsi="Arial" w:cs="Arial"/>
        </w:rPr>
        <w:t>hen a foreign representative, whatever name he may be given elsewhere, claims property in this country, by virtue of his foreign authorisation, he requires recognition by a court of law or person of competent jurisdiction in South Africa.’</w:t>
      </w:r>
      <w:r w:rsidRPr="00BE009E">
        <w:rPr>
          <w:rStyle w:val="FootnoteReference"/>
          <w:rFonts w:ascii="Arial" w:hAnsi="Arial" w:cs="Arial"/>
        </w:rPr>
        <w:footnoteReference w:id="7"/>
      </w:r>
    </w:p>
    <w:p w:rsidR="00271DA7" w:rsidRPr="00BE009E" w:rsidRDefault="00271DA7" w:rsidP="00271DA7">
      <w:pPr>
        <w:pStyle w:val="ListParagraph"/>
        <w:spacing w:line="360" w:lineRule="auto"/>
        <w:rPr>
          <w:rFonts w:ascii="Arial" w:hAnsi="Arial" w:cs="Arial"/>
        </w:rPr>
      </w:pPr>
    </w:p>
    <w:p w:rsidR="00271DA7" w:rsidRDefault="00271DA7" w:rsidP="00271DA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this application, the r</w:t>
      </w:r>
      <w:r w:rsidR="000C48E5">
        <w:rPr>
          <w:rFonts w:ascii="Arial" w:hAnsi="Arial" w:cs="Arial"/>
          <w:sz w:val="24"/>
          <w:szCs w:val="24"/>
        </w:rPr>
        <w:t>eceiver has brought the winding-</w:t>
      </w:r>
      <w:r>
        <w:rPr>
          <w:rFonts w:ascii="Arial" w:hAnsi="Arial" w:cs="Arial"/>
          <w:sz w:val="24"/>
          <w:szCs w:val="24"/>
        </w:rPr>
        <w:t xml:space="preserve">up application on behalf of Nottingham. Whether or not the application was brought in the name of Nottingham or in the name of the receiver </w:t>
      </w:r>
      <w:r w:rsidRPr="00B46062">
        <w:rPr>
          <w:rFonts w:ascii="Arial" w:hAnsi="Arial" w:cs="Arial"/>
          <w:i/>
          <w:sz w:val="24"/>
          <w:szCs w:val="24"/>
        </w:rPr>
        <w:t>nomine officio</w:t>
      </w:r>
      <w:r>
        <w:rPr>
          <w:rFonts w:ascii="Arial" w:hAnsi="Arial" w:cs="Arial"/>
          <w:sz w:val="24"/>
          <w:szCs w:val="24"/>
        </w:rPr>
        <w:t>, this court would have regard to substance and require that the receiver first obtain recognition by the High Court in order to do so. This was not done. In the absence of recognition, the receiver does not have standing to bring these proceedings.</w:t>
      </w:r>
    </w:p>
    <w:p w:rsidR="00271DA7" w:rsidRPr="00271DA7" w:rsidRDefault="00271DA7" w:rsidP="00271DA7">
      <w:pPr>
        <w:rPr>
          <w:rFonts w:ascii="Arial" w:hAnsi="Arial" w:cs="Arial"/>
          <w:sz w:val="24"/>
          <w:szCs w:val="24"/>
        </w:rPr>
      </w:pPr>
    </w:p>
    <w:p w:rsidR="00271DA7" w:rsidRDefault="00271DA7" w:rsidP="00C5440D">
      <w:pPr>
        <w:pStyle w:val="NoSpacing"/>
        <w:numPr>
          <w:ilvl w:val="0"/>
          <w:numId w:val="4"/>
        </w:numPr>
        <w:spacing w:line="480" w:lineRule="auto"/>
        <w:ind w:left="0" w:firstLine="0"/>
        <w:jc w:val="both"/>
        <w:rPr>
          <w:rFonts w:ascii="Arial" w:hAnsi="Arial" w:cs="Arial"/>
          <w:sz w:val="24"/>
          <w:szCs w:val="24"/>
        </w:rPr>
      </w:pPr>
      <w:r w:rsidRPr="00271DA7">
        <w:rPr>
          <w:rFonts w:ascii="Arial" w:hAnsi="Arial" w:cs="Arial"/>
          <w:sz w:val="24"/>
          <w:szCs w:val="24"/>
        </w:rPr>
        <w:t>If the application was launched by Nottingham itself, represented by the receiver firm, as is asserted on behalf of the respondent, the order and allegations in the founding affida</w:t>
      </w:r>
      <w:r>
        <w:rPr>
          <w:rFonts w:ascii="Arial" w:hAnsi="Arial" w:cs="Arial"/>
          <w:sz w:val="24"/>
          <w:szCs w:val="24"/>
        </w:rPr>
        <w:t>vit furthermore did not establish standing.</w:t>
      </w:r>
    </w:p>
    <w:p w:rsidR="00271DA7" w:rsidRPr="00271DA7" w:rsidRDefault="00271DA7" w:rsidP="00271DA7">
      <w:pPr>
        <w:pStyle w:val="NoSpacing"/>
        <w:spacing w:line="480" w:lineRule="auto"/>
        <w:jc w:val="both"/>
        <w:rPr>
          <w:rFonts w:ascii="Arial" w:hAnsi="Arial" w:cs="Arial"/>
          <w:sz w:val="24"/>
          <w:szCs w:val="24"/>
        </w:rPr>
      </w:pPr>
    </w:p>
    <w:p w:rsidR="000F542F" w:rsidRDefault="00F84318" w:rsidP="000F542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822C33">
        <w:rPr>
          <w:rFonts w:ascii="Arial" w:hAnsi="Arial" w:cs="Arial"/>
          <w:sz w:val="24"/>
          <w:szCs w:val="24"/>
        </w:rPr>
        <w:t>terms of the court order define</w:t>
      </w:r>
      <w:r>
        <w:rPr>
          <w:rFonts w:ascii="Arial" w:hAnsi="Arial" w:cs="Arial"/>
          <w:sz w:val="24"/>
          <w:szCs w:val="24"/>
        </w:rPr>
        <w:t xml:space="preserve"> collateral. Claims of Nottingham </w:t>
      </w:r>
      <w:r w:rsidR="00822C33">
        <w:rPr>
          <w:rFonts w:ascii="Arial" w:hAnsi="Arial" w:cs="Arial"/>
          <w:sz w:val="24"/>
          <w:szCs w:val="24"/>
        </w:rPr>
        <w:t>are</w:t>
      </w:r>
      <w:r>
        <w:rPr>
          <w:rFonts w:ascii="Arial" w:hAnsi="Arial" w:cs="Arial"/>
          <w:sz w:val="24"/>
          <w:szCs w:val="24"/>
        </w:rPr>
        <w:t xml:space="preserve"> not included in that definition. The order also does not empower the receiver to bring winding-up proceedings against Nottingham’s debtors. The reliance by the </w:t>
      </w:r>
      <w:r w:rsidR="000F542F">
        <w:rPr>
          <w:rFonts w:ascii="Arial" w:hAnsi="Arial" w:cs="Arial"/>
          <w:sz w:val="24"/>
          <w:szCs w:val="24"/>
        </w:rPr>
        <w:t>respondent upon the receiver’s authorisation to ‘engage legal counsel to bring on behalf of borrowers such lawsuits as might have been necessary to recover the collateral’ does not assist the respondent if the claim is not included in the definition of collateral contained in the court order.</w:t>
      </w:r>
    </w:p>
    <w:p w:rsidR="000F542F" w:rsidRDefault="000F542F" w:rsidP="000F542F">
      <w:pPr>
        <w:pStyle w:val="ListParagraph"/>
        <w:rPr>
          <w:rFonts w:ascii="Arial" w:hAnsi="Arial" w:cs="Arial"/>
          <w:sz w:val="24"/>
          <w:szCs w:val="24"/>
        </w:rPr>
      </w:pPr>
    </w:p>
    <w:p w:rsidR="000F542F" w:rsidRDefault="006D6DA9" w:rsidP="000F542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would follow in my view that the bringing of </w:t>
      </w:r>
      <w:r w:rsidR="000C48E5">
        <w:rPr>
          <w:rFonts w:ascii="Arial" w:hAnsi="Arial" w:cs="Arial"/>
          <w:sz w:val="24"/>
          <w:szCs w:val="24"/>
        </w:rPr>
        <w:t>winding-</w:t>
      </w:r>
      <w:r w:rsidR="00AD3A9E">
        <w:rPr>
          <w:rFonts w:ascii="Arial" w:hAnsi="Arial" w:cs="Arial"/>
          <w:sz w:val="24"/>
          <w:szCs w:val="24"/>
        </w:rPr>
        <w:t>up proceedings against the appellant on behalf of Nottingham is not authorised by the court order. The receiver</w:t>
      </w:r>
      <w:r w:rsidR="00415417">
        <w:rPr>
          <w:rFonts w:ascii="Arial" w:hAnsi="Arial" w:cs="Arial"/>
          <w:sz w:val="24"/>
          <w:szCs w:val="24"/>
        </w:rPr>
        <w:t xml:space="preserve"> relies</w:t>
      </w:r>
      <w:r w:rsidR="00AD3A9E">
        <w:rPr>
          <w:rFonts w:ascii="Arial" w:hAnsi="Arial" w:cs="Arial"/>
          <w:sz w:val="24"/>
          <w:szCs w:val="24"/>
        </w:rPr>
        <w:t xml:space="preserve"> </w:t>
      </w:r>
      <w:r w:rsidR="00C04C67">
        <w:rPr>
          <w:rFonts w:ascii="Arial" w:hAnsi="Arial" w:cs="Arial"/>
          <w:sz w:val="24"/>
          <w:szCs w:val="24"/>
        </w:rPr>
        <w:t>upon</w:t>
      </w:r>
      <w:r w:rsidR="00AD3A9E">
        <w:rPr>
          <w:rFonts w:ascii="Arial" w:hAnsi="Arial" w:cs="Arial"/>
          <w:sz w:val="24"/>
          <w:szCs w:val="24"/>
        </w:rPr>
        <w:t xml:space="preserve"> the court order for the authority to bring the pr</w:t>
      </w:r>
      <w:r w:rsidR="00DB681D">
        <w:rPr>
          <w:rFonts w:ascii="Arial" w:hAnsi="Arial" w:cs="Arial"/>
          <w:sz w:val="24"/>
          <w:szCs w:val="24"/>
        </w:rPr>
        <w:t>oceedings and in the absence o</w:t>
      </w:r>
      <w:r w:rsidR="00AD3A9E">
        <w:rPr>
          <w:rFonts w:ascii="Arial" w:hAnsi="Arial" w:cs="Arial"/>
          <w:sz w:val="24"/>
          <w:szCs w:val="24"/>
        </w:rPr>
        <w:t>f it being supplemented by an appropriate power, these proceedings cannot be said to be authorised by the court order.</w:t>
      </w:r>
    </w:p>
    <w:p w:rsidR="000F542F" w:rsidRPr="00271DA7" w:rsidRDefault="000F542F" w:rsidP="00271DA7">
      <w:pPr>
        <w:rPr>
          <w:rFonts w:ascii="Arial" w:hAnsi="Arial" w:cs="Arial"/>
          <w:sz w:val="24"/>
          <w:szCs w:val="24"/>
        </w:rPr>
      </w:pPr>
    </w:p>
    <w:p w:rsidR="00DA3A3B" w:rsidRDefault="00B46062" w:rsidP="005B243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the respondent has not established </w:t>
      </w:r>
      <w:r w:rsidRPr="00B46062">
        <w:rPr>
          <w:rFonts w:ascii="Arial" w:hAnsi="Arial" w:cs="Arial"/>
          <w:i/>
          <w:sz w:val="24"/>
          <w:szCs w:val="24"/>
        </w:rPr>
        <w:t>locus standi</w:t>
      </w:r>
      <w:r>
        <w:rPr>
          <w:rFonts w:ascii="Arial" w:hAnsi="Arial" w:cs="Arial"/>
          <w:sz w:val="24"/>
          <w:szCs w:val="24"/>
        </w:rPr>
        <w:t xml:space="preserve"> </w:t>
      </w:r>
      <w:r w:rsidRPr="00C04C67">
        <w:rPr>
          <w:rFonts w:ascii="Arial" w:hAnsi="Arial" w:cs="Arial"/>
          <w:i/>
          <w:sz w:val="24"/>
          <w:szCs w:val="24"/>
        </w:rPr>
        <w:t>in</w:t>
      </w:r>
      <w:r>
        <w:rPr>
          <w:rFonts w:ascii="Arial" w:hAnsi="Arial" w:cs="Arial"/>
          <w:sz w:val="24"/>
          <w:szCs w:val="24"/>
        </w:rPr>
        <w:t xml:space="preserve"> </w:t>
      </w:r>
      <w:r w:rsidRPr="00B46062">
        <w:rPr>
          <w:rFonts w:ascii="Arial" w:hAnsi="Arial" w:cs="Arial"/>
          <w:i/>
          <w:sz w:val="24"/>
          <w:szCs w:val="24"/>
        </w:rPr>
        <w:t>judicio</w:t>
      </w:r>
      <w:r w:rsidR="000C48E5">
        <w:rPr>
          <w:rFonts w:ascii="Arial" w:hAnsi="Arial" w:cs="Arial"/>
          <w:sz w:val="24"/>
          <w:szCs w:val="24"/>
        </w:rPr>
        <w:t xml:space="preserve"> to bring the winding-</w:t>
      </w:r>
      <w:r>
        <w:rPr>
          <w:rFonts w:ascii="Arial" w:hAnsi="Arial" w:cs="Arial"/>
          <w:sz w:val="24"/>
          <w:szCs w:val="24"/>
        </w:rPr>
        <w:t>up application and that it should have been dismissed for this reason.</w:t>
      </w:r>
    </w:p>
    <w:p w:rsidR="007A14D2" w:rsidRPr="005B243A" w:rsidRDefault="007A14D2" w:rsidP="007A14D2">
      <w:pPr>
        <w:pStyle w:val="NoSpacing"/>
        <w:spacing w:line="480" w:lineRule="auto"/>
        <w:jc w:val="both"/>
        <w:rPr>
          <w:rFonts w:ascii="Arial" w:hAnsi="Arial" w:cs="Arial"/>
          <w:sz w:val="24"/>
          <w:szCs w:val="24"/>
        </w:rPr>
      </w:pPr>
    </w:p>
    <w:p w:rsidR="00822C33" w:rsidRPr="00BC7791" w:rsidRDefault="00DA3A3B" w:rsidP="00BC7791">
      <w:pPr>
        <w:pStyle w:val="NoSpacing"/>
        <w:numPr>
          <w:ilvl w:val="0"/>
          <w:numId w:val="4"/>
        </w:numPr>
        <w:spacing w:line="480" w:lineRule="auto"/>
        <w:ind w:left="0" w:firstLine="0"/>
        <w:jc w:val="both"/>
        <w:rPr>
          <w:rFonts w:ascii="Arial" w:hAnsi="Arial" w:cs="Arial"/>
          <w:sz w:val="24"/>
          <w:szCs w:val="24"/>
        </w:rPr>
      </w:pPr>
      <w:r w:rsidRPr="00DA3A3B">
        <w:rPr>
          <w:rFonts w:ascii="Arial" w:hAnsi="Arial" w:cs="Arial"/>
          <w:sz w:val="24"/>
          <w:szCs w:val="24"/>
        </w:rPr>
        <w:t xml:space="preserve"> </w:t>
      </w:r>
      <w:r w:rsidR="00B46062">
        <w:rPr>
          <w:rFonts w:ascii="Arial" w:hAnsi="Arial" w:cs="Arial"/>
          <w:sz w:val="24"/>
          <w:szCs w:val="24"/>
        </w:rPr>
        <w:t>Even though it would not be necessary to further consider</w:t>
      </w:r>
      <w:r w:rsidR="00E5011B">
        <w:rPr>
          <w:rFonts w:ascii="Arial" w:hAnsi="Arial" w:cs="Arial"/>
          <w:sz w:val="24"/>
          <w:szCs w:val="24"/>
        </w:rPr>
        <w:t xml:space="preserve"> the defence on the merits raised</w:t>
      </w:r>
      <w:r w:rsidR="00415417">
        <w:rPr>
          <w:rFonts w:ascii="Arial" w:hAnsi="Arial" w:cs="Arial"/>
          <w:sz w:val="24"/>
          <w:szCs w:val="24"/>
        </w:rPr>
        <w:t xml:space="preserve"> by</w:t>
      </w:r>
      <w:r w:rsidR="00E5011B">
        <w:rPr>
          <w:rFonts w:ascii="Arial" w:hAnsi="Arial" w:cs="Arial"/>
          <w:sz w:val="24"/>
          <w:szCs w:val="24"/>
        </w:rPr>
        <w:t xml:space="preserve"> the appellant, it is </w:t>
      </w:r>
      <w:r w:rsidR="00C04C67">
        <w:rPr>
          <w:rFonts w:ascii="Arial" w:hAnsi="Arial" w:cs="Arial"/>
          <w:sz w:val="24"/>
          <w:szCs w:val="24"/>
        </w:rPr>
        <w:t>a</w:t>
      </w:r>
      <w:r w:rsidR="00E5011B">
        <w:rPr>
          <w:rFonts w:ascii="Arial" w:hAnsi="Arial" w:cs="Arial"/>
          <w:sz w:val="24"/>
          <w:szCs w:val="24"/>
        </w:rPr>
        <w:t xml:space="preserve">pposite to briefly refer to this aspect in the </w:t>
      </w:r>
      <w:r w:rsidR="00C04C67">
        <w:rPr>
          <w:rFonts w:ascii="Arial" w:hAnsi="Arial" w:cs="Arial"/>
          <w:sz w:val="24"/>
          <w:szCs w:val="24"/>
        </w:rPr>
        <w:t>event</w:t>
      </w:r>
      <w:r w:rsidR="00E5011B">
        <w:rPr>
          <w:rFonts w:ascii="Arial" w:hAnsi="Arial" w:cs="Arial"/>
          <w:sz w:val="24"/>
          <w:szCs w:val="24"/>
        </w:rPr>
        <w:t xml:space="preserve"> of the receive</w:t>
      </w:r>
      <w:r w:rsidR="00C04C67">
        <w:rPr>
          <w:rFonts w:ascii="Arial" w:hAnsi="Arial" w:cs="Arial"/>
          <w:sz w:val="24"/>
          <w:szCs w:val="24"/>
        </w:rPr>
        <w:t>r</w:t>
      </w:r>
      <w:r w:rsidR="00E5011B">
        <w:rPr>
          <w:rFonts w:ascii="Arial" w:hAnsi="Arial" w:cs="Arial"/>
          <w:sz w:val="24"/>
          <w:szCs w:val="24"/>
        </w:rPr>
        <w:t xml:space="preserve"> applying for recognition.</w:t>
      </w:r>
      <w:r w:rsidR="002D1292">
        <w:rPr>
          <w:rFonts w:ascii="Arial" w:hAnsi="Arial" w:cs="Arial"/>
          <w:sz w:val="24"/>
          <w:szCs w:val="24"/>
        </w:rPr>
        <w:t xml:space="preserve"> I consider this necessary because under the new ethos underpinning our civil justice process, courts must strive to deal with what are the real disputes between the parties so as to bring litigation to an early end and thus limit costs. Merely resolving the </w:t>
      </w:r>
      <w:r w:rsidR="002D1292">
        <w:rPr>
          <w:rFonts w:ascii="Arial" w:hAnsi="Arial" w:cs="Arial"/>
          <w:i/>
          <w:sz w:val="24"/>
          <w:szCs w:val="24"/>
        </w:rPr>
        <w:t>locus</w:t>
      </w:r>
      <w:r w:rsidR="002D1292">
        <w:rPr>
          <w:rFonts w:ascii="Arial" w:hAnsi="Arial" w:cs="Arial"/>
          <w:sz w:val="24"/>
          <w:szCs w:val="24"/>
        </w:rPr>
        <w:t xml:space="preserve"> issue would therefore not achieve that result considering the importance that the appellant attached to the defence on the merits, both </w:t>
      </w:r>
      <w:r w:rsidR="002D1292">
        <w:rPr>
          <w:rFonts w:ascii="Arial" w:hAnsi="Arial" w:cs="Arial"/>
          <w:i/>
          <w:sz w:val="24"/>
          <w:szCs w:val="24"/>
        </w:rPr>
        <w:t>a quo</w:t>
      </w:r>
      <w:r w:rsidR="002D1292">
        <w:rPr>
          <w:rFonts w:ascii="Arial" w:hAnsi="Arial" w:cs="Arial"/>
          <w:sz w:val="24"/>
          <w:szCs w:val="24"/>
        </w:rPr>
        <w:t xml:space="preserve"> and on appeal.</w:t>
      </w:r>
    </w:p>
    <w:p w:rsidR="00822C33" w:rsidRPr="00822C33" w:rsidRDefault="00822C33" w:rsidP="00822C33">
      <w:pPr>
        <w:pStyle w:val="NoSpacing"/>
        <w:numPr>
          <w:ilvl w:val="0"/>
          <w:numId w:val="4"/>
        </w:numPr>
        <w:spacing w:line="480" w:lineRule="auto"/>
        <w:ind w:left="0" w:firstLine="0"/>
        <w:jc w:val="both"/>
        <w:rPr>
          <w:rFonts w:ascii="Arial" w:hAnsi="Arial" w:cs="Arial"/>
          <w:sz w:val="24"/>
          <w:szCs w:val="24"/>
        </w:rPr>
      </w:pPr>
      <w:r w:rsidRPr="00822C33">
        <w:rPr>
          <w:rFonts w:ascii="Arial" w:hAnsi="Arial" w:cs="Arial"/>
          <w:sz w:val="24"/>
          <w:szCs w:val="24"/>
        </w:rPr>
        <w:t xml:space="preserve">The defence on the merits is directed at the appellant’s indebtedness to Nottingham. It is asserted that </w:t>
      </w:r>
      <w:r w:rsidR="00415417">
        <w:rPr>
          <w:rFonts w:ascii="Arial" w:hAnsi="Arial" w:cs="Arial"/>
          <w:sz w:val="24"/>
          <w:szCs w:val="24"/>
        </w:rPr>
        <w:t>any indebtedness under the suretyship</w:t>
      </w:r>
      <w:r w:rsidRPr="00822C33">
        <w:rPr>
          <w:rFonts w:ascii="Arial" w:hAnsi="Arial" w:cs="Arial"/>
          <w:sz w:val="24"/>
          <w:szCs w:val="24"/>
        </w:rPr>
        <w:t xml:space="preserve"> is restricted to the obligation in clause 4.3 and that as a surety the appellant is entitled to raise any defence to that claim of indebtedness open to the principal debtor.</w:t>
      </w:r>
    </w:p>
    <w:p w:rsidR="00E5011B" w:rsidRDefault="00E5011B" w:rsidP="00E5011B">
      <w:pPr>
        <w:pStyle w:val="ListParagraph"/>
        <w:rPr>
          <w:rFonts w:ascii="Arial" w:hAnsi="Arial" w:cs="Arial"/>
          <w:sz w:val="24"/>
          <w:szCs w:val="24"/>
        </w:rPr>
      </w:pPr>
    </w:p>
    <w:p w:rsidR="00E5011B" w:rsidRDefault="00E5011B"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terms of the deed of suretyship, the appellant bound itself as ‘surety and co-principal debtor . . . for the due and proper fulfilment of all the obligations</w:t>
      </w:r>
      <w:r w:rsidR="008D13E9">
        <w:rPr>
          <w:rFonts w:ascii="Arial" w:hAnsi="Arial" w:cs="Arial"/>
          <w:sz w:val="24"/>
          <w:szCs w:val="24"/>
        </w:rPr>
        <w:t xml:space="preserve"> of, and for the punctual payment for all sums which are or may become due by </w:t>
      </w:r>
      <w:r w:rsidR="00BD2FC0">
        <w:rPr>
          <w:rFonts w:ascii="Arial" w:hAnsi="Arial" w:cs="Arial"/>
          <w:sz w:val="24"/>
          <w:szCs w:val="24"/>
        </w:rPr>
        <w:t>(</w:t>
      </w:r>
      <w:r w:rsidR="008D13E9">
        <w:rPr>
          <w:rFonts w:ascii="Arial" w:hAnsi="Arial" w:cs="Arial"/>
          <w:sz w:val="24"/>
          <w:szCs w:val="24"/>
        </w:rPr>
        <w:t>VXK</w:t>
      </w:r>
      <w:r w:rsidR="00BD2FC0">
        <w:rPr>
          <w:rFonts w:ascii="Arial" w:hAnsi="Arial" w:cs="Arial"/>
          <w:sz w:val="24"/>
          <w:szCs w:val="24"/>
        </w:rPr>
        <w:t>) in terms of, or in connection with or arising out of the provisions of clause 4.3 of the</w:t>
      </w:r>
      <w:r w:rsidR="00415417">
        <w:rPr>
          <w:rFonts w:ascii="Arial" w:hAnsi="Arial" w:cs="Arial"/>
          <w:sz w:val="24"/>
          <w:szCs w:val="24"/>
        </w:rPr>
        <w:t xml:space="preserve">     </w:t>
      </w:r>
      <w:r w:rsidR="006B0139">
        <w:rPr>
          <w:rFonts w:ascii="Arial" w:hAnsi="Arial" w:cs="Arial"/>
          <w:sz w:val="24"/>
          <w:szCs w:val="24"/>
        </w:rPr>
        <w:t xml:space="preserve"> . . . agreement . . . </w:t>
      </w:r>
      <w:r w:rsidR="00BD2FC0">
        <w:rPr>
          <w:rFonts w:ascii="Arial" w:hAnsi="Arial" w:cs="Arial"/>
          <w:sz w:val="24"/>
          <w:szCs w:val="24"/>
        </w:rPr>
        <w:t>It is recorded that this surety is limited to the obligations of VXK towards Nottingham Inc by virtue of clause 4.3 of the agreement only.’</w:t>
      </w:r>
    </w:p>
    <w:p w:rsidR="00715FFD" w:rsidRDefault="00715FFD" w:rsidP="00715FFD">
      <w:pPr>
        <w:pStyle w:val="ListParagraph"/>
        <w:rPr>
          <w:rFonts w:ascii="Arial" w:hAnsi="Arial" w:cs="Arial"/>
          <w:sz w:val="24"/>
          <w:szCs w:val="24"/>
        </w:rPr>
      </w:pPr>
    </w:p>
    <w:p w:rsidR="00715FFD" w:rsidRDefault="00715FFD"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Clause 4.3 of the sale agreement concerns</w:t>
      </w:r>
      <w:r w:rsidR="00415417">
        <w:rPr>
          <w:rFonts w:ascii="Arial" w:hAnsi="Arial" w:cs="Arial"/>
          <w:sz w:val="24"/>
          <w:szCs w:val="24"/>
        </w:rPr>
        <w:t xml:space="preserve"> the obligation to effect payment of</w:t>
      </w:r>
      <w:r>
        <w:rPr>
          <w:rFonts w:ascii="Arial" w:hAnsi="Arial" w:cs="Arial"/>
          <w:sz w:val="24"/>
          <w:szCs w:val="24"/>
        </w:rPr>
        <w:t xml:space="preserve"> the po</w:t>
      </w:r>
      <w:r w:rsidR="004178DB">
        <w:rPr>
          <w:rFonts w:ascii="Arial" w:hAnsi="Arial" w:cs="Arial"/>
          <w:sz w:val="24"/>
          <w:szCs w:val="24"/>
        </w:rPr>
        <w:t>rtion of the purchase price of US</w:t>
      </w:r>
      <w:r>
        <w:rPr>
          <w:rFonts w:ascii="Arial" w:hAnsi="Arial" w:cs="Arial"/>
          <w:sz w:val="24"/>
          <w:szCs w:val="24"/>
        </w:rPr>
        <w:t>$2</w:t>
      </w:r>
      <w:r w:rsidR="005B243A">
        <w:rPr>
          <w:rFonts w:ascii="Arial" w:hAnsi="Arial" w:cs="Arial"/>
          <w:sz w:val="24"/>
          <w:szCs w:val="24"/>
        </w:rPr>
        <w:t xml:space="preserve"> </w:t>
      </w:r>
      <w:r>
        <w:rPr>
          <w:rFonts w:ascii="Arial" w:hAnsi="Arial" w:cs="Arial"/>
          <w:sz w:val="24"/>
          <w:szCs w:val="24"/>
        </w:rPr>
        <w:t>5</w:t>
      </w:r>
      <w:r w:rsidR="005B243A">
        <w:rPr>
          <w:rFonts w:ascii="Arial" w:hAnsi="Arial" w:cs="Arial"/>
          <w:sz w:val="24"/>
          <w:szCs w:val="24"/>
        </w:rPr>
        <w:t>00 000</w:t>
      </w:r>
      <w:r>
        <w:rPr>
          <w:rFonts w:ascii="Arial" w:hAnsi="Arial" w:cs="Arial"/>
          <w:sz w:val="24"/>
          <w:szCs w:val="24"/>
        </w:rPr>
        <w:t xml:space="preserve"> payable by delivering granite to Nottingham in the following terms:</w:t>
      </w:r>
    </w:p>
    <w:p w:rsidR="00715FFD" w:rsidRDefault="00715FFD" w:rsidP="00715FFD">
      <w:pPr>
        <w:pStyle w:val="ListParagraph"/>
        <w:rPr>
          <w:rFonts w:ascii="Arial" w:hAnsi="Arial" w:cs="Arial"/>
          <w:sz w:val="24"/>
          <w:szCs w:val="24"/>
        </w:rPr>
      </w:pPr>
    </w:p>
    <w:p w:rsidR="00715FFD" w:rsidRPr="00044AD2" w:rsidRDefault="00BE009E" w:rsidP="00044AD2">
      <w:pPr>
        <w:pStyle w:val="NoSpacing"/>
        <w:spacing w:line="360" w:lineRule="auto"/>
        <w:ind w:left="720"/>
        <w:jc w:val="both"/>
        <w:rPr>
          <w:rFonts w:ascii="Arial" w:hAnsi="Arial" w:cs="Arial"/>
        </w:rPr>
      </w:pPr>
      <w:r w:rsidRPr="00044AD2">
        <w:rPr>
          <w:rFonts w:ascii="Arial" w:hAnsi="Arial" w:cs="Arial"/>
        </w:rPr>
        <w:t xml:space="preserve">‘4.3. The balance purchase price of US$2 500 000-00 (Two million Five Hundred Thousand US Dollars) shall be payable by the Purchaser by virtue of the </w:t>
      </w:r>
      <w:r w:rsidR="00044AD2" w:rsidRPr="00044AD2">
        <w:rPr>
          <w:rFonts w:ascii="Arial" w:hAnsi="Arial" w:cs="Arial"/>
        </w:rPr>
        <w:t>Purchaser procuring delivery of granite material to the Seller or its nominee, customary to the granite material that is currently shipped to the Seller or its nominee in 24 (Twenty Four) monthly shipments, at a value of at least US$ 104 167 (One Hundred and Four Thousand One Hundred and Sixty Seven US Dollars) per shipment, invoiced at the list price, from time to time, of Roach, with the first shipment due during May 2011 and monthly thereafter during each consecutive month. These arrangements shall constitute a valid and binding standing order by the Seller.’</w:t>
      </w:r>
    </w:p>
    <w:p w:rsidR="00715FFD" w:rsidRDefault="00715FFD" w:rsidP="007A14D2">
      <w:pPr>
        <w:pStyle w:val="ListParagraph"/>
        <w:spacing w:line="480" w:lineRule="auto"/>
        <w:rPr>
          <w:rFonts w:ascii="Arial" w:hAnsi="Arial" w:cs="Arial"/>
          <w:sz w:val="24"/>
          <w:szCs w:val="24"/>
        </w:rPr>
      </w:pPr>
    </w:p>
    <w:p w:rsidR="00715FFD" w:rsidRDefault="00715FFD"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claims that Nottingham failed to place orders or receive granite from VXK despite the availability of mor</w:t>
      </w:r>
      <w:r w:rsidR="00822C33">
        <w:rPr>
          <w:rFonts w:ascii="Arial" w:hAnsi="Arial" w:cs="Arial"/>
          <w:sz w:val="24"/>
          <w:szCs w:val="24"/>
        </w:rPr>
        <w:t>e than a year’s stored surplus and</w:t>
      </w:r>
      <w:r>
        <w:rPr>
          <w:rFonts w:ascii="Arial" w:hAnsi="Arial" w:cs="Arial"/>
          <w:sz w:val="24"/>
          <w:szCs w:val="24"/>
        </w:rPr>
        <w:t xml:space="preserve"> sufficient granite available to mine the balance during the second year of performance.</w:t>
      </w:r>
      <w:r w:rsidR="00C04C67">
        <w:rPr>
          <w:rFonts w:ascii="Arial" w:hAnsi="Arial" w:cs="Arial"/>
          <w:sz w:val="24"/>
          <w:szCs w:val="24"/>
        </w:rPr>
        <w:t xml:space="preserve"> Those factual assertions are not plac</w:t>
      </w:r>
      <w:r w:rsidR="00822C33">
        <w:rPr>
          <w:rFonts w:ascii="Arial" w:hAnsi="Arial" w:cs="Arial"/>
          <w:sz w:val="24"/>
          <w:szCs w:val="24"/>
        </w:rPr>
        <w:t>ed in issue</w:t>
      </w:r>
      <w:r w:rsidR="00C04C67">
        <w:rPr>
          <w:rFonts w:ascii="Arial" w:hAnsi="Arial" w:cs="Arial"/>
          <w:sz w:val="24"/>
          <w:szCs w:val="24"/>
        </w:rPr>
        <w:t>.</w:t>
      </w:r>
      <w:r>
        <w:rPr>
          <w:rFonts w:ascii="Arial" w:hAnsi="Arial" w:cs="Arial"/>
          <w:sz w:val="24"/>
          <w:szCs w:val="24"/>
        </w:rPr>
        <w:t xml:space="preserve"> It is thus contended that Nottingham was </w:t>
      </w:r>
      <w:r w:rsidR="00C04C67">
        <w:rPr>
          <w:rFonts w:ascii="Arial" w:hAnsi="Arial" w:cs="Arial"/>
          <w:sz w:val="24"/>
          <w:szCs w:val="24"/>
        </w:rPr>
        <w:t>in</w:t>
      </w:r>
      <w:r>
        <w:rPr>
          <w:rFonts w:ascii="Arial" w:hAnsi="Arial" w:cs="Arial"/>
          <w:sz w:val="24"/>
          <w:szCs w:val="24"/>
        </w:rPr>
        <w:t xml:space="preserve"> breach of its obligations to VXK and frustrated VXK’s ability to deliver granite under clause 4.3.</w:t>
      </w:r>
    </w:p>
    <w:p w:rsidR="00822C33" w:rsidRDefault="00822C33" w:rsidP="00822C33">
      <w:pPr>
        <w:pStyle w:val="NoSpacing"/>
        <w:spacing w:line="480" w:lineRule="auto"/>
        <w:jc w:val="both"/>
        <w:rPr>
          <w:rFonts w:ascii="Arial" w:hAnsi="Arial" w:cs="Arial"/>
          <w:sz w:val="24"/>
          <w:szCs w:val="24"/>
        </w:rPr>
      </w:pPr>
    </w:p>
    <w:p w:rsidR="00715FFD" w:rsidRPr="0005466C" w:rsidRDefault="00822C33" w:rsidP="00715FFD">
      <w:pPr>
        <w:pStyle w:val="NoSpacing"/>
        <w:numPr>
          <w:ilvl w:val="0"/>
          <w:numId w:val="4"/>
        </w:numPr>
        <w:spacing w:line="480" w:lineRule="auto"/>
        <w:ind w:left="0" w:firstLine="0"/>
        <w:jc w:val="both"/>
        <w:rPr>
          <w:rFonts w:ascii="Arial" w:hAnsi="Arial" w:cs="Arial"/>
          <w:sz w:val="24"/>
          <w:szCs w:val="24"/>
          <w:u w:val="single"/>
        </w:rPr>
      </w:pPr>
      <w:r>
        <w:rPr>
          <w:rFonts w:ascii="Arial" w:hAnsi="Arial" w:cs="Arial"/>
          <w:sz w:val="24"/>
          <w:szCs w:val="24"/>
        </w:rPr>
        <w:t xml:space="preserve">There are reasonable prospects that a court will interpret the surety as being restricted to the obligation to </w:t>
      </w:r>
      <w:r w:rsidR="00415417">
        <w:rPr>
          <w:rFonts w:ascii="Arial" w:hAnsi="Arial" w:cs="Arial"/>
          <w:sz w:val="24"/>
          <w:szCs w:val="24"/>
        </w:rPr>
        <w:t xml:space="preserve">perform under clause 4.3 to deliver </w:t>
      </w:r>
      <w:r w:rsidR="006B0139">
        <w:rPr>
          <w:rFonts w:ascii="Arial" w:hAnsi="Arial" w:cs="Arial"/>
          <w:sz w:val="24"/>
          <w:szCs w:val="24"/>
        </w:rPr>
        <w:t>the granite to the value of N$2 </w:t>
      </w:r>
      <w:r>
        <w:rPr>
          <w:rFonts w:ascii="Arial" w:hAnsi="Arial" w:cs="Arial"/>
          <w:sz w:val="24"/>
          <w:szCs w:val="24"/>
        </w:rPr>
        <w:t>5</w:t>
      </w:r>
      <w:r w:rsidR="006B0139">
        <w:rPr>
          <w:rFonts w:ascii="Arial" w:hAnsi="Arial" w:cs="Arial"/>
          <w:sz w:val="24"/>
          <w:szCs w:val="24"/>
        </w:rPr>
        <w:t>00 000</w:t>
      </w:r>
      <w:r>
        <w:rPr>
          <w:rFonts w:ascii="Arial" w:hAnsi="Arial" w:cs="Arial"/>
          <w:sz w:val="24"/>
          <w:szCs w:val="24"/>
        </w:rPr>
        <w:t xml:space="preserve"> given the express reference to clause 4.3 which embodies this obligation and limiting the suretyship to </w:t>
      </w:r>
      <w:r w:rsidRPr="00822C33">
        <w:rPr>
          <w:rFonts w:ascii="Arial" w:hAnsi="Arial" w:cs="Arial"/>
          <w:sz w:val="24"/>
          <w:szCs w:val="24"/>
          <w:u w:val="single"/>
        </w:rPr>
        <w:t>only</w:t>
      </w:r>
      <w:r>
        <w:rPr>
          <w:rFonts w:ascii="Arial" w:hAnsi="Arial" w:cs="Arial"/>
          <w:sz w:val="24"/>
          <w:szCs w:val="24"/>
        </w:rPr>
        <w:t xml:space="preserve"> that obligation.</w:t>
      </w:r>
    </w:p>
    <w:p w:rsidR="0005466C" w:rsidRPr="006B0139" w:rsidRDefault="0005466C" w:rsidP="0005466C">
      <w:pPr>
        <w:pStyle w:val="NoSpacing"/>
        <w:spacing w:line="480" w:lineRule="auto"/>
        <w:jc w:val="both"/>
        <w:rPr>
          <w:rFonts w:ascii="Arial" w:hAnsi="Arial" w:cs="Arial"/>
          <w:sz w:val="24"/>
          <w:szCs w:val="24"/>
          <w:u w:val="single"/>
        </w:rPr>
      </w:pPr>
    </w:p>
    <w:p w:rsidR="00715FFD" w:rsidRDefault="00715FFD"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a fundamental principle developed from the common law that a person is not permitted </w:t>
      </w:r>
      <w:r w:rsidR="00822C33">
        <w:rPr>
          <w:rFonts w:ascii="Arial" w:hAnsi="Arial" w:cs="Arial"/>
          <w:sz w:val="24"/>
          <w:szCs w:val="24"/>
        </w:rPr>
        <w:t>‘</w:t>
      </w:r>
      <w:r>
        <w:rPr>
          <w:rFonts w:ascii="Arial" w:hAnsi="Arial" w:cs="Arial"/>
          <w:sz w:val="24"/>
          <w:szCs w:val="24"/>
        </w:rPr>
        <w:t>to improve his condition by his own wrongdoing</w:t>
      </w:r>
      <w:r w:rsidR="00822C33">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8"/>
      </w:r>
    </w:p>
    <w:p w:rsidR="0015782D" w:rsidRDefault="0015782D" w:rsidP="0015782D">
      <w:pPr>
        <w:pStyle w:val="ListParagraph"/>
        <w:rPr>
          <w:rFonts w:ascii="Arial" w:hAnsi="Arial" w:cs="Arial"/>
          <w:sz w:val="24"/>
          <w:szCs w:val="24"/>
        </w:rPr>
      </w:pPr>
    </w:p>
    <w:p w:rsidR="0015782D" w:rsidRDefault="0015782D"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principle manifest</w:t>
      </w:r>
      <w:r w:rsidR="00C04C67">
        <w:rPr>
          <w:rFonts w:ascii="Arial" w:hAnsi="Arial" w:cs="Arial"/>
          <w:sz w:val="24"/>
          <w:szCs w:val="24"/>
        </w:rPr>
        <w:t>s</w:t>
      </w:r>
      <w:r>
        <w:rPr>
          <w:rFonts w:ascii="Arial" w:hAnsi="Arial" w:cs="Arial"/>
          <w:sz w:val="24"/>
          <w:szCs w:val="24"/>
        </w:rPr>
        <w:t xml:space="preserve"> itself in the principle of fictional fulfilment in contract as</w:t>
      </w:r>
      <w:r w:rsidR="00822C33">
        <w:rPr>
          <w:rFonts w:ascii="Arial" w:hAnsi="Arial" w:cs="Arial"/>
          <w:sz w:val="24"/>
          <w:szCs w:val="24"/>
        </w:rPr>
        <w:t xml:space="preserve"> is</w:t>
      </w:r>
      <w:r>
        <w:rPr>
          <w:rFonts w:ascii="Arial" w:hAnsi="Arial" w:cs="Arial"/>
          <w:sz w:val="24"/>
          <w:szCs w:val="24"/>
        </w:rPr>
        <w:t xml:space="preserve"> crisply summarised by Schut</w:t>
      </w:r>
      <w:r w:rsidR="00C04C67">
        <w:rPr>
          <w:rFonts w:ascii="Arial" w:hAnsi="Arial" w:cs="Arial"/>
          <w:sz w:val="24"/>
          <w:szCs w:val="24"/>
        </w:rPr>
        <w:t>z</w:t>
      </w:r>
      <w:r>
        <w:rPr>
          <w:rFonts w:ascii="Arial" w:hAnsi="Arial" w:cs="Arial"/>
          <w:sz w:val="24"/>
          <w:szCs w:val="24"/>
        </w:rPr>
        <w:t xml:space="preserve"> JA in </w:t>
      </w:r>
      <w:r w:rsidRPr="0015782D">
        <w:rPr>
          <w:rFonts w:ascii="Arial" w:hAnsi="Arial" w:cs="Arial"/>
          <w:i/>
          <w:sz w:val="24"/>
          <w:szCs w:val="24"/>
        </w:rPr>
        <w:t>Wimbledon</w:t>
      </w:r>
      <w:r>
        <w:rPr>
          <w:rFonts w:ascii="Arial" w:hAnsi="Arial" w:cs="Arial"/>
          <w:sz w:val="24"/>
          <w:szCs w:val="24"/>
        </w:rPr>
        <w:t>:</w:t>
      </w:r>
    </w:p>
    <w:p w:rsidR="0015782D" w:rsidRPr="00044AD2" w:rsidRDefault="0015782D" w:rsidP="0015782D">
      <w:pPr>
        <w:pStyle w:val="ListParagraph"/>
        <w:spacing w:line="360" w:lineRule="auto"/>
        <w:rPr>
          <w:rFonts w:ascii="Arial" w:hAnsi="Arial" w:cs="Arial"/>
        </w:rPr>
      </w:pPr>
    </w:p>
    <w:p w:rsidR="0015782D" w:rsidRPr="00044AD2" w:rsidRDefault="0015782D" w:rsidP="0015782D">
      <w:pPr>
        <w:pStyle w:val="NoSpacing"/>
        <w:spacing w:line="360" w:lineRule="auto"/>
        <w:ind w:left="720"/>
        <w:jc w:val="both"/>
        <w:rPr>
          <w:rFonts w:ascii="Arial" w:hAnsi="Arial" w:cs="Arial"/>
        </w:rPr>
      </w:pPr>
      <w:r w:rsidRPr="00044AD2">
        <w:rPr>
          <w:rFonts w:ascii="Arial" w:hAnsi="Arial" w:cs="Arial"/>
        </w:rPr>
        <w:t>‘If a party is under a duty not to prevent the fulfilment of a condition, he is treated as if it had been fulfilled, if he fails in that duty.’</w:t>
      </w:r>
      <w:r w:rsidRPr="00044AD2">
        <w:rPr>
          <w:rStyle w:val="FootnoteReference"/>
          <w:rFonts w:ascii="Arial" w:hAnsi="Arial" w:cs="Arial"/>
        </w:rPr>
        <w:footnoteReference w:id="9"/>
      </w:r>
    </w:p>
    <w:p w:rsidR="0015782D" w:rsidRPr="00044AD2" w:rsidRDefault="0015782D" w:rsidP="0015782D">
      <w:pPr>
        <w:pStyle w:val="ListParagraph"/>
        <w:spacing w:line="360" w:lineRule="auto"/>
        <w:rPr>
          <w:rFonts w:ascii="Arial" w:hAnsi="Arial" w:cs="Arial"/>
        </w:rPr>
      </w:pPr>
    </w:p>
    <w:p w:rsidR="0015782D" w:rsidRDefault="0015782D"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Whilst the early decisions on fictional fulfilment confined the application of the principle to the fulfilment of a condition</w:t>
      </w:r>
      <w:r w:rsidR="00C04C67">
        <w:rPr>
          <w:rFonts w:ascii="Arial" w:hAnsi="Arial" w:cs="Arial"/>
          <w:sz w:val="24"/>
          <w:szCs w:val="24"/>
        </w:rPr>
        <w:t xml:space="preserve"> in a contract</w:t>
      </w:r>
      <w:r>
        <w:rPr>
          <w:rFonts w:ascii="Arial" w:hAnsi="Arial" w:cs="Arial"/>
          <w:sz w:val="24"/>
          <w:szCs w:val="24"/>
        </w:rPr>
        <w:t xml:space="preserve">, there is </w:t>
      </w:r>
      <w:r w:rsidR="008B6477">
        <w:rPr>
          <w:rFonts w:ascii="Arial" w:hAnsi="Arial" w:cs="Arial"/>
          <w:sz w:val="24"/>
          <w:szCs w:val="24"/>
        </w:rPr>
        <w:t xml:space="preserve">a </w:t>
      </w:r>
      <w:r>
        <w:rPr>
          <w:rFonts w:ascii="Arial" w:hAnsi="Arial" w:cs="Arial"/>
          <w:sz w:val="24"/>
          <w:szCs w:val="24"/>
        </w:rPr>
        <w:t xml:space="preserve">growing tendency for it to be expanded to </w:t>
      </w:r>
      <w:r w:rsidR="00404002">
        <w:rPr>
          <w:rFonts w:ascii="Arial" w:hAnsi="Arial" w:cs="Arial"/>
          <w:sz w:val="24"/>
          <w:szCs w:val="24"/>
        </w:rPr>
        <w:t>a term</w:t>
      </w:r>
      <w:r>
        <w:rPr>
          <w:rFonts w:ascii="Arial" w:hAnsi="Arial" w:cs="Arial"/>
          <w:sz w:val="24"/>
          <w:szCs w:val="24"/>
        </w:rPr>
        <w:t xml:space="preserve"> of </w:t>
      </w:r>
      <w:r w:rsidR="00404002">
        <w:rPr>
          <w:rFonts w:ascii="Arial" w:hAnsi="Arial" w:cs="Arial"/>
          <w:sz w:val="24"/>
          <w:szCs w:val="24"/>
        </w:rPr>
        <w:t>a contract</w:t>
      </w:r>
      <w:r>
        <w:rPr>
          <w:rFonts w:ascii="Arial" w:hAnsi="Arial" w:cs="Arial"/>
          <w:sz w:val="24"/>
          <w:szCs w:val="24"/>
        </w:rPr>
        <w:t xml:space="preserve"> as well.</w:t>
      </w:r>
      <w:r>
        <w:rPr>
          <w:rStyle w:val="FootnoteReference"/>
          <w:rFonts w:ascii="Arial" w:hAnsi="Arial" w:cs="Arial"/>
          <w:sz w:val="24"/>
          <w:szCs w:val="24"/>
        </w:rPr>
        <w:footnoteReference w:id="10"/>
      </w:r>
      <w:r w:rsidR="00E22919">
        <w:rPr>
          <w:rFonts w:ascii="Arial" w:hAnsi="Arial" w:cs="Arial"/>
          <w:sz w:val="24"/>
          <w:szCs w:val="24"/>
        </w:rPr>
        <w:t xml:space="preserve"> It is not necessary for the purpose of this judgment to de</w:t>
      </w:r>
      <w:r w:rsidR="00404002">
        <w:rPr>
          <w:rFonts w:ascii="Arial" w:hAnsi="Arial" w:cs="Arial"/>
          <w:sz w:val="24"/>
          <w:szCs w:val="24"/>
        </w:rPr>
        <w:t>lineate</w:t>
      </w:r>
      <w:r w:rsidR="00E22919">
        <w:rPr>
          <w:rFonts w:ascii="Arial" w:hAnsi="Arial" w:cs="Arial"/>
          <w:sz w:val="24"/>
          <w:szCs w:val="24"/>
        </w:rPr>
        <w:t xml:space="preserve"> the ambit of the principle. </w:t>
      </w:r>
      <w:r w:rsidR="00C04C67">
        <w:rPr>
          <w:rFonts w:ascii="Arial" w:hAnsi="Arial" w:cs="Arial"/>
          <w:sz w:val="24"/>
          <w:szCs w:val="24"/>
        </w:rPr>
        <w:t>W</w:t>
      </w:r>
      <w:r w:rsidR="00E22919">
        <w:rPr>
          <w:rFonts w:ascii="Arial" w:hAnsi="Arial" w:cs="Arial"/>
          <w:sz w:val="24"/>
          <w:szCs w:val="24"/>
        </w:rPr>
        <w:t xml:space="preserve">hat is </w:t>
      </w:r>
      <w:r w:rsidR="00C04C67">
        <w:rPr>
          <w:rFonts w:ascii="Arial" w:hAnsi="Arial" w:cs="Arial"/>
          <w:sz w:val="24"/>
          <w:szCs w:val="24"/>
        </w:rPr>
        <w:t xml:space="preserve">however </w:t>
      </w:r>
      <w:r w:rsidR="00E22919">
        <w:rPr>
          <w:rFonts w:ascii="Arial" w:hAnsi="Arial" w:cs="Arial"/>
          <w:sz w:val="24"/>
          <w:szCs w:val="24"/>
        </w:rPr>
        <w:t xml:space="preserve">clear for present purposes, is </w:t>
      </w:r>
      <w:r w:rsidR="00415417">
        <w:rPr>
          <w:rFonts w:ascii="Arial" w:hAnsi="Arial" w:cs="Arial"/>
          <w:sz w:val="24"/>
          <w:szCs w:val="24"/>
        </w:rPr>
        <w:t xml:space="preserve">that there is a </w:t>
      </w:r>
      <w:r w:rsidR="00E22919">
        <w:rPr>
          <w:rFonts w:ascii="Arial" w:hAnsi="Arial" w:cs="Arial"/>
          <w:sz w:val="24"/>
          <w:szCs w:val="24"/>
        </w:rPr>
        <w:t>reasonable basis to contend for its applica</w:t>
      </w:r>
      <w:r w:rsidR="00404002">
        <w:rPr>
          <w:rFonts w:ascii="Arial" w:hAnsi="Arial" w:cs="Arial"/>
          <w:sz w:val="24"/>
          <w:szCs w:val="24"/>
        </w:rPr>
        <w:t>tion</w:t>
      </w:r>
      <w:r w:rsidR="00E22919">
        <w:rPr>
          <w:rFonts w:ascii="Arial" w:hAnsi="Arial" w:cs="Arial"/>
          <w:sz w:val="24"/>
          <w:szCs w:val="24"/>
        </w:rPr>
        <w:t xml:space="preserve"> in the case of VXK’s </w:t>
      </w:r>
      <w:r w:rsidR="00C04C67">
        <w:rPr>
          <w:rFonts w:ascii="Arial" w:hAnsi="Arial" w:cs="Arial"/>
          <w:sz w:val="24"/>
          <w:szCs w:val="24"/>
        </w:rPr>
        <w:t>l</w:t>
      </w:r>
      <w:r w:rsidR="00E22919">
        <w:rPr>
          <w:rFonts w:ascii="Arial" w:hAnsi="Arial" w:cs="Arial"/>
          <w:sz w:val="24"/>
          <w:szCs w:val="24"/>
        </w:rPr>
        <w:t>iability to deliver granite to Nottingham.</w:t>
      </w:r>
    </w:p>
    <w:p w:rsidR="00DB681D" w:rsidRDefault="00DB681D" w:rsidP="00DB681D">
      <w:pPr>
        <w:pStyle w:val="NoSpacing"/>
        <w:spacing w:line="480" w:lineRule="auto"/>
        <w:jc w:val="both"/>
        <w:rPr>
          <w:rFonts w:ascii="Arial" w:hAnsi="Arial" w:cs="Arial"/>
          <w:sz w:val="24"/>
          <w:szCs w:val="24"/>
        </w:rPr>
      </w:pPr>
    </w:p>
    <w:p w:rsidR="00404002" w:rsidRDefault="00404002" w:rsidP="0040400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defence was raised by VXK in the arbitration proceedings and dismissed by the arbitrator whose award was attached </w:t>
      </w:r>
      <w:r w:rsidR="00415417">
        <w:rPr>
          <w:rFonts w:ascii="Arial" w:hAnsi="Arial" w:cs="Arial"/>
          <w:sz w:val="24"/>
          <w:szCs w:val="24"/>
        </w:rPr>
        <w:t xml:space="preserve">to </w:t>
      </w:r>
      <w:r>
        <w:rPr>
          <w:rFonts w:ascii="Arial" w:hAnsi="Arial" w:cs="Arial"/>
          <w:sz w:val="24"/>
          <w:szCs w:val="24"/>
        </w:rPr>
        <w:t>the respondent</w:t>
      </w:r>
      <w:r w:rsidR="00415417">
        <w:rPr>
          <w:rFonts w:ascii="Arial" w:hAnsi="Arial" w:cs="Arial"/>
          <w:sz w:val="24"/>
          <w:szCs w:val="24"/>
        </w:rPr>
        <w:t>’s papers</w:t>
      </w:r>
      <w:r>
        <w:rPr>
          <w:rFonts w:ascii="Arial" w:hAnsi="Arial" w:cs="Arial"/>
          <w:sz w:val="24"/>
          <w:szCs w:val="24"/>
        </w:rPr>
        <w:t xml:space="preserve">. But the appellant was not party to those arbitration proceedings and the arbitrator’s findings between Nottingham and VXK are not binding upon the appellant and are irrelevant for a consideration of the defence </w:t>
      </w:r>
      <w:r w:rsidR="00415417">
        <w:rPr>
          <w:rFonts w:ascii="Arial" w:hAnsi="Arial" w:cs="Arial"/>
          <w:sz w:val="24"/>
          <w:szCs w:val="24"/>
        </w:rPr>
        <w:t>raised in respect of the appellant’s</w:t>
      </w:r>
      <w:r>
        <w:rPr>
          <w:rFonts w:ascii="Arial" w:hAnsi="Arial" w:cs="Arial"/>
          <w:sz w:val="24"/>
          <w:szCs w:val="24"/>
        </w:rPr>
        <w:t xml:space="preserve"> indebtedness </w:t>
      </w:r>
      <w:r w:rsidR="00415417">
        <w:rPr>
          <w:rFonts w:ascii="Arial" w:hAnsi="Arial" w:cs="Arial"/>
          <w:sz w:val="24"/>
          <w:szCs w:val="24"/>
        </w:rPr>
        <w:t>to the respondent’s claim</w:t>
      </w:r>
      <w:r>
        <w:rPr>
          <w:rFonts w:ascii="Arial" w:hAnsi="Arial" w:cs="Arial"/>
          <w:sz w:val="24"/>
          <w:szCs w:val="24"/>
        </w:rPr>
        <w:t>.</w:t>
      </w:r>
    </w:p>
    <w:p w:rsidR="0015782D" w:rsidRPr="00404002" w:rsidRDefault="0015782D" w:rsidP="00404002">
      <w:pPr>
        <w:rPr>
          <w:rFonts w:ascii="Arial" w:hAnsi="Arial" w:cs="Arial"/>
          <w:sz w:val="24"/>
          <w:szCs w:val="24"/>
        </w:rPr>
      </w:pPr>
    </w:p>
    <w:p w:rsidR="0015782D" w:rsidRDefault="007B5B9E"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well settled that where indebt</w:t>
      </w:r>
      <w:r w:rsidR="000C48E5">
        <w:rPr>
          <w:rFonts w:ascii="Arial" w:hAnsi="Arial" w:cs="Arial"/>
          <w:sz w:val="24"/>
          <w:szCs w:val="24"/>
        </w:rPr>
        <w:t>edness is challenged in winding-</w:t>
      </w:r>
      <w:r>
        <w:rPr>
          <w:rFonts w:ascii="Arial" w:hAnsi="Arial" w:cs="Arial"/>
          <w:sz w:val="24"/>
          <w:szCs w:val="24"/>
        </w:rPr>
        <w:t xml:space="preserve">up proceedings, the respondent company bears no onus to establish that the company is not indebted to the applicant but only that such indebtedness is </w:t>
      </w:r>
      <w:r w:rsidRPr="007B5B9E">
        <w:rPr>
          <w:rFonts w:ascii="Arial" w:hAnsi="Arial" w:cs="Arial"/>
          <w:i/>
          <w:sz w:val="24"/>
          <w:szCs w:val="24"/>
        </w:rPr>
        <w:t>bona fide</w:t>
      </w:r>
      <w:r>
        <w:rPr>
          <w:rFonts w:ascii="Arial" w:hAnsi="Arial" w:cs="Arial"/>
          <w:sz w:val="24"/>
          <w:szCs w:val="24"/>
        </w:rPr>
        <w:t xml:space="preserve"> disputed on reasonable grounds.</w:t>
      </w:r>
      <w:r>
        <w:rPr>
          <w:rStyle w:val="FootnoteReference"/>
          <w:rFonts w:ascii="Arial" w:hAnsi="Arial" w:cs="Arial"/>
          <w:sz w:val="24"/>
          <w:szCs w:val="24"/>
        </w:rPr>
        <w:footnoteReference w:id="11"/>
      </w:r>
      <w:r w:rsidR="00404002">
        <w:rPr>
          <w:rFonts w:ascii="Arial" w:hAnsi="Arial" w:cs="Arial"/>
          <w:sz w:val="24"/>
          <w:szCs w:val="24"/>
        </w:rPr>
        <w:t xml:space="preserve"> There are thus prospects that the appellant would meet this</w:t>
      </w:r>
      <w:r w:rsidR="00415417">
        <w:rPr>
          <w:rFonts w:ascii="Arial" w:hAnsi="Arial" w:cs="Arial"/>
          <w:sz w:val="24"/>
          <w:szCs w:val="24"/>
        </w:rPr>
        <w:t xml:space="preserve"> low</w:t>
      </w:r>
      <w:r w:rsidR="00404002">
        <w:rPr>
          <w:rFonts w:ascii="Arial" w:hAnsi="Arial" w:cs="Arial"/>
          <w:sz w:val="24"/>
          <w:szCs w:val="24"/>
        </w:rPr>
        <w:t xml:space="preserve"> threshold </w:t>
      </w:r>
      <w:r w:rsidR="00415417">
        <w:rPr>
          <w:rFonts w:ascii="Arial" w:hAnsi="Arial" w:cs="Arial"/>
          <w:sz w:val="24"/>
          <w:szCs w:val="24"/>
        </w:rPr>
        <w:t xml:space="preserve">of establishing a </w:t>
      </w:r>
      <w:r w:rsidR="00415417">
        <w:rPr>
          <w:rFonts w:ascii="Arial" w:hAnsi="Arial" w:cs="Arial"/>
          <w:i/>
          <w:sz w:val="24"/>
          <w:szCs w:val="24"/>
        </w:rPr>
        <w:t>bona fide</w:t>
      </w:r>
      <w:r w:rsidR="00415417">
        <w:rPr>
          <w:rFonts w:ascii="Arial" w:hAnsi="Arial" w:cs="Arial"/>
          <w:sz w:val="24"/>
          <w:szCs w:val="24"/>
        </w:rPr>
        <w:t xml:space="preserve"> dispute of indebtedness on reasonable grounds</w:t>
      </w:r>
      <w:r w:rsidR="00404002">
        <w:rPr>
          <w:rFonts w:ascii="Arial" w:hAnsi="Arial" w:cs="Arial"/>
          <w:sz w:val="24"/>
          <w:szCs w:val="24"/>
        </w:rPr>
        <w:t>.</w:t>
      </w:r>
    </w:p>
    <w:p w:rsidR="007B5B9E" w:rsidRPr="00271DA7" w:rsidRDefault="007B5B9E" w:rsidP="00271DA7">
      <w:pPr>
        <w:rPr>
          <w:rFonts w:ascii="Arial" w:hAnsi="Arial" w:cs="Arial"/>
          <w:sz w:val="24"/>
          <w:szCs w:val="24"/>
        </w:rPr>
      </w:pPr>
    </w:p>
    <w:p w:rsidR="007B5B9E" w:rsidRDefault="007B5B9E"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also raised a defence of prescription which is not considered for present purposes. </w:t>
      </w:r>
    </w:p>
    <w:p w:rsidR="00715FFD" w:rsidRDefault="00715FFD" w:rsidP="00715FFD">
      <w:pPr>
        <w:pStyle w:val="ListParagraph"/>
        <w:rPr>
          <w:rFonts w:ascii="Arial" w:hAnsi="Arial" w:cs="Arial"/>
          <w:sz w:val="24"/>
          <w:szCs w:val="24"/>
        </w:rPr>
      </w:pPr>
    </w:p>
    <w:p w:rsidR="00715FFD" w:rsidRDefault="007B5B9E" w:rsidP="00AA7FA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7B5B9E" w:rsidRDefault="007B5B9E" w:rsidP="007B5B9E">
      <w:pPr>
        <w:pStyle w:val="ListParagraph"/>
        <w:rPr>
          <w:rFonts w:ascii="Arial" w:hAnsi="Arial" w:cs="Arial"/>
          <w:sz w:val="24"/>
          <w:szCs w:val="24"/>
        </w:rPr>
      </w:pPr>
    </w:p>
    <w:p w:rsidR="007B5B9E" w:rsidRDefault="007B5B9E" w:rsidP="007B5B9E">
      <w:pPr>
        <w:pStyle w:val="NoSpacing"/>
        <w:numPr>
          <w:ilvl w:val="0"/>
          <w:numId w:val="31"/>
        </w:numPr>
        <w:spacing w:line="480" w:lineRule="auto"/>
        <w:jc w:val="both"/>
        <w:rPr>
          <w:rFonts w:ascii="Arial" w:hAnsi="Arial" w:cs="Arial"/>
          <w:sz w:val="24"/>
          <w:szCs w:val="24"/>
        </w:rPr>
      </w:pPr>
      <w:r>
        <w:rPr>
          <w:rFonts w:ascii="Arial" w:hAnsi="Arial" w:cs="Arial"/>
          <w:sz w:val="24"/>
          <w:szCs w:val="24"/>
        </w:rPr>
        <w:t>The appe</w:t>
      </w:r>
      <w:r w:rsidR="00C04C67">
        <w:rPr>
          <w:rFonts w:ascii="Arial" w:hAnsi="Arial" w:cs="Arial"/>
          <w:sz w:val="24"/>
          <w:szCs w:val="24"/>
        </w:rPr>
        <w:t>al</w:t>
      </w:r>
      <w:r>
        <w:rPr>
          <w:rFonts w:ascii="Arial" w:hAnsi="Arial" w:cs="Arial"/>
          <w:sz w:val="24"/>
          <w:szCs w:val="24"/>
        </w:rPr>
        <w:t xml:space="preserve"> succeeds with costs, including the costs of </w:t>
      </w:r>
      <w:r w:rsidR="00C04C67">
        <w:rPr>
          <w:rFonts w:ascii="Arial" w:hAnsi="Arial" w:cs="Arial"/>
          <w:sz w:val="24"/>
          <w:szCs w:val="24"/>
        </w:rPr>
        <w:t xml:space="preserve">one instructing and </w:t>
      </w:r>
      <w:r>
        <w:rPr>
          <w:rFonts w:ascii="Arial" w:hAnsi="Arial" w:cs="Arial"/>
          <w:sz w:val="24"/>
          <w:szCs w:val="24"/>
        </w:rPr>
        <w:t xml:space="preserve">two instructed </w:t>
      </w:r>
      <w:r w:rsidR="00C04C67">
        <w:rPr>
          <w:rFonts w:ascii="Arial" w:hAnsi="Arial" w:cs="Arial"/>
          <w:sz w:val="24"/>
          <w:szCs w:val="24"/>
        </w:rPr>
        <w:t>legal practitioners</w:t>
      </w:r>
      <w:r>
        <w:rPr>
          <w:rFonts w:ascii="Arial" w:hAnsi="Arial" w:cs="Arial"/>
          <w:sz w:val="24"/>
          <w:szCs w:val="24"/>
        </w:rPr>
        <w:t>.</w:t>
      </w:r>
    </w:p>
    <w:p w:rsidR="007A14D2" w:rsidRDefault="007A14D2" w:rsidP="007A14D2">
      <w:pPr>
        <w:pStyle w:val="NoSpacing"/>
        <w:spacing w:line="480" w:lineRule="auto"/>
        <w:ind w:left="720"/>
        <w:jc w:val="both"/>
        <w:rPr>
          <w:rFonts w:ascii="Arial" w:hAnsi="Arial" w:cs="Arial"/>
          <w:sz w:val="24"/>
          <w:szCs w:val="24"/>
        </w:rPr>
      </w:pPr>
    </w:p>
    <w:p w:rsidR="00404002" w:rsidRPr="00404002" w:rsidRDefault="007B5B9E" w:rsidP="00404002">
      <w:pPr>
        <w:pStyle w:val="NoSpacing"/>
        <w:numPr>
          <w:ilvl w:val="0"/>
          <w:numId w:val="31"/>
        </w:numPr>
        <w:spacing w:line="480" w:lineRule="auto"/>
        <w:jc w:val="both"/>
        <w:rPr>
          <w:rFonts w:ascii="Arial" w:hAnsi="Arial" w:cs="Arial"/>
          <w:sz w:val="24"/>
          <w:szCs w:val="24"/>
        </w:rPr>
      </w:pPr>
      <w:r>
        <w:rPr>
          <w:rFonts w:ascii="Arial" w:hAnsi="Arial" w:cs="Arial"/>
          <w:sz w:val="24"/>
          <w:szCs w:val="24"/>
        </w:rPr>
        <w:t>The order of the High Court is altered to read:</w:t>
      </w:r>
    </w:p>
    <w:p w:rsidR="006B0139" w:rsidRDefault="007B5B9E" w:rsidP="0005466C">
      <w:pPr>
        <w:pStyle w:val="NoSpacing"/>
        <w:spacing w:line="480" w:lineRule="auto"/>
        <w:ind w:left="1440"/>
        <w:jc w:val="both"/>
        <w:rPr>
          <w:rFonts w:ascii="Arial" w:hAnsi="Arial" w:cs="Arial"/>
          <w:sz w:val="24"/>
          <w:szCs w:val="24"/>
        </w:rPr>
      </w:pPr>
      <w:r>
        <w:rPr>
          <w:rFonts w:ascii="Arial" w:hAnsi="Arial" w:cs="Arial"/>
          <w:sz w:val="24"/>
          <w:szCs w:val="24"/>
        </w:rPr>
        <w:t xml:space="preserve">‘The application is dismissed with costs, including the costs of one instructing and two instructed </w:t>
      </w:r>
      <w:r w:rsidR="00415417">
        <w:rPr>
          <w:rFonts w:ascii="Arial" w:hAnsi="Arial" w:cs="Arial"/>
          <w:sz w:val="24"/>
          <w:szCs w:val="24"/>
        </w:rPr>
        <w:t xml:space="preserve">legal </w:t>
      </w:r>
      <w:r w:rsidR="00C04C67">
        <w:rPr>
          <w:rFonts w:ascii="Arial" w:hAnsi="Arial" w:cs="Arial"/>
          <w:sz w:val="24"/>
          <w:szCs w:val="24"/>
        </w:rPr>
        <w:t>practitioners</w:t>
      </w:r>
      <w:r>
        <w:rPr>
          <w:rFonts w:ascii="Arial" w:hAnsi="Arial" w:cs="Arial"/>
          <w:sz w:val="24"/>
          <w:szCs w:val="24"/>
        </w:rPr>
        <w:t>.’</w:t>
      </w:r>
    </w:p>
    <w:p w:rsidR="00AA4E1B" w:rsidRDefault="00AA4E1B" w:rsidP="0026302A">
      <w:pPr>
        <w:pStyle w:val="NoSpacing"/>
        <w:spacing w:line="360" w:lineRule="auto"/>
        <w:jc w:val="both"/>
        <w:rPr>
          <w:rFonts w:ascii="Arial" w:hAnsi="Arial" w:cs="Arial"/>
          <w:sz w:val="24"/>
          <w:szCs w:val="24"/>
        </w:rPr>
      </w:pPr>
    </w:p>
    <w:p w:rsidR="00AA4E1B" w:rsidRDefault="00AA4E1B" w:rsidP="0026302A">
      <w:pPr>
        <w:pStyle w:val="NoSpacing"/>
        <w:spacing w:line="360" w:lineRule="auto"/>
        <w:jc w:val="both"/>
        <w:rPr>
          <w:rFonts w:ascii="Arial" w:hAnsi="Arial" w:cs="Arial"/>
          <w:sz w:val="24"/>
          <w:szCs w:val="24"/>
        </w:rPr>
      </w:pPr>
    </w:p>
    <w:p w:rsidR="00AA4E1B" w:rsidRPr="0005466C" w:rsidRDefault="00AA4E1B" w:rsidP="0026302A">
      <w:pPr>
        <w:pStyle w:val="NoSpacing"/>
        <w:spacing w:line="360" w:lineRule="auto"/>
        <w:jc w:val="both"/>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6B0139"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666249" w:rsidRDefault="00666249" w:rsidP="0044790E">
      <w:pPr>
        <w:pStyle w:val="NoSpacing"/>
        <w:spacing w:line="360" w:lineRule="auto"/>
        <w:rPr>
          <w:rFonts w:ascii="Arial" w:hAnsi="Arial" w:cs="Arial"/>
          <w:b/>
          <w:sz w:val="24"/>
          <w:szCs w:val="24"/>
        </w:rPr>
      </w:pPr>
    </w:p>
    <w:p w:rsidR="006B0139" w:rsidRDefault="006B0139" w:rsidP="0044790E">
      <w:pPr>
        <w:pStyle w:val="NoSpacing"/>
        <w:spacing w:line="360" w:lineRule="auto"/>
        <w:rPr>
          <w:rFonts w:ascii="Arial" w:hAnsi="Arial" w:cs="Arial"/>
          <w:b/>
          <w:sz w:val="24"/>
          <w:szCs w:val="24"/>
        </w:rPr>
      </w:pPr>
    </w:p>
    <w:p w:rsidR="006B0139" w:rsidRPr="0044790E" w:rsidRDefault="006B0139" w:rsidP="0044790E">
      <w:pPr>
        <w:pStyle w:val="NoSpacing"/>
        <w:spacing w:line="360" w:lineRule="auto"/>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2E426A" w:rsidRPr="0044790E" w:rsidRDefault="00CE6ABC" w:rsidP="0044790E">
      <w:pPr>
        <w:pStyle w:val="NoSpacing"/>
        <w:spacing w:line="360" w:lineRule="auto"/>
        <w:rPr>
          <w:rFonts w:ascii="Arial" w:hAnsi="Arial" w:cs="Arial"/>
          <w:b/>
          <w:sz w:val="24"/>
          <w:szCs w:val="24"/>
        </w:rPr>
      </w:pPr>
      <w:r>
        <w:rPr>
          <w:rFonts w:ascii="Arial" w:hAnsi="Arial" w:cs="Arial"/>
          <w:b/>
          <w:sz w:val="24"/>
          <w:szCs w:val="24"/>
        </w:rPr>
        <w:t>DAMASEB DCJ</w:t>
      </w:r>
    </w:p>
    <w:p w:rsidR="002E426A" w:rsidRPr="0044790E" w:rsidRDefault="002E426A"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______________________</w:t>
      </w:r>
    </w:p>
    <w:p w:rsidR="002E426A" w:rsidRPr="001C25CA" w:rsidRDefault="00CE6ABC" w:rsidP="0044790E">
      <w:pPr>
        <w:pStyle w:val="NoSpacing"/>
        <w:spacing w:line="360" w:lineRule="auto"/>
        <w:jc w:val="both"/>
        <w:rPr>
          <w:rFonts w:ascii="Arial" w:hAnsi="Arial" w:cs="Arial"/>
          <w:sz w:val="24"/>
          <w:szCs w:val="24"/>
        </w:rPr>
      </w:pPr>
      <w:r>
        <w:rPr>
          <w:rFonts w:ascii="Arial" w:hAnsi="Arial" w:cs="Arial"/>
          <w:b/>
          <w:sz w:val="24"/>
          <w:szCs w:val="24"/>
        </w:rPr>
        <w:t>FRANK</w:t>
      </w:r>
      <w:r w:rsidR="0044790E" w:rsidRPr="0044790E">
        <w:rPr>
          <w:rFonts w:ascii="Arial" w:hAnsi="Arial" w:cs="Arial"/>
          <w:b/>
          <w:sz w:val="24"/>
          <w:szCs w:val="24"/>
        </w:rPr>
        <w:t xml:space="preserve"> </w:t>
      </w:r>
      <w:r>
        <w:rPr>
          <w:rFonts w:ascii="Arial" w:hAnsi="Arial" w:cs="Arial"/>
          <w:b/>
          <w:sz w:val="24"/>
          <w:szCs w:val="24"/>
        </w:rPr>
        <w:t>A</w:t>
      </w:r>
      <w:r w:rsidR="0044790E" w:rsidRPr="0044790E">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C04C67" w:rsidP="00503269">
            <w:pPr>
              <w:rPr>
                <w:rFonts w:ascii="Arial" w:hAnsi="Arial" w:cs="Arial"/>
                <w:sz w:val="24"/>
                <w:szCs w:val="24"/>
              </w:rPr>
            </w:pPr>
            <w:r>
              <w:rPr>
                <w:rFonts w:ascii="Arial" w:hAnsi="Arial" w:cs="Arial"/>
                <w:sz w:val="24"/>
                <w:szCs w:val="24"/>
              </w:rPr>
              <w:t>J</w:t>
            </w:r>
            <w:r w:rsidR="00BE009E">
              <w:rPr>
                <w:rFonts w:ascii="Arial" w:hAnsi="Arial" w:cs="Arial"/>
                <w:sz w:val="24"/>
                <w:szCs w:val="24"/>
              </w:rPr>
              <w:t xml:space="preserve"> Marais, SC (with him D Obbes)</w:t>
            </w:r>
          </w:p>
          <w:p w:rsidR="00644878" w:rsidRPr="001C25CA" w:rsidRDefault="00860DA9" w:rsidP="00BE009E">
            <w:pPr>
              <w:rPr>
                <w:rFonts w:ascii="Arial" w:hAnsi="Arial" w:cs="Arial"/>
                <w:sz w:val="24"/>
                <w:szCs w:val="24"/>
              </w:rPr>
            </w:pPr>
            <w:r w:rsidRPr="001C25CA">
              <w:rPr>
                <w:rFonts w:ascii="Arial" w:hAnsi="Arial" w:cs="Arial"/>
                <w:sz w:val="24"/>
                <w:szCs w:val="24"/>
              </w:rPr>
              <w:t xml:space="preserve">Instructed by </w:t>
            </w:r>
            <w:r w:rsidR="00BE009E">
              <w:rPr>
                <w:rFonts w:ascii="Arial" w:hAnsi="Arial" w:cs="Arial"/>
                <w:sz w:val="24"/>
                <w:szCs w:val="24"/>
              </w:rPr>
              <w:t>Fisher, Quarmby &amp; Pfeifer,</w:t>
            </w:r>
            <w:r w:rsidR="0090388B" w:rsidRPr="00013AB7">
              <w:rPr>
                <w:rFonts w:ascii="Arial" w:hAnsi="Arial" w:cs="Arial"/>
                <w:sz w:val="24"/>
                <w:szCs w:val="24"/>
              </w:rPr>
              <w:t xml:space="preserve"> Windhoek</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624D99">
            <w:pPr>
              <w:ind w:left="-108"/>
              <w:rPr>
                <w:rFonts w:ascii="Arial" w:hAnsi="Arial" w:cs="Arial"/>
                <w:sz w:val="24"/>
                <w:szCs w:val="24"/>
              </w:rPr>
            </w:pPr>
            <w:r w:rsidRPr="001C25CA">
              <w:rPr>
                <w:rFonts w:ascii="Arial" w:hAnsi="Arial" w:cs="Arial"/>
                <w:sz w:val="24"/>
                <w:szCs w:val="24"/>
              </w:rPr>
              <w:t>RESPONDENT</w:t>
            </w:r>
            <w:r w:rsidR="0044790E">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8A6323" w:rsidRPr="00013AB7" w:rsidRDefault="007A14D2" w:rsidP="00864712">
            <w:pPr>
              <w:rPr>
                <w:rFonts w:ascii="Arial" w:hAnsi="Arial" w:cs="Arial"/>
                <w:sz w:val="24"/>
                <w:szCs w:val="24"/>
              </w:rPr>
            </w:pPr>
            <w:r>
              <w:rPr>
                <w:rFonts w:ascii="Arial" w:hAnsi="Arial" w:cs="Arial"/>
                <w:sz w:val="24"/>
                <w:szCs w:val="24"/>
              </w:rPr>
              <w:t>T P</w:t>
            </w:r>
            <w:r w:rsidR="00BE009E">
              <w:rPr>
                <w:rFonts w:ascii="Arial" w:hAnsi="Arial" w:cs="Arial"/>
                <w:sz w:val="24"/>
                <w:szCs w:val="24"/>
              </w:rPr>
              <w:t xml:space="preserve"> Kr</w:t>
            </w:r>
            <w:r w:rsidR="00C04C67">
              <w:rPr>
                <w:rFonts w:ascii="Arial" w:hAnsi="Arial" w:cs="Arial"/>
                <w:sz w:val="24"/>
                <w:szCs w:val="24"/>
              </w:rPr>
              <w:t>ü</w:t>
            </w:r>
            <w:r w:rsidR="00BE009E">
              <w:rPr>
                <w:rFonts w:ascii="Arial" w:hAnsi="Arial" w:cs="Arial"/>
                <w:sz w:val="24"/>
                <w:szCs w:val="24"/>
              </w:rPr>
              <w:t>ger</w:t>
            </w:r>
            <w:r w:rsidR="00C04C67">
              <w:rPr>
                <w:rFonts w:ascii="Arial" w:hAnsi="Arial" w:cs="Arial"/>
                <w:sz w:val="24"/>
                <w:szCs w:val="24"/>
              </w:rPr>
              <w:t xml:space="preserve">, </w:t>
            </w:r>
            <w:r w:rsidR="0032135C">
              <w:rPr>
                <w:rFonts w:ascii="Arial" w:hAnsi="Arial" w:cs="Arial"/>
                <w:sz w:val="24"/>
                <w:szCs w:val="24"/>
              </w:rPr>
              <w:t>SC</w:t>
            </w:r>
            <w:r w:rsidR="0010416F">
              <w:rPr>
                <w:rFonts w:ascii="Arial" w:hAnsi="Arial" w:cs="Arial"/>
                <w:sz w:val="24"/>
                <w:szCs w:val="24"/>
              </w:rPr>
              <w:t xml:space="preserve"> (with him C D</w:t>
            </w:r>
            <w:r w:rsidR="00BE009E">
              <w:rPr>
                <w:rFonts w:ascii="Arial" w:hAnsi="Arial" w:cs="Arial"/>
                <w:sz w:val="24"/>
                <w:szCs w:val="24"/>
              </w:rPr>
              <w:t xml:space="preserve"> Alton)</w:t>
            </w:r>
          </w:p>
          <w:p w:rsidR="00721889" w:rsidRPr="001C25CA" w:rsidRDefault="008A6323" w:rsidP="00BE009E">
            <w:pPr>
              <w:rPr>
                <w:rFonts w:ascii="Arial" w:hAnsi="Arial" w:cs="Arial"/>
                <w:sz w:val="24"/>
                <w:szCs w:val="24"/>
              </w:rPr>
            </w:pPr>
            <w:r>
              <w:rPr>
                <w:rFonts w:ascii="Arial" w:hAnsi="Arial" w:cs="Arial"/>
                <w:sz w:val="24"/>
                <w:szCs w:val="24"/>
              </w:rPr>
              <w:t xml:space="preserve">Instructed by </w:t>
            </w:r>
            <w:r w:rsidR="00BE009E">
              <w:rPr>
                <w:rFonts w:ascii="Arial" w:hAnsi="Arial" w:cs="Arial"/>
                <w:sz w:val="24"/>
                <w:szCs w:val="24"/>
              </w:rPr>
              <w:t>Erasmus &amp; Associates,</w:t>
            </w:r>
            <w:r w:rsidR="0090388B" w:rsidRPr="00013AB7">
              <w:rPr>
                <w:rFonts w:ascii="Arial" w:hAnsi="Arial" w:cs="Arial"/>
                <w:sz w:val="24"/>
                <w:szCs w:val="24"/>
              </w:rPr>
              <w:t xml:space="preserve"> Windhoek</w:t>
            </w:r>
          </w:p>
        </w:tc>
      </w:tr>
    </w:tbl>
    <w:p w:rsidR="00721889" w:rsidRPr="001C25CA" w:rsidRDefault="00721889" w:rsidP="00721889">
      <w:pPr>
        <w:pStyle w:val="NoSpacing"/>
        <w:jc w:val="both"/>
        <w:rPr>
          <w:rFonts w:ascii="Arial" w:hAnsi="Arial" w:cs="Arial"/>
          <w:sz w:val="24"/>
          <w:szCs w:val="24"/>
        </w:rPr>
      </w:pPr>
    </w:p>
    <w:sectPr w:rsidR="00721889" w:rsidRPr="001C25CA" w:rsidSect="006B428A">
      <w:headerReference w:type="default" r:id="rId12"/>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56" w:rsidRDefault="00276856" w:rsidP="00B5013F">
      <w:pPr>
        <w:spacing w:after="0" w:line="240" w:lineRule="auto"/>
      </w:pPr>
      <w:r>
        <w:separator/>
      </w:r>
    </w:p>
  </w:endnote>
  <w:endnote w:type="continuationSeparator" w:id="0">
    <w:p w:rsidR="00276856" w:rsidRDefault="0027685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56" w:rsidRDefault="00276856" w:rsidP="00B5013F">
      <w:pPr>
        <w:spacing w:after="0" w:line="240" w:lineRule="auto"/>
      </w:pPr>
      <w:r>
        <w:separator/>
      </w:r>
    </w:p>
  </w:footnote>
  <w:footnote w:type="continuationSeparator" w:id="0">
    <w:p w:rsidR="00276856" w:rsidRDefault="00276856" w:rsidP="00B5013F">
      <w:pPr>
        <w:spacing w:after="0" w:line="240" w:lineRule="auto"/>
      </w:pPr>
      <w:r>
        <w:continuationSeparator/>
      </w:r>
    </w:p>
  </w:footnote>
  <w:footnote w:id="1">
    <w:p w:rsidR="00715FFD" w:rsidRPr="00D40C08" w:rsidRDefault="00715FFD" w:rsidP="00684F4E">
      <w:pPr>
        <w:pStyle w:val="FootnoteText"/>
        <w:jc w:val="both"/>
        <w:rPr>
          <w:rFonts w:ascii="Arial" w:hAnsi="Arial" w:cs="Arial"/>
        </w:rPr>
      </w:pPr>
      <w:r w:rsidRPr="00D40C08">
        <w:rPr>
          <w:rStyle w:val="FootnoteReference"/>
          <w:rFonts w:ascii="Arial" w:hAnsi="Arial" w:cs="Arial"/>
        </w:rPr>
        <w:footnoteRef/>
      </w:r>
      <w:r w:rsidRPr="00D40C08">
        <w:rPr>
          <w:rFonts w:ascii="Arial" w:hAnsi="Arial" w:cs="Arial"/>
        </w:rPr>
        <w:t xml:space="preserve"> </w:t>
      </w:r>
      <w:r w:rsidR="00D40C08" w:rsidRPr="00D40C08">
        <w:rPr>
          <w:rFonts w:ascii="Arial" w:hAnsi="Arial" w:cs="Arial"/>
          <w:i/>
        </w:rPr>
        <w:t>Miller &amp; others NNO v Prosperity Africa Holdings (Pty) Ltd</w:t>
      </w:r>
      <w:r w:rsidR="00D40C08" w:rsidRPr="00D40C08">
        <w:rPr>
          <w:rFonts w:ascii="Arial" w:hAnsi="Arial" w:cs="Arial"/>
        </w:rPr>
        <w:t xml:space="preserve"> </w:t>
      </w:r>
      <w:r w:rsidRPr="00D40C08">
        <w:rPr>
          <w:rFonts w:ascii="Arial" w:hAnsi="Arial" w:cs="Arial"/>
        </w:rPr>
        <w:t>2019 (4) NR 905 (SC) (</w:t>
      </w:r>
      <w:r w:rsidRPr="00D40C08">
        <w:rPr>
          <w:rFonts w:ascii="Arial" w:hAnsi="Arial" w:cs="Arial"/>
          <w:i/>
        </w:rPr>
        <w:t>Miller</w:t>
      </w:r>
      <w:r w:rsidRPr="00D40C08">
        <w:rPr>
          <w:rFonts w:ascii="Arial" w:hAnsi="Arial" w:cs="Arial"/>
        </w:rPr>
        <w:t>).</w:t>
      </w:r>
    </w:p>
  </w:footnote>
  <w:footnote w:id="2">
    <w:p w:rsidR="00715FFD" w:rsidRPr="00404002" w:rsidRDefault="00715FFD" w:rsidP="00684F4E">
      <w:pPr>
        <w:pStyle w:val="FootnoteText"/>
        <w:jc w:val="both"/>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00707B7A">
        <w:rPr>
          <w:rFonts w:ascii="Arial" w:hAnsi="Arial" w:cs="Arial"/>
        </w:rPr>
        <w:t xml:space="preserve">P M Meskin, Q Vorster, P A Delport, B Galgut &amp; J A Kunst </w:t>
      </w:r>
      <w:r w:rsidR="00DB681D" w:rsidRPr="00707B7A">
        <w:rPr>
          <w:rFonts w:ascii="Arial" w:hAnsi="Arial" w:cs="Arial"/>
          <w:i/>
        </w:rPr>
        <w:t>Henochsbe</w:t>
      </w:r>
      <w:r w:rsidRPr="00707B7A">
        <w:rPr>
          <w:rFonts w:ascii="Arial" w:hAnsi="Arial" w:cs="Arial"/>
          <w:i/>
        </w:rPr>
        <w:t xml:space="preserve">rg on the Companies Act </w:t>
      </w:r>
      <w:r w:rsidR="00707B7A">
        <w:rPr>
          <w:rFonts w:ascii="Arial" w:hAnsi="Arial" w:cs="Arial"/>
          <w:i/>
        </w:rPr>
        <w:t xml:space="preserve">71 of </w:t>
      </w:r>
      <w:r w:rsidR="00707B7A" w:rsidRPr="00707B7A">
        <w:rPr>
          <w:rFonts w:ascii="Arial" w:hAnsi="Arial" w:cs="Arial"/>
        </w:rPr>
        <w:t>2008</w:t>
      </w:r>
      <w:r w:rsidR="00707B7A">
        <w:rPr>
          <w:rFonts w:ascii="Arial" w:hAnsi="Arial" w:cs="Arial"/>
        </w:rPr>
        <w:t xml:space="preserve"> </w:t>
      </w:r>
      <w:r w:rsidRPr="00707B7A">
        <w:rPr>
          <w:rFonts w:ascii="Arial" w:hAnsi="Arial" w:cs="Arial"/>
        </w:rPr>
        <w:t>at</w:t>
      </w:r>
      <w:r w:rsidRPr="00DB681D">
        <w:rPr>
          <w:rFonts w:ascii="Arial" w:hAnsi="Arial" w:cs="Arial"/>
        </w:rPr>
        <w:t xml:space="preserve"> 347</w:t>
      </w:r>
      <w:r w:rsidRPr="00404002">
        <w:rPr>
          <w:rFonts w:ascii="Arial" w:hAnsi="Arial" w:cs="Arial"/>
          <w:i/>
        </w:rPr>
        <w:t xml:space="preserve">. Pilot Freight (Pty) Ltd v Von Landsberg Trading (Pty) Ltd </w:t>
      </w:r>
      <w:r w:rsidRPr="00404002">
        <w:rPr>
          <w:rFonts w:ascii="Arial" w:hAnsi="Arial" w:cs="Arial"/>
        </w:rPr>
        <w:t xml:space="preserve">2015 (2) SA 550 (GJ) para 60; </w:t>
      </w:r>
      <w:r w:rsidRPr="00404002">
        <w:rPr>
          <w:rFonts w:ascii="Arial" w:hAnsi="Arial" w:cs="Arial"/>
          <w:i/>
        </w:rPr>
        <w:t xml:space="preserve">Commonwealth Shippers Ltd v Mayland Properties (Pty) Ltd (United Dress Fabrics (Pty) Ltd &amp; another intervening) </w:t>
      </w:r>
      <w:r w:rsidRPr="00404002">
        <w:rPr>
          <w:rFonts w:ascii="Arial" w:hAnsi="Arial" w:cs="Arial"/>
        </w:rPr>
        <w:t>1978 (1) SA 70 (D) at 72.</w:t>
      </w:r>
    </w:p>
  </w:footnote>
  <w:footnote w:id="3">
    <w:p w:rsidR="00715FFD" w:rsidRPr="00404002" w:rsidRDefault="00715FFD">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Pr="00DB681D">
        <w:rPr>
          <w:rFonts w:ascii="Arial" w:hAnsi="Arial" w:cs="Arial"/>
          <w:i/>
        </w:rPr>
        <w:t>Id</w:t>
      </w:r>
      <w:r w:rsidRPr="00404002">
        <w:rPr>
          <w:rFonts w:ascii="Arial" w:hAnsi="Arial" w:cs="Arial"/>
        </w:rPr>
        <w:t xml:space="preserve"> para 3-5.</w:t>
      </w:r>
    </w:p>
  </w:footnote>
  <w:footnote w:id="4">
    <w:p w:rsidR="00715FFD" w:rsidRPr="00404002" w:rsidRDefault="00715FFD">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Pr="00DB681D">
        <w:rPr>
          <w:rFonts w:ascii="Arial" w:hAnsi="Arial" w:cs="Arial"/>
          <w:i/>
        </w:rPr>
        <w:t>Id</w:t>
      </w:r>
      <w:r w:rsidRPr="00404002">
        <w:rPr>
          <w:rFonts w:ascii="Arial" w:hAnsi="Arial" w:cs="Arial"/>
        </w:rPr>
        <w:t xml:space="preserve"> para 5.</w:t>
      </w:r>
    </w:p>
  </w:footnote>
  <w:footnote w:id="5">
    <w:p w:rsidR="00271DA7" w:rsidRPr="00404002" w:rsidRDefault="00271DA7" w:rsidP="00271DA7">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Pr="000B6A98">
        <w:rPr>
          <w:rFonts w:ascii="Arial" w:hAnsi="Arial" w:cs="Arial"/>
          <w:i/>
        </w:rPr>
        <w:t>Id</w:t>
      </w:r>
      <w:r w:rsidRPr="00404002">
        <w:rPr>
          <w:rFonts w:ascii="Arial" w:hAnsi="Arial" w:cs="Arial"/>
        </w:rPr>
        <w:t xml:space="preserve"> para 15.</w:t>
      </w:r>
    </w:p>
  </w:footnote>
  <w:footnote w:id="6">
    <w:p w:rsidR="00271DA7" w:rsidRPr="00DB681D" w:rsidRDefault="00271DA7" w:rsidP="00271DA7">
      <w:pPr>
        <w:pStyle w:val="FootnoteText"/>
        <w:rPr>
          <w:rFonts w:ascii="Arial" w:hAnsi="Arial" w:cs="Arial"/>
        </w:rPr>
      </w:pPr>
      <w:r w:rsidRPr="00DB681D">
        <w:rPr>
          <w:rStyle w:val="FootnoteReference"/>
          <w:rFonts w:ascii="Arial" w:hAnsi="Arial" w:cs="Arial"/>
        </w:rPr>
        <w:footnoteRef/>
      </w:r>
      <w:r w:rsidRPr="00DB681D">
        <w:rPr>
          <w:rFonts w:ascii="Arial" w:hAnsi="Arial" w:cs="Arial"/>
        </w:rPr>
        <w:t xml:space="preserve"> </w:t>
      </w:r>
      <w:r w:rsidR="00DB681D" w:rsidRPr="00DB681D">
        <w:rPr>
          <w:rFonts w:ascii="Arial" w:hAnsi="Arial" w:cs="Arial"/>
          <w:i/>
        </w:rPr>
        <w:t>Zinn N</w:t>
      </w:r>
      <w:r w:rsidR="00DB681D">
        <w:rPr>
          <w:rFonts w:ascii="Arial" w:hAnsi="Arial" w:cs="Arial"/>
          <w:i/>
        </w:rPr>
        <w:t>O</w:t>
      </w:r>
      <w:r w:rsidR="00DB681D" w:rsidRPr="00DB681D">
        <w:rPr>
          <w:rFonts w:ascii="Arial" w:hAnsi="Arial" w:cs="Arial"/>
          <w:i/>
        </w:rPr>
        <w:t xml:space="preserve"> v Westminster Bank Ltd</w:t>
      </w:r>
      <w:r w:rsidR="00DB681D" w:rsidRPr="00DB681D">
        <w:rPr>
          <w:rFonts w:ascii="Arial" w:hAnsi="Arial" w:cs="Arial"/>
        </w:rPr>
        <w:t xml:space="preserve"> </w:t>
      </w:r>
      <w:r w:rsidRPr="00DB681D">
        <w:rPr>
          <w:rFonts w:ascii="Arial" w:hAnsi="Arial" w:cs="Arial"/>
        </w:rPr>
        <w:t>1936 AD 89 at 99.</w:t>
      </w:r>
    </w:p>
  </w:footnote>
  <w:footnote w:id="7">
    <w:p w:rsidR="00271DA7" w:rsidRPr="00404002" w:rsidRDefault="00271DA7" w:rsidP="00271DA7">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Pr="000B6A98">
        <w:rPr>
          <w:rFonts w:ascii="Arial" w:hAnsi="Arial" w:cs="Arial"/>
          <w:i/>
        </w:rPr>
        <w:t>Id</w:t>
      </w:r>
      <w:r w:rsidRPr="00404002">
        <w:rPr>
          <w:rFonts w:ascii="Arial" w:hAnsi="Arial" w:cs="Arial"/>
        </w:rPr>
        <w:t xml:space="preserve"> at 99. See also </w:t>
      </w:r>
      <w:r w:rsidRPr="00404002">
        <w:rPr>
          <w:rFonts w:ascii="Arial" w:hAnsi="Arial" w:cs="Arial"/>
          <w:i/>
        </w:rPr>
        <w:t xml:space="preserve">Moolman v Builders &amp; Developers (Pty) Ltd (in provisional liquidation): Jooste Intervening </w:t>
      </w:r>
      <w:r w:rsidR="00DB681D">
        <w:rPr>
          <w:rFonts w:ascii="Arial" w:hAnsi="Arial" w:cs="Arial"/>
        </w:rPr>
        <w:t>1990 (1) SA 954 (A)</w:t>
      </w:r>
      <w:r w:rsidR="000B6A98">
        <w:rPr>
          <w:rFonts w:ascii="Arial" w:hAnsi="Arial" w:cs="Arial"/>
        </w:rPr>
        <w:t xml:space="preserve"> at 959I-960A</w:t>
      </w:r>
      <w:r w:rsidRPr="00404002">
        <w:rPr>
          <w:rFonts w:ascii="Arial" w:hAnsi="Arial" w:cs="Arial"/>
        </w:rPr>
        <w:t>.</w:t>
      </w:r>
    </w:p>
  </w:footnote>
  <w:footnote w:id="8">
    <w:p w:rsidR="00715FFD" w:rsidRPr="00404002" w:rsidRDefault="00715FFD">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Ulpian, as translated by Watson as quoted in </w:t>
      </w:r>
      <w:r w:rsidR="00DB681D">
        <w:rPr>
          <w:rFonts w:ascii="Arial" w:hAnsi="Arial" w:cs="Arial"/>
          <w:i/>
        </w:rPr>
        <w:t>Wimbledon L</w:t>
      </w:r>
      <w:r w:rsidR="0015782D" w:rsidRPr="00404002">
        <w:rPr>
          <w:rFonts w:ascii="Arial" w:hAnsi="Arial" w:cs="Arial"/>
          <w:i/>
        </w:rPr>
        <w:t>odge (Pty) Ltd v Gore</w:t>
      </w:r>
      <w:r w:rsidR="008B6477">
        <w:rPr>
          <w:rFonts w:ascii="Arial" w:hAnsi="Arial" w:cs="Arial"/>
          <w:i/>
        </w:rPr>
        <w:t xml:space="preserve"> NO</w:t>
      </w:r>
      <w:r w:rsidR="0015782D" w:rsidRPr="00404002">
        <w:rPr>
          <w:rFonts w:ascii="Arial" w:hAnsi="Arial" w:cs="Arial"/>
          <w:i/>
        </w:rPr>
        <w:t xml:space="preserve"> &amp; others </w:t>
      </w:r>
      <w:r w:rsidR="0015782D" w:rsidRPr="00404002">
        <w:rPr>
          <w:rFonts w:ascii="Arial" w:hAnsi="Arial" w:cs="Arial"/>
        </w:rPr>
        <w:t>2003 (5) SA 315 (SCA) para 10.</w:t>
      </w:r>
    </w:p>
  </w:footnote>
  <w:footnote w:id="9">
    <w:p w:rsidR="0015782D" w:rsidRPr="00404002" w:rsidRDefault="0015782D">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Pr="00DB681D">
        <w:rPr>
          <w:rFonts w:ascii="Arial" w:hAnsi="Arial" w:cs="Arial"/>
          <w:i/>
        </w:rPr>
        <w:t>Id</w:t>
      </w:r>
      <w:r w:rsidRPr="00404002">
        <w:rPr>
          <w:rFonts w:ascii="Arial" w:hAnsi="Arial" w:cs="Arial"/>
        </w:rPr>
        <w:t xml:space="preserve"> para 11.</w:t>
      </w:r>
    </w:p>
  </w:footnote>
  <w:footnote w:id="10">
    <w:p w:rsidR="0015782D" w:rsidRPr="00404002" w:rsidRDefault="0015782D">
      <w:pPr>
        <w:pStyle w:val="FootnoteText"/>
        <w:rPr>
          <w:rFonts w:ascii="Arial" w:hAnsi="Arial" w:cs="Arial"/>
        </w:rPr>
      </w:pPr>
      <w:r w:rsidRPr="00404002">
        <w:rPr>
          <w:rStyle w:val="FootnoteReference"/>
          <w:rFonts w:ascii="Arial" w:hAnsi="Arial" w:cs="Arial"/>
        </w:rPr>
        <w:footnoteRef/>
      </w:r>
      <w:r w:rsidRPr="00404002">
        <w:rPr>
          <w:rFonts w:ascii="Arial" w:hAnsi="Arial" w:cs="Arial"/>
        </w:rPr>
        <w:t xml:space="preserve"> </w:t>
      </w:r>
      <w:r w:rsidR="00C221D2">
        <w:rPr>
          <w:rFonts w:ascii="Arial" w:hAnsi="Arial" w:cs="Arial"/>
        </w:rPr>
        <w:t xml:space="preserve">R H </w:t>
      </w:r>
      <w:r w:rsidRPr="00404002">
        <w:rPr>
          <w:rFonts w:ascii="Arial" w:hAnsi="Arial" w:cs="Arial"/>
        </w:rPr>
        <w:t xml:space="preserve">Christie </w:t>
      </w:r>
      <w:r w:rsidRPr="00404002">
        <w:rPr>
          <w:rFonts w:ascii="Arial" w:hAnsi="Arial" w:cs="Arial"/>
          <w:i/>
        </w:rPr>
        <w:t xml:space="preserve">The Law of Contract in South Africa </w:t>
      </w:r>
      <w:r w:rsidR="00C221D2">
        <w:rPr>
          <w:rFonts w:ascii="Arial" w:hAnsi="Arial" w:cs="Arial"/>
        </w:rPr>
        <w:t>7 ed</w:t>
      </w:r>
      <w:r w:rsidR="00707B7A">
        <w:rPr>
          <w:rFonts w:ascii="Arial" w:hAnsi="Arial" w:cs="Arial"/>
        </w:rPr>
        <w:t xml:space="preserve"> (2016)</w:t>
      </w:r>
      <w:r w:rsidR="00415417">
        <w:rPr>
          <w:rFonts w:ascii="Arial" w:hAnsi="Arial" w:cs="Arial"/>
        </w:rPr>
        <w:t xml:space="preserve">; </w:t>
      </w:r>
      <w:r w:rsidR="00415417" w:rsidRPr="00415417">
        <w:rPr>
          <w:rFonts w:ascii="Arial" w:hAnsi="Arial" w:cs="Arial"/>
          <w:i/>
        </w:rPr>
        <w:t>Du Plessis NO &amp; another v Goldco Motor &amp; Cycle Supplies (Pty) Ltd</w:t>
      </w:r>
      <w:r w:rsidR="00E22919" w:rsidRPr="00404002">
        <w:rPr>
          <w:rFonts w:ascii="Arial" w:hAnsi="Arial" w:cs="Arial"/>
        </w:rPr>
        <w:t xml:space="preserve"> 2009 (6) SA 617 (SCA) </w:t>
      </w:r>
      <w:r w:rsidR="00415417">
        <w:rPr>
          <w:rFonts w:ascii="Arial" w:hAnsi="Arial" w:cs="Arial"/>
        </w:rPr>
        <w:t xml:space="preserve">at </w:t>
      </w:r>
      <w:r w:rsidR="00E22919" w:rsidRPr="00404002">
        <w:rPr>
          <w:rFonts w:ascii="Arial" w:hAnsi="Arial" w:cs="Arial"/>
        </w:rPr>
        <w:t>626.</w:t>
      </w:r>
    </w:p>
  </w:footnote>
  <w:footnote w:id="11">
    <w:p w:rsidR="007B5B9E" w:rsidRPr="00404002" w:rsidRDefault="007B5B9E">
      <w:pPr>
        <w:pStyle w:val="FootnoteText"/>
        <w:rPr>
          <w:rFonts w:ascii="Arial" w:hAnsi="Arial" w:cs="Arial"/>
        </w:rPr>
      </w:pPr>
      <w:r w:rsidRPr="00C221D2">
        <w:rPr>
          <w:rStyle w:val="FootnoteReference"/>
          <w:rFonts w:ascii="Arial" w:hAnsi="Arial" w:cs="Arial"/>
        </w:rPr>
        <w:footnoteRef/>
      </w:r>
      <w:r w:rsidRPr="00C221D2">
        <w:rPr>
          <w:rFonts w:ascii="Arial" w:hAnsi="Arial" w:cs="Arial"/>
        </w:rPr>
        <w:t xml:space="preserve"> </w:t>
      </w:r>
      <w:r w:rsidRPr="00C221D2">
        <w:rPr>
          <w:rFonts w:ascii="Arial" w:hAnsi="Arial" w:cs="Arial"/>
          <w:i/>
        </w:rPr>
        <w:t xml:space="preserve">Badenhorst </w:t>
      </w:r>
      <w:r w:rsidR="00C221D2">
        <w:rPr>
          <w:rFonts w:ascii="Arial" w:hAnsi="Arial" w:cs="Arial"/>
          <w:i/>
        </w:rPr>
        <w:t>v Northern Construction Enterprises (Pty) Ltd</w:t>
      </w:r>
      <w:r w:rsidR="008B6477">
        <w:rPr>
          <w:rFonts w:ascii="Arial" w:hAnsi="Arial" w:cs="Arial"/>
        </w:rPr>
        <w:t xml:space="preserve"> 19</w:t>
      </w:r>
      <w:r w:rsidR="00C221D2">
        <w:rPr>
          <w:rFonts w:ascii="Arial" w:hAnsi="Arial" w:cs="Arial"/>
        </w:rPr>
        <w:t>5</w:t>
      </w:r>
      <w:r w:rsidR="008B6477">
        <w:rPr>
          <w:rFonts w:ascii="Arial" w:hAnsi="Arial" w:cs="Arial"/>
        </w:rPr>
        <w:t>6</w:t>
      </w:r>
      <w:r w:rsidR="00C221D2">
        <w:rPr>
          <w:rFonts w:ascii="Arial" w:hAnsi="Arial" w:cs="Arial"/>
        </w:rPr>
        <w:t xml:space="preserve"> (2) SA 346 (</w:t>
      </w:r>
      <w:r w:rsidR="007A14D2">
        <w:rPr>
          <w:rFonts w:ascii="Arial" w:hAnsi="Arial" w:cs="Arial"/>
        </w:rPr>
        <w:t>T</w:t>
      </w:r>
      <w:r w:rsidR="00C221D2">
        <w:rPr>
          <w:rFonts w:ascii="Arial" w:hAnsi="Arial" w:cs="Arial"/>
        </w:rPr>
        <w:t>)</w:t>
      </w:r>
      <w:r w:rsidR="00C221D2">
        <w:rPr>
          <w:rFonts w:ascii="Arial" w:hAnsi="Arial" w:cs="Arial"/>
          <w:i/>
        </w:rPr>
        <w:t xml:space="preserve"> </w:t>
      </w:r>
      <w:r w:rsidRPr="00C221D2">
        <w:rPr>
          <w:rFonts w:ascii="Arial" w:hAnsi="Arial" w:cs="Arial"/>
        </w:rPr>
        <w:t>at 347-348.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715FFD" w:rsidRPr="00111C5B" w:rsidRDefault="00715FFD">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0238CC">
          <w:rPr>
            <w:rFonts w:ascii="Arial" w:hAnsi="Arial" w:cs="Arial"/>
            <w:noProof/>
            <w:sz w:val="24"/>
            <w:szCs w:val="24"/>
          </w:rPr>
          <w:t>5</w:t>
        </w:r>
        <w:r w:rsidRPr="00111C5B">
          <w:rPr>
            <w:rFonts w:ascii="Arial" w:hAnsi="Arial" w:cs="Arial"/>
            <w:noProof/>
            <w:sz w:val="24"/>
            <w:szCs w:val="24"/>
          </w:rPr>
          <w:fldChar w:fldCharType="end"/>
        </w:r>
      </w:p>
    </w:sdtContent>
  </w:sdt>
  <w:p w:rsidR="00715FFD" w:rsidRDefault="00715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6"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45B134E"/>
    <w:multiLevelType w:val="hybridMultilevel"/>
    <w:tmpl w:val="E1E23FD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5"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3"/>
  </w:num>
  <w:num w:numId="3">
    <w:abstractNumId w:val="30"/>
  </w:num>
  <w:num w:numId="4">
    <w:abstractNumId w:val="18"/>
  </w:num>
  <w:num w:numId="5">
    <w:abstractNumId w:val="24"/>
  </w:num>
  <w:num w:numId="6">
    <w:abstractNumId w:val="1"/>
  </w:num>
  <w:num w:numId="7">
    <w:abstractNumId w:val="27"/>
  </w:num>
  <w:num w:numId="8">
    <w:abstractNumId w:val="10"/>
  </w:num>
  <w:num w:numId="9">
    <w:abstractNumId w:val="28"/>
  </w:num>
  <w:num w:numId="10">
    <w:abstractNumId w:val="16"/>
  </w:num>
  <w:num w:numId="11">
    <w:abstractNumId w:val="8"/>
  </w:num>
  <w:num w:numId="12">
    <w:abstractNumId w:val="5"/>
  </w:num>
  <w:num w:numId="13">
    <w:abstractNumId w:val="13"/>
  </w:num>
  <w:num w:numId="14">
    <w:abstractNumId w:val="19"/>
  </w:num>
  <w:num w:numId="15">
    <w:abstractNumId w:val="15"/>
  </w:num>
  <w:num w:numId="16">
    <w:abstractNumId w:val="14"/>
  </w:num>
  <w:num w:numId="17">
    <w:abstractNumId w:val="25"/>
  </w:num>
  <w:num w:numId="18">
    <w:abstractNumId w:val="29"/>
  </w:num>
  <w:num w:numId="19">
    <w:abstractNumId w:val="20"/>
  </w:num>
  <w:num w:numId="20">
    <w:abstractNumId w:val="26"/>
  </w:num>
  <w:num w:numId="21">
    <w:abstractNumId w:val="22"/>
  </w:num>
  <w:num w:numId="22">
    <w:abstractNumId w:val="6"/>
  </w:num>
  <w:num w:numId="23">
    <w:abstractNumId w:val="12"/>
  </w:num>
  <w:num w:numId="24">
    <w:abstractNumId w:val="3"/>
  </w:num>
  <w:num w:numId="25">
    <w:abstractNumId w:val="4"/>
  </w:num>
  <w:num w:numId="26">
    <w:abstractNumId w:val="21"/>
  </w:num>
  <w:num w:numId="27">
    <w:abstractNumId w:val="0"/>
  </w:num>
  <w:num w:numId="28">
    <w:abstractNumId w:val="2"/>
  </w:num>
  <w:num w:numId="29">
    <w:abstractNumId w:val="7"/>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2A5C"/>
    <w:rsid w:val="00004C4D"/>
    <w:rsid w:val="0000525D"/>
    <w:rsid w:val="00010CA6"/>
    <w:rsid w:val="00011EB9"/>
    <w:rsid w:val="00012D59"/>
    <w:rsid w:val="00012FAA"/>
    <w:rsid w:val="00013AB7"/>
    <w:rsid w:val="00016703"/>
    <w:rsid w:val="000177B8"/>
    <w:rsid w:val="00020736"/>
    <w:rsid w:val="00021ECC"/>
    <w:rsid w:val="00022452"/>
    <w:rsid w:val="00022644"/>
    <w:rsid w:val="000231F7"/>
    <w:rsid w:val="000238CC"/>
    <w:rsid w:val="00026DD5"/>
    <w:rsid w:val="0002744F"/>
    <w:rsid w:val="000276F0"/>
    <w:rsid w:val="00030C69"/>
    <w:rsid w:val="00031EBA"/>
    <w:rsid w:val="00033256"/>
    <w:rsid w:val="00034839"/>
    <w:rsid w:val="000373D3"/>
    <w:rsid w:val="000400C4"/>
    <w:rsid w:val="00040AC4"/>
    <w:rsid w:val="00041B56"/>
    <w:rsid w:val="00042A20"/>
    <w:rsid w:val="000433D8"/>
    <w:rsid w:val="00043713"/>
    <w:rsid w:val="00044AD2"/>
    <w:rsid w:val="00045931"/>
    <w:rsid w:val="000478EF"/>
    <w:rsid w:val="00052B8A"/>
    <w:rsid w:val="0005466C"/>
    <w:rsid w:val="00055805"/>
    <w:rsid w:val="00057B7B"/>
    <w:rsid w:val="000610A3"/>
    <w:rsid w:val="000626CC"/>
    <w:rsid w:val="000643B5"/>
    <w:rsid w:val="00065459"/>
    <w:rsid w:val="00066723"/>
    <w:rsid w:val="0007080A"/>
    <w:rsid w:val="00071EB4"/>
    <w:rsid w:val="00073046"/>
    <w:rsid w:val="00074D92"/>
    <w:rsid w:val="00075ABD"/>
    <w:rsid w:val="00076790"/>
    <w:rsid w:val="00076931"/>
    <w:rsid w:val="00076F53"/>
    <w:rsid w:val="00077B52"/>
    <w:rsid w:val="0008009C"/>
    <w:rsid w:val="00081A0D"/>
    <w:rsid w:val="000840CA"/>
    <w:rsid w:val="00084121"/>
    <w:rsid w:val="00090B47"/>
    <w:rsid w:val="000918CB"/>
    <w:rsid w:val="00092565"/>
    <w:rsid w:val="00092A31"/>
    <w:rsid w:val="00092D5D"/>
    <w:rsid w:val="00094C79"/>
    <w:rsid w:val="00096D67"/>
    <w:rsid w:val="000A2F02"/>
    <w:rsid w:val="000A3C68"/>
    <w:rsid w:val="000A3CA0"/>
    <w:rsid w:val="000A3CE5"/>
    <w:rsid w:val="000A3F6B"/>
    <w:rsid w:val="000A4DEC"/>
    <w:rsid w:val="000B06C9"/>
    <w:rsid w:val="000B0A11"/>
    <w:rsid w:val="000B587E"/>
    <w:rsid w:val="000B5B95"/>
    <w:rsid w:val="000B6715"/>
    <w:rsid w:val="000B6A98"/>
    <w:rsid w:val="000B75AB"/>
    <w:rsid w:val="000C1390"/>
    <w:rsid w:val="000C2A58"/>
    <w:rsid w:val="000C2D19"/>
    <w:rsid w:val="000C4126"/>
    <w:rsid w:val="000C48E5"/>
    <w:rsid w:val="000C5C13"/>
    <w:rsid w:val="000D1ADC"/>
    <w:rsid w:val="000D1F3C"/>
    <w:rsid w:val="000D2762"/>
    <w:rsid w:val="000D3FA5"/>
    <w:rsid w:val="000D44E5"/>
    <w:rsid w:val="000E008B"/>
    <w:rsid w:val="000E0BFC"/>
    <w:rsid w:val="000E3DF0"/>
    <w:rsid w:val="000E4E76"/>
    <w:rsid w:val="000E5305"/>
    <w:rsid w:val="000E6B27"/>
    <w:rsid w:val="000E6CCD"/>
    <w:rsid w:val="000F1A59"/>
    <w:rsid w:val="000F27F1"/>
    <w:rsid w:val="000F3DA6"/>
    <w:rsid w:val="000F4BBD"/>
    <w:rsid w:val="000F4E2E"/>
    <w:rsid w:val="000F542F"/>
    <w:rsid w:val="000F61A4"/>
    <w:rsid w:val="000F7D77"/>
    <w:rsid w:val="00101FDB"/>
    <w:rsid w:val="0010254D"/>
    <w:rsid w:val="0010416F"/>
    <w:rsid w:val="00104BAD"/>
    <w:rsid w:val="00105AAF"/>
    <w:rsid w:val="00106F7A"/>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439B"/>
    <w:rsid w:val="00125DEC"/>
    <w:rsid w:val="00126E64"/>
    <w:rsid w:val="00126F0A"/>
    <w:rsid w:val="00127445"/>
    <w:rsid w:val="00130103"/>
    <w:rsid w:val="00132216"/>
    <w:rsid w:val="001327CE"/>
    <w:rsid w:val="0013380E"/>
    <w:rsid w:val="00135038"/>
    <w:rsid w:val="0013608D"/>
    <w:rsid w:val="00136880"/>
    <w:rsid w:val="00140678"/>
    <w:rsid w:val="00140A9D"/>
    <w:rsid w:val="001423E7"/>
    <w:rsid w:val="0014303A"/>
    <w:rsid w:val="0015020C"/>
    <w:rsid w:val="00151FFA"/>
    <w:rsid w:val="00153F19"/>
    <w:rsid w:val="0015782D"/>
    <w:rsid w:val="001578CD"/>
    <w:rsid w:val="001617C5"/>
    <w:rsid w:val="00161C35"/>
    <w:rsid w:val="001634AF"/>
    <w:rsid w:val="00167F33"/>
    <w:rsid w:val="0017081A"/>
    <w:rsid w:val="0017115B"/>
    <w:rsid w:val="00173532"/>
    <w:rsid w:val="00180CE0"/>
    <w:rsid w:val="001838C9"/>
    <w:rsid w:val="00185996"/>
    <w:rsid w:val="00190F70"/>
    <w:rsid w:val="00192135"/>
    <w:rsid w:val="00192C22"/>
    <w:rsid w:val="00193825"/>
    <w:rsid w:val="00194D51"/>
    <w:rsid w:val="001957EE"/>
    <w:rsid w:val="001A0E25"/>
    <w:rsid w:val="001A2B18"/>
    <w:rsid w:val="001A4A99"/>
    <w:rsid w:val="001A582C"/>
    <w:rsid w:val="001A666A"/>
    <w:rsid w:val="001A6B0E"/>
    <w:rsid w:val="001A77B8"/>
    <w:rsid w:val="001A7909"/>
    <w:rsid w:val="001B4200"/>
    <w:rsid w:val="001B4618"/>
    <w:rsid w:val="001B61E6"/>
    <w:rsid w:val="001C1FD2"/>
    <w:rsid w:val="001C25C8"/>
    <w:rsid w:val="001C25CA"/>
    <w:rsid w:val="001C2720"/>
    <w:rsid w:val="001C558D"/>
    <w:rsid w:val="001C7DF6"/>
    <w:rsid w:val="001D0810"/>
    <w:rsid w:val="001D08D7"/>
    <w:rsid w:val="001D3506"/>
    <w:rsid w:val="001D4856"/>
    <w:rsid w:val="001D4EB4"/>
    <w:rsid w:val="001D58BA"/>
    <w:rsid w:val="001D608A"/>
    <w:rsid w:val="001E299E"/>
    <w:rsid w:val="001E3888"/>
    <w:rsid w:val="001E44D9"/>
    <w:rsid w:val="001E4C77"/>
    <w:rsid w:val="001E4E17"/>
    <w:rsid w:val="001F004F"/>
    <w:rsid w:val="001F4CB8"/>
    <w:rsid w:val="001F7942"/>
    <w:rsid w:val="0020220F"/>
    <w:rsid w:val="0020312C"/>
    <w:rsid w:val="0020572A"/>
    <w:rsid w:val="00206401"/>
    <w:rsid w:val="00207296"/>
    <w:rsid w:val="00207960"/>
    <w:rsid w:val="00207D05"/>
    <w:rsid w:val="00215D8F"/>
    <w:rsid w:val="002212AD"/>
    <w:rsid w:val="00221562"/>
    <w:rsid w:val="002245DA"/>
    <w:rsid w:val="00224757"/>
    <w:rsid w:val="002317A5"/>
    <w:rsid w:val="002337F7"/>
    <w:rsid w:val="00235497"/>
    <w:rsid w:val="00235E57"/>
    <w:rsid w:val="0023748C"/>
    <w:rsid w:val="00242818"/>
    <w:rsid w:val="002441F9"/>
    <w:rsid w:val="002447B6"/>
    <w:rsid w:val="002457A4"/>
    <w:rsid w:val="00251412"/>
    <w:rsid w:val="00262874"/>
    <w:rsid w:val="00262EF8"/>
    <w:rsid w:val="0026302A"/>
    <w:rsid w:val="0026340F"/>
    <w:rsid w:val="00263481"/>
    <w:rsid w:val="002658ED"/>
    <w:rsid w:val="002662E3"/>
    <w:rsid w:val="00266E2B"/>
    <w:rsid w:val="00271DA7"/>
    <w:rsid w:val="00273EE9"/>
    <w:rsid w:val="00274F4E"/>
    <w:rsid w:val="002755A3"/>
    <w:rsid w:val="00276856"/>
    <w:rsid w:val="002834E8"/>
    <w:rsid w:val="002855CF"/>
    <w:rsid w:val="00286029"/>
    <w:rsid w:val="00286F17"/>
    <w:rsid w:val="00291956"/>
    <w:rsid w:val="002933AF"/>
    <w:rsid w:val="00294302"/>
    <w:rsid w:val="002A2B5C"/>
    <w:rsid w:val="002A4C01"/>
    <w:rsid w:val="002B0CAC"/>
    <w:rsid w:val="002B1CE3"/>
    <w:rsid w:val="002B2DA3"/>
    <w:rsid w:val="002C0FC3"/>
    <w:rsid w:val="002C0FF2"/>
    <w:rsid w:val="002C1199"/>
    <w:rsid w:val="002C2CDC"/>
    <w:rsid w:val="002C3E6D"/>
    <w:rsid w:val="002C568C"/>
    <w:rsid w:val="002C758D"/>
    <w:rsid w:val="002D1292"/>
    <w:rsid w:val="002D1B71"/>
    <w:rsid w:val="002D1D8D"/>
    <w:rsid w:val="002D1E38"/>
    <w:rsid w:val="002D1F1E"/>
    <w:rsid w:val="002D5D6D"/>
    <w:rsid w:val="002D60C7"/>
    <w:rsid w:val="002E426A"/>
    <w:rsid w:val="002E4E6A"/>
    <w:rsid w:val="002E708E"/>
    <w:rsid w:val="002F12B3"/>
    <w:rsid w:val="002F1E29"/>
    <w:rsid w:val="002F27EF"/>
    <w:rsid w:val="002F7D7C"/>
    <w:rsid w:val="0030014D"/>
    <w:rsid w:val="00300CD3"/>
    <w:rsid w:val="003039EF"/>
    <w:rsid w:val="003042AF"/>
    <w:rsid w:val="00305FE9"/>
    <w:rsid w:val="003061EB"/>
    <w:rsid w:val="00306CA5"/>
    <w:rsid w:val="0030702B"/>
    <w:rsid w:val="0030737F"/>
    <w:rsid w:val="0030775E"/>
    <w:rsid w:val="00310940"/>
    <w:rsid w:val="00316F76"/>
    <w:rsid w:val="00317522"/>
    <w:rsid w:val="003211FA"/>
    <w:rsid w:val="003212CE"/>
    <w:rsid w:val="0032135C"/>
    <w:rsid w:val="0032148F"/>
    <w:rsid w:val="00321ED1"/>
    <w:rsid w:val="00324725"/>
    <w:rsid w:val="0032579A"/>
    <w:rsid w:val="003276F9"/>
    <w:rsid w:val="00333E58"/>
    <w:rsid w:val="003346AE"/>
    <w:rsid w:val="0033772A"/>
    <w:rsid w:val="00337BE9"/>
    <w:rsid w:val="00346C25"/>
    <w:rsid w:val="00351E20"/>
    <w:rsid w:val="00352985"/>
    <w:rsid w:val="003551AC"/>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76A"/>
    <w:rsid w:val="003C4C67"/>
    <w:rsid w:val="003D0CE6"/>
    <w:rsid w:val="003D4A07"/>
    <w:rsid w:val="003D6A9C"/>
    <w:rsid w:val="003D7216"/>
    <w:rsid w:val="003E1056"/>
    <w:rsid w:val="003E289D"/>
    <w:rsid w:val="003E2DB6"/>
    <w:rsid w:val="003E322E"/>
    <w:rsid w:val="003E34C8"/>
    <w:rsid w:val="003E46F3"/>
    <w:rsid w:val="003E77F5"/>
    <w:rsid w:val="003E7F28"/>
    <w:rsid w:val="003F0E71"/>
    <w:rsid w:val="003F1463"/>
    <w:rsid w:val="003F2001"/>
    <w:rsid w:val="003F3800"/>
    <w:rsid w:val="003F5965"/>
    <w:rsid w:val="003F5E62"/>
    <w:rsid w:val="00400FC6"/>
    <w:rsid w:val="004023CC"/>
    <w:rsid w:val="00404002"/>
    <w:rsid w:val="00406B40"/>
    <w:rsid w:val="00406D6A"/>
    <w:rsid w:val="00407728"/>
    <w:rsid w:val="00407B66"/>
    <w:rsid w:val="004107D3"/>
    <w:rsid w:val="00413FB2"/>
    <w:rsid w:val="00414C3B"/>
    <w:rsid w:val="00415417"/>
    <w:rsid w:val="004154C8"/>
    <w:rsid w:val="0041592B"/>
    <w:rsid w:val="004165C2"/>
    <w:rsid w:val="00416D26"/>
    <w:rsid w:val="00416EF2"/>
    <w:rsid w:val="004178DB"/>
    <w:rsid w:val="00417945"/>
    <w:rsid w:val="00417BF1"/>
    <w:rsid w:val="004211CC"/>
    <w:rsid w:val="004215C2"/>
    <w:rsid w:val="00422686"/>
    <w:rsid w:val="00427400"/>
    <w:rsid w:val="00431601"/>
    <w:rsid w:val="00432E79"/>
    <w:rsid w:val="00436AEB"/>
    <w:rsid w:val="00437C60"/>
    <w:rsid w:val="004425FC"/>
    <w:rsid w:val="0044790E"/>
    <w:rsid w:val="00450915"/>
    <w:rsid w:val="00451609"/>
    <w:rsid w:val="00456D8B"/>
    <w:rsid w:val="00457F24"/>
    <w:rsid w:val="00461B37"/>
    <w:rsid w:val="00464AAA"/>
    <w:rsid w:val="00470864"/>
    <w:rsid w:val="004732FD"/>
    <w:rsid w:val="004738B5"/>
    <w:rsid w:val="00475114"/>
    <w:rsid w:val="00475F4A"/>
    <w:rsid w:val="004774C0"/>
    <w:rsid w:val="00485805"/>
    <w:rsid w:val="00485BB6"/>
    <w:rsid w:val="004921A4"/>
    <w:rsid w:val="00492B12"/>
    <w:rsid w:val="00493B5A"/>
    <w:rsid w:val="00494F8E"/>
    <w:rsid w:val="00497D6A"/>
    <w:rsid w:val="00497DB0"/>
    <w:rsid w:val="004A2184"/>
    <w:rsid w:val="004A4108"/>
    <w:rsid w:val="004A4875"/>
    <w:rsid w:val="004A4E9A"/>
    <w:rsid w:val="004A5FD0"/>
    <w:rsid w:val="004A60BA"/>
    <w:rsid w:val="004A64D1"/>
    <w:rsid w:val="004B07A4"/>
    <w:rsid w:val="004B1588"/>
    <w:rsid w:val="004B2A80"/>
    <w:rsid w:val="004B31D9"/>
    <w:rsid w:val="004B4AEE"/>
    <w:rsid w:val="004B584B"/>
    <w:rsid w:val="004B6477"/>
    <w:rsid w:val="004C0E0B"/>
    <w:rsid w:val="004C0E72"/>
    <w:rsid w:val="004C4D6B"/>
    <w:rsid w:val="004D1969"/>
    <w:rsid w:val="004D77F2"/>
    <w:rsid w:val="004E0F45"/>
    <w:rsid w:val="004E198A"/>
    <w:rsid w:val="004E21E1"/>
    <w:rsid w:val="004E2834"/>
    <w:rsid w:val="004E2A24"/>
    <w:rsid w:val="004E503B"/>
    <w:rsid w:val="004E6C81"/>
    <w:rsid w:val="004E7000"/>
    <w:rsid w:val="004F0B37"/>
    <w:rsid w:val="004F0C0D"/>
    <w:rsid w:val="004F15DB"/>
    <w:rsid w:val="004F2F0E"/>
    <w:rsid w:val="004F41EF"/>
    <w:rsid w:val="004F44AA"/>
    <w:rsid w:val="004F5128"/>
    <w:rsid w:val="004F5883"/>
    <w:rsid w:val="004F7C7C"/>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4547"/>
    <w:rsid w:val="0053623E"/>
    <w:rsid w:val="00536A02"/>
    <w:rsid w:val="0053799E"/>
    <w:rsid w:val="00542590"/>
    <w:rsid w:val="0055044E"/>
    <w:rsid w:val="00550DE2"/>
    <w:rsid w:val="00551CFA"/>
    <w:rsid w:val="0055212E"/>
    <w:rsid w:val="00552F70"/>
    <w:rsid w:val="00553981"/>
    <w:rsid w:val="00554FF4"/>
    <w:rsid w:val="00556075"/>
    <w:rsid w:val="00556D82"/>
    <w:rsid w:val="005617D0"/>
    <w:rsid w:val="00562666"/>
    <w:rsid w:val="00563855"/>
    <w:rsid w:val="005653A5"/>
    <w:rsid w:val="005717E1"/>
    <w:rsid w:val="00571EB3"/>
    <w:rsid w:val="00573289"/>
    <w:rsid w:val="00573E12"/>
    <w:rsid w:val="00576598"/>
    <w:rsid w:val="00581EA3"/>
    <w:rsid w:val="005821BB"/>
    <w:rsid w:val="00582D9F"/>
    <w:rsid w:val="00584213"/>
    <w:rsid w:val="00584D15"/>
    <w:rsid w:val="00587010"/>
    <w:rsid w:val="00592466"/>
    <w:rsid w:val="0059472F"/>
    <w:rsid w:val="00594EA3"/>
    <w:rsid w:val="005A0E6E"/>
    <w:rsid w:val="005A2269"/>
    <w:rsid w:val="005A531E"/>
    <w:rsid w:val="005A73A9"/>
    <w:rsid w:val="005B243A"/>
    <w:rsid w:val="005B365F"/>
    <w:rsid w:val="005B4417"/>
    <w:rsid w:val="005B483F"/>
    <w:rsid w:val="005B496A"/>
    <w:rsid w:val="005C0BAB"/>
    <w:rsid w:val="005C38CD"/>
    <w:rsid w:val="005C40C0"/>
    <w:rsid w:val="005C577D"/>
    <w:rsid w:val="005C5B26"/>
    <w:rsid w:val="005C6696"/>
    <w:rsid w:val="005D14EF"/>
    <w:rsid w:val="005D1CBE"/>
    <w:rsid w:val="005D3137"/>
    <w:rsid w:val="005D54CF"/>
    <w:rsid w:val="005D6CA4"/>
    <w:rsid w:val="005D6E01"/>
    <w:rsid w:val="005E22D2"/>
    <w:rsid w:val="005E3190"/>
    <w:rsid w:val="005E4D0E"/>
    <w:rsid w:val="005F2A59"/>
    <w:rsid w:val="005F68D7"/>
    <w:rsid w:val="00603C78"/>
    <w:rsid w:val="00605ECA"/>
    <w:rsid w:val="00607F6F"/>
    <w:rsid w:val="006105DE"/>
    <w:rsid w:val="0061491A"/>
    <w:rsid w:val="006160AD"/>
    <w:rsid w:val="006166D8"/>
    <w:rsid w:val="00623F46"/>
    <w:rsid w:val="00624D99"/>
    <w:rsid w:val="00626913"/>
    <w:rsid w:val="00626A9F"/>
    <w:rsid w:val="00630329"/>
    <w:rsid w:val="00633338"/>
    <w:rsid w:val="00634C4D"/>
    <w:rsid w:val="00637546"/>
    <w:rsid w:val="006406F0"/>
    <w:rsid w:val="00642FBC"/>
    <w:rsid w:val="00643C33"/>
    <w:rsid w:val="006445D0"/>
    <w:rsid w:val="00644878"/>
    <w:rsid w:val="00644C54"/>
    <w:rsid w:val="006515A9"/>
    <w:rsid w:val="00653E17"/>
    <w:rsid w:val="006556C0"/>
    <w:rsid w:val="00656CD1"/>
    <w:rsid w:val="00662CAC"/>
    <w:rsid w:val="00662DCC"/>
    <w:rsid w:val="00662F25"/>
    <w:rsid w:val="00666249"/>
    <w:rsid w:val="00670783"/>
    <w:rsid w:val="00673B76"/>
    <w:rsid w:val="00673E44"/>
    <w:rsid w:val="0067405A"/>
    <w:rsid w:val="00675D54"/>
    <w:rsid w:val="00676179"/>
    <w:rsid w:val="00676260"/>
    <w:rsid w:val="00676451"/>
    <w:rsid w:val="00682C7E"/>
    <w:rsid w:val="00683671"/>
    <w:rsid w:val="0068387E"/>
    <w:rsid w:val="00684CD4"/>
    <w:rsid w:val="00684F4E"/>
    <w:rsid w:val="006908E6"/>
    <w:rsid w:val="00692548"/>
    <w:rsid w:val="0069532C"/>
    <w:rsid w:val="006A06DE"/>
    <w:rsid w:val="006A29CE"/>
    <w:rsid w:val="006A368C"/>
    <w:rsid w:val="006A660B"/>
    <w:rsid w:val="006A7919"/>
    <w:rsid w:val="006B0139"/>
    <w:rsid w:val="006B30C3"/>
    <w:rsid w:val="006B428A"/>
    <w:rsid w:val="006B79FA"/>
    <w:rsid w:val="006C0094"/>
    <w:rsid w:val="006C367B"/>
    <w:rsid w:val="006C3C07"/>
    <w:rsid w:val="006C50CB"/>
    <w:rsid w:val="006C7E78"/>
    <w:rsid w:val="006D094B"/>
    <w:rsid w:val="006D6DA9"/>
    <w:rsid w:val="006D7412"/>
    <w:rsid w:val="006E2ABB"/>
    <w:rsid w:val="006E5B7E"/>
    <w:rsid w:val="006E698F"/>
    <w:rsid w:val="006F1A08"/>
    <w:rsid w:val="006F4B7D"/>
    <w:rsid w:val="00700E33"/>
    <w:rsid w:val="0070158E"/>
    <w:rsid w:val="00701F58"/>
    <w:rsid w:val="00703AD3"/>
    <w:rsid w:val="00707ADB"/>
    <w:rsid w:val="00707B7A"/>
    <w:rsid w:val="00710062"/>
    <w:rsid w:val="007104EF"/>
    <w:rsid w:val="00711D32"/>
    <w:rsid w:val="00712D3F"/>
    <w:rsid w:val="007138EE"/>
    <w:rsid w:val="00715FFD"/>
    <w:rsid w:val="0071730B"/>
    <w:rsid w:val="0071760F"/>
    <w:rsid w:val="0071795E"/>
    <w:rsid w:val="007217AA"/>
    <w:rsid w:val="00721889"/>
    <w:rsid w:val="007233CE"/>
    <w:rsid w:val="00725ABD"/>
    <w:rsid w:val="00726AAE"/>
    <w:rsid w:val="00730A27"/>
    <w:rsid w:val="00730DB7"/>
    <w:rsid w:val="0073324C"/>
    <w:rsid w:val="007402BF"/>
    <w:rsid w:val="00742AE8"/>
    <w:rsid w:val="00742D5B"/>
    <w:rsid w:val="00744D03"/>
    <w:rsid w:val="00745BF5"/>
    <w:rsid w:val="00747138"/>
    <w:rsid w:val="00747300"/>
    <w:rsid w:val="00751F49"/>
    <w:rsid w:val="007531D6"/>
    <w:rsid w:val="007545D2"/>
    <w:rsid w:val="00765464"/>
    <w:rsid w:val="0076561C"/>
    <w:rsid w:val="00766963"/>
    <w:rsid w:val="00770A11"/>
    <w:rsid w:val="00770A4B"/>
    <w:rsid w:val="00771623"/>
    <w:rsid w:val="0077206A"/>
    <w:rsid w:val="00773E32"/>
    <w:rsid w:val="007740F6"/>
    <w:rsid w:val="007767BD"/>
    <w:rsid w:val="007807B5"/>
    <w:rsid w:val="007841FA"/>
    <w:rsid w:val="0078589B"/>
    <w:rsid w:val="00786153"/>
    <w:rsid w:val="00786211"/>
    <w:rsid w:val="007867BC"/>
    <w:rsid w:val="00786DD2"/>
    <w:rsid w:val="00786DEA"/>
    <w:rsid w:val="00787313"/>
    <w:rsid w:val="007933B7"/>
    <w:rsid w:val="00797315"/>
    <w:rsid w:val="007973FE"/>
    <w:rsid w:val="007A0174"/>
    <w:rsid w:val="007A1203"/>
    <w:rsid w:val="007A14D2"/>
    <w:rsid w:val="007B02CA"/>
    <w:rsid w:val="007B28AB"/>
    <w:rsid w:val="007B42C4"/>
    <w:rsid w:val="007B5B9E"/>
    <w:rsid w:val="007B5E03"/>
    <w:rsid w:val="007B65BB"/>
    <w:rsid w:val="007B6930"/>
    <w:rsid w:val="007B728B"/>
    <w:rsid w:val="007C094C"/>
    <w:rsid w:val="007C19D8"/>
    <w:rsid w:val="007C3931"/>
    <w:rsid w:val="007C66D9"/>
    <w:rsid w:val="007C732D"/>
    <w:rsid w:val="007D0D4C"/>
    <w:rsid w:val="007D43B8"/>
    <w:rsid w:val="007D5428"/>
    <w:rsid w:val="007D6B6E"/>
    <w:rsid w:val="007E349A"/>
    <w:rsid w:val="007E3D38"/>
    <w:rsid w:val="007E4BD8"/>
    <w:rsid w:val="007E5807"/>
    <w:rsid w:val="007E5D66"/>
    <w:rsid w:val="007E667C"/>
    <w:rsid w:val="007E7563"/>
    <w:rsid w:val="007F18E3"/>
    <w:rsid w:val="007F3458"/>
    <w:rsid w:val="007F632F"/>
    <w:rsid w:val="007F6CEC"/>
    <w:rsid w:val="007F7003"/>
    <w:rsid w:val="007F76A6"/>
    <w:rsid w:val="007F7AA0"/>
    <w:rsid w:val="0080270E"/>
    <w:rsid w:val="00804852"/>
    <w:rsid w:val="008077D6"/>
    <w:rsid w:val="008111C7"/>
    <w:rsid w:val="00811FDA"/>
    <w:rsid w:val="008150CF"/>
    <w:rsid w:val="00817BE0"/>
    <w:rsid w:val="008217EC"/>
    <w:rsid w:val="00822C33"/>
    <w:rsid w:val="008251AD"/>
    <w:rsid w:val="0082655F"/>
    <w:rsid w:val="00826CA7"/>
    <w:rsid w:val="008278FB"/>
    <w:rsid w:val="008301A4"/>
    <w:rsid w:val="00832B89"/>
    <w:rsid w:val="00837450"/>
    <w:rsid w:val="0084133D"/>
    <w:rsid w:val="00844974"/>
    <w:rsid w:val="00845F7B"/>
    <w:rsid w:val="00852FF1"/>
    <w:rsid w:val="00853E8A"/>
    <w:rsid w:val="008545FD"/>
    <w:rsid w:val="00854DD1"/>
    <w:rsid w:val="00856376"/>
    <w:rsid w:val="0086095A"/>
    <w:rsid w:val="00860CDF"/>
    <w:rsid w:val="00860DA9"/>
    <w:rsid w:val="008641FA"/>
    <w:rsid w:val="00864712"/>
    <w:rsid w:val="0086653F"/>
    <w:rsid w:val="00866B3A"/>
    <w:rsid w:val="0087241B"/>
    <w:rsid w:val="00872FFE"/>
    <w:rsid w:val="008730E4"/>
    <w:rsid w:val="00874C97"/>
    <w:rsid w:val="0088149D"/>
    <w:rsid w:val="00887D83"/>
    <w:rsid w:val="0089243C"/>
    <w:rsid w:val="008948B8"/>
    <w:rsid w:val="00894EF0"/>
    <w:rsid w:val="008A1028"/>
    <w:rsid w:val="008A1B3F"/>
    <w:rsid w:val="008A3ADD"/>
    <w:rsid w:val="008A470A"/>
    <w:rsid w:val="008A55C8"/>
    <w:rsid w:val="008A5BE0"/>
    <w:rsid w:val="008A6323"/>
    <w:rsid w:val="008A76A0"/>
    <w:rsid w:val="008B14FB"/>
    <w:rsid w:val="008B2795"/>
    <w:rsid w:val="008B6477"/>
    <w:rsid w:val="008B65FB"/>
    <w:rsid w:val="008C024E"/>
    <w:rsid w:val="008C1A41"/>
    <w:rsid w:val="008C3367"/>
    <w:rsid w:val="008C3CCB"/>
    <w:rsid w:val="008C5EDA"/>
    <w:rsid w:val="008D13E9"/>
    <w:rsid w:val="008D2384"/>
    <w:rsid w:val="008D28F6"/>
    <w:rsid w:val="008D405F"/>
    <w:rsid w:val="008D4E59"/>
    <w:rsid w:val="008E3D60"/>
    <w:rsid w:val="008E6FF0"/>
    <w:rsid w:val="008E7A2B"/>
    <w:rsid w:val="008F0180"/>
    <w:rsid w:val="008F3E78"/>
    <w:rsid w:val="008F45CA"/>
    <w:rsid w:val="008F5849"/>
    <w:rsid w:val="009019E9"/>
    <w:rsid w:val="009021BA"/>
    <w:rsid w:val="0090388B"/>
    <w:rsid w:val="00906CCA"/>
    <w:rsid w:val="00912521"/>
    <w:rsid w:val="00913D27"/>
    <w:rsid w:val="00914143"/>
    <w:rsid w:val="00915E6F"/>
    <w:rsid w:val="00917F9A"/>
    <w:rsid w:val="0092134E"/>
    <w:rsid w:val="00922881"/>
    <w:rsid w:val="00923375"/>
    <w:rsid w:val="00924775"/>
    <w:rsid w:val="00934B73"/>
    <w:rsid w:val="009408BB"/>
    <w:rsid w:val="009435D3"/>
    <w:rsid w:val="00945FA9"/>
    <w:rsid w:val="009509F3"/>
    <w:rsid w:val="009510CB"/>
    <w:rsid w:val="00951A76"/>
    <w:rsid w:val="00953906"/>
    <w:rsid w:val="00957589"/>
    <w:rsid w:val="00960030"/>
    <w:rsid w:val="009602DC"/>
    <w:rsid w:val="00960DA5"/>
    <w:rsid w:val="00962918"/>
    <w:rsid w:val="009637EC"/>
    <w:rsid w:val="00963EDF"/>
    <w:rsid w:val="009659C2"/>
    <w:rsid w:val="009667A6"/>
    <w:rsid w:val="009678DB"/>
    <w:rsid w:val="00971638"/>
    <w:rsid w:val="00975830"/>
    <w:rsid w:val="00975FA0"/>
    <w:rsid w:val="00980095"/>
    <w:rsid w:val="009845A3"/>
    <w:rsid w:val="00985510"/>
    <w:rsid w:val="00985768"/>
    <w:rsid w:val="00986AA9"/>
    <w:rsid w:val="0098715F"/>
    <w:rsid w:val="00990236"/>
    <w:rsid w:val="0099048E"/>
    <w:rsid w:val="00991227"/>
    <w:rsid w:val="009914CB"/>
    <w:rsid w:val="00991729"/>
    <w:rsid w:val="00992B07"/>
    <w:rsid w:val="00997979"/>
    <w:rsid w:val="009A394A"/>
    <w:rsid w:val="009A41F4"/>
    <w:rsid w:val="009A5DA5"/>
    <w:rsid w:val="009A655A"/>
    <w:rsid w:val="009B1CB6"/>
    <w:rsid w:val="009B3D7F"/>
    <w:rsid w:val="009B6CF2"/>
    <w:rsid w:val="009B712C"/>
    <w:rsid w:val="009C07C9"/>
    <w:rsid w:val="009C0964"/>
    <w:rsid w:val="009C51C5"/>
    <w:rsid w:val="009C6F69"/>
    <w:rsid w:val="009C70E6"/>
    <w:rsid w:val="009D0357"/>
    <w:rsid w:val="009E035A"/>
    <w:rsid w:val="009E7CF0"/>
    <w:rsid w:val="009F02EB"/>
    <w:rsid w:val="009F1C11"/>
    <w:rsid w:val="009F7D37"/>
    <w:rsid w:val="00A001B5"/>
    <w:rsid w:val="00A040EA"/>
    <w:rsid w:val="00A057D6"/>
    <w:rsid w:val="00A066DB"/>
    <w:rsid w:val="00A06886"/>
    <w:rsid w:val="00A07047"/>
    <w:rsid w:val="00A07A5C"/>
    <w:rsid w:val="00A106B4"/>
    <w:rsid w:val="00A1240B"/>
    <w:rsid w:val="00A12E19"/>
    <w:rsid w:val="00A14789"/>
    <w:rsid w:val="00A17C0E"/>
    <w:rsid w:val="00A20498"/>
    <w:rsid w:val="00A22B94"/>
    <w:rsid w:val="00A23540"/>
    <w:rsid w:val="00A2465D"/>
    <w:rsid w:val="00A25AFC"/>
    <w:rsid w:val="00A26B21"/>
    <w:rsid w:val="00A356B9"/>
    <w:rsid w:val="00A36DC1"/>
    <w:rsid w:val="00A44318"/>
    <w:rsid w:val="00A44FA1"/>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8275B"/>
    <w:rsid w:val="00A82D85"/>
    <w:rsid w:val="00A8322C"/>
    <w:rsid w:val="00A8499D"/>
    <w:rsid w:val="00A92144"/>
    <w:rsid w:val="00A932C8"/>
    <w:rsid w:val="00A94967"/>
    <w:rsid w:val="00A97558"/>
    <w:rsid w:val="00A979D0"/>
    <w:rsid w:val="00AA0F94"/>
    <w:rsid w:val="00AA341C"/>
    <w:rsid w:val="00AA4E1B"/>
    <w:rsid w:val="00AA4F7E"/>
    <w:rsid w:val="00AA5D68"/>
    <w:rsid w:val="00AA7AAB"/>
    <w:rsid w:val="00AA7B0A"/>
    <w:rsid w:val="00AA7FA0"/>
    <w:rsid w:val="00AB05EF"/>
    <w:rsid w:val="00AB06FA"/>
    <w:rsid w:val="00AB1CEF"/>
    <w:rsid w:val="00AB3F69"/>
    <w:rsid w:val="00AB4D39"/>
    <w:rsid w:val="00AB58A9"/>
    <w:rsid w:val="00AC0134"/>
    <w:rsid w:val="00AC11CF"/>
    <w:rsid w:val="00AC1872"/>
    <w:rsid w:val="00AD3A9E"/>
    <w:rsid w:val="00AD6D9C"/>
    <w:rsid w:val="00AD7F23"/>
    <w:rsid w:val="00AE0C13"/>
    <w:rsid w:val="00AE369C"/>
    <w:rsid w:val="00AE3877"/>
    <w:rsid w:val="00AE4FE7"/>
    <w:rsid w:val="00AE6161"/>
    <w:rsid w:val="00AE78DB"/>
    <w:rsid w:val="00AF0A60"/>
    <w:rsid w:val="00AF1B4D"/>
    <w:rsid w:val="00AF2889"/>
    <w:rsid w:val="00AF3229"/>
    <w:rsid w:val="00AF7042"/>
    <w:rsid w:val="00AF7B6D"/>
    <w:rsid w:val="00B02B85"/>
    <w:rsid w:val="00B02CAE"/>
    <w:rsid w:val="00B032CF"/>
    <w:rsid w:val="00B033BC"/>
    <w:rsid w:val="00B040F4"/>
    <w:rsid w:val="00B06B54"/>
    <w:rsid w:val="00B06BAE"/>
    <w:rsid w:val="00B07140"/>
    <w:rsid w:val="00B075A2"/>
    <w:rsid w:val="00B10C86"/>
    <w:rsid w:val="00B13A45"/>
    <w:rsid w:val="00B13B3A"/>
    <w:rsid w:val="00B1473F"/>
    <w:rsid w:val="00B231CE"/>
    <w:rsid w:val="00B23B40"/>
    <w:rsid w:val="00B23DF3"/>
    <w:rsid w:val="00B25242"/>
    <w:rsid w:val="00B26C68"/>
    <w:rsid w:val="00B27122"/>
    <w:rsid w:val="00B27C54"/>
    <w:rsid w:val="00B30010"/>
    <w:rsid w:val="00B30288"/>
    <w:rsid w:val="00B321E9"/>
    <w:rsid w:val="00B32436"/>
    <w:rsid w:val="00B337A2"/>
    <w:rsid w:val="00B37F89"/>
    <w:rsid w:val="00B4005A"/>
    <w:rsid w:val="00B40CD3"/>
    <w:rsid w:val="00B4139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F28"/>
    <w:rsid w:val="00B63FA5"/>
    <w:rsid w:val="00B65AAF"/>
    <w:rsid w:val="00B65D05"/>
    <w:rsid w:val="00B665DC"/>
    <w:rsid w:val="00B673DD"/>
    <w:rsid w:val="00B6750B"/>
    <w:rsid w:val="00B756B8"/>
    <w:rsid w:val="00B76AE2"/>
    <w:rsid w:val="00B82DFC"/>
    <w:rsid w:val="00B83B9F"/>
    <w:rsid w:val="00B85752"/>
    <w:rsid w:val="00B863A6"/>
    <w:rsid w:val="00B94BF9"/>
    <w:rsid w:val="00B94C64"/>
    <w:rsid w:val="00B95E84"/>
    <w:rsid w:val="00B95F70"/>
    <w:rsid w:val="00BA07C6"/>
    <w:rsid w:val="00BA084B"/>
    <w:rsid w:val="00BA09F8"/>
    <w:rsid w:val="00BA2181"/>
    <w:rsid w:val="00BA2888"/>
    <w:rsid w:val="00BA42CC"/>
    <w:rsid w:val="00BA5821"/>
    <w:rsid w:val="00BA6518"/>
    <w:rsid w:val="00BB108F"/>
    <w:rsid w:val="00BC05AF"/>
    <w:rsid w:val="00BC27C7"/>
    <w:rsid w:val="00BC2B32"/>
    <w:rsid w:val="00BC5201"/>
    <w:rsid w:val="00BC5BFA"/>
    <w:rsid w:val="00BC7791"/>
    <w:rsid w:val="00BD0CB3"/>
    <w:rsid w:val="00BD0D29"/>
    <w:rsid w:val="00BD1121"/>
    <w:rsid w:val="00BD1685"/>
    <w:rsid w:val="00BD2FC0"/>
    <w:rsid w:val="00BD516C"/>
    <w:rsid w:val="00BD55B9"/>
    <w:rsid w:val="00BE009E"/>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04C67"/>
    <w:rsid w:val="00C1315F"/>
    <w:rsid w:val="00C15776"/>
    <w:rsid w:val="00C17055"/>
    <w:rsid w:val="00C17592"/>
    <w:rsid w:val="00C17EAE"/>
    <w:rsid w:val="00C21162"/>
    <w:rsid w:val="00C21C41"/>
    <w:rsid w:val="00C221D2"/>
    <w:rsid w:val="00C24B1F"/>
    <w:rsid w:val="00C25ACC"/>
    <w:rsid w:val="00C27B12"/>
    <w:rsid w:val="00C31EDE"/>
    <w:rsid w:val="00C3277B"/>
    <w:rsid w:val="00C36498"/>
    <w:rsid w:val="00C40889"/>
    <w:rsid w:val="00C40904"/>
    <w:rsid w:val="00C40FE2"/>
    <w:rsid w:val="00C416BF"/>
    <w:rsid w:val="00C452F5"/>
    <w:rsid w:val="00C47094"/>
    <w:rsid w:val="00C50740"/>
    <w:rsid w:val="00C522BA"/>
    <w:rsid w:val="00C53D6F"/>
    <w:rsid w:val="00C543B6"/>
    <w:rsid w:val="00C54BFE"/>
    <w:rsid w:val="00C55F13"/>
    <w:rsid w:val="00C5715F"/>
    <w:rsid w:val="00C57BF0"/>
    <w:rsid w:val="00C65A0E"/>
    <w:rsid w:val="00C6761E"/>
    <w:rsid w:val="00C71369"/>
    <w:rsid w:val="00C720A8"/>
    <w:rsid w:val="00C726FE"/>
    <w:rsid w:val="00C76FB3"/>
    <w:rsid w:val="00C7748D"/>
    <w:rsid w:val="00C8032B"/>
    <w:rsid w:val="00C82509"/>
    <w:rsid w:val="00C85199"/>
    <w:rsid w:val="00C8542E"/>
    <w:rsid w:val="00C86EDB"/>
    <w:rsid w:val="00C87343"/>
    <w:rsid w:val="00C91DFD"/>
    <w:rsid w:val="00C971C0"/>
    <w:rsid w:val="00CA0D2D"/>
    <w:rsid w:val="00CA1800"/>
    <w:rsid w:val="00CA3D0A"/>
    <w:rsid w:val="00CA7917"/>
    <w:rsid w:val="00CB32A7"/>
    <w:rsid w:val="00CB3D41"/>
    <w:rsid w:val="00CB4C75"/>
    <w:rsid w:val="00CB754A"/>
    <w:rsid w:val="00CC108A"/>
    <w:rsid w:val="00CC7A02"/>
    <w:rsid w:val="00CD0281"/>
    <w:rsid w:val="00CD0B62"/>
    <w:rsid w:val="00CD1D09"/>
    <w:rsid w:val="00CD765F"/>
    <w:rsid w:val="00CE2AC5"/>
    <w:rsid w:val="00CE2F39"/>
    <w:rsid w:val="00CE3A02"/>
    <w:rsid w:val="00CE6404"/>
    <w:rsid w:val="00CE6ABC"/>
    <w:rsid w:val="00CF11C4"/>
    <w:rsid w:val="00CF6154"/>
    <w:rsid w:val="00CF649F"/>
    <w:rsid w:val="00D019CC"/>
    <w:rsid w:val="00D01CF5"/>
    <w:rsid w:val="00D03039"/>
    <w:rsid w:val="00D05662"/>
    <w:rsid w:val="00D05BB6"/>
    <w:rsid w:val="00D05E6A"/>
    <w:rsid w:val="00D07A51"/>
    <w:rsid w:val="00D11E3A"/>
    <w:rsid w:val="00D15527"/>
    <w:rsid w:val="00D16EC4"/>
    <w:rsid w:val="00D20E1D"/>
    <w:rsid w:val="00D27B21"/>
    <w:rsid w:val="00D27E99"/>
    <w:rsid w:val="00D301B6"/>
    <w:rsid w:val="00D33DC9"/>
    <w:rsid w:val="00D3451B"/>
    <w:rsid w:val="00D36DE1"/>
    <w:rsid w:val="00D40C08"/>
    <w:rsid w:val="00D479D5"/>
    <w:rsid w:val="00D61686"/>
    <w:rsid w:val="00D644FB"/>
    <w:rsid w:val="00D65D0E"/>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3A3B"/>
    <w:rsid w:val="00DA3E01"/>
    <w:rsid w:val="00DA42B7"/>
    <w:rsid w:val="00DA4FA9"/>
    <w:rsid w:val="00DA7694"/>
    <w:rsid w:val="00DB1956"/>
    <w:rsid w:val="00DB1FA6"/>
    <w:rsid w:val="00DB39B3"/>
    <w:rsid w:val="00DB681D"/>
    <w:rsid w:val="00DB6B70"/>
    <w:rsid w:val="00DB77E5"/>
    <w:rsid w:val="00DC0068"/>
    <w:rsid w:val="00DC016F"/>
    <w:rsid w:val="00DC594F"/>
    <w:rsid w:val="00DC5D28"/>
    <w:rsid w:val="00DC681C"/>
    <w:rsid w:val="00DD165B"/>
    <w:rsid w:val="00DD3B6E"/>
    <w:rsid w:val="00DD7541"/>
    <w:rsid w:val="00DD756E"/>
    <w:rsid w:val="00DE039D"/>
    <w:rsid w:val="00DE1A54"/>
    <w:rsid w:val="00DE4719"/>
    <w:rsid w:val="00DE7BC4"/>
    <w:rsid w:val="00DF1F9C"/>
    <w:rsid w:val="00DF2594"/>
    <w:rsid w:val="00E02EDF"/>
    <w:rsid w:val="00E059A9"/>
    <w:rsid w:val="00E0755A"/>
    <w:rsid w:val="00E10DB9"/>
    <w:rsid w:val="00E10EEA"/>
    <w:rsid w:val="00E141BF"/>
    <w:rsid w:val="00E16776"/>
    <w:rsid w:val="00E1692E"/>
    <w:rsid w:val="00E1729A"/>
    <w:rsid w:val="00E174AB"/>
    <w:rsid w:val="00E17E65"/>
    <w:rsid w:val="00E2050D"/>
    <w:rsid w:val="00E22919"/>
    <w:rsid w:val="00E3218C"/>
    <w:rsid w:val="00E34535"/>
    <w:rsid w:val="00E350CD"/>
    <w:rsid w:val="00E36848"/>
    <w:rsid w:val="00E42454"/>
    <w:rsid w:val="00E4534A"/>
    <w:rsid w:val="00E45487"/>
    <w:rsid w:val="00E454C2"/>
    <w:rsid w:val="00E46EBC"/>
    <w:rsid w:val="00E5011B"/>
    <w:rsid w:val="00E50E95"/>
    <w:rsid w:val="00E52942"/>
    <w:rsid w:val="00E54957"/>
    <w:rsid w:val="00E57FFC"/>
    <w:rsid w:val="00E62AEF"/>
    <w:rsid w:val="00E63D3D"/>
    <w:rsid w:val="00E65443"/>
    <w:rsid w:val="00E66801"/>
    <w:rsid w:val="00E71546"/>
    <w:rsid w:val="00E71CBA"/>
    <w:rsid w:val="00E72932"/>
    <w:rsid w:val="00E7527A"/>
    <w:rsid w:val="00E75B15"/>
    <w:rsid w:val="00E76268"/>
    <w:rsid w:val="00E76B62"/>
    <w:rsid w:val="00E76EE1"/>
    <w:rsid w:val="00E770D7"/>
    <w:rsid w:val="00E81F72"/>
    <w:rsid w:val="00E84B55"/>
    <w:rsid w:val="00E85EBC"/>
    <w:rsid w:val="00E870EB"/>
    <w:rsid w:val="00E90AFE"/>
    <w:rsid w:val="00E933E3"/>
    <w:rsid w:val="00E94AB3"/>
    <w:rsid w:val="00E950C2"/>
    <w:rsid w:val="00EA0987"/>
    <w:rsid w:val="00EA3097"/>
    <w:rsid w:val="00EA5644"/>
    <w:rsid w:val="00EA6B24"/>
    <w:rsid w:val="00EB0CBE"/>
    <w:rsid w:val="00EB403B"/>
    <w:rsid w:val="00EB4AB3"/>
    <w:rsid w:val="00EB6C94"/>
    <w:rsid w:val="00EC0E8C"/>
    <w:rsid w:val="00EC48CC"/>
    <w:rsid w:val="00EC52A5"/>
    <w:rsid w:val="00EC5C7D"/>
    <w:rsid w:val="00EC7850"/>
    <w:rsid w:val="00ED04F8"/>
    <w:rsid w:val="00ED252F"/>
    <w:rsid w:val="00ED46B6"/>
    <w:rsid w:val="00EE021A"/>
    <w:rsid w:val="00EE644B"/>
    <w:rsid w:val="00EE7401"/>
    <w:rsid w:val="00EF4407"/>
    <w:rsid w:val="00EF4C4C"/>
    <w:rsid w:val="00EF4E74"/>
    <w:rsid w:val="00EF68AC"/>
    <w:rsid w:val="00EF6EF1"/>
    <w:rsid w:val="00F009A4"/>
    <w:rsid w:val="00F00E47"/>
    <w:rsid w:val="00F01D36"/>
    <w:rsid w:val="00F02AE5"/>
    <w:rsid w:val="00F03ABF"/>
    <w:rsid w:val="00F12B14"/>
    <w:rsid w:val="00F1564F"/>
    <w:rsid w:val="00F221DC"/>
    <w:rsid w:val="00F255FF"/>
    <w:rsid w:val="00F25A0A"/>
    <w:rsid w:val="00F2608D"/>
    <w:rsid w:val="00F35ACA"/>
    <w:rsid w:val="00F362EB"/>
    <w:rsid w:val="00F36521"/>
    <w:rsid w:val="00F36C83"/>
    <w:rsid w:val="00F41D83"/>
    <w:rsid w:val="00F437EB"/>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1C20"/>
    <w:rsid w:val="00F732B8"/>
    <w:rsid w:val="00F73889"/>
    <w:rsid w:val="00F741A7"/>
    <w:rsid w:val="00F7494F"/>
    <w:rsid w:val="00F779B4"/>
    <w:rsid w:val="00F834A4"/>
    <w:rsid w:val="00F84318"/>
    <w:rsid w:val="00F92A4A"/>
    <w:rsid w:val="00F93B9C"/>
    <w:rsid w:val="00F94D1E"/>
    <w:rsid w:val="00F95BDB"/>
    <w:rsid w:val="00F9698D"/>
    <w:rsid w:val="00F96BC1"/>
    <w:rsid w:val="00F96E59"/>
    <w:rsid w:val="00FA0DDF"/>
    <w:rsid w:val="00FA147E"/>
    <w:rsid w:val="00FA2A00"/>
    <w:rsid w:val="00FA4B55"/>
    <w:rsid w:val="00FA61FB"/>
    <w:rsid w:val="00FB0EA5"/>
    <w:rsid w:val="00FB1479"/>
    <w:rsid w:val="00FB1B6F"/>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1E6B"/>
    <w:rsid w:val="00FD247C"/>
    <w:rsid w:val="00FD2C12"/>
    <w:rsid w:val="00FD2E1C"/>
    <w:rsid w:val="00FD5B72"/>
    <w:rsid w:val="00FD6FB2"/>
    <w:rsid w:val="00FE4CB0"/>
    <w:rsid w:val="00FE5677"/>
    <w:rsid w:val="00FE5E27"/>
    <w:rsid w:val="00FE5E3B"/>
    <w:rsid w:val="00FE7278"/>
    <w:rsid w:val="00FF198B"/>
    <w:rsid w:val="00FF37E6"/>
    <w:rsid w:val="00FF3ADC"/>
    <w:rsid w:val="00FF41DA"/>
    <w:rsid w:val="00FF4533"/>
    <w:rsid w:val="00FF61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2020-08-10T18:30:00+00:00</Judgment_x0020_Date>
    <Year xmlns="63bdd487-88aa-4c54-b893-ddaa81ed2e7c">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3002-FD6A-4D83-A93A-3FC494401F5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D943F3E1-0742-48C6-90E1-AE6D6A2AE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434F2-BAA5-4508-8306-420CB4533166}">
  <ds:schemaRefs>
    <ds:schemaRef ds:uri="http://schemas.microsoft.com/sharepoint/v3/contenttype/forms"/>
  </ds:schemaRefs>
</ds:datastoreItem>
</file>

<file path=customXml/itemProps4.xml><?xml version="1.0" encoding="utf-8"?>
<ds:datastoreItem xmlns:ds="http://schemas.openxmlformats.org/officeDocument/2006/customXml" ds:itemID="{33A5AAA8-C601-498B-A187-B0932F66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Rockview Investment Number Seventy One CC v Nottingham Incorporated</vt:lpstr>
    </vt:vector>
  </TitlesOfParts>
  <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Rockview Investment Number Seventy One CC v Nottingham Incorporated</dc:title>
  <dc:creator>David</dc:creator>
  <cp:lastModifiedBy>HOME</cp:lastModifiedBy>
  <cp:revision>2</cp:revision>
  <cp:lastPrinted>2020-08-10T09:34:00Z</cp:lastPrinted>
  <dcterms:created xsi:type="dcterms:W3CDTF">2021-07-19T14:10:00Z</dcterms:created>
  <dcterms:modified xsi:type="dcterms:W3CDTF">2021-07-19T14:10:00Z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