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1505C" w14:textId="2AE5C8A9" w:rsidR="00C8036C" w:rsidRDefault="00C8036C" w:rsidP="00AE26A0">
      <w:pPr>
        <w:spacing w:line="360" w:lineRule="auto"/>
        <w:jc w:val="center"/>
        <w:rPr>
          <w:rFonts w:ascii="Arial" w:hAnsi="Arial" w:cs="Arial"/>
          <w:b/>
        </w:rPr>
      </w:pPr>
      <w:bookmarkStart w:id="0" w:name="_GoBack"/>
      <w:bookmarkEnd w:id="0"/>
      <w:r>
        <w:rPr>
          <w:rFonts w:ascii="Arial" w:hAnsi="Arial" w:cs="Arial"/>
          <w:b/>
          <w:noProof/>
          <w:lang w:val="en-ZA" w:eastAsia="en-ZA"/>
        </w:rPr>
        <w:drawing>
          <wp:inline distT="0" distB="0" distL="0" distR="0" wp14:anchorId="23FD0274" wp14:editId="1F95C3E2">
            <wp:extent cx="1274445" cy="1322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14:paraId="6643C95A" w14:textId="77777777" w:rsidR="00C8036C" w:rsidRDefault="00C8036C" w:rsidP="00FA3415">
      <w:pPr>
        <w:spacing w:line="360" w:lineRule="auto"/>
        <w:rPr>
          <w:rFonts w:ascii="Arial" w:hAnsi="Arial" w:cs="Arial"/>
          <w:b/>
        </w:rPr>
      </w:pPr>
    </w:p>
    <w:p w14:paraId="4C4FC353" w14:textId="2BE311D6" w:rsidR="00AE26A0" w:rsidRPr="00EF6FF5" w:rsidRDefault="00EF6FF5" w:rsidP="00C8036C">
      <w:pPr>
        <w:spacing w:line="360" w:lineRule="auto"/>
        <w:jc w:val="right"/>
        <w:rPr>
          <w:rFonts w:ascii="Arial" w:hAnsi="Arial" w:cs="Arial"/>
          <w:b/>
        </w:rPr>
      </w:pPr>
      <w:r w:rsidRPr="00EF6FF5">
        <w:rPr>
          <w:rFonts w:ascii="Arial" w:hAnsi="Arial" w:cs="Arial"/>
          <w:b/>
        </w:rPr>
        <w:t>REPORTABLE</w:t>
      </w:r>
    </w:p>
    <w:p w14:paraId="40AD7597" w14:textId="566E337F" w:rsidR="00C8036C" w:rsidRPr="00C8036C" w:rsidRDefault="00286206" w:rsidP="00C8036C">
      <w:pPr>
        <w:spacing w:line="360" w:lineRule="auto"/>
        <w:jc w:val="right"/>
        <w:rPr>
          <w:rFonts w:ascii="Arial" w:hAnsi="Arial" w:cs="Arial"/>
        </w:rPr>
      </w:pPr>
      <w:r w:rsidRPr="00C8036C">
        <w:rPr>
          <w:rFonts w:ascii="Arial" w:hAnsi="Arial" w:cs="Arial"/>
        </w:rPr>
        <w:t>CASE NO</w:t>
      </w:r>
      <w:r w:rsidR="00C8036C" w:rsidRPr="00C8036C">
        <w:rPr>
          <w:rFonts w:ascii="Arial" w:hAnsi="Arial" w:cs="Arial"/>
        </w:rPr>
        <w:t>: SA 4/2019</w:t>
      </w:r>
    </w:p>
    <w:p w14:paraId="5EAA2279" w14:textId="77777777" w:rsidR="00C8036C" w:rsidRDefault="00C8036C" w:rsidP="00FA3415">
      <w:pPr>
        <w:spacing w:line="360" w:lineRule="auto"/>
        <w:rPr>
          <w:rFonts w:ascii="Arial" w:hAnsi="Arial" w:cs="Arial"/>
          <w:b/>
        </w:rPr>
      </w:pPr>
    </w:p>
    <w:p w14:paraId="37E50BF8" w14:textId="0D9511E8" w:rsidR="00FA3415" w:rsidRPr="006E026B" w:rsidRDefault="00FA3415" w:rsidP="00FA3415">
      <w:pPr>
        <w:spacing w:line="360" w:lineRule="auto"/>
        <w:rPr>
          <w:rFonts w:ascii="Arial" w:hAnsi="Arial" w:cs="Arial"/>
          <w:bCs/>
        </w:rPr>
      </w:pPr>
      <w:r>
        <w:rPr>
          <w:rFonts w:ascii="Arial" w:hAnsi="Arial" w:cs="Arial"/>
          <w:b/>
        </w:rPr>
        <w:t>IN THE SUPR</w:t>
      </w:r>
      <w:r w:rsidR="00684EF1">
        <w:rPr>
          <w:rFonts w:ascii="Arial" w:hAnsi="Arial" w:cs="Arial"/>
          <w:b/>
        </w:rPr>
        <w:t>E</w:t>
      </w:r>
      <w:r>
        <w:rPr>
          <w:rFonts w:ascii="Arial" w:hAnsi="Arial" w:cs="Arial"/>
          <w:b/>
        </w:rPr>
        <w:t xml:space="preserve">ME </w:t>
      </w:r>
      <w:r w:rsidRPr="006E026B">
        <w:rPr>
          <w:rFonts w:ascii="Arial" w:hAnsi="Arial" w:cs="Arial"/>
          <w:b/>
        </w:rPr>
        <w:t>COURT OF</w:t>
      </w:r>
      <w:r>
        <w:rPr>
          <w:rFonts w:ascii="Arial" w:hAnsi="Arial" w:cs="Arial"/>
          <w:b/>
        </w:rPr>
        <w:t xml:space="preserve"> NAMIBIA</w:t>
      </w:r>
    </w:p>
    <w:p w14:paraId="6908F452" w14:textId="00F7691E" w:rsidR="00FA3415" w:rsidRPr="00B0337F" w:rsidRDefault="00FA3415" w:rsidP="00FA3415">
      <w:pPr>
        <w:tabs>
          <w:tab w:val="right" w:pos="9000"/>
        </w:tabs>
        <w:spacing w:line="360" w:lineRule="auto"/>
        <w:rPr>
          <w:rFonts w:ascii="Arial" w:hAnsi="Arial" w:cs="Arial"/>
          <w:b/>
        </w:rPr>
      </w:pPr>
    </w:p>
    <w:p w14:paraId="1791D5B8" w14:textId="2ADCAF2C" w:rsidR="00FA3415" w:rsidRDefault="00FA3415" w:rsidP="00FA3415">
      <w:pPr>
        <w:spacing w:line="360" w:lineRule="auto"/>
        <w:rPr>
          <w:rFonts w:ascii="Arial" w:hAnsi="Arial" w:cs="Arial"/>
        </w:rPr>
      </w:pPr>
      <w:r w:rsidRPr="006E026B">
        <w:rPr>
          <w:rFonts w:ascii="Arial" w:hAnsi="Arial" w:cs="Arial"/>
        </w:rPr>
        <w:t>In the matter between:</w:t>
      </w:r>
    </w:p>
    <w:p w14:paraId="50C0A4D9" w14:textId="77777777" w:rsidR="00FA3415" w:rsidRPr="006E026B" w:rsidRDefault="00FA3415" w:rsidP="00FA3415">
      <w:pPr>
        <w:spacing w:line="360" w:lineRule="auto"/>
        <w:rPr>
          <w:rFonts w:ascii="Arial" w:hAnsi="Arial" w:cs="Arial"/>
        </w:rPr>
      </w:pPr>
    </w:p>
    <w:p w14:paraId="0980EABB" w14:textId="37F61DAF" w:rsidR="00FA3415" w:rsidRDefault="00FA3415" w:rsidP="00FA3415">
      <w:pPr>
        <w:tabs>
          <w:tab w:val="right" w:pos="9000"/>
        </w:tabs>
        <w:spacing w:line="360" w:lineRule="auto"/>
        <w:rPr>
          <w:rFonts w:ascii="Arial" w:hAnsi="Arial" w:cs="Arial"/>
          <w:b/>
          <w:lang w:eastAsia="x-none"/>
        </w:rPr>
      </w:pPr>
      <w:r w:rsidRPr="00D160DC">
        <w:rPr>
          <w:rFonts w:ascii="Arial" w:hAnsi="Arial" w:cs="Arial"/>
          <w:b/>
          <w:lang w:eastAsia="x-none"/>
        </w:rPr>
        <w:t>PROSECUTOR-GENERAL OF NAMIBIA</w:t>
      </w:r>
      <w:r>
        <w:rPr>
          <w:rFonts w:ascii="Arial" w:hAnsi="Arial" w:cs="Arial"/>
          <w:b/>
          <w:lang w:eastAsia="x-none"/>
        </w:rPr>
        <w:tab/>
        <w:t>A</w:t>
      </w:r>
      <w:r w:rsidR="00286206">
        <w:rPr>
          <w:rFonts w:ascii="Arial" w:hAnsi="Arial" w:cs="Arial"/>
          <w:b/>
          <w:lang w:eastAsia="x-none"/>
        </w:rPr>
        <w:t>ppellant</w:t>
      </w:r>
    </w:p>
    <w:p w14:paraId="31B9CFDE" w14:textId="77777777" w:rsidR="00FA3415" w:rsidRDefault="00FA3415" w:rsidP="00FA3415">
      <w:pPr>
        <w:tabs>
          <w:tab w:val="right" w:pos="9000"/>
        </w:tabs>
        <w:spacing w:line="360" w:lineRule="auto"/>
        <w:rPr>
          <w:rFonts w:ascii="Arial" w:hAnsi="Arial" w:cs="Arial"/>
          <w:b/>
          <w:lang w:eastAsia="x-none"/>
        </w:rPr>
      </w:pPr>
    </w:p>
    <w:p w14:paraId="40683983" w14:textId="77777777" w:rsidR="00FA3415" w:rsidRPr="00516F95" w:rsidRDefault="00FA3415" w:rsidP="00FA3415">
      <w:pPr>
        <w:spacing w:line="360" w:lineRule="auto"/>
        <w:jc w:val="both"/>
        <w:rPr>
          <w:rFonts w:ascii="Arial" w:hAnsi="Arial" w:cs="Arial"/>
        </w:rPr>
      </w:pPr>
      <w:r>
        <w:rPr>
          <w:rFonts w:ascii="Arial" w:hAnsi="Arial" w:cs="Arial"/>
        </w:rPr>
        <w:t>a</w:t>
      </w:r>
      <w:r w:rsidRPr="006E026B">
        <w:rPr>
          <w:rFonts w:ascii="Arial" w:hAnsi="Arial" w:cs="Arial"/>
        </w:rPr>
        <w:t>nd</w:t>
      </w:r>
    </w:p>
    <w:p w14:paraId="79732377" w14:textId="77777777" w:rsidR="00FA3415" w:rsidRDefault="00FA3415" w:rsidP="00FA3415">
      <w:pPr>
        <w:tabs>
          <w:tab w:val="right" w:pos="9000"/>
        </w:tabs>
        <w:spacing w:line="360" w:lineRule="auto"/>
        <w:jc w:val="both"/>
        <w:rPr>
          <w:rFonts w:ascii="Arial" w:hAnsi="Arial" w:cs="Arial"/>
          <w:b/>
        </w:rPr>
      </w:pPr>
      <w:r>
        <w:rPr>
          <w:rFonts w:ascii="Arial" w:hAnsi="Arial" w:cs="Arial"/>
          <w:b/>
        </w:rPr>
        <w:tab/>
      </w:r>
    </w:p>
    <w:p w14:paraId="51247401" w14:textId="0C6D18AF" w:rsidR="00FA3415" w:rsidRDefault="00FA3415" w:rsidP="00FA3415">
      <w:pPr>
        <w:tabs>
          <w:tab w:val="right" w:pos="9000"/>
        </w:tabs>
        <w:spacing w:line="360" w:lineRule="auto"/>
        <w:jc w:val="both"/>
        <w:rPr>
          <w:rFonts w:ascii="Arial" w:hAnsi="Arial" w:cs="Arial"/>
          <w:b/>
        </w:rPr>
      </w:pPr>
      <w:r w:rsidRPr="00D160DC">
        <w:rPr>
          <w:rFonts w:ascii="Arial" w:hAnsi="Arial" w:cs="Arial"/>
          <w:b/>
        </w:rPr>
        <w:t>MARIEN NGOUABI NAMOLOH</w:t>
      </w:r>
      <w:r>
        <w:rPr>
          <w:rFonts w:ascii="Arial" w:hAnsi="Arial" w:cs="Arial"/>
          <w:b/>
        </w:rPr>
        <w:tab/>
      </w:r>
      <w:r w:rsidRPr="00D160DC">
        <w:rPr>
          <w:rFonts w:ascii="Arial" w:hAnsi="Arial" w:cs="Arial"/>
          <w:b/>
        </w:rPr>
        <w:t>F</w:t>
      </w:r>
      <w:r w:rsidR="00286206">
        <w:rPr>
          <w:rFonts w:ascii="Arial" w:hAnsi="Arial" w:cs="Arial"/>
          <w:b/>
        </w:rPr>
        <w:t xml:space="preserve">irst </w:t>
      </w:r>
      <w:r w:rsidRPr="00D160DC">
        <w:rPr>
          <w:rFonts w:ascii="Arial" w:hAnsi="Arial" w:cs="Arial"/>
          <w:b/>
        </w:rPr>
        <w:t xml:space="preserve"> R</w:t>
      </w:r>
      <w:r w:rsidR="00286206">
        <w:rPr>
          <w:rFonts w:ascii="Arial" w:hAnsi="Arial" w:cs="Arial"/>
          <w:b/>
        </w:rPr>
        <w:t>espondent</w:t>
      </w:r>
    </w:p>
    <w:p w14:paraId="7E833A3A" w14:textId="77777777" w:rsidR="00FA3415" w:rsidRDefault="00FA3415" w:rsidP="0012201B">
      <w:pPr>
        <w:tabs>
          <w:tab w:val="right" w:pos="8781"/>
        </w:tabs>
        <w:spacing w:line="360" w:lineRule="auto"/>
        <w:jc w:val="both"/>
        <w:rPr>
          <w:rFonts w:ascii="Arial" w:hAnsi="Arial" w:cs="Arial"/>
          <w:b/>
        </w:rPr>
      </w:pPr>
      <w:r w:rsidRPr="00D160DC">
        <w:rPr>
          <w:rFonts w:ascii="Arial" w:hAnsi="Arial" w:cs="Arial"/>
          <w:b/>
        </w:rPr>
        <w:t>THE MAGISTRATE OF KATUTURA</w:t>
      </w:r>
    </w:p>
    <w:p w14:paraId="0B5DCA8B" w14:textId="725C456E" w:rsidR="00FA3415" w:rsidRDefault="00FA3415" w:rsidP="00FA3415">
      <w:pPr>
        <w:tabs>
          <w:tab w:val="right" w:pos="9000"/>
        </w:tabs>
        <w:spacing w:line="360" w:lineRule="auto"/>
        <w:jc w:val="both"/>
        <w:rPr>
          <w:rFonts w:ascii="Arial" w:hAnsi="Arial" w:cs="Arial"/>
          <w:b/>
        </w:rPr>
      </w:pPr>
      <w:r>
        <w:rPr>
          <w:rFonts w:ascii="Arial" w:hAnsi="Arial" w:cs="Arial"/>
          <w:b/>
        </w:rPr>
        <w:t>MAGISTRATE COURT</w:t>
      </w:r>
      <w:r>
        <w:rPr>
          <w:rFonts w:ascii="Arial" w:hAnsi="Arial" w:cs="Arial"/>
          <w:b/>
        </w:rPr>
        <w:tab/>
        <w:t>S</w:t>
      </w:r>
      <w:r w:rsidR="00286206">
        <w:rPr>
          <w:rFonts w:ascii="Arial" w:hAnsi="Arial" w:cs="Arial"/>
          <w:b/>
        </w:rPr>
        <w:t>econd</w:t>
      </w:r>
      <w:r>
        <w:rPr>
          <w:rFonts w:ascii="Arial" w:hAnsi="Arial" w:cs="Arial"/>
          <w:b/>
        </w:rPr>
        <w:t xml:space="preserve"> R</w:t>
      </w:r>
      <w:r w:rsidR="00286206">
        <w:rPr>
          <w:rFonts w:ascii="Arial" w:hAnsi="Arial" w:cs="Arial"/>
          <w:b/>
        </w:rPr>
        <w:t>espondent</w:t>
      </w:r>
    </w:p>
    <w:p w14:paraId="282FF98F" w14:textId="0D55D76E" w:rsidR="00FA3415" w:rsidRDefault="00FA3415" w:rsidP="00FA3415">
      <w:pPr>
        <w:tabs>
          <w:tab w:val="right" w:pos="9000"/>
        </w:tabs>
        <w:spacing w:line="360" w:lineRule="auto"/>
        <w:jc w:val="both"/>
        <w:rPr>
          <w:rFonts w:ascii="Arial" w:hAnsi="Arial" w:cs="Arial"/>
          <w:b/>
        </w:rPr>
      </w:pPr>
      <w:r>
        <w:rPr>
          <w:rFonts w:ascii="Arial" w:hAnsi="Arial" w:cs="Arial"/>
          <w:b/>
        </w:rPr>
        <w:t>THE INSPECTOR-GENERAL: NAMIBIAN POLICE</w:t>
      </w:r>
      <w:r>
        <w:rPr>
          <w:rFonts w:ascii="Arial" w:hAnsi="Arial" w:cs="Arial"/>
          <w:b/>
        </w:rPr>
        <w:tab/>
        <w:t>T</w:t>
      </w:r>
      <w:r w:rsidR="00286206">
        <w:rPr>
          <w:rFonts w:ascii="Arial" w:hAnsi="Arial" w:cs="Arial"/>
          <w:b/>
        </w:rPr>
        <w:t xml:space="preserve">hird </w:t>
      </w:r>
      <w:r>
        <w:rPr>
          <w:rFonts w:ascii="Arial" w:hAnsi="Arial" w:cs="Arial"/>
          <w:b/>
        </w:rPr>
        <w:t xml:space="preserve"> R</w:t>
      </w:r>
      <w:r w:rsidR="00286206">
        <w:rPr>
          <w:rFonts w:ascii="Arial" w:hAnsi="Arial" w:cs="Arial"/>
          <w:b/>
        </w:rPr>
        <w:t>espondent</w:t>
      </w:r>
    </w:p>
    <w:p w14:paraId="5385AC3A" w14:textId="77777777" w:rsidR="00FA3415" w:rsidRDefault="00FA3415" w:rsidP="00FA3415">
      <w:pPr>
        <w:spacing w:line="360" w:lineRule="auto"/>
        <w:jc w:val="both"/>
        <w:rPr>
          <w:rFonts w:ascii="Arial" w:hAnsi="Arial" w:cs="Arial"/>
          <w:b/>
        </w:rPr>
      </w:pPr>
    </w:p>
    <w:p w14:paraId="4A2D1FA3" w14:textId="77777777" w:rsidR="00FA3415" w:rsidRPr="00DD3A5C" w:rsidRDefault="00FA3415" w:rsidP="00FA3415">
      <w:pPr>
        <w:spacing w:line="360" w:lineRule="auto"/>
        <w:ind w:left="1440" w:hanging="1440"/>
        <w:jc w:val="both"/>
        <w:rPr>
          <w:rFonts w:ascii="Arial" w:hAnsi="Arial" w:cs="Arial"/>
          <w:b/>
        </w:rPr>
      </w:pPr>
      <w:r w:rsidRPr="006E026B">
        <w:rPr>
          <w:rFonts w:ascii="Arial" w:hAnsi="Arial" w:cs="Arial"/>
          <w:b/>
        </w:rPr>
        <w:t>Coram:</w:t>
      </w:r>
      <w:r w:rsidRPr="006E026B">
        <w:rPr>
          <w:rFonts w:ascii="Arial" w:hAnsi="Arial" w:cs="Arial"/>
        </w:rPr>
        <w:tab/>
      </w:r>
      <w:r w:rsidRPr="00B0337F">
        <w:rPr>
          <w:rFonts w:ascii="Arial" w:hAnsi="Arial" w:cs="Arial"/>
        </w:rPr>
        <w:t>DAMASEB DCJ,</w:t>
      </w:r>
      <w:r>
        <w:rPr>
          <w:rFonts w:ascii="Arial" w:hAnsi="Arial" w:cs="Arial"/>
        </w:rPr>
        <w:t xml:space="preserve"> MAINGA JA and ANGULA AJA</w:t>
      </w:r>
    </w:p>
    <w:p w14:paraId="1E17C83E" w14:textId="77777777" w:rsidR="00EF4A44" w:rsidRDefault="00EF4A44" w:rsidP="00FA3415">
      <w:pPr>
        <w:spacing w:line="360" w:lineRule="auto"/>
        <w:rPr>
          <w:rFonts w:ascii="Arial" w:hAnsi="Arial" w:cs="Arial"/>
          <w:b/>
          <w:bCs/>
        </w:rPr>
      </w:pPr>
    </w:p>
    <w:p w14:paraId="40237FA4" w14:textId="77777777" w:rsidR="00FA3415" w:rsidRPr="006E026B" w:rsidRDefault="00FA3415" w:rsidP="00FA3415">
      <w:pPr>
        <w:spacing w:line="360" w:lineRule="auto"/>
        <w:rPr>
          <w:rFonts w:ascii="Arial" w:hAnsi="Arial" w:cs="Arial"/>
          <w:b/>
        </w:rPr>
      </w:pPr>
      <w:r w:rsidRPr="00286206">
        <w:rPr>
          <w:rFonts w:ascii="Arial" w:hAnsi="Arial" w:cs="Arial"/>
          <w:b/>
          <w:bCs/>
        </w:rPr>
        <w:t>Heard</w:t>
      </w:r>
      <w:r w:rsidRPr="0065111D">
        <w:rPr>
          <w:rFonts w:ascii="Arial" w:hAnsi="Arial" w:cs="Arial"/>
          <w:b/>
        </w:rPr>
        <w:t>:</w:t>
      </w:r>
      <w:r w:rsidRPr="006E026B">
        <w:rPr>
          <w:rFonts w:ascii="Arial" w:hAnsi="Arial" w:cs="Arial"/>
        </w:rPr>
        <w:tab/>
      </w:r>
      <w:r>
        <w:rPr>
          <w:rFonts w:ascii="Arial" w:hAnsi="Arial" w:cs="Arial"/>
          <w:b/>
        </w:rPr>
        <w:t>13 July 2020</w:t>
      </w:r>
    </w:p>
    <w:p w14:paraId="2CE47EBC" w14:textId="768B3F72" w:rsidR="00FA3415" w:rsidRDefault="00FA3415" w:rsidP="00FA3415">
      <w:pPr>
        <w:spacing w:line="360" w:lineRule="auto"/>
        <w:rPr>
          <w:rFonts w:ascii="Arial" w:hAnsi="Arial" w:cs="Arial"/>
          <w:b/>
        </w:rPr>
      </w:pPr>
      <w:r w:rsidRPr="00286206">
        <w:rPr>
          <w:rFonts w:ascii="Arial" w:hAnsi="Arial" w:cs="Arial"/>
          <w:b/>
          <w:bCs/>
        </w:rPr>
        <w:t>Delivered</w:t>
      </w:r>
      <w:r w:rsidRPr="0065111D">
        <w:rPr>
          <w:rFonts w:ascii="Arial" w:hAnsi="Arial" w:cs="Arial"/>
          <w:b/>
        </w:rPr>
        <w:t>:</w:t>
      </w:r>
      <w:r w:rsidRPr="0065111D">
        <w:rPr>
          <w:rFonts w:ascii="Arial" w:hAnsi="Arial" w:cs="Arial"/>
          <w:b/>
        </w:rPr>
        <w:tab/>
      </w:r>
      <w:r w:rsidR="00913B91">
        <w:rPr>
          <w:rFonts w:ascii="Arial" w:hAnsi="Arial" w:cs="Arial"/>
          <w:b/>
        </w:rPr>
        <w:t>19</w:t>
      </w:r>
      <w:r>
        <w:rPr>
          <w:rFonts w:ascii="Arial" w:hAnsi="Arial" w:cs="Arial"/>
          <w:b/>
        </w:rPr>
        <w:t xml:space="preserve"> </w:t>
      </w:r>
      <w:r w:rsidR="00E845AD">
        <w:rPr>
          <w:rFonts w:ascii="Arial" w:hAnsi="Arial" w:cs="Arial"/>
          <w:b/>
        </w:rPr>
        <w:t xml:space="preserve">August </w:t>
      </w:r>
      <w:r>
        <w:rPr>
          <w:rFonts w:ascii="Arial" w:hAnsi="Arial" w:cs="Arial"/>
          <w:b/>
        </w:rPr>
        <w:t>2020</w:t>
      </w:r>
    </w:p>
    <w:p w14:paraId="54DEC910" w14:textId="77777777" w:rsidR="00FA3415" w:rsidRDefault="00FA3415" w:rsidP="00FA3415">
      <w:pPr>
        <w:spacing w:line="360" w:lineRule="auto"/>
        <w:jc w:val="both"/>
        <w:rPr>
          <w:rFonts w:ascii="Arial" w:hAnsi="Arial" w:cs="Arial"/>
          <w:b/>
        </w:rPr>
      </w:pPr>
    </w:p>
    <w:p w14:paraId="3A14ED15" w14:textId="24A079BB" w:rsidR="00FA3415" w:rsidRDefault="00FA3415" w:rsidP="0076335E">
      <w:pPr>
        <w:spacing w:line="360" w:lineRule="auto"/>
        <w:jc w:val="both"/>
        <w:rPr>
          <w:rFonts w:ascii="Arial" w:hAnsi="Arial" w:cs="Arial"/>
        </w:rPr>
      </w:pPr>
      <w:r w:rsidRPr="00E876CB">
        <w:rPr>
          <w:rFonts w:ascii="Arial" w:hAnsi="Arial" w:cs="Arial"/>
          <w:b/>
        </w:rPr>
        <w:t>Summary</w:t>
      </w:r>
      <w:r w:rsidRPr="006B6109">
        <w:rPr>
          <w:rFonts w:ascii="Arial" w:hAnsi="Arial" w:cs="Arial"/>
        </w:rPr>
        <w:t>:</w:t>
      </w:r>
      <w:r>
        <w:rPr>
          <w:rFonts w:ascii="Arial" w:hAnsi="Arial" w:cs="Arial"/>
          <w:color w:val="FF0000"/>
        </w:rPr>
        <w:tab/>
      </w:r>
      <w:r w:rsidR="00A429FE">
        <w:rPr>
          <w:rFonts w:ascii="Arial" w:hAnsi="Arial" w:cs="Arial"/>
        </w:rPr>
        <w:t xml:space="preserve">The first respondent is a police officer against whom the </w:t>
      </w:r>
      <w:r w:rsidR="00286206">
        <w:rPr>
          <w:rFonts w:ascii="Arial" w:hAnsi="Arial" w:cs="Arial"/>
        </w:rPr>
        <w:t>Prosecutor-General (</w:t>
      </w:r>
      <w:r w:rsidR="00A429FE">
        <w:rPr>
          <w:rFonts w:ascii="Arial" w:hAnsi="Arial" w:cs="Arial"/>
        </w:rPr>
        <w:t>PG</w:t>
      </w:r>
      <w:r w:rsidR="00286206">
        <w:rPr>
          <w:rFonts w:ascii="Arial" w:hAnsi="Arial" w:cs="Arial"/>
        </w:rPr>
        <w:t>)</w:t>
      </w:r>
      <w:r w:rsidR="00A429FE">
        <w:rPr>
          <w:rFonts w:ascii="Arial" w:hAnsi="Arial" w:cs="Arial"/>
        </w:rPr>
        <w:t xml:space="preserve"> withdrew criminal charges of corruption and extortion after the case had been pending in the Magistrate</w:t>
      </w:r>
      <w:r w:rsidR="00286206">
        <w:rPr>
          <w:rFonts w:ascii="Arial" w:hAnsi="Arial" w:cs="Arial"/>
        </w:rPr>
        <w:t>’</w:t>
      </w:r>
      <w:r w:rsidR="00A429FE">
        <w:rPr>
          <w:rFonts w:ascii="Arial" w:hAnsi="Arial" w:cs="Arial"/>
        </w:rPr>
        <w:t xml:space="preserve">s </w:t>
      </w:r>
      <w:r w:rsidR="00286206">
        <w:rPr>
          <w:rFonts w:ascii="Arial" w:hAnsi="Arial" w:cs="Arial"/>
        </w:rPr>
        <w:t>C</w:t>
      </w:r>
      <w:r w:rsidR="00A429FE">
        <w:rPr>
          <w:rFonts w:ascii="Arial" w:hAnsi="Arial" w:cs="Arial"/>
        </w:rPr>
        <w:t xml:space="preserve">ourt for about 6 years. The charges were withdrawn after the magistrate refused the </w:t>
      </w:r>
      <w:r w:rsidR="00286206">
        <w:rPr>
          <w:rFonts w:ascii="Arial" w:hAnsi="Arial" w:cs="Arial"/>
        </w:rPr>
        <w:t>S</w:t>
      </w:r>
      <w:r w:rsidR="00A429FE">
        <w:rPr>
          <w:rFonts w:ascii="Arial" w:hAnsi="Arial" w:cs="Arial"/>
        </w:rPr>
        <w:t xml:space="preserve">tate a further remand. The PG took no further steps </w:t>
      </w:r>
      <w:r w:rsidR="00684EF1">
        <w:rPr>
          <w:rFonts w:ascii="Arial" w:hAnsi="Arial" w:cs="Arial"/>
        </w:rPr>
        <w:t>after the withdrawal and about four</w:t>
      </w:r>
      <w:r w:rsidR="00A429FE">
        <w:rPr>
          <w:rFonts w:ascii="Arial" w:hAnsi="Arial" w:cs="Arial"/>
        </w:rPr>
        <w:t xml:space="preserve"> years after the charges were withdrawn the first respondent brought proceedings in the High Court for permanent </w:t>
      </w:r>
      <w:r w:rsidR="00A429FE">
        <w:rPr>
          <w:rFonts w:ascii="Arial" w:hAnsi="Arial" w:cs="Arial"/>
        </w:rPr>
        <w:lastRenderedPageBreak/>
        <w:t xml:space="preserve">stay of prosecution on the ground that he was not tried within a treasonable time as contemplated in </w:t>
      </w:r>
      <w:r w:rsidR="006017A4">
        <w:rPr>
          <w:rFonts w:ascii="Arial" w:hAnsi="Arial" w:cs="Arial"/>
        </w:rPr>
        <w:t>A</w:t>
      </w:r>
      <w:r w:rsidR="00A429FE">
        <w:rPr>
          <w:rFonts w:ascii="Arial" w:hAnsi="Arial" w:cs="Arial"/>
        </w:rPr>
        <w:t>rt 12(1)</w:t>
      </w:r>
      <w:r w:rsidR="00286206" w:rsidRPr="00004E3D">
        <w:rPr>
          <w:rFonts w:ascii="Arial" w:hAnsi="Arial" w:cs="Arial"/>
        </w:rPr>
        <w:t>(a)</w:t>
      </w:r>
      <w:r w:rsidR="00286206">
        <w:rPr>
          <w:rFonts w:ascii="Arial" w:hAnsi="Arial" w:cs="Arial"/>
        </w:rPr>
        <w:t xml:space="preserve"> </w:t>
      </w:r>
      <w:r w:rsidR="00A429FE">
        <w:rPr>
          <w:rFonts w:ascii="Arial" w:hAnsi="Arial" w:cs="Arial"/>
        </w:rPr>
        <w:t xml:space="preserve">and </w:t>
      </w:r>
      <w:r w:rsidR="00A429FE" w:rsidRPr="006017A4">
        <w:rPr>
          <w:rFonts w:ascii="Arial" w:hAnsi="Arial" w:cs="Arial"/>
        </w:rPr>
        <w:t>(b)</w:t>
      </w:r>
      <w:r w:rsidR="00A429FE">
        <w:rPr>
          <w:rFonts w:ascii="Arial" w:hAnsi="Arial" w:cs="Arial"/>
        </w:rPr>
        <w:t xml:space="preserve"> of the Namibian Constitution. Although satisfied that the first respondent contributed to the delay in material respects prior to the withdrawal and had not suffered trial related prejudice arising from the delay, the High Court found that there was actionable unreasonable delay </w:t>
      </w:r>
      <w:r w:rsidR="00286206">
        <w:rPr>
          <w:rFonts w:ascii="Arial" w:hAnsi="Arial" w:cs="Arial"/>
        </w:rPr>
        <w:t xml:space="preserve">by </w:t>
      </w:r>
      <w:r w:rsidR="00A429FE">
        <w:rPr>
          <w:rFonts w:ascii="Arial" w:hAnsi="Arial" w:cs="Arial"/>
        </w:rPr>
        <w:t xml:space="preserve"> the PG </w:t>
      </w:r>
      <w:r w:rsidR="00286206">
        <w:rPr>
          <w:rFonts w:ascii="Arial" w:hAnsi="Arial" w:cs="Arial"/>
        </w:rPr>
        <w:t xml:space="preserve">in </w:t>
      </w:r>
      <w:r w:rsidR="00A429FE">
        <w:rPr>
          <w:rFonts w:ascii="Arial" w:hAnsi="Arial" w:cs="Arial"/>
        </w:rPr>
        <w:t xml:space="preserve">not reinstituting charges after the withdrawal and that there were exceptional circumstances justifying permanent stay. </w:t>
      </w:r>
    </w:p>
    <w:p w14:paraId="7C2B26CE" w14:textId="77777777" w:rsidR="00A429FE" w:rsidRDefault="00A429FE" w:rsidP="0076335E">
      <w:pPr>
        <w:spacing w:line="360" w:lineRule="auto"/>
        <w:jc w:val="both"/>
        <w:rPr>
          <w:rFonts w:ascii="Arial" w:hAnsi="Arial" w:cs="Arial"/>
        </w:rPr>
      </w:pPr>
    </w:p>
    <w:p w14:paraId="2755CF73" w14:textId="14917E8E" w:rsidR="00684EF1" w:rsidRPr="00684EF1" w:rsidRDefault="00684EF1" w:rsidP="0076335E">
      <w:pPr>
        <w:spacing w:line="360" w:lineRule="auto"/>
        <w:jc w:val="both"/>
        <w:rPr>
          <w:rFonts w:ascii="Arial" w:hAnsi="Arial" w:cs="Arial"/>
          <w:i/>
        </w:rPr>
      </w:pPr>
      <w:r>
        <w:rPr>
          <w:rFonts w:ascii="Arial" w:hAnsi="Arial" w:cs="Arial"/>
          <w:i/>
        </w:rPr>
        <w:t>On appeal to the Supreme Court</w:t>
      </w:r>
    </w:p>
    <w:p w14:paraId="1E7CA672" w14:textId="0EBC57A0" w:rsidR="00A429FE" w:rsidRDefault="00F8715E" w:rsidP="00D20FD0">
      <w:pPr>
        <w:spacing w:line="360" w:lineRule="auto"/>
        <w:jc w:val="both"/>
        <w:rPr>
          <w:rFonts w:ascii="Arial" w:hAnsi="Arial" w:cs="Arial"/>
        </w:rPr>
      </w:pPr>
      <w:r w:rsidRPr="00F8715E">
        <w:rPr>
          <w:rFonts w:ascii="Arial" w:hAnsi="Arial" w:cs="Arial"/>
          <w:i/>
        </w:rPr>
        <w:t>H</w:t>
      </w:r>
      <w:r w:rsidR="00CD3368" w:rsidRPr="00F8715E">
        <w:rPr>
          <w:rFonts w:ascii="Arial" w:hAnsi="Arial" w:cs="Arial"/>
          <w:i/>
        </w:rPr>
        <w:t>eld</w:t>
      </w:r>
      <w:r w:rsidR="004323A8">
        <w:rPr>
          <w:rFonts w:ascii="Arial" w:hAnsi="Arial" w:cs="Arial"/>
          <w:i/>
        </w:rPr>
        <w:t xml:space="preserve"> </w:t>
      </w:r>
      <w:r w:rsidR="004323A8">
        <w:rPr>
          <w:rFonts w:ascii="Arial" w:hAnsi="Arial" w:cs="Arial"/>
        </w:rPr>
        <w:t xml:space="preserve">that </w:t>
      </w:r>
      <w:r w:rsidR="00CD3368">
        <w:rPr>
          <w:rFonts w:ascii="Arial" w:hAnsi="Arial" w:cs="Arial"/>
        </w:rPr>
        <w:t>the withdrawal of charges in terms of s 6</w:t>
      </w:r>
      <w:r w:rsidR="00CD3368" w:rsidRPr="00684EF1">
        <w:rPr>
          <w:rFonts w:ascii="Arial" w:hAnsi="Arial" w:cs="Arial"/>
          <w:i/>
        </w:rPr>
        <w:t>(a)</w:t>
      </w:r>
      <w:r w:rsidR="00CD3368">
        <w:rPr>
          <w:rFonts w:ascii="Arial" w:hAnsi="Arial" w:cs="Arial"/>
        </w:rPr>
        <w:t xml:space="preserve"> of the </w:t>
      </w:r>
      <w:r w:rsidR="00721AFB">
        <w:rPr>
          <w:rFonts w:ascii="Arial" w:hAnsi="Arial" w:cs="Arial"/>
        </w:rPr>
        <w:t xml:space="preserve">Criminal </w:t>
      </w:r>
      <w:r w:rsidR="00286206">
        <w:rPr>
          <w:rFonts w:ascii="Arial" w:hAnsi="Arial" w:cs="Arial"/>
        </w:rPr>
        <w:t>P</w:t>
      </w:r>
      <w:r w:rsidR="00721AFB">
        <w:rPr>
          <w:rFonts w:ascii="Arial" w:hAnsi="Arial" w:cs="Arial"/>
        </w:rPr>
        <w:t>rocedure Act 1977</w:t>
      </w:r>
      <w:r w:rsidR="00CD3368">
        <w:rPr>
          <w:rFonts w:ascii="Arial" w:hAnsi="Arial" w:cs="Arial"/>
        </w:rPr>
        <w:t xml:space="preserve"> had the consequence that the first respondent was no longer</w:t>
      </w:r>
      <w:r w:rsidR="006017A4">
        <w:rPr>
          <w:rFonts w:ascii="Arial" w:hAnsi="Arial" w:cs="Arial"/>
        </w:rPr>
        <w:t xml:space="preserve"> an accused as contemplated in A</w:t>
      </w:r>
      <w:r w:rsidR="00CD3368">
        <w:rPr>
          <w:rFonts w:ascii="Arial" w:hAnsi="Arial" w:cs="Arial"/>
        </w:rPr>
        <w:t>rt 12(1)</w:t>
      </w:r>
      <w:r w:rsidR="00CD3368" w:rsidRPr="006017A4">
        <w:rPr>
          <w:rFonts w:ascii="Arial" w:hAnsi="Arial" w:cs="Arial"/>
        </w:rPr>
        <w:t>(b)</w:t>
      </w:r>
      <w:r w:rsidR="00CD3368">
        <w:rPr>
          <w:rFonts w:ascii="Arial" w:hAnsi="Arial" w:cs="Arial"/>
        </w:rPr>
        <w:t xml:space="preserve"> of the Constitution</w:t>
      </w:r>
      <w:r w:rsidR="00721AFB">
        <w:rPr>
          <w:rFonts w:ascii="Arial" w:hAnsi="Arial" w:cs="Arial"/>
        </w:rPr>
        <w:t>,</w:t>
      </w:r>
      <w:r w:rsidR="00CD3368">
        <w:rPr>
          <w:rFonts w:ascii="Arial" w:hAnsi="Arial" w:cs="Arial"/>
        </w:rPr>
        <w:t xml:space="preserve"> and therefore it was incompetent for the </w:t>
      </w:r>
      <w:r w:rsidR="00721AFB">
        <w:rPr>
          <w:rFonts w:ascii="Arial" w:hAnsi="Arial" w:cs="Arial"/>
        </w:rPr>
        <w:t>High Court</w:t>
      </w:r>
      <w:r w:rsidR="00CD3368">
        <w:rPr>
          <w:rFonts w:ascii="Arial" w:hAnsi="Arial" w:cs="Arial"/>
        </w:rPr>
        <w:t xml:space="preserve"> to grant permanent stay as such an order can only extend to a person who is an accused. </w:t>
      </w:r>
    </w:p>
    <w:p w14:paraId="3C291B00" w14:textId="77777777" w:rsidR="00CD3368" w:rsidRDefault="00CD3368" w:rsidP="00D20FD0">
      <w:pPr>
        <w:spacing w:line="360" w:lineRule="auto"/>
        <w:jc w:val="both"/>
        <w:rPr>
          <w:rFonts w:ascii="Arial" w:hAnsi="Arial" w:cs="Arial"/>
        </w:rPr>
      </w:pPr>
    </w:p>
    <w:p w14:paraId="4FD817DE" w14:textId="431B076D" w:rsidR="00FA3415" w:rsidRDefault="00F8715E" w:rsidP="00D20FD0">
      <w:pPr>
        <w:spacing w:line="360" w:lineRule="auto"/>
        <w:jc w:val="both"/>
        <w:rPr>
          <w:rFonts w:ascii="Arial" w:hAnsi="Arial" w:cs="Arial"/>
          <w:lang w:val="en-US"/>
        </w:rPr>
      </w:pPr>
      <w:r w:rsidRPr="00F8715E">
        <w:rPr>
          <w:rFonts w:ascii="Arial" w:hAnsi="Arial" w:cs="Arial"/>
          <w:i/>
        </w:rPr>
        <w:t>Held</w:t>
      </w:r>
      <w:r>
        <w:rPr>
          <w:rFonts w:ascii="Arial" w:hAnsi="Arial" w:cs="Arial"/>
        </w:rPr>
        <w:t xml:space="preserve"> o</w:t>
      </w:r>
      <w:r w:rsidR="00CD3368">
        <w:rPr>
          <w:rFonts w:ascii="Arial" w:hAnsi="Arial" w:cs="Arial"/>
        </w:rPr>
        <w:t xml:space="preserve">rder of stay set aside and replaced with one dismissing application and no order as to costs both </w:t>
      </w:r>
      <w:r w:rsidR="00CD3368" w:rsidRPr="00CD3368">
        <w:rPr>
          <w:rFonts w:ascii="Arial" w:hAnsi="Arial" w:cs="Arial"/>
          <w:i/>
        </w:rPr>
        <w:t>a quo</w:t>
      </w:r>
      <w:r w:rsidR="00CD3368">
        <w:rPr>
          <w:rFonts w:ascii="Arial" w:hAnsi="Arial" w:cs="Arial"/>
        </w:rPr>
        <w:t xml:space="preserve"> and on appeal. </w:t>
      </w:r>
    </w:p>
    <w:p w14:paraId="2F89B2B1" w14:textId="1ECFD0B6" w:rsidR="00AE26A0" w:rsidRPr="00D20FD0" w:rsidRDefault="00AE26A0" w:rsidP="0012201B">
      <w:pPr>
        <w:jc w:val="both"/>
        <w:rPr>
          <w:rFonts w:ascii="Arial" w:hAnsi="Arial" w:cs="Arial"/>
          <w:b/>
          <w:color w:val="000000" w:themeColor="text1"/>
          <w:lang w:val="en-US"/>
        </w:rPr>
      </w:pPr>
      <w:r w:rsidRPr="00D20FD0">
        <w:rPr>
          <w:rFonts w:ascii="Arial" w:hAnsi="Arial" w:cs="Arial"/>
          <w:b/>
          <w:color w:val="000000" w:themeColor="text1"/>
          <w:lang w:val="en-US"/>
        </w:rPr>
        <w:t>_______________________________________</w:t>
      </w:r>
      <w:r w:rsidR="00227AA4">
        <w:rPr>
          <w:rFonts w:ascii="Arial" w:hAnsi="Arial" w:cs="Arial"/>
          <w:b/>
          <w:color w:val="000000" w:themeColor="text1"/>
          <w:lang w:val="en-US"/>
        </w:rPr>
        <w:t>__________________________</w:t>
      </w:r>
    </w:p>
    <w:p w14:paraId="2622D184" w14:textId="77777777" w:rsidR="00D20FD0" w:rsidRDefault="00D20FD0" w:rsidP="0012201B">
      <w:pPr>
        <w:tabs>
          <w:tab w:val="center" w:pos="4510"/>
          <w:tab w:val="left" w:pos="6690"/>
        </w:tabs>
        <w:rPr>
          <w:rFonts w:ascii="Arial" w:hAnsi="Arial" w:cs="Arial"/>
          <w:color w:val="000000" w:themeColor="text1"/>
          <w:lang w:val="en-US"/>
        </w:rPr>
      </w:pPr>
    </w:p>
    <w:p w14:paraId="5098FE73" w14:textId="6166C0BD" w:rsidR="00AE26A0" w:rsidRDefault="00286206" w:rsidP="0012201B">
      <w:pPr>
        <w:tabs>
          <w:tab w:val="center" w:pos="4510"/>
          <w:tab w:val="left" w:pos="6690"/>
        </w:tabs>
        <w:jc w:val="center"/>
        <w:rPr>
          <w:rFonts w:ascii="Arial" w:hAnsi="Arial" w:cs="Arial"/>
          <w:b/>
          <w:color w:val="000000" w:themeColor="text1"/>
          <w:lang w:val="en-US"/>
        </w:rPr>
      </w:pPr>
      <w:r w:rsidRPr="00D20FD0">
        <w:rPr>
          <w:rFonts w:ascii="Arial" w:hAnsi="Arial" w:cs="Arial"/>
          <w:b/>
          <w:color w:val="000000" w:themeColor="text1"/>
          <w:lang w:val="en-US"/>
        </w:rPr>
        <w:t xml:space="preserve">APPEAL </w:t>
      </w:r>
      <w:r w:rsidR="00E845AD" w:rsidRPr="00D20FD0">
        <w:rPr>
          <w:rFonts w:ascii="Arial" w:hAnsi="Arial" w:cs="Arial"/>
          <w:b/>
          <w:color w:val="000000" w:themeColor="text1"/>
          <w:lang w:val="en-US"/>
        </w:rPr>
        <w:t>JUDGMENT</w:t>
      </w:r>
    </w:p>
    <w:p w14:paraId="3018864D" w14:textId="39F12000" w:rsidR="00FA3415" w:rsidRPr="00D20FD0" w:rsidRDefault="00AE26A0" w:rsidP="0012201B">
      <w:pPr>
        <w:jc w:val="both"/>
        <w:rPr>
          <w:rFonts w:ascii="Arial" w:hAnsi="Arial" w:cs="Arial"/>
          <w:b/>
          <w:color w:val="000000" w:themeColor="text1"/>
          <w:lang w:val="en-US"/>
        </w:rPr>
      </w:pPr>
      <w:r w:rsidRPr="00D20FD0">
        <w:rPr>
          <w:rFonts w:ascii="Arial" w:hAnsi="Arial" w:cs="Arial"/>
          <w:b/>
          <w:color w:val="000000" w:themeColor="text1"/>
          <w:lang w:val="en-US"/>
        </w:rPr>
        <w:t>___________________________________</w:t>
      </w:r>
      <w:r w:rsidR="00227AA4">
        <w:rPr>
          <w:rFonts w:ascii="Arial" w:hAnsi="Arial" w:cs="Arial"/>
          <w:b/>
          <w:color w:val="000000" w:themeColor="text1"/>
          <w:lang w:val="en-US"/>
        </w:rPr>
        <w:t>______________________________</w:t>
      </w:r>
    </w:p>
    <w:p w14:paraId="3DFCEE86" w14:textId="77777777" w:rsidR="00D20FD0" w:rsidRDefault="00D20FD0" w:rsidP="0012201B">
      <w:pPr>
        <w:rPr>
          <w:rFonts w:ascii="Arial" w:hAnsi="Arial" w:cs="Arial"/>
          <w:lang w:val="en-US"/>
        </w:rPr>
      </w:pPr>
    </w:p>
    <w:p w14:paraId="3CE6D9A6" w14:textId="016D7114" w:rsidR="004118DB" w:rsidRDefault="008E15C4" w:rsidP="00A429FE">
      <w:pPr>
        <w:spacing w:line="480" w:lineRule="auto"/>
        <w:rPr>
          <w:rFonts w:ascii="Arial" w:hAnsi="Arial" w:cs="Arial"/>
          <w:lang w:val="en-US"/>
        </w:rPr>
      </w:pPr>
      <w:r>
        <w:rPr>
          <w:rFonts w:ascii="Arial" w:hAnsi="Arial" w:cs="Arial"/>
          <w:lang w:val="en-US"/>
        </w:rPr>
        <w:t>DAMASEB</w:t>
      </w:r>
      <w:r w:rsidR="00666FE7">
        <w:rPr>
          <w:rFonts w:ascii="Arial" w:hAnsi="Arial" w:cs="Arial"/>
          <w:lang w:val="en-US"/>
        </w:rPr>
        <w:t xml:space="preserve"> DCJ (</w:t>
      </w:r>
      <w:r>
        <w:rPr>
          <w:rFonts w:ascii="Arial" w:hAnsi="Arial" w:cs="Arial"/>
          <w:lang w:val="en-US"/>
        </w:rPr>
        <w:t xml:space="preserve">MAINGA </w:t>
      </w:r>
      <w:r w:rsidR="00666FE7">
        <w:rPr>
          <w:rFonts w:ascii="Arial" w:hAnsi="Arial" w:cs="Arial"/>
          <w:lang w:val="en-US"/>
        </w:rPr>
        <w:t xml:space="preserve">JA and </w:t>
      </w:r>
      <w:r>
        <w:rPr>
          <w:rFonts w:ascii="Arial" w:hAnsi="Arial" w:cs="Arial"/>
          <w:lang w:val="en-US"/>
        </w:rPr>
        <w:t>ANGULA</w:t>
      </w:r>
      <w:r w:rsidR="00666FE7">
        <w:rPr>
          <w:rFonts w:ascii="Arial" w:hAnsi="Arial" w:cs="Arial"/>
          <w:lang w:val="en-US"/>
        </w:rPr>
        <w:t xml:space="preserve"> AJA concurring):</w:t>
      </w:r>
    </w:p>
    <w:p w14:paraId="665463BD" w14:textId="7E997EB3" w:rsidR="00784571" w:rsidRPr="00240A69" w:rsidRDefault="003E2B13"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In this appeal, the Prosecutor General of Namibia (</w:t>
      </w:r>
      <w:r w:rsidR="00286206" w:rsidRPr="00240A69">
        <w:rPr>
          <w:rFonts w:ascii="Arial" w:hAnsi="Arial" w:cs="Arial"/>
          <w:lang w:val="en-US"/>
        </w:rPr>
        <w:t xml:space="preserve">the </w:t>
      </w:r>
      <w:r w:rsidRPr="00240A69">
        <w:rPr>
          <w:rFonts w:ascii="Arial" w:hAnsi="Arial" w:cs="Arial"/>
          <w:lang w:val="en-US"/>
        </w:rPr>
        <w:t xml:space="preserve">PG) challenges the High Court’s conclusion that </w:t>
      </w:r>
      <w:r w:rsidR="00031918" w:rsidRPr="00240A69">
        <w:rPr>
          <w:rFonts w:ascii="Arial" w:hAnsi="Arial" w:cs="Arial"/>
          <w:lang w:val="en-US"/>
        </w:rPr>
        <w:t xml:space="preserve">Mr Marien </w:t>
      </w:r>
      <w:r w:rsidR="00286206" w:rsidRPr="00240A69">
        <w:rPr>
          <w:rFonts w:ascii="Arial" w:hAnsi="Arial" w:cs="Arial"/>
          <w:lang w:val="en-US"/>
        </w:rPr>
        <w:t xml:space="preserve">Ngouabi </w:t>
      </w:r>
      <w:r w:rsidR="00031918" w:rsidRPr="00240A69">
        <w:rPr>
          <w:rFonts w:ascii="Arial" w:hAnsi="Arial" w:cs="Arial"/>
          <w:lang w:val="en-US"/>
        </w:rPr>
        <w:t>Namoloh (</w:t>
      </w:r>
      <w:r w:rsidRPr="00240A69">
        <w:rPr>
          <w:rFonts w:ascii="Arial" w:hAnsi="Arial" w:cs="Arial"/>
          <w:lang w:val="en-US"/>
        </w:rPr>
        <w:t>the first respondent</w:t>
      </w:r>
      <w:r w:rsidR="00031918" w:rsidRPr="00240A69">
        <w:rPr>
          <w:rFonts w:ascii="Arial" w:hAnsi="Arial" w:cs="Arial"/>
          <w:lang w:val="en-US"/>
        </w:rPr>
        <w:t xml:space="preserve">) </w:t>
      </w:r>
      <w:r w:rsidRPr="00240A69">
        <w:rPr>
          <w:rFonts w:ascii="Arial" w:hAnsi="Arial" w:cs="Arial"/>
          <w:lang w:val="en-US"/>
        </w:rPr>
        <w:t xml:space="preserve">was entitled to a permanent stay of prosecution because he was not tried within a reasonable time as required by the Namibian Constitution (the Constitution). </w:t>
      </w:r>
      <w:r w:rsidR="00784571" w:rsidRPr="00240A69">
        <w:rPr>
          <w:rFonts w:ascii="Arial" w:hAnsi="Arial" w:cs="Arial"/>
          <w:lang w:val="en-US"/>
        </w:rPr>
        <w:t>That order was granted because the PG failed to mount a fresh prosecution against the first respondent after withdrawing the initial charges</w:t>
      </w:r>
      <w:r w:rsidR="00031918" w:rsidRPr="00240A69">
        <w:rPr>
          <w:rFonts w:ascii="Arial" w:hAnsi="Arial" w:cs="Arial"/>
          <w:lang w:val="en-US"/>
        </w:rPr>
        <w:t xml:space="preserve"> in terms of s 6</w:t>
      </w:r>
      <w:r w:rsidR="00031918" w:rsidRPr="00240A69">
        <w:rPr>
          <w:rFonts w:ascii="Arial" w:hAnsi="Arial" w:cs="Arial"/>
          <w:i/>
          <w:lang w:val="en-US"/>
        </w:rPr>
        <w:t>(a)</w:t>
      </w:r>
      <w:r w:rsidR="00031918" w:rsidRPr="00240A69">
        <w:rPr>
          <w:rFonts w:ascii="Arial" w:hAnsi="Arial" w:cs="Arial"/>
          <w:lang w:val="en-US"/>
        </w:rPr>
        <w:t xml:space="preserve"> of the Criminal Procedure Act 51 of 1977 (</w:t>
      </w:r>
      <w:r w:rsidR="00286206" w:rsidRPr="00240A69">
        <w:rPr>
          <w:rFonts w:ascii="Arial" w:hAnsi="Arial" w:cs="Arial"/>
          <w:lang w:val="en-US"/>
        </w:rPr>
        <w:t xml:space="preserve">the </w:t>
      </w:r>
      <w:r w:rsidR="00031918" w:rsidRPr="00240A69">
        <w:rPr>
          <w:rFonts w:ascii="Arial" w:hAnsi="Arial" w:cs="Arial"/>
          <w:lang w:val="en-US"/>
        </w:rPr>
        <w:t>CPA)</w:t>
      </w:r>
      <w:r w:rsidR="00784571" w:rsidRPr="00240A69">
        <w:rPr>
          <w:rFonts w:ascii="Arial" w:hAnsi="Arial" w:cs="Arial"/>
          <w:lang w:val="en-US"/>
        </w:rPr>
        <w:t>.</w:t>
      </w:r>
    </w:p>
    <w:p w14:paraId="33B6FBEB" w14:textId="5DE0EACA" w:rsidR="003E2B13" w:rsidRDefault="003E2B13" w:rsidP="00240A69">
      <w:pPr>
        <w:spacing w:line="480" w:lineRule="auto"/>
        <w:jc w:val="both"/>
        <w:rPr>
          <w:rFonts w:ascii="Arial" w:hAnsi="Arial" w:cs="Arial"/>
          <w:lang w:val="en-US"/>
        </w:rPr>
      </w:pPr>
    </w:p>
    <w:p w14:paraId="0E526E46" w14:textId="1BAE66AA" w:rsidR="0010463C" w:rsidRPr="00240A69" w:rsidRDefault="00EF4A44"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Section 6</w:t>
      </w:r>
      <w:r w:rsidR="0010463C" w:rsidRPr="00004E3D">
        <w:rPr>
          <w:rFonts w:ascii="Arial" w:hAnsi="Arial" w:cs="Arial"/>
          <w:i/>
          <w:lang w:val="en-US"/>
        </w:rPr>
        <w:t>(a)</w:t>
      </w:r>
      <w:r w:rsidR="0010463C" w:rsidRPr="00240A69">
        <w:rPr>
          <w:rFonts w:ascii="Arial" w:hAnsi="Arial" w:cs="Arial"/>
          <w:lang w:val="en-US"/>
        </w:rPr>
        <w:t xml:space="preserve"> of </w:t>
      </w:r>
      <w:r w:rsidR="00031918" w:rsidRPr="00240A69">
        <w:rPr>
          <w:rFonts w:ascii="Arial" w:hAnsi="Arial" w:cs="Arial"/>
          <w:lang w:val="en-US"/>
        </w:rPr>
        <w:t xml:space="preserve">the </w:t>
      </w:r>
      <w:r w:rsidR="0010463C" w:rsidRPr="00240A69">
        <w:rPr>
          <w:rFonts w:ascii="Arial" w:hAnsi="Arial" w:cs="Arial"/>
          <w:lang w:val="en-US"/>
        </w:rPr>
        <w:t>CPA states:</w:t>
      </w:r>
    </w:p>
    <w:p w14:paraId="29344FED" w14:textId="6E25DBC9" w:rsidR="0010463C" w:rsidRDefault="00A24944" w:rsidP="002A4D4E">
      <w:pPr>
        <w:spacing w:line="360" w:lineRule="auto"/>
        <w:ind w:left="1440"/>
        <w:jc w:val="both"/>
        <w:rPr>
          <w:rFonts w:ascii="Arial" w:hAnsi="Arial" w:cs="Arial"/>
          <w:sz w:val="22"/>
          <w:szCs w:val="22"/>
        </w:rPr>
      </w:pPr>
      <w:r>
        <w:rPr>
          <w:rFonts w:ascii="Arial" w:hAnsi="Arial" w:cs="Arial"/>
          <w:sz w:val="22"/>
          <w:szCs w:val="22"/>
        </w:rPr>
        <w:lastRenderedPageBreak/>
        <w:t>‘</w:t>
      </w:r>
      <w:r w:rsidR="0010463C" w:rsidRPr="007A70E6">
        <w:rPr>
          <w:rFonts w:ascii="Arial" w:hAnsi="Arial" w:cs="Arial"/>
          <w:sz w:val="22"/>
          <w:szCs w:val="22"/>
        </w:rPr>
        <w:t xml:space="preserve">An attorney-general or any person conducting a prosecution at the instance of the State or anybody or person conducting a prosecution under section 8, may </w:t>
      </w:r>
      <w:r w:rsidR="00B84DFE">
        <w:rPr>
          <w:rFonts w:ascii="Arial" w:hAnsi="Arial" w:cs="Arial"/>
          <w:sz w:val="22"/>
          <w:szCs w:val="22"/>
        </w:rPr>
        <w:t>–</w:t>
      </w:r>
    </w:p>
    <w:p w14:paraId="3C03D5DC" w14:textId="77777777" w:rsidR="00B84DFE" w:rsidRPr="007A70E6" w:rsidRDefault="00B84DFE" w:rsidP="002A4D4E">
      <w:pPr>
        <w:spacing w:line="360" w:lineRule="auto"/>
        <w:ind w:left="1440"/>
        <w:jc w:val="both"/>
        <w:rPr>
          <w:rFonts w:ascii="Arial" w:hAnsi="Arial" w:cs="Arial"/>
          <w:sz w:val="22"/>
          <w:szCs w:val="22"/>
        </w:rPr>
      </w:pPr>
    </w:p>
    <w:p w14:paraId="56EAF1FD" w14:textId="7E5E3B07" w:rsidR="0010463C" w:rsidRPr="007A70E6" w:rsidRDefault="0010463C" w:rsidP="002A4D4E">
      <w:pPr>
        <w:pStyle w:val="ListParagraph"/>
        <w:numPr>
          <w:ilvl w:val="0"/>
          <w:numId w:val="1"/>
        </w:numPr>
        <w:spacing w:line="360" w:lineRule="auto"/>
        <w:ind w:left="1800"/>
        <w:jc w:val="both"/>
        <w:rPr>
          <w:rFonts w:ascii="Arial" w:hAnsi="Arial" w:cs="Arial"/>
          <w:sz w:val="22"/>
          <w:szCs w:val="22"/>
        </w:rPr>
      </w:pPr>
      <w:r w:rsidRPr="007A70E6">
        <w:rPr>
          <w:rFonts w:ascii="Arial" w:hAnsi="Arial" w:cs="Arial"/>
          <w:sz w:val="22"/>
          <w:szCs w:val="22"/>
        </w:rPr>
        <w:t>before an accused pleads to a charge, withdraw that charge, in which event the accused shall not be entitled to a verdict of acqu</w:t>
      </w:r>
      <w:r w:rsidR="00B84DFE">
        <w:rPr>
          <w:rFonts w:ascii="Arial" w:hAnsi="Arial" w:cs="Arial"/>
          <w:sz w:val="22"/>
          <w:szCs w:val="22"/>
        </w:rPr>
        <w:t xml:space="preserve">ittal in respect of that charge. . . </w:t>
      </w:r>
      <w:r w:rsidRPr="007A70E6">
        <w:rPr>
          <w:rFonts w:ascii="Arial" w:hAnsi="Arial" w:cs="Arial"/>
          <w:sz w:val="22"/>
          <w:szCs w:val="22"/>
        </w:rPr>
        <w:t>’</w:t>
      </w:r>
    </w:p>
    <w:p w14:paraId="77AB7F3B" w14:textId="77777777" w:rsidR="003E2B13" w:rsidRDefault="003E2B13" w:rsidP="00240A69">
      <w:pPr>
        <w:spacing w:line="360" w:lineRule="auto"/>
        <w:jc w:val="both"/>
        <w:rPr>
          <w:rFonts w:ascii="Arial" w:hAnsi="Arial" w:cs="Arial"/>
          <w:lang w:val="en-US"/>
        </w:rPr>
      </w:pPr>
    </w:p>
    <w:p w14:paraId="36CA1C45" w14:textId="0CA5480D" w:rsidR="004118DB" w:rsidRPr="00240A69" w:rsidRDefault="007038B3"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According to </w:t>
      </w:r>
      <w:r w:rsidR="00EF4A44" w:rsidRPr="00240A69">
        <w:rPr>
          <w:rFonts w:ascii="Arial" w:hAnsi="Arial" w:cs="Arial"/>
          <w:lang w:val="en-US"/>
        </w:rPr>
        <w:t>Art</w:t>
      </w:r>
      <w:r w:rsidR="00684EF1" w:rsidRPr="00240A69">
        <w:rPr>
          <w:rFonts w:ascii="Arial" w:hAnsi="Arial" w:cs="Arial"/>
          <w:lang w:val="en-US"/>
        </w:rPr>
        <w:t xml:space="preserve"> 12(1)</w:t>
      </w:r>
      <w:r w:rsidRPr="00240A69">
        <w:rPr>
          <w:rFonts w:ascii="Arial" w:hAnsi="Arial" w:cs="Arial"/>
          <w:lang w:val="en-US"/>
        </w:rPr>
        <w:t xml:space="preserve">(a) </w:t>
      </w:r>
      <w:r w:rsidR="003E2B13" w:rsidRPr="00240A69">
        <w:rPr>
          <w:rFonts w:ascii="Arial" w:hAnsi="Arial" w:cs="Arial"/>
          <w:lang w:val="en-US"/>
        </w:rPr>
        <w:t>of the Constitution</w:t>
      </w:r>
      <w:r w:rsidR="0094207D" w:rsidRPr="00240A69">
        <w:rPr>
          <w:rFonts w:ascii="Arial" w:hAnsi="Arial" w:cs="Arial"/>
          <w:lang w:val="en-US"/>
        </w:rPr>
        <w:t>,</w:t>
      </w:r>
      <w:r w:rsidR="004118DB" w:rsidRPr="00240A69">
        <w:rPr>
          <w:rFonts w:ascii="Arial" w:hAnsi="Arial" w:cs="Arial"/>
          <w:lang w:val="en-US"/>
        </w:rPr>
        <w:t xml:space="preserve"> </w:t>
      </w:r>
      <w:r w:rsidRPr="00240A69">
        <w:rPr>
          <w:rFonts w:ascii="Arial" w:hAnsi="Arial" w:cs="Arial"/>
          <w:lang w:val="en-US"/>
        </w:rPr>
        <w:t>in the determination of criminal charges against them, a person ‘shall be entitled to a fair and public hearing by an independent, impartial and competent Court</w:t>
      </w:r>
      <w:r w:rsidR="006B08FE" w:rsidRPr="00240A69">
        <w:rPr>
          <w:rFonts w:ascii="Arial" w:hAnsi="Arial" w:cs="Arial"/>
          <w:lang w:val="en-US"/>
        </w:rPr>
        <w:t>. . .</w:t>
      </w:r>
      <w:r w:rsidRPr="00240A69">
        <w:rPr>
          <w:rFonts w:ascii="Arial" w:hAnsi="Arial" w:cs="Arial"/>
          <w:lang w:val="en-US"/>
        </w:rPr>
        <w:t>’.</w:t>
      </w:r>
      <w:r w:rsidR="00E76CCF" w:rsidRPr="00240A69">
        <w:rPr>
          <w:rFonts w:ascii="Arial" w:hAnsi="Arial" w:cs="Arial"/>
          <w:lang w:val="en-US"/>
        </w:rPr>
        <w:t xml:space="preserve"> In terms </w:t>
      </w:r>
      <w:r w:rsidR="00476E3A" w:rsidRPr="00240A69">
        <w:rPr>
          <w:rFonts w:ascii="Arial" w:hAnsi="Arial" w:cs="Arial"/>
          <w:lang w:val="en-US"/>
        </w:rPr>
        <w:t xml:space="preserve">of </w:t>
      </w:r>
      <w:r w:rsidR="00EF4A44" w:rsidRPr="00240A69">
        <w:rPr>
          <w:rFonts w:ascii="Arial" w:hAnsi="Arial" w:cs="Arial"/>
          <w:lang w:val="en-US"/>
        </w:rPr>
        <w:t>sub-art (b) of A</w:t>
      </w:r>
      <w:r w:rsidR="0094207D" w:rsidRPr="00240A69">
        <w:rPr>
          <w:rFonts w:ascii="Arial" w:hAnsi="Arial" w:cs="Arial"/>
          <w:lang w:val="en-US"/>
        </w:rPr>
        <w:t>rt 12(1):</w:t>
      </w:r>
    </w:p>
    <w:p w14:paraId="360BE751" w14:textId="77777777" w:rsidR="00D20FD0" w:rsidRDefault="00D20FD0" w:rsidP="00D20FD0">
      <w:pPr>
        <w:spacing w:line="360" w:lineRule="auto"/>
        <w:jc w:val="both"/>
        <w:rPr>
          <w:rFonts w:ascii="Arial" w:hAnsi="Arial" w:cs="Arial"/>
          <w:sz w:val="22"/>
          <w:szCs w:val="22"/>
          <w:lang w:val="en-US"/>
        </w:rPr>
      </w:pPr>
    </w:p>
    <w:p w14:paraId="5617E62D" w14:textId="65D1C2C1" w:rsidR="0094207D" w:rsidRPr="00152352" w:rsidRDefault="00E76CCF" w:rsidP="00D20FD0">
      <w:pPr>
        <w:spacing w:line="360" w:lineRule="auto"/>
        <w:ind w:left="720"/>
        <w:jc w:val="both"/>
        <w:rPr>
          <w:rFonts w:ascii="Arial" w:hAnsi="Arial" w:cs="Arial"/>
          <w:sz w:val="22"/>
          <w:szCs w:val="22"/>
          <w:lang w:val="en-US"/>
        </w:rPr>
      </w:pPr>
      <w:r w:rsidRPr="00152352">
        <w:rPr>
          <w:rFonts w:ascii="Arial" w:hAnsi="Arial" w:cs="Arial"/>
          <w:sz w:val="22"/>
          <w:szCs w:val="22"/>
          <w:lang w:val="en-US"/>
        </w:rPr>
        <w:t>‘A trial referred to in Sub-Article (a)</w:t>
      </w:r>
      <w:r w:rsidR="0094207D" w:rsidRPr="00152352">
        <w:rPr>
          <w:rFonts w:ascii="Arial" w:hAnsi="Arial" w:cs="Arial"/>
          <w:sz w:val="22"/>
          <w:szCs w:val="22"/>
          <w:lang w:val="en-US"/>
        </w:rPr>
        <w:t xml:space="preserve"> hereof shall take place within a reasonable time, failing which the </w:t>
      </w:r>
      <w:r w:rsidR="0094207D" w:rsidRPr="00152352">
        <w:rPr>
          <w:rFonts w:ascii="Arial" w:hAnsi="Arial" w:cs="Arial"/>
          <w:sz w:val="22"/>
          <w:szCs w:val="22"/>
          <w:u w:val="single"/>
          <w:lang w:val="en-US"/>
        </w:rPr>
        <w:t xml:space="preserve">accused </w:t>
      </w:r>
      <w:r w:rsidR="0094207D" w:rsidRPr="00152352">
        <w:rPr>
          <w:rFonts w:ascii="Arial" w:hAnsi="Arial" w:cs="Arial"/>
          <w:sz w:val="22"/>
          <w:szCs w:val="22"/>
          <w:lang w:val="en-US"/>
        </w:rPr>
        <w:t>shall be released.’</w:t>
      </w:r>
      <w:r w:rsidR="00A75AF0" w:rsidRPr="00152352">
        <w:rPr>
          <w:rFonts w:ascii="Arial" w:hAnsi="Arial" w:cs="Arial"/>
          <w:sz w:val="22"/>
          <w:szCs w:val="22"/>
          <w:lang w:val="en-US"/>
        </w:rPr>
        <w:t xml:space="preserve"> </w:t>
      </w:r>
      <w:r w:rsidR="00A75AF0" w:rsidRPr="00A24944">
        <w:rPr>
          <w:rFonts w:ascii="Arial" w:hAnsi="Arial" w:cs="Arial"/>
          <w:lang w:val="en-US"/>
        </w:rPr>
        <w:t>(My underlining).</w:t>
      </w:r>
    </w:p>
    <w:p w14:paraId="4BD5B0A6" w14:textId="77777777" w:rsidR="00A75AF0" w:rsidRDefault="00A75AF0" w:rsidP="0094207D">
      <w:pPr>
        <w:spacing w:line="360" w:lineRule="auto"/>
        <w:jc w:val="both"/>
        <w:rPr>
          <w:rFonts w:ascii="Arial" w:hAnsi="Arial" w:cs="Arial"/>
          <w:lang w:val="en-US"/>
        </w:rPr>
      </w:pPr>
    </w:p>
    <w:p w14:paraId="1C5A29F1" w14:textId="3BC9C85B" w:rsidR="00784571" w:rsidRPr="00240A69" w:rsidRDefault="00784571"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Where a criminal court, after having granted several postponements, declines a further postponement requested by the State and leaves the PG </w:t>
      </w:r>
      <w:r w:rsidR="00286206" w:rsidRPr="00240A69">
        <w:rPr>
          <w:rFonts w:ascii="Arial" w:hAnsi="Arial" w:cs="Arial"/>
          <w:lang w:val="en-US"/>
        </w:rPr>
        <w:t xml:space="preserve">with </w:t>
      </w:r>
      <w:r w:rsidRPr="00240A69">
        <w:rPr>
          <w:rFonts w:ascii="Arial" w:hAnsi="Arial" w:cs="Arial"/>
          <w:lang w:val="en-US"/>
        </w:rPr>
        <w:t>no option but to withdraw criminal charges against an accused, is such a person an ‘accused’ as contemplated in sub-art (b)</w:t>
      </w:r>
      <w:r w:rsidR="006017A4" w:rsidRPr="00240A69">
        <w:rPr>
          <w:rFonts w:ascii="Arial" w:hAnsi="Arial" w:cs="Arial"/>
          <w:lang w:val="en-US"/>
        </w:rPr>
        <w:t xml:space="preserve"> of Art </w:t>
      </w:r>
      <w:r w:rsidR="00721AFB" w:rsidRPr="00240A69">
        <w:rPr>
          <w:rFonts w:ascii="Arial" w:hAnsi="Arial" w:cs="Arial"/>
          <w:lang w:val="en-US"/>
        </w:rPr>
        <w:t>12</w:t>
      </w:r>
      <w:r w:rsidR="00FB129A" w:rsidRPr="00240A69">
        <w:rPr>
          <w:rFonts w:ascii="Arial" w:hAnsi="Arial" w:cs="Arial"/>
          <w:lang w:val="en-US"/>
        </w:rPr>
        <w:t>(</w:t>
      </w:r>
      <w:r w:rsidR="00721AFB" w:rsidRPr="00240A69">
        <w:rPr>
          <w:rFonts w:ascii="Arial" w:hAnsi="Arial" w:cs="Arial"/>
          <w:lang w:val="en-US"/>
        </w:rPr>
        <w:t>1) of the Constitution</w:t>
      </w:r>
      <w:r w:rsidRPr="00240A69">
        <w:rPr>
          <w:rFonts w:ascii="Arial" w:hAnsi="Arial" w:cs="Arial"/>
          <w:lang w:val="en-US"/>
        </w:rPr>
        <w:t>? That is the central question that falls for decision in this appeal.</w:t>
      </w:r>
    </w:p>
    <w:p w14:paraId="26CD92A5" w14:textId="77777777" w:rsidR="00152352" w:rsidRPr="0010463C" w:rsidRDefault="00152352" w:rsidP="00240A69">
      <w:pPr>
        <w:spacing w:line="360" w:lineRule="auto"/>
        <w:jc w:val="both"/>
        <w:rPr>
          <w:rFonts w:ascii="Arial" w:hAnsi="Arial" w:cs="Arial"/>
          <w:lang w:val="en-US"/>
        </w:rPr>
      </w:pPr>
    </w:p>
    <w:p w14:paraId="7E2AD369" w14:textId="021BD673" w:rsidR="005863CA" w:rsidRPr="00240A69" w:rsidRDefault="00D12AAE"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In </w:t>
      </w:r>
      <w:r w:rsidRPr="00240A69">
        <w:rPr>
          <w:rFonts w:ascii="Arial" w:hAnsi="Arial" w:cs="Arial"/>
          <w:i/>
        </w:rPr>
        <w:t xml:space="preserve">Van As </w:t>
      </w:r>
      <w:r w:rsidR="009409F9" w:rsidRPr="00240A69">
        <w:rPr>
          <w:rFonts w:ascii="Arial" w:hAnsi="Arial" w:cs="Arial"/>
          <w:i/>
        </w:rPr>
        <w:t>&amp;</w:t>
      </w:r>
      <w:r w:rsidRPr="00240A69">
        <w:rPr>
          <w:rFonts w:ascii="Arial" w:hAnsi="Arial" w:cs="Arial"/>
          <w:i/>
        </w:rPr>
        <w:t xml:space="preserve"> </w:t>
      </w:r>
      <w:r w:rsidR="009409F9" w:rsidRPr="00240A69">
        <w:rPr>
          <w:rFonts w:ascii="Arial" w:hAnsi="Arial" w:cs="Arial"/>
          <w:i/>
        </w:rPr>
        <w:t>a</w:t>
      </w:r>
      <w:r w:rsidRPr="00240A69">
        <w:rPr>
          <w:rFonts w:ascii="Arial" w:hAnsi="Arial" w:cs="Arial"/>
          <w:i/>
        </w:rPr>
        <w:t>nother v Prosecutor-General</w:t>
      </w:r>
      <w:r w:rsidRPr="00EA5BB7">
        <w:rPr>
          <w:rStyle w:val="FootnoteReference"/>
          <w:rFonts w:ascii="Arial" w:hAnsi="Arial"/>
        </w:rPr>
        <w:footnoteReference w:id="1"/>
      </w:r>
      <w:r w:rsidRPr="00240A69">
        <w:rPr>
          <w:rFonts w:ascii="Arial" w:hAnsi="Arial" w:cs="Arial"/>
          <w:i/>
        </w:rPr>
        <w:t xml:space="preserve"> </w:t>
      </w:r>
      <w:r w:rsidRPr="00240A69">
        <w:rPr>
          <w:rFonts w:ascii="Arial" w:hAnsi="Arial" w:cs="Arial"/>
        </w:rPr>
        <w:t xml:space="preserve">the </w:t>
      </w:r>
      <w:r w:rsidR="00EA5BB7" w:rsidRPr="00240A69">
        <w:rPr>
          <w:rFonts w:ascii="Arial" w:hAnsi="Arial" w:cs="Arial"/>
        </w:rPr>
        <w:t xml:space="preserve">High Court held </w:t>
      </w:r>
      <w:r w:rsidRPr="00240A69">
        <w:rPr>
          <w:rFonts w:ascii="Arial" w:hAnsi="Arial" w:cs="Arial"/>
        </w:rPr>
        <w:t xml:space="preserve">that, for a person to be </w:t>
      </w:r>
      <w:r w:rsidR="00684EF1" w:rsidRPr="00240A69">
        <w:rPr>
          <w:rFonts w:ascii="Arial" w:hAnsi="Arial" w:cs="Arial"/>
        </w:rPr>
        <w:t>‘released’</w:t>
      </w:r>
      <w:r w:rsidR="006017A4" w:rsidRPr="00240A69">
        <w:rPr>
          <w:rFonts w:ascii="Arial" w:hAnsi="Arial" w:cs="Arial"/>
        </w:rPr>
        <w:t xml:space="preserve"> in terms of A</w:t>
      </w:r>
      <w:r w:rsidRPr="00240A69">
        <w:rPr>
          <w:rFonts w:ascii="Arial" w:hAnsi="Arial" w:cs="Arial"/>
        </w:rPr>
        <w:t>rt 12(1)</w:t>
      </w:r>
      <w:r w:rsidRPr="00B84DFE">
        <w:rPr>
          <w:rFonts w:ascii="Arial" w:hAnsi="Arial" w:cs="Arial"/>
        </w:rPr>
        <w:t>(b)</w:t>
      </w:r>
      <w:r w:rsidRPr="00240A69">
        <w:rPr>
          <w:rFonts w:ascii="Arial" w:hAnsi="Arial" w:cs="Arial"/>
          <w:i/>
        </w:rPr>
        <w:t>,</w:t>
      </w:r>
      <w:r w:rsidRPr="00240A69">
        <w:rPr>
          <w:rFonts w:ascii="Arial" w:hAnsi="Arial" w:cs="Arial"/>
        </w:rPr>
        <w:t xml:space="preserve"> such person would not thereby be granted a permanent stay of prosecution. </w:t>
      </w:r>
      <w:r w:rsidR="00292D11" w:rsidRPr="00240A69">
        <w:rPr>
          <w:rFonts w:ascii="Arial" w:hAnsi="Arial" w:cs="Arial"/>
          <w:lang w:val="en-US"/>
        </w:rPr>
        <w:t>Casting aside doubt expressed in the past, t</w:t>
      </w:r>
      <w:r w:rsidR="00152352" w:rsidRPr="00240A69">
        <w:rPr>
          <w:rFonts w:ascii="Arial" w:hAnsi="Arial" w:cs="Arial"/>
          <w:lang w:val="en-US"/>
        </w:rPr>
        <w:t xml:space="preserve">his court has authoritatively laid </w:t>
      </w:r>
      <w:r w:rsidR="00292D11" w:rsidRPr="00240A69">
        <w:rPr>
          <w:rFonts w:ascii="Arial" w:hAnsi="Arial" w:cs="Arial"/>
          <w:lang w:val="en-US"/>
        </w:rPr>
        <w:t xml:space="preserve">down in </w:t>
      </w:r>
      <w:r w:rsidR="00292D11" w:rsidRPr="00240A69">
        <w:rPr>
          <w:rFonts w:ascii="Arial" w:hAnsi="Arial" w:cs="Arial"/>
          <w:i/>
          <w:lang w:val="en-US"/>
        </w:rPr>
        <w:t>Myburgh</w:t>
      </w:r>
      <w:r w:rsidR="00292D11">
        <w:rPr>
          <w:rStyle w:val="FootnoteReference"/>
          <w:rFonts w:ascii="Arial" w:hAnsi="Arial"/>
          <w:lang w:val="en-US"/>
        </w:rPr>
        <w:footnoteReference w:id="2"/>
      </w:r>
      <w:r w:rsidR="00152352" w:rsidRPr="00240A69">
        <w:rPr>
          <w:rFonts w:ascii="Arial" w:hAnsi="Arial" w:cs="Arial"/>
          <w:lang w:val="en-US"/>
        </w:rPr>
        <w:t xml:space="preserve"> that a ‘permanent stay of prosecution with prejudice’</w:t>
      </w:r>
      <w:r w:rsidR="00784571">
        <w:rPr>
          <w:rStyle w:val="FootnoteReference"/>
          <w:rFonts w:ascii="Arial" w:hAnsi="Arial"/>
          <w:lang w:val="en-US"/>
        </w:rPr>
        <w:footnoteReference w:id="3"/>
      </w:r>
      <w:r w:rsidR="00152352" w:rsidRPr="00240A69">
        <w:rPr>
          <w:rFonts w:ascii="Arial" w:hAnsi="Arial" w:cs="Arial"/>
          <w:lang w:val="en-US"/>
        </w:rPr>
        <w:t xml:space="preserve"> is a competent order whe</w:t>
      </w:r>
      <w:r w:rsidR="00113BAA" w:rsidRPr="00240A69">
        <w:rPr>
          <w:rFonts w:ascii="Arial" w:hAnsi="Arial" w:cs="Arial"/>
          <w:lang w:val="en-US"/>
        </w:rPr>
        <w:t>re</w:t>
      </w:r>
      <w:r w:rsidR="00152352" w:rsidRPr="00240A69">
        <w:rPr>
          <w:rFonts w:ascii="Arial" w:hAnsi="Arial" w:cs="Arial"/>
          <w:lang w:val="en-US"/>
        </w:rPr>
        <w:t xml:space="preserve"> </w:t>
      </w:r>
      <w:r w:rsidR="00EA5BB7" w:rsidRPr="00240A69">
        <w:rPr>
          <w:rFonts w:ascii="Arial" w:hAnsi="Arial" w:cs="Arial"/>
          <w:lang w:val="en-US"/>
        </w:rPr>
        <w:t>a tr</w:t>
      </w:r>
      <w:r w:rsidR="00031918" w:rsidRPr="00240A69">
        <w:rPr>
          <w:rFonts w:ascii="Arial" w:hAnsi="Arial" w:cs="Arial"/>
          <w:lang w:val="en-US"/>
        </w:rPr>
        <w:t>ial</w:t>
      </w:r>
      <w:r w:rsidR="00EA5BB7" w:rsidRPr="00240A69">
        <w:rPr>
          <w:rFonts w:ascii="Arial" w:hAnsi="Arial" w:cs="Arial"/>
          <w:lang w:val="en-US"/>
        </w:rPr>
        <w:t xml:space="preserve"> had not taken place </w:t>
      </w:r>
      <w:r w:rsidR="00EA5BB7" w:rsidRPr="00240A69">
        <w:rPr>
          <w:rFonts w:ascii="Arial" w:hAnsi="Arial" w:cs="Arial"/>
          <w:lang w:val="en-US"/>
        </w:rPr>
        <w:lastRenderedPageBreak/>
        <w:t xml:space="preserve">within a reasonable time and there was irreparable trial prejudice as a result, or </w:t>
      </w:r>
      <w:r w:rsidR="0065111D" w:rsidRPr="00240A69">
        <w:rPr>
          <w:rFonts w:ascii="Arial" w:hAnsi="Arial" w:cs="Arial"/>
          <w:lang w:val="en-US"/>
        </w:rPr>
        <w:t xml:space="preserve">there exist </w:t>
      </w:r>
      <w:r w:rsidR="00EA5BB7" w:rsidRPr="00240A69">
        <w:rPr>
          <w:rFonts w:ascii="Arial" w:hAnsi="Arial" w:cs="Arial"/>
          <w:lang w:val="en-US"/>
        </w:rPr>
        <w:t>other exceptional circumstances justifying such a remedy.</w:t>
      </w:r>
      <w:r w:rsidR="005863CA" w:rsidRPr="00CE7BD1">
        <w:rPr>
          <w:rStyle w:val="FootnoteReference"/>
          <w:rFonts w:ascii="Arial" w:hAnsi="Arial"/>
        </w:rPr>
        <w:footnoteReference w:id="4"/>
      </w:r>
    </w:p>
    <w:p w14:paraId="520468A6" w14:textId="77777777" w:rsidR="005863CA" w:rsidRPr="00A24944" w:rsidRDefault="005863CA" w:rsidP="0096775B">
      <w:pPr>
        <w:spacing w:line="480" w:lineRule="auto"/>
        <w:jc w:val="both"/>
        <w:rPr>
          <w:rFonts w:ascii="Arial" w:hAnsi="Arial" w:cs="Arial"/>
          <w:lang w:val="en-US"/>
        </w:rPr>
      </w:pPr>
    </w:p>
    <w:p w14:paraId="133D33EA" w14:textId="534599BB" w:rsidR="004507D4" w:rsidRPr="00240A69" w:rsidRDefault="00292D11"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As to the type of order a court may make where </w:t>
      </w:r>
      <w:r w:rsidR="006017A4" w:rsidRPr="00240A69">
        <w:rPr>
          <w:rFonts w:ascii="Arial" w:hAnsi="Arial" w:cs="Arial"/>
          <w:lang w:val="en-US"/>
        </w:rPr>
        <w:t>A</w:t>
      </w:r>
      <w:r w:rsidRPr="00240A69">
        <w:rPr>
          <w:rFonts w:ascii="Arial" w:hAnsi="Arial" w:cs="Arial"/>
          <w:lang w:val="en-US"/>
        </w:rPr>
        <w:t>rt 12 (1)(b) finds application, O’Linn AJA held (Strydom CJ and Chomba AJA concurring)</w:t>
      </w:r>
      <w:r w:rsidR="00EA5BB7" w:rsidRPr="00240A69">
        <w:rPr>
          <w:rFonts w:ascii="Arial" w:hAnsi="Arial" w:cs="Arial"/>
          <w:lang w:val="en-US"/>
        </w:rPr>
        <w:t xml:space="preserve"> that the following forms of release are competent depending on </w:t>
      </w:r>
      <w:r w:rsidR="00031918" w:rsidRPr="00240A69">
        <w:rPr>
          <w:rFonts w:ascii="Arial" w:hAnsi="Arial" w:cs="Arial"/>
          <w:lang w:val="en-US"/>
        </w:rPr>
        <w:t xml:space="preserve">(a) </w:t>
      </w:r>
      <w:r w:rsidR="00EA5BB7" w:rsidRPr="00240A69">
        <w:rPr>
          <w:rFonts w:ascii="Arial" w:hAnsi="Arial" w:cs="Arial"/>
          <w:lang w:val="en-US"/>
        </w:rPr>
        <w:t xml:space="preserve">the </w:t>
      </w:r>
      <w:r w:rsidR="004507D4" w:rsidRPr="00240A69">
        <w:rPr>
          <w:rFonts w:ascii="Arial" w:hAnsi="Arial" w:cs="Arial"/>
          <w:lang w:val="en-US"/>
        </w:rPr>
        <w:t xml:space="preserve">degree of prejudice caused by the failure of the trial to take place within a reasonable time and </w:t>
      </w:r>
      <w:r w:rsidR="00031918" w:rsidRPr="00240A69">
        <w:rPr>
          <w:rFonts w:ascii="Arial" w:hAnsi="Arial" w:cs="Arial"/>
          <w:lang w:val="en-US"/>
        </w:rPr>
        <w:t xml:space="preserve">(b) </w:t>
      </w:r>
      <w:r w:rsidR="004507D4" w:rsidRPr="00240A69">
        <w:rPr>
          <w:rFonts w:ascii="Arial" w:hAnsi="Arial" w:cs="Arial"/>
          <w:lang w:val="en-US"/>
        </w:rPr>
        <w:t>the jurisdiction of the court seized with the matter</w:t>
      </w:r>
      <w:r w:rsidRPr="00240A69">
        <w:rPr>
          <w:rFonts w:ascii="Arial" w:hAnsi="Arial" w:cs="Arial"/>
          <w:lang w:val="en-US"/>
        </w:rPr>
        <w:t xml:space="preserve">: </w:t>
      </w:r>
    </w:p>
    <w:p w14:paraId="3B295F93" w14:textId="77777777" w:rsidR="00D20FD0" w:rsidRDefault="00D20FD0" w:rsidP="009A75EE">
      <w:pPr>
        <w:spacing w:line="360" w:lineRule="auto"/>
        <w:ind w:left="720"/>
        <w:jc w:val="both"/>
        <w:rPr>
          <w:rFonts w:ascii="Arial" w:hAnsi="Arial" w:cs="Arial"/>
          <w:sz w:val="22"/>
          <w:szCs w:val="22"/>
          <w:lang w:val="en-US"/>
        </w:rPr>
      </w:pPr>
    </w:p>
    <w:p w14:paraId="7C778E87" w14:textId="686BBCE8" w:rsidR="00292D11" w:rsidRDefault="004507D4" w:rsidP="009A75EE">
      <w:pPr>
        <w:spacing w:line="360" w:lineRule="auto"/>
        <w:ind w:left="720"/>
        <w:jc w:val="both"/>
        <w:rPr>
          <w:rFonts w:ascii="Arial" w:hAnsi="Arial" w:cs="Arial"/>
          <w:sz w:val="22"/>
          <w:szCs w:val="22"/>
          <w:lang w:val="en-US"/>
        </w:rPr>
      </w:pPr>
      <w:r w:rsidRPr="004507D4">
        <w:rPr>
          <w:rFonts w:ascii="Arial" w:hAnsi="Arial" w:cs="Arial"/>
          <w:sz w:val="22"/>
          <w:szCs w:val="22"/>
          <w:lang w:val="en-US"/>
        </w:rPr>
        <w:t>‘</w:t>
      </w:r>
      <w:r w:rsidR="0009734E" w:rsidRPr="004507D4">
        <w:rPr>
          <w:rFonts w:ascii="Arial" w:hAnsi="Arial" w:cs="Arial"/>
          <w:sz w:val="22"/>
          <w:szCs w:val="22"/>
          <w:lang w:val="en-US"/>
        </w:rPr>
        <w:t>(i) A release from the trial prior to a plea on the merits, which did not have the effect of a permanent stay of prosecution and was broadly tantamount to a withdrawal of the charges by the St</w:t>
      </w:r>
      <w:r w:rsidR="00684EF1">
        <w:rPr>
          <w:rFonts w:ascii="Arial" w:hAnsi="Arial" w:cs="Arial"/>
          <w:sz w:val="22"/>
          <w:szCs w:val="22"/>
          <w:lang w:val="en-US"/>
        </w:rPr>
        <w:t xml:space="preserve">ate before the accused had </w:t>
      </w:r>
      <w:r w:rsidR="00684EF1" w:rsidRPr="00721AFB">
        <w:rPr>
          <w:rFonts w:ascii="Arial" w:hAnsi="Arial" w:cs="Arial"/>
          <w:sz w:val="22"/>
          <w:szCs w:val="22"/>
          <w:lang w:val="en-US"/>
        </w:rPr>
        <w:t>plead</w:t>
      </w:r>
      <w:r w:rsidR="0009734E" w:rsidRPr="00721AFB">
        <w:rPr>
          <w:rFonts w:ascii="Arial" w:hAnsi="Arial" w:cs="Arial"/>
          <w:sz w:val="22"/>
          <w:szCs w:val="22"/>
          <w:lang w:val="en-US"/>
        </w:rPr>
        <w:t>ed.</w:t>
      </w:r>
      <w:r w:rsidR="0009734E" w:rsidRPr="004507D4">
        <w:rPr>
          <w:rFonts w:ascii="Arial" w:hAnsi="Arial" w:cs="Arial"/>
          <w:sz w:val="22"/>
          <w:szCs w:val="22"/>
          <w:lang w:val="en-US"/>
        </w:rPr>
        <w:t xml:space="preserve"> This form of release would encompass: (a) unconditional release from detention if the accused was still in detention when the order was made for his or her release; (b) release from the conditions of bail if the accused had already been released on bail prior to making the order; (c) release from any obligation to stand trial on a specified charge on a specified date and time if the accused had previously been summoned or warned to stand trial on a specified, charge, date and time. (ii) An acquittal after plea on the merits. (iii) A permanent stay of prosecution, either before or subsequent to a plea on the merits.</w:t>
      </w:r>
      <w:r w:rsidRPr="004507D4">
        <w:rPr>
          <w:rFonts w:ascii="Arial" w:hAnsi="Arial" w:cs="Arial"/>
          <w:sz w:val="22"/>
          <w:szCs w:val="22"/>
          <w:lang w:val="en-US"/>
        </w:rPr>
        <w:t>’</w:t>
      </w:r>
      <w:r w:rsidR="00721AFB">
        <w:rPr>
          <w:rStyle w:val="FootnoteReference"/>
          <w:rFonts w:ascii="Arial" w:hAnsi="Arial"/>
          <w:sz w:val="22"/>
          <w:szCs w:val="22"/>
          <w:lang w:val="en-US"/>
        </w:rPr>
        <w:footnoteReference w:id="5"/>
      </w:r>
    </w:p>
    <w:p w14:paraId="07B9D13E" w14:textId="77777777" w:rsidR="009A75EE" w:rsidRPr="004507D4" w:rsidRDefault="009A75EE" w:rsidP="009A75EE">
      <w:pPr>
        <w:spacing w:line="480" w:lineRule="auto"/>
        <w:ind w:left="1440"/>
        <w:jc w:val="both"/>
        <w:rPr>
          <w:rFonts w:ascii="Arial" w:hAnsi="Arial" w:cs="Arial"/>
          <w:sz w:val="22"/>
          <w:szCs w:val="22"/>
          <w:lang w:val="en-US"/>
        </w:rPr>
      </w:pPr>
    </w:p>
    <w:p w14:paraId="4E6EDAAD" w14:textId="094EDFC3" w:rsidR="00445168" w:rsidRPr="00240A69" w:rsidRDefault="004507D4"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The </w:t>
      </w:r>
      <w:r w:rsidR="00D20FD0" w:rsidRPr="00240A69">
        <w:rPr>
          <w:rFonts w:ascii="Arial" w:hAnsi="Arial" w:cs="Arial"/>
        </w:rPr>
        <w:t>c</w:t>
      </w:r>
      <w:r w:rsidR="009409F9" w:rsidRPr="00240A69">
        <w:rPr>
          <w:rFonts w:ascii="Arial" w:hAnsi="Arial" w:cs="Arial"/>
        </w:rPr>
        <w:t xml:space="preserve">ourt in the </w:t>
      </w:r>
      <w:r w:rsidRPr="00240A69">
        <w:rPr>
          <w:rFonts w:ascii="Arial" w:hAnsi="Arial" w:cs="Arial"/>
          <w:i/>
        </w:rPr>
        <w:t>Myburgh</w:t>
      </w:r>
      <w:r w:rsidR="009409F9" w:rsidRPr="00240A69">
        <w:rPr>
          <w:rFonts w:ascii="Arial" w:hAnsi="Arial" w:cs="Arial"/>
          <w:i/>
        </w:rPr>
        <w:t xml:space="preserve"> </w:t>
      </w:r>
      <w:r w:rsidR="009409F9" w:rsidRPr="00240A69">
        <w:rPr>
          <w:rFonts w:ascii="Arial" w:hAnsi="Arial" w:cs="Arial"/>
        </w:rPr>
        <w:t>matter</w:t>
      </w:r>
      <w:r w:rsidRPr="00240A69">
        <w:rPr>
          <w:rFonts w:ascii="Arial" w:hAnsi="Arial" w:cs="Arial"/>
        </w:rPr>
        <w:t xml:space="preserve"> also held that w</w:t>
      </w:r>
      <w:r w:rsidR="0096775B" w:rsidRPr="00240A69">
        <w:rPr>
          <w:rFonts w:ascii="Arial" w:hAnsi="Arial" w:cs="Arial"/>
        </w:rPr>
        <w:t xml:space="preserve">hen the issue of whether or not </w:t>
      </w:r>
      <w:r w:rsidR="006017A4" w:rsidRPr="00240A69">
        <w:rPr>
          <w:rFonts w:ascii="Arial" w:hAnsi="Arial" w:cs="Arial"/>
        </w:rPr>
        <w:t>A</w:t>
      </w:r>
      <w:r w:rsidR="0096775B" w:rsidRPr="00240A69">
        <w:rPr>
          <w:rFonts w:ascii="Arial" w:hAnsi="Arial" w:cs="Arial"/>
        </w:rPr>
        <w:t>rt</w:t>
      </w:r>
      <w:r w:rsidR="006017A4" w:rsidRPr="00240A69">
        <w:rPr>
          <w:rFonts w:ascii="Arial" w:hAnsi="Arial" w:cs="Arial"/>
        </w:rPr>
        <w:t xml:space="preserve"> </w:t>
      </w:r>
      <w:r w:rsidR="0096775B" w:rsidRPr="00240A69">
        <w:rPr>
          <w:rFonts w:ascii="Arial" w:hAnsi="Arial" w:cs="Arial"/>
        </w:rPr>
        <w:t>12(1)</w:t>
      </w:r>
      <w:r w:rsidR="0096775B" w:rsidRPr="00240A69">
        <w:rPr>
          <w:rFonts w:ascii="Arial" w:hAnsi="Arial" w:cs="Arial"/>
          <w:i/>
        </w:rPr>
        <w:t>(b)</w:t>
      </w:r>
      <w:r w:rsidR="0096775B" w:rsidRPr="00240A69">
        <w:rPr>
          <w:rFonts w:ascii="Arial" w:hAnsi="Arial" w:cs="Arial"/>
        </w:rPr>
        <w:t xml:space="preserve"> has been complied</w:t>
      </w:r>
      <w:r w:rsidR="00684EF1" w:rsidRPr="00240A69">
        <w:rPr>
          <w:rFonts w:ascii="Arial" w:hAnsi="Arial" w:cs="Arial"/>
        </w:rPr>
        <w:t xml:space="preserve"> with</w:t>
      </w:r>
      <w:r w:rsidR="0096775B" w:rsidRPr="00240A69">
        <w:rPr>
          <w:rFonts w:ascii="Arial" w:hAnsi="Arial" w:cs="Arial"/>
        </w:rPr>
        <w:t xml:space="preserve"> </w:t>
      </w:r>
      <w:r w:rsidR="005863CA" w:rsidRPr="00240A69">
        <w:rPr>
          <w:rFonts w:ascii="Arial" w:hAnsi="Arial" w:cs="Arial"/>
        </w:rPr>
        <w:t>is to</w:t>
      </w:r>
      <w:r w:rsidR="0096775B" w:rsidRPr="00240A69">
        <w:rPr>
          <w:rFonts w:ascii="Arial" w:hAnsi="Arial" w:cs="Arial"/>
        </w:rPr>
        <w:t xml:space="preserve"> be decided, time begins to run from the time a </w:t>
      </w:r>
      <w:r w:rsidR="005863CA" w:rsidRPr="00240A69">
        <w:rPr>
          <w:rFonts w:ascii="Arial" w:hAnsi="Arial" w:cs="Arial"/>
        </w:rPr>
        <w:t>suspect</w:t>
      </w:r>
      <w:r w:rsidR="0096775B" w:rsidRPr="00240A69">
        <w:rPr>
          <w:rFonts w:ascii="Arial" w:hAnsi="Arial" w:cs="Arial"/>
        </w:rPr>
        <w:t xml:space="preserve"> has been arrested on a particular charge or when not arrested, from the time that he or she is </w:t>
      </w:r>
      <w:r w:rsidR="005863CA" w:rsidRPr="00240A69">
        <w:rPr>
          <w:rFonts w:ascii="Arial" w:hAnsi="Arial" w:cs="Arial"/>
        </w:rPr>
        <w:t>‘</w:t>
      </w:r>
      <w:r w:rsidR="0096775B" w:rsidRPr="00240A69">
        <w:rPr>
          <w:rFonts w:ascii="Arial" w:hAnsi="Arial" w:cs="Arial"/>
        </w:rPr>
        <w:t xml:space="preserve">officially informed by the police or prosecutor of the charge against him and some official action is taken against him in regard to the </w:t>
      </w:r>
      <w:r w:rsidR="0096775B" w:rsidRPr="00240A69">
        <w:rPr>
          <w:rFonts w:ascii="Arial" w:hAnsi="Arial" w:cs="Arial"/>
        </w:rPr>
        <w:lastRenderedPageBreak/>
        <w:t>charge, such as a summons served upon him to appear in court on a specified charge or given a warning to appear in court on a specified date on a specified charge</w:t>
      </w:r>
      <w:r w:rsidR="00240A69">
        <w:rPr>
          <w:rFonts w:ascii="Arial" w:hAnsi="Arial" w:cs="Arial"/>
        </w:rPr>
        <w:t>’</w:t>
      </w:r>
      <w:r w:rsidR="0096775B" w:rsidRPr="00240A69">
        <w:rPr>
          <w:rFonts w:ascii="Arial" w:hAnsi="Arial" w:cs="Arial"/>
        </w:rPr>
        <w:t>.</w:t>
      </w:r>
      <w:r w:rsidR="0096775B" w:rsidRPr="004507D4">
        <w:rPr>
          <w:rStyle w:val="FootnoteReference"/>
          <w:rFonts w:ascii="Arial" w:hAnsi="Arial"/>
        </w:rPr>
        <w:footnoteReference w:id="6"/>
      </w:r>
    </w:p>
    <w:p w14:paraId="0015E4DA" w14:textId="77777777" w:rsidR="005863CA" w:rsidRDefault="005863CA" w:rsidP="0094207D">
      <w:pPr>
        <w:spacing w:line="360" w:lineRule="auto"/>
        <w:jc w:val="both"/>
        <w:rPr>
          <w:rFonts w:ascii="Arial" w:hAnsi="Arial" w:cs="Arial"/>
          <w:lang w:val="en-US"/>
        </w:rPr>
      </w:pPr>
    </w:p>
    <w:p w14:paraId="2E1AD524" w14:textId="1B286795" w:rsidR="00152352" w:rsidRPr="00240A69" w:rsidRDefault="00152352"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For reasons that </w:t>
      </w:r>
      <w:r w:rsidR="0038459C" w:rsidRPr="00240A69">
        <w:rPr>
          <w:rFonts w:ascii="Arial" w:hAnsi="Arial" w:cs="Arial"/>
          <w:lang w:val="en-US"/>
        </w:rPr>
        <w:t>need not occupy us,</w:t>
      </w:r>
      <w:r w:rsidRPr="00240A69">
        <w:rPr>
          <w:rFonts w:ascii="Arial" w:hAnsi="Arial" w:cs="Arial"/>
          <w:lang w:val="en-US"/>
        </w:rPr>
        <w:t xml:space="preserve"> the High Court found that there was no unreasonable delay </w:t>
      </w:r>
      <w:r w:rsidR="00CE7BD1" w:rsidRPr="00240A69">
        <w:rPr>
          <w:rFonts w:ascii="Arial" w:hAnsi="Arial" w:cs="Arial"/>
          <w:lang w:val="en-US"/>
        </w:rPr>
        <w:t xml:space="preserve">up </w:t>
      </w:r>
      <w:r w:rsidR="00F96C0A" w:rsidRPr="00240A69">
        <w:rPr>
          <w:rFonts w:ascii="Arial" w:hAnsi="Arial" w:cs="Arial"/>
          <w:lang w:val="en-US"/>
        </w:rPr>
        <w:t>until</w:t>
      </w:r>
      <w:r w:rsidR="00CE7BD1" w:rsidRPr="00240A69">
        <w:rPr>
          <w:rFonts w:ascii="Arial" w:hAnsi="Arial" w:cs="Arial"/>
          <w:lang w:val="en-US"/>
        </w:rPr>
        <w:t xml:space="preserve"> the point where the charges </w:t>
      </w:r>
      <w:r w:rsidR="004507D4" w:rsidRPr="00240A69">
        <w:rPr>
          <w:rFonts w:ascii="Arial" w:hAnsi="Arial" w:cs="Arial"/>
          <w:lang w:val="en-US"/>
        </w:rPr>
        <w:t xml:space="preserve">against the first respondent </w:t>
      </w:r>
      <w:r w:rsidR="00CE7BD1" w:rsidRPr="00240A69">
        <w:rPr>
          <w:rFonts w:ascii="Arial" w:hAnsi="Arial" w:cs="Arial"/>
          <w:lang w:val="en-US"/>
        </w:rPr>
        <w:t>were withdrawn</w:t>
      </w:r>
      <w:r w:rsidRPr="00240A69">
        <w:rPr>
          <w:rFonts w:ascii="Arial" w:hAnsi="Arial" w:cs="Arial"/>
          <w:lang w:val="en-US"/>
        </w:rPr>
        <w:t xml:space="preserve">. That finding is not challenged </w:t>
      </w:r>
      <w:r w:rsidR="00684EF1" w:rsidRPr="00240A69">
        <w:rPr>
          <w:rFonts w:ascii="Arial" w:hAnsi="Arial" w:cs="Arial"/>
          <w:lang w:val="en-US"/>
        </w:rPr>
        <w:t>by way of cross-</w:t>
      </w:r>
      <w:r w:rsidR="0010463C" w:rsidRPr="00240A69">
        <w:rPr>
          <w:rFonts w:ascii="Arial" w:hAnsi="Arial" w:cs="Arial"/>
          <w:lang w:val="en-US"/>
        </w:rPr>
        <w:t>appeal.</w:t>
      </w:r>
      <w:r w:rsidRPr="00240A69">
        <w:rPr>
          <w:rFonts w:ascii="Arial" w:hAnsi="Arial" w:cs="Arial"/>
          <w:lang w:val="en-US"/>
        </w:rPr>
        <w:t xml:space="preserve"> The High Court found</w:t>
      </w:r>
      <w:r w:rsidR="00031918" w:rsidRPr="00240A69">
        <w:rPr>
          <w:rFonts w:ascii="Arial" w:hAnsi="Arial" w:cs="Arial"/>
          <w:lang w:val="en-US"/>
        </w:rPr>
        <w:t>,</w:t>
      </w:r>
      <w:r w:rsidRPr="00240A69">
        <w:rPr>
          <w:rFonts w:ascii="Arial" w:hAnsi="Arial" w:cs="Arial"/>
          <w:lang w:val="en-US"/>
        </w:rPr>
        <w:t xml:space="preserve"> </w:t>
      </w:r>
      <w:r w:rsidR="00CE7BD1" w:rsidRPr="00240A69">
        <w:rPr>
          <w:rFonts w:ascii="Arial" w:hAnsi="Arial" w:cs="Arial"/>
          <w:lang w:val="en-US"/>
        </w:rPr>
        <w:t>however</w:t>
      </w:r>
      <w:r w:rsidR="00031918" w:rsidRPr="00240A69">
        <w:rPr>
          <w:rFonts w:ascii="Arial" w:hAnsi="Arial" w:cs="Arial"/>
          <w:lang w:val="en-US"/>
        </w:rPr>
        <w:t>,</w:t>
      </w:r>
      <w:r w:rsidR="00CE7BD1" w:rsidRPr="00240A69">
        <w:rPr>
          <w:rFonts w:ascii="Arial" w:hAnsi="Arial" w:cs="Arial"/>
          <w:lang w:val="en-US"/>
        </w:rPr>
        <w:t xml:space="preserve"> </w:t>
      </w:r>
      <w:r w:rsidRPr="00240A69">
        <w:rPr>
          <w:rFonts w:ascii="Arial" w:hAnsi="Arial" w:cs="Arial"/>
          <w:lang w:val="en-US"/>
        </w:rPr>
        <w:t xml:space="preserve">that </w:t>
      </w:r>
      <w:r w:rsidR="00CE7BD1" w:rsidRPr="00240A69">
        <w:rPr>
          <w:rFonts w:ascii="Arial" w:hAnsi="Arial" w:cs="Arial"/>
          <w:lang w:val="en-US"/>
        </w:rPr>
        <w:t xml:space="preserve">there was unreasonable delay to reinstate the prosecution after the withdrawal and that, in addition, </w:t>
      </w:r>
      <w:r w:rsidRPr="00240A69">
        <w:rPr>
          <w:rFonts w:ascii="Arial" w:hAnsi="Arial" w:cs="Arial"/>
          <w:lang w:val="en-US"/>
        </w:rPr>
        <w:t xml:space="preserve">there were exceptional circumstances </w:t>
      </w:r>
      <w:r w:rsidR="00721AFB" w:rsidRPr="00240A69">
        <w:rPr>
          <w:rFonts w:ascii="Arial" w:hAnsi="Arial" w:cs="Arial"/>
          <w:lang w:val="en-US"/>
        </w:rPr>
        <w:t xml:space="preserve">justifying an order of permanent stay, </w:t>
      </w:r>
      <w:r w:rsidRPr="00240A69">
        <w:rPr>
          <w:rFonts w:ascii="Arial" w:hAnsi="Arial" w:cs="Arial"/>
          <w:lang w:val="en-US"/>
        </w:rPr>
        <w:t xml:space="preserve">in the PG’s failure to reinstitute a criminal prosecution against the first respondent after the </w:t>
      </w:r>
      <w:r w:rsidR="00031918" w:rsidRPr="00240A69">
        <w:rPr>
          <w:rFonts w:ascii="Arial" w:hAnsi="Arial" w:cs="Arial"/>
          <w:lang w:val="en-US"/>
        </w:rPr>
        <w:t>‘</w:t>
      </w:r>
      <w:r w:rsidRPr="00240A69">
        <w:rPr>
          <w:rFonts w:ascii="Arial" w:hAnsi="Arial" w:cs="Arial"/>
          <w:lang w:val="en-US"/>
        </w:rPr>
        <w:t>provisional</w:t>
      </w:r>
      <w:r w:rsidR="00031918" w:rsidRPr="00240A69">
        <w:rPr>
          <w:rFonts w:ascii="Arial" w:hAnsi="Arial" w:cs="Arial"/>
          <w:lang w:val="en-US"/>
        </w:rPr>
        <w:t>’</w:t>
      </w:r>
      <w:r w:rsidRPr="00240A69">
        <w:rPr>
          <w:rFonts w:ascii="Arial" w:hAnsi="Arial" w:cs="Arial"/>
          <w:lang w:val="en-US"/>
        </w:rPr>
        <w:t xml:space="preserve"> withdrawal of charges against </w:t>
      </w:r>
      <w:r w:rsidR="00721AFB" w:rsidRPr="00240A69">
        <w:rPr>
          <w:rFonts w:ascii="Arial" w:hAnsi="Arial" w:cs="Arial"/>
          <w:lang w:val="en-US"/>
        </w:rPr>
        <w:t xml:space="preserve">him. </w:t>
      </w:r>
    </w:p>
    <w:p w14:paraId="31EAEE58" w14:textId="77777777" w:rsidR="00240A69" w:rsidRDefault="00240A69" w:rsidP="00240A69">
      <w:pPr>
        <w:pStyle w:val="ListParagraph"/>
        <w:spacing w:line="480" w:lineRule="auto"/>
        <w:ind w:left="0"/>
        <w:jc w:val="both"/>
        <w:rPr>
          <w:rFonts w:ascii="Arial" w:hAnsi="Arial" w:cs="Arial"/>
          <w:u w:val="single"/>
          <w:lang w:val="en-US"/>
        </w:rPr>
      </w:pPr>
    </w:p>
    <w:p w14:paraId="5BEF0F11" w14:textId="71F7EB18" w:rsidR="00DF67A1" w:rsidRPr="00240A69" w:rsidRDefault="00DA0BBE" w:rsidP="00240A69">
      <w:pPr>
        <w:pStyle w:val="ListParagraph"/>
        <w:spacing w:line="480" w:lineRule="auto"/>
        <w:ind w:left="0"/>
        <w:jc w:val="both"/>
        <w:rPr>
          <w:rFonts w:ascii="Arial" w:hAnsi="Arial" w:cs="Arial"/>
          <w:u w:val="single"/>
          <w:lang w:val="en-US"/>
        </w:rPr>
      </w:pPr>
      <w:r w:rsidRPr="00240A69">
        <w:rPr>
          <w:rFonts w:ascii="Arial" w:hAnsi="Arial" w:cs="Arial"/>
          <w:u w:val="single"/>
          <w:lang w:val="en-US"/>
        </w:rPr>
        <w:t>Common cause facts</w:t>
      </w:r>
    </w:p>
    <w:p w14:paraId="444588E2" w14:textId="2F030FF6" w:rsidR="00F602E2" w:rsidRPr="00240A69" w:rsidRDefault="00F602E2"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first respondent is a warrant officer in the Namibian Police Force. He and other police officers were </w:t>
      </w:r>
      <w:r w:rsidRPr="00240A69">
        <w:rPr>
          <w:rFonts w:ascii="Arial" w:hAnsi="Arial" w:cs="Arial"/>
        </w:rPr>
        <w:t xml:space="preserve">arrested on 26 June 2009 </w:t>
      </w:r>
      <w:r w:rsidRPr="00240A69">
        <w:rPr>
          <w:rFonts w:ascii="Arial" w:hAnsi="Arial" w:cs="Arial"/>
          <w:lang w:val="en-US"/>
        </w:rPr>
        <w:t>and charged on the allegation of corruption and extortion. It was alleged that t</w:t>
      </w:r>
      <w:r w:rsidR="004507D4" w:rsidRPr="00240A69">
        <w:rPr>
          <w:rFonts w:ascii="Arial" w:hAnsi="Arial" w:cs="Arial"/>
          <w:lang w:val="en-US"/>
        </w:rPr>
        <w:t>hey unlawfully took money from</w:t>
      </w:r>
      <w:r w:rsidRPr="00240A69">
        <w:rPr>
          <w:rFonts w:ascii="Arial" w:hAnsi="Arial" w:cs="Arial"/>
          <w:lang w:val="en-US"/>
        </w:rPr>
        <w:t xml:space="preserve"> foreign national</w:t>
      </w:r>
      <w:r w:rsidR="004507D4" w:rsidRPr="00240A69">
        <w:rPr>
          <w:rFonts w:ascii="Arial" w:hAnsi="Arial" w:cs="Arial"/>
          <w:lang w:val="en-US"/>
        </w:rPr>
        <w:t>s</w:t>
      </w:r>
      <w:r w:rsidRPr="00240A69">
        <w:rPr>
          <w:rFonts w:ascii="Arial" w:hAnsi="Arial" w:cs="Arial"/>
          <w:lang w:val="en-US"/>
        </w:rPr>
        <w:t xml:space="preserve"> whom they had arrested on suspicion of </w:t>
      </w:r>
      <w:r w:rsidR="00790691" w:rsidRPr="00240A69">
        <w:rPr>
          <w:rFonts w:ascii="Arial" w:hAnsi="Arial" w:cs="Arial"/>
          <w:lang w:val="en-US"/>
        </w:rPr>
        <w:t>‘</w:t>
      </w:r>
      <w:r w:rsidRPr="00240A69">
        <w:rPr>
          <w:rFonts w:ascii="Arial" w:hAnsi="Arial" w:cs="Arial"/>
          <w:lang w:val="en-US"/>
        </w:rPr>
        <w:t>illegal</w:t>
      </w:r>
      <w:r w:rsidR="00790691" w:rsidRPr="00240A69">
        <w:rPr>
          <w:rFonts w:ascii="Arial" w:hAnsi="Arial" w:cs="Arial"/>
          <w:lang w:val="en-US"/>
        </w:rPr>
        <w:t xml:space="preserve"> dealing</w:t>
      </w:r>
      <w:r w:rsidRPr="00240A69">
        <w:rPr>
          <w:rFonts w:ascii="Arial" w:hAnsi="Arial" w:cs="Arial"/>
          <w:lang w:val="en-US"/>
        </w:rPr>
        <w:t xml:space="preserve"> </w:t>
      </w:r>
      <w:r w:rsidR="00790691" w:rsidRPr="00240A69">
        <w:rPr>
          <w:rFonts w:ascii="Arial" w:hAnsi="Arial" w:cs="Arial"/>
          <w:lang w:val="en-US"/>
        </w:rPr>
        <w:t xml:space="preserve">in </w:t>
      </w:r>
      <w:r w:rsidR="00227AA4">
        <w:rPr>
          <w:rFonts w:ascii="Arial" w:hAnsi="Arial" w:cs="Arial"/>
          <w:lang w:val="en-US"/>
        </w:rPr>
        <w:t>immoveable property</w:t>
      </w:r>
      <w:r w:rsidR="00790691" w:rsidRPr="00240A69">
        <w:rPr>
          <w:rFonts w:ascii="Arial" w:hAnsi="Arial" w:cs="Arial"/>
          <w:lang w:val="en-US"/>
        </w:rPr>
        <w:t>’</w:t>
      </w:r>
      <w:r w:rsidR="00227AA4">
        <w:rPr>
          <w:rFonts w:ascii="Arial" w:hAnsi="Arial" w:cs="Arial"/>
          <w:lang w:val="en-US"/>
        </w:rPr>
        <w:t>.</w:t>
      </w:r>
      <w:r w:rsidRPr="00240A69">
        <w:rPr>
          <w:rFonts w:ascii="Arial" w:hAnsi="Arial" w:cs="Arial"/>
          <w:lang w:val="en-US"/>
        </w:rPr>
        <w:t xml:space="preserve"> </w:t>
      </w:r>
      <w:r w:rsidR="0010463C" w:rsidRPr="00240A69">
        <w:rPr>
          <w:rFonts w:ascii="Arial" w:hAnsi="Arial" w:cs="Arial"/>
          <w:lang w:val="en-US"/>
        </w:rPr>
        <w:t>The</w:t>
      </w:r>
      <w:r w:rsidR="0010463C" w:rsidRPr="00240A69">
        <w:rPr>
          <w:rFonts w:ascii="Arial" w:hAnsi="Arial" w:cs="Arial"/>
        </w:rPr>
        <w:t xml:space="preserve"> first court appearance</w:t>
      </w:r>
      <w:r w:rsidRPr="00240A69">
        <w:rPr>
          <w:rFonts w:ascii="Arial" w:hAnsi="Arial" w:cs="Arial"/>
        </w:rPr>
        <w:t xml:space="preserve"> before </w:t>
      </w:r>
      <w:r w:rsidR="0010463C" w:rsidRPr="00240A69">
        <w:rPr>
          <w:rFonts w:ascii="Arial" w:hAnsi="Arial" w:cs="Arial"/>
        </w:rPr>
        <w:t>the Katutura Magistrate’s Court was on 9 December 2009</w:t>
      </w:r>
      <w:r w:rsidRPr="00240A69">
        <w:rPr>
          <w:rFonts w:ascii="Arial" w:hAnsi="Arial" w:cs="Arial"/>
        </w:rPr>
        <w:t xml:space="preserve">, where the charges were read to </w:t>
      </w:r>
      <w:r w:rsidR="0010463C" w:rsidRPr="00240A69">
        <w:rPr>
          <w:rFonts w:ascii="Arial" w:hAnsi="Arial" w:cs="Arial"/>
        </w:rPr>
        <w:t>the accused persons</w:t>
      </w:r>
      <w:r w:rsidR="00784571" w:rsidRPr="00240A69">
        <w:rPr>
          <w:rFonts w:ascii="Arial" w:hAnsi="Arial" w:cs="Arial"/>
        </w:rPr>
        <w:t>.</w:t>
      </w:r>
      <w:r w:rsidRPr="00240A69">
        <w:rPr>
          <w:rFonts w:ascii="Arial" w:hAnsi="Arial" w:cs="Arial"/>
        </w:rPr>
        <w:t xml:space="preserve"> </w:t>
      </w:r>
      <w:r w:rsidR="0010463C" w:rsidRPr="00240A69">
        <w:rPr>
          <w:rFonts w:ascii="Arial" w:hAnsi="Arial" w:cs="Arial"/>
        </w:rPr>
        <w:t>The first respondent</w:t>
      </w:r>
      <w:r w:rsidRPr="00240A69">
        <w:rPr>
          <w:rFonts w:ascii="Arial" w:hAnsi="Arial" w:cs="Arial"/>
        </w:rPr>
        <w:t xml:space="preserve"> was </w:t>
      </w:r>
      <w:r w:rsidR="004507D4" w:rsidRPr="00240A69">
        <w:rPr>
          <w:rFonts w:ascii="Arial" w:hAnsi="Arial" w:cs="Arial"/>
        </w:rPr>
        <w:t xml:space="preserve">then </w:t>
      </w:r>
      <w:r w:rsidRPr="00240A69">
        <w:rPr>
          <w:rFonts w:ascii="Arial" w:hAnsi="Arial" w:cs="Arial"/>
        </w:rPr>
        <w:t>released on bail after one week and has been out on bail until August 2014</w:t>
      </w:r>
      <w:r w:rsidR="00784571" w:rsidRPr="00240A69">
        <w:rPr>
          <w:rFonts w:ascii="Arial" w:hAnsi="Arial" w:cs="Arial"/>
        </w:rPr>
        <w:t xml:space="preserve"> when the PG withdrew the charges</w:t>
      </w:r>
      <w:r w:rsidRPr="00240A69">
        <w:rPr>
          <w:rFonts w:ascii="Arial" w:hAnsi="Arial" w:cs="Arial"/>
        </w:rPr>
        <w:t>.</w:t>
      </w:r>
    </w:p>
    <w:p w14:paraId="3AA12F3A" w14:textId="77777777" w:rsidR="00F602E2" w:rsidRDefault="00F602E2" w:rsidP="00240A69">
      <w:pPr>
        <w:spacing w:line="480" w:lineRule="auto"/>
        <w:jc w:val="both"/>
        <w:rPr>
          <w:rFonts w:ascii="Arial" w:hAnsi="Arial" w:cs="Arial"/>
          <w:lang w:val="en-US"/>
        </w:rPr>
      </w:pPr>
    </w:p>
    <w:p w14:paraId="3CDED73F" w14:textId="2020618A" w:rsidR="003832CB" w:rsidRPr="00240A69" w:rsidRDefault="00C65449" w:rsidP="00240A69">
      <w:pPr>
        <w:pStyle w:val="ListParagraph"/>
        <w:numPr>
          <w:ilvl w:val="0"/>
          <w:numId w:val="6"/>
        </w:numPr>
        <w:spacing w:line="480" w:lineRule="auto"/>
        <w:ind w:left="0" w:firstLine="0"/>
        <w:jc w:val="both"/>
        <w:rPr>
          <w:rFonts w:ascii="Arial" w:hAnsi="Arial" w:cs="Arial"/>
        </w:rPr>
      </w:pPr>
      <w:r w:rsidRPr="00240A69">
        <w:rPr>
          <w:rFonts w:ascii="Arial" w:hAnsi="Arial" w:cs="Arial"/>
          <w:lang w:val="en-US"/>
        </w:rPr>
        <w:lastRenderedPageBreak/>
        <w:t xml:space="preserve">Between </w:t>
      </w:r>
      <w:r w:rsidR="002C5116" w:rsidRPr="00240A69">
        <w:rPr>
          <w:rFonts w:ascii="Arial" w:hAnsi="Arial" w:cs="Arial"/>
          <w:lang w:val="en-US"/>
        </w:rPr>
        <w:t xml:space="preserve">the first appearance </w:t>
      </w:r>
      <w:r w:rsidR="00784571" w:rsidRPr="00240A69">
        <w:rPr>
          <w:rFonts w:ascii="Arial" w:hAnsi="Arial" w:cs="Arial"/>
          <w:lang w:val="en-US"/>
        </w:rPr>
        <w:t xml:space="preserve">in 2009 </w:t>
      </w:r>
      <w:r w:rsidR="002C5116" w:rsidRPr="00240A69">
        <w:rPr>
          <w:rFonts w:ascii="Arial" w:hAnsi="Arial" w:cs="Arial"/>
          <w:lang w:val="en-US"/>
        </w:rPr>
        <w:t>and August 2014</w:t>
      </w:r>
      <w:r w:rsidR="00784571" w:rsidRPr="00240A69">
        <w:rPr>
          <w:rFonts w:ascii="Arial" w:hAnsi="Arial" w:cs="Arial"/>
          <w:lang w:val="en-US"/>
        </w:rPr>
        <w:t>,</w:t>
      </w:r>
      <w:r w:rsidR="002C5116" w:rsidRPr="00240A69">
        <w:rPr>
          <w:rFonts w:ascii="Arial" w:hAnsi="Arial" w:cs="Arial"/>
          <w:lang w:val="en-US"/>
        </w:rPr>
        <w:t xml:space="preserve"> the</w:t>
      </w:r>
      <w:r w:rsidR="00F602E2" w:rsidRPr="00240A69">
        <w:rPr>
          <w:rFonts w:ascii="Arial" w:hAnsi="Arial" w:cs="Arial"/>
          <w:lang w:val="en-US"/>
        </w:rPr>
        <w:t xml:space="preserve"> matter was remanded several times either at the request of the accused persons or t</w:t>
      </w:r>
      <w:r w:rsidR="004507D4" w:rsidRPr="00240A69">
        <w:rPr>
          <w:rFonts w:ascii="Arial" w:hAnsi="Arial" w:cs="Arial"/>
          <w:lang w:val="en-US"/>
        </w:rPr>
        <w:t>he S</w:t>
      </w:r>
      <w:r w:rsidR="00F602E2" w:rsidRPr="00240A69">
        <w:rPr>
          <w:rFonts w:ascii="Arial" w:hAnsi="Arial" w:cs="Arial"/>
          <w:lang w:val="en-US"/>
        </w:rPr>
        <w:t>tate</w:t>
      </w:r>
      <w:r w:rsidR="002C5116" w:rsidRPr="00240A69">
        <w:rPr>
          <w:rFonts w:ascii="Arial" w:hAnsi="Arial" w:cs="Arial"/>
          <w:lang w:val="en-US"/>
        </w:rPr>
        <w:t>, or by agreement</w:t>
      </w:r>
      <w:r w:rsidR="00F602E2" w:rsidRPr="00240A69">
        <w:rPr>
          <w:rFonts w:ascii="Arial" w:hAnsi="Arial" w:cs="Arial"/>
          <w:lang w:val="en-US"/>
        </w:rPr>
        <w:t xml:space="preserve">. </w:t>
      </w:r>
      <w:r w:rsidR="003832CB" w:rsidRPr="00240A69">
        <w:rPr>
          <w:rFonts w:ascii="Arial" w:hAnsi="Arial" w:cs="Arial"/>
        </w:rPr>
        <w:t xml:space="preserve">On 4 August 2014, the </w:t>
      </w:r>
      <w:r w:rsidR="004507D4" w:rsidRPr="00240A69">
        <w:rPr>
          <w:rFonts w:ascii="Arial" w:hAnsi="Arial" w:cs="Arial"/>
        </w:rPr>
        <w:t>Regional Court</w:t>
      </w:r>
      <w:r w:rsidR="00743DED" w:rsidRPr="00240A69">
        <w:rPr>
          <w:rFonts w:ascii="Arial" w:hAnsi="Arial" w:cs="Arial"/>
        </w:rPr>
        <w:t xml:space="preserve"> (second respondent) </w:t>
      </w:r>
      <w:r w:rsidR="003832CB" w:rsidRPr="00240A69">
        <w:rPr>
          <w:rFonts w:ascii="Arial" w:hAnsi="Arial" w:cs="Arial"/>
        </w:rPr>
        <w:t xml:space="preserve">refused a further remand whereupon the prosecutor </w:t>
      </w:r>
      <w:r w:rsidR="00743DED" w:rsidRPr="00240A69">
        <w:rPr>
          <w:rFonts w:ascii="Arial" w:hAnsi="Arial" w:cs="Arial"/>
        </w:rPr>
        <w:t xml:space="preserve">on the authority of the PG </w:t>
      </w:r>
      <w:r w:rsidR="003832CB" w:rsidRPr="00240A69">
        <w:rPr>
          <w:rFonts w:ascii="Arial" w:hAnsi="Arial" w:cs="Arial"/>
        </w:rPr>
        <w:t>withdrew the charges, apparently in terms of s 6</w:t>
      </w:r>
      <w:r w:rsidR="003832CB" w:rsidRPr="00240A69">
        <w:rPr>
          <w:rFonts w:ascii="Arial" w:hAnsi="Arial" w:cs="Arial"/>
          <w:i/>
        </w:rPr>
        <w:t>(a)</w:t>
      </w:r>
      <w:r w:rsidR="003832CB" w:rsidRPr="00240A69">
        <w:rPr>
          <w:rFonts w:ascii="Arial" w:hAnsi="Arial" w:cs="Arial"/>
        </w:rPr>
        <w:t xml:space="preserve"> of the</w:t>
      </w:r>
      <w:r w:rsidR="003832CB" w:rsidRPr="00240A69">
        <w:rPr>
          <w:rFonts w:ascii="Arial" w:hAnsi="Arial" w:cs="Arial"/>
          <w:lang w:val="en-US"/>
        </w:rPr>
        <w:t xml:space="preserve"> </w:t>
      </w:r>
      <w:r w:rsidR="003832CB" w:rsidRPr="00240A69">
        <w:rPr>
          <w:rFonts w:ascii="Arial" w:hAnsi="Arial" w:cs="Arial"/>
        </w:rPr>
        <w:t>CPA.</w:t>
      </w:r>
    </w:p>
    <w:p w14:paraId="2884F8BB" w14:textId="77777777" w:rsidR="00F602E2" w:rsidRDefault="00F602E2" w:rsidP="00240A69">
      <w:pPr>
        <w:spacing w:line="480" w:lineRule="auto"/>
        <w:jc w:val="both"/>
        <w:rPr>
          <w:rFonts w:ascii="Arial" w:hAnsi="Arial" w:cs="Arial"/>
          <w:lang w:val="en-US"/>
        </w:rPr>
      </w:pPr>
    </w:p>
    <w:p w14:paraId="4ACC0230" w14:textId="154AC0B4" w:rsidR="003832CB" w:rsidRPr="00240A69" w:rsidRDefault="0038033E"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Following</w:t>
      </w:r>
      <w:r w:rsidR="00F602E2" w:rsidRPr="00240A69">
        <w:rPr>
          <w:rFonts w:ascii="Arial" w:hAnsi="Arial" w:cs="Arial"/>
          <w:lang w:val="en-US"/>
        </w:rPr>
        <w:t xml:space="preserve"> withdrawal of the charges, the first respondent, who was then on suspension was reinstated as a police officer. He resumed work and at some stage he was denied promotion on the ground that he was still to face criminal prosecution. With the assistance of his lawyer</w:t>
      </w:r>
      <w:r w:rsidR="003832CB" w:rsidRPr="00240A69">
        <w:rPr>
          <w:rFonts w:ascii="Arial" w:hAnsi="Arial" w:cs="Arial"/>
          <w:lang w:val="en-US"/>
        </w:rPr>
        <w:t xml:space="preserve">, </w:t>
      </w:r>
      <w:r w:rsidR="007A4FFA" w:rsidRPr="00240A69">
        <w:rPr>
          <w:rFonts w:ascii="Arial" w:hAnsi="Arial" w:cs="Arial"/>
          <w:lang w:val="en-US"/>
        </w:rPr>
        <w:t>he</w:t>
      </w:r>
      <w:r w:rsidR="00F602E2" w:rsidRPr="00240A69">
        <w:rPr>
          <w:rFonts w:ascii="Arial" w:hAnsi="Arial" w:cs="Arial"/>
          <w:lang w:val="en-US"/>
        </w:rPr>
        <w:t xml:space="preserve"> wrote </w:t>
      </w:r>
      <w:r w:rsidR="007A4FFA" w:rsidRPr="00240A69">
        <w:rPr>
          <w:rFonts w:ascii="Arial" w:hAnsi="Arial" w:cs="Arial"/>
          <w:lang w:val="en-US"/>
        </w:rPr>
        <w:t xml:space="preserve">several </w:t>
      </w:r>
      <w:r w:rsidR="00F602E2" w:rsidRPr="00240A69">
        <w:rPr>
          <w:rFonts w:ascii="Arial" w:hAnsi="Arial" w:cs="Arial"/>
          <w:lang w:val="en-US"/>
        </w:rPr>
        <w:t>letters to the PG inquiring about the status of the threatened prosecution and made clear that the PG’s inaction negatively impacted on his promotion prospects. Th</w:t>
      </w:r>
      <w:r w:rsidR="005E2B46" w:rsidRPr="00240A69">
        <w:rPr>
          <w:rFonts w:ascii="Arial" w:hAnsi="Arial" w:cs="Arial"/>
          <w:lang w:val="en-US"/>
        </w:rPr>
        <w:t>ose</w:t>
      </w:r>
      <w:r w:rsidR="00F602E2" w:rsidRPr="00240A69">
        <w:rPr>
          <w:rFonts w:ascii="Arial" w:hAnsi="Arial" w:cs="Arial"/>
          <w:lang w:val="en-US"/>
        </w:rPr>
        <w:t xml:space="preserve"> letters </w:t>
      </w:r>
      <w:r w:rsidR="007A4FFA" w:rsidRPr="00240A69">
        <w:rPr>
          <w:rFonts w:ascii="Arial" w:hAnsi="Arial" w:cs="Arial"/>
          <w:lang w:val="en-US"/>
        </w:rPr>
        <w:t xml:space="preserve">all </w:t>
      </w:r>
      <w:r w:rsidR="00F602E2" w:rsidRPr="00240A69">
        <w:rPr>
          <w:rFonts w:ascii="Arial" w:hAnsi="Arial" w:cs="Arial"/>
          <w:lang w:val="en-US"/>
        </w:rPr>
        <w:t xml:space="preserve">went unanswered by the PG. </w:t>
      </w:r>
      <w:r w:rsidR="004C0F95" w:rsidRPr="00240A69">
        <w:rPr>
          <w:rFonts w:ascii="Arial" w:hAnsi="Arial" w:cs="Arial"/>
          <w:lang w:val="en-US"/>
        </w:rPr>
        <w:t>The PG also took no further action to reinstitute charges.</w:t>
      </w:r>
    </w:p>
    <w:p w14:paraId="410AC211" w14:textId="77777777" w:rsidR="003832CB" w:rsidRDefault="003832CB" w:rsidP="00240A69">
      <w:pPr>
        <w:spacing w:line="480" w:lineRule="auto"/>
        <w:jc w:val="both"/>
        <w:rPr>
          <w:rFonts w:ascii="Arial" w:hAnsi="Arial" w:cs="Arial"/>
          <w:lang w:val="en-US"/>
        </w:rPr>
      </w:pPr>
    </w:p>
    <w:p w14:paraId="62B6A9F1" w14:textId="6FCF7D7F" w:rsidR="00586265" w:rsidRPr="00240A69" w:rsidRDefault="00F602E2"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first respondent then launched proceedings in the High Court </w:t>
      </w:r>
      <w:r w:rsidR="00BE19C4" w:rsidRPr="00240A69">
        <w:rPr>
          <w:rFonts w:ascii="Arial" w:hAnsi="Arial" w:cs="Arial"/>
          <w:lang w:val="en-US"/>
        </w:rPr>
        <w:t>in November 2017 seeking an</w:t>
      </w:r>
      <w:r w:rsidR="004C0F95" w:rsidRPr="00240A69">
        <w:rPr>
          <w:rFonts w:ascii="Arial" w:hAnsi="Arial" w:cs="Arial"/>
          <w:lang w:val="en-US"/>
        </w:rPr>
        <w:t xml:space="preserve"> order of ‘permanent stay of further prosecution as contemp</w:t>
      </w:r>
      <w:r w:rsidR="006017A4" w:rsidRPr="00240A69">
        <w:rPr>
          <w:rFonts w:ascii="Arial" w:hAnsi="Arial" w:cs="Arial"/>
          <w:lang w:val="en-US"/>
        </w:rPr>
        <w:t>lated in terms of A</w:t>
      </w:r>
      <w:r w:rsidR="00BE19C4" w:rsidRPr="00240A69">
        <w:rPr>
          <w:rFonts w:ascii="Arial" w:hAnsi="Arial" w:cs="Arial"/>
          <w:lang w:val="en-US"/>
        </w:rPr>
        <w:t>rt 12(1)</w:t>
      </w:r>
      <w:r w:rsidR="004C0F95" w:rsidRPr="00240A69">
        <w:rPr>
          <w:rFonts w:ascii="Arial" w:hAnsi="Arial" w:cs="Arial"/>
          <w:lang w:val="en-US"/>
        </w:rPr>
        <w:t>(b) of the Namibian Constitution’</w:t>
      </w:r>
      <w:r w:rsidR="00743DED" w:rsidRPr="00240A69">
        <w:rPr>
          <w:rFonts w:ascii="Arial" w:hAnsi="Arial" w:cs="Arial"/>
          <w:lang w:val="en-US"/>
        </w:rPr>
        <w:t>,</w:t>
      </w:r>
      <w:r w:rsidR="004C0F95" w:rsidRPr="00240A69">
        <w:rPr>
          <w:rFonts w:ascii="Arial" w:hAnsi="Arial" w:cs="Arial"/>
          <w:lang w:val="en-US"/>
        </w:rPr>
        <w:t xml:space="preserve"> with costs.</w:t>
      </w:r>
    </w:p>
    <w:p w14:paraId="4CE37532" w14:textId="77777777" w:rsidR="00666FE7" w:rsidRDefault="00666FE7" w:rsidP="00240A69">
      <w:pPr>
        <w:spacing w:line="480" w:lineRule="auto"/>
        <w:jc w:val="both"/>
        <w:rPr>
          <w:rFonts w:ascii="Arial" w:hAnsi="Arial" w:cs="Arial"/>
          <w:lang w:val="en-US"/>
        </w:rPr>
      </w:pPr>
    </w:p>
    <w:p w14:paraId="2467EDC0" w14:textId="36CBCC4C" w:rsidR="00666FE7" w:rsidRPr="00240A69" w:rsidRDefault="00666FE7" w:rsidP="00240A69">
      <w:pPr>
        <w:pStyle w:val="ListParagraph"/>
        <w:spacing w:line="480" w:lineRule="auto"/>
        <w:ind w:left="0"/>
        <w:jc w:val="both"/>
        <w:rPr>
          <w:rFonts w:ascii="Arial" w:hAnsi="Arial" w:cs="Arial"/>
          <w:u w:val="single"/>
          <w:lang w:val="en-US"/>
        </w:rPr>
      </w:pPr>
      <w:r w:rsidRPr="00240A69">
        <w:rPr>
          <w:rFonts w:ascii="Arial" w:hAnsi="Arial" w:cs="Arial"/>
          <w:u w:val="single"/>
          <w:lang w:val="en-US"/>
        </w:rPr>
        <w:t>Proceedings in the High Court</w:t>
      </w:r>
    </w:p>
    <w:p w14:paraId="5879784C" w14:textId="060E759D" w:rsidR="008A58CC" w:rsidRPr="00240A69" w:rsidRDefault="00666FE7"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The salient allegations in support of the relief can be summarised as follows.</w:t>
      </w:r>
      <w:r w:rsidR="00D42476" w:rsidRPr="00240A69">
        <w:rPr>
          <w:rFonts w:ascii="Arial" w:hAnsi="Arial" w:cs="Arial"/>
          <w:lang w:val="en-US"/>
        </w:rPr>
        <w:t xml:space="preserve"> According to the first respondent, the PG ‘failed to finali</w:t>
      </w:r>
      <w:r w:rsidR="009409F9" w:rsidRPr="00240A69">
        <w:rPr>
          <w:rFonts w:ascii="Arial" w:hAnsi="Arial" w:cs="Arial"/>
          <w:lang w:val="en-US"/>
        </w:rPr>
        <w:t>s</w:t>
      </w:r>
      <w:r w:rsidR="00D42476" w:rsidRPr="00240A69">
        <w:rPr>
          <w:rFonts w:ascii="Arial" w:hAnsi="Arial" w:cs="Arial"/>
          <w:lang w:val="en-US"/>
        </w:rPr>
        <w:t>e my case at my expense and further violating my right to a fair trial and to have my matter heard within a reasonable time as provided for in Article 12’</w:t>
      </w:r>
      <w:r w:rsidR="006017A4" w:rsidRPr="00240A69">
        <w:rPr>
          <w:rFonts w:ascii="Arial" w:hAnsi="Arial" w:cs="Arial"/>
          <w:lang w:val="en-US"/>
        </w:rPr>
        <w:t>.</w:t>
      </w:r>
      <w:r w:rsidR="00D42476" w:rsidRPr="00240A69">
        <w:rPr>
          <w:rFonts w:ascii="Arial" w:hAnsi="Arial" w:cs="Arial"/>
          <w:lang w:val="en-US"/>
        </w:rPr>
        <w:t xml:space="preserve"> He alleged that if the matter were to proceed at this stage, </w:t>
      </w:r>
      <w:r w:rsidR="008A58CC" w:rsidRPr="00240A69">
        <w:rPr>
          <w:rFonts w:ascii="Arial" w:hAnsi="Arial" w:cs="Arial"/>
          <w:lang w:val="en-US"/>
        </w:rPr>
        <w:t>he</w:t>
      </w:r>
      <w:r w:rsidR="00D42476" w:rsidRPr="00240A69">
        <w:rPr>
          <w:rFonts w:ascii="Arial" w:hAnsi="Arial" w:cs="Arial"/>
          <w:lang w:val="en-US"/>
        </w:rPr>
        <w:t xml:space="preserve"> </w:t>
      </w:r>
      <w:r w:rsidR="008A58CC" w:rsidRPr="00240A69">
        <w:rPr>
          <w:rFonts w:ascii="Arial" w:hAnsi="Arial" w:cs="Arial"/>
          <w:lang w:val="en-US"/>
        </w:rPr>
        <w:t>‘</w:t>
      </w:r>
      <w:r w:rsidR="00D42476" w:rsidRPr="00240A69">
        <w:rPr>
          <w:rFonts w:ascii="Arial" w:hAnsi="Arial" w:cs="Arial"/>
          <w:lang w:val="en-US"/>
        </w:rPr>
        <w:t>would have a grossly unfair trial as my trial would not have taken</w:t>
      </w:r>
      <w:r w:rsidR="006017A4" w:rsidRPr="00240A69">
        <w:rPr>
          <w:rFonts w:ascii="Arial" w:hAnsi="Arial" w:cs="Arial"/>
          <w:lang w:val="en-US"/>
        </w:rPr>
        <w:t xml:space="preserve"> place within a reasonable time</w:t>
      </w:r>
      <w:r w:rsidR="008A58CC" w:rsidRPr="00240A69">
        <w:rPr>
          <w:rFonts w:ascii="Arial" w:hAnsi="Arial" w:cs="Arial"/>
          <w:lang w:val="en-US"/>
        </w:rPr>
        <w:t>’</w:t>
      </w:r>
      <w:r w:rsidR="006017A4" w:rsidRPr="00240A69">
        <w:rPr>
          <w:rFonts w:ascii="Arial" w:hAnsi="Arial" w:cs="Arial"/>
          <w:lang w:val="en-US"/>
        </w:rPr>
        <w:t>.</w:t>
      </w:r>
      <w:r w:rsidR="00D42476" w:rsidRPr="00240A69">
        <w:rPr>
          <w:rFonts w:ascii="Arial" w:hAnsi="Arial" w:cs="Arial"/>
          <w:lang w:val="en-US"/>
        </w:rPr>
        <w:t xml:space="preserve"> </w:t>
      </w:r>
      <w:r w:rsidR="008A58CC" w:rsidRPr="00240A69">
        <w:rPr>
          <w:rFonts w:ascii="Arial" w:hAnsi="Arial" w:cs="Arial"/>
          <w:lang w:val="en-US"/>
        </w:rPr>
        <w:t xml:space="preserve">According to the first respondent, </w:t>
      </w:r>
      <w:r w:rsidR="00D42476" w:rsidRPr="00240A69">
        <w:rPr>
          <w:rFonts w:ascii="Arial" w:hAnsi="Arial" w:cs="Arial"/>
          <w:lang w:val="en-US"/>
        </w:rPr>
        <w:t xml:space="preserve">the ‘matter </w:t>
      </w:r>
      <w:r w:rsidR="00D42476" w:rsidRPr="00240A69">
        <w:rPr>
          <w:rFonts w:ascii="Arial" w:hAnsi="Arial" w:cs="Arial"/>
          <w:lang w:val="en-US"/>
        </w:rPr>
        <w:lastRenderedPageBreak/>
        <w:t>has been affecting my life negatively, especially with regards to it hampering my growth in my employment</w:t>
      </w:r>
      <w:r w:rsidR="008A58CC" w:rsidRPr="00240A69">
        <w:rPr>
          <w:rFonts w:ascii="Arial" w:hAnsi="Arial" w:cs="Arial"/>
          <w:lang w:val="en-US"/>
        </w:rPr>
        <w:t>’</w:t>
      </w:r>
      <w:r w:rsidR="00D42476" w:rsidRPr="00240A69">
        <w:rPr>
          <w:rFonts w:ascii="Arial" w:hAnsi="Arial" w:cs="Arial"/>
          <w:lang w:val="en-US"/>
        </w:rPr>
        <w:t xml:space="preserve"> and that ‘because of the lengthy period that has passed, I have lost material documents that I intended to use in my trial to defend myself, had it proceeded then’. </w:t>
      </w:r>
    </w:p>
    <w:p w14:paraId="39646947" w14:textId="77777777" w:rsidR="008A58CC" w:rsidRDefault="008A58CC" w:rsidP="00240A69">
      <w:pPr>
        <w:spacing w:line="480" w:lineRule="auto"/>
        <w:jc w:val="both"/>
        <w:rPr>
          <w:rFonts w:ascii="Arial" w:hAnsi="Arial" w:cs="Arial"/>
          <w:lang w:val="en-US"/>
        </w:rPr>
      </w:pPr>
    </w:p>
    <w:p w14:paraId="43B44C7C" w14:textId="1C5D13D8" w:rsidR="00666FE7" w:rsidRPr="00240A69" w:rsidRDefault="008A58CC"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first respondent further alleged that </w:t>
      </w:r>
      <w:r w:rsidR="00743DED" w:rsidRPr="00240A69">
        <w:rPr>
          <w:rFonts w:ascii="Arial" w:hAnsi="Arial" w:cs="Arial"/>
          <w:lang w:val="en-US"/>
        </w:rPr>
        <w:t xml:space="preserve">he </w:t>
      </w:r>
      <w:r w:rsidR="00D42476" w:rsidRPr="00240A69">
        <w:rPr>
          <w:rFonts w:ascii="Arial" w:hAnsi="Arial" w:cs="Arial"/>
          <w:lang w:val="en-US"/>
        </w:rPr>
        <w:t>had ‘paid thousands of Namibia Dollars in legal representations’ and ‘any continuation of my trial hereafter will be unfair and will be incompatible with fair trial provisions under Art</w:t>
      </w:r>
      <w:r w:rsidR="00227AA4">
        <w:rPr>
          <w:rFonts w:ascii="Arial" w:hAnsi="Arial" w:cs="Arial"/>
          <w:lang w:val="en-US"/>
        </w:rPr>
        <w:t xml:space="preserve"> 12 of the Constitution</w:t>
      </w:r>
      <w:r w:rsidRPr="00240A69">
        <w:rPr>
          <w:rFonts w:ascii="Arial" w:hAnsi="Arial" w:cs="Arial"/>
          <w:lang w:val="en-US"/>
        </w:rPr>
        <w:t>’</w:t>
      </w:r>
      <w:r w:rsidR="00227AA4">
        <w:rPr>
          <w:rFonts w:ascii="Arial" w:hAnsi="Arial" w:cs="Arial"/>
          <w:lang w:val="en-US"/>
        </w:rPr>
        <w:t>.</w:t>
      </w:r>
      <w:r w:rsidR="00D42476" w:rsidRPr="00240A69">
        <w:rPr>
          <w:rFonts w:ascii="Arial" w:hAnsi="Arial" w:cs="Arial"/>
          <w:lang w:val="en-US"/>
        </w:rPr>
        <w:t xml:space="preserve"> The first respondent maintained that:</w:t>
      </w:r>
    </w:p>
    <w:p w14:paraId="169A770C" w14:textId="77777777" w:rsidR="00D42476" w:rsidRDefault="00D42476" w:rsidP="00C8036C">
      <w:pPr>
        <w:spacing w:line="480" w:lineRule="auto"/>
        <w:jc w:val="both"/>
        <w:rPr>
          <w:rFonts w:ascii="Arial" w:hAnsi="Arial" w:cs="Arial"/>
          <w:lang w:val="en-US"/>
        </w:rPr>
      </w:pPr>
    </w:p>
    <w:p w14:paraId="2C7566FD" w14:textId="06981A32" w:rsidR="00D42476" w:rsidRDefault="00D42476" w:rsidP="0065111D">
      <w:pPr>
        <w:spacing w:line="360" w:lineRule="auto"/>
        <w:ind w:left="720"/>
        <w:jc w:val="both"/>
        <w:rPr>
          <w:rFonts w:ascii="Arial" w:hAnsi="Arial" w:cs="Arial"/>
          <w:sz w:val="22"/>
          <w:szCs w:val="22"/>
          <w:lang w:val="en-US"/>
        </w:rPr>
      </w:pPr>
      <w:r w:rsidRPr="00A709A1">
        <w:rPr>
          <w:rFonts w:ascii="Arial" w:hAnsi="Arial" w:cs="Arial"/>
          <w:sz w:val="22"/>
          <w:szCs w:val="22"/>
          <w:lang w:val="en-US"/>
        </w:rPr>
        <w:t>‘A period of nine (9) years had passed since the opening of the police docket. This is in conflict with my right to a trial within a reasonable time guaranteed in terms of Article 12 of the Constitution.</w:t>
      </w:r>
      <w:r w:rsidR="00A709A1">
        <w:rPr>
          <w:rFonts w:ascii="Arial" w:hAnsi="Arial" w:cs="Arial"/>
          <w:sz w:val="22"/>
          <w:szCs w:val="22"/>
          <w:lang w:val="en-US"/>
        </w:rPr>
        <w:t xml:space="preserve"> The prejudicial effect of the pending criminal case has had the effect of materially aggravating financial prejudice towards me, in light of hindering my p</w:t>
      </w:r>
      <w:r w:rsidR="00790691">
        <w:rPr>
          <w:rFonts w:ascii="Arial" w:hAnsi="Arial" w:cs="Arial"/>
          <w:sz w:val="22"/>
          <w:szCs w:val="22"/>
          <w:lang w:val="en-US"/>
        </w:rPr>
        <w:t>romotions I would have received</w:t>
      </w:r>
      <w:r w:rsidR="00A709A1">
        <w:rPr>
          <w:rFonts w:ascii="Arial" w:hAnsi="Arial" w:cs="Arial"/>
          <w:sz w:val="22"/>
          <w:szCs w:val="22"/>
          <w:lang w:val="en-US"/>
        </w:rPr>
        <w:t>, which is accompanied by financial gain as well.</w:t>
      </w:r>
      <w:r w:rsidR="00A709A1" w:rsidRPr="00A709A1">
        <w:rPr>
          <w:rFonts w:ascii="Arial" w:hAnsi="Arial" w:cs="Arial"/>
          <w:sz w:val="22"/>
          <w:szCs w:val="22"/>
          <w:lang w:val="en-US"/>
        </w:rPr>
        <w:t>’</w:t>
      </w:r>
    </w:p>
    <w:p w14:paraId="5233FBA9" w14:textId="77777777" w:rsidR="00790691" w:rsidRDefault="00790691" w:rsidP="009A75EE">
      <w:pPr>
        <w:spacing w:line="480" w:lineRule="auto"/>
        <w:jc w:val="both"/>
        <w:rPr>
          <w:rFonts w:ascii="Arial" w:hAnsi="Arial" w:cs="Arial"/>
          <w:sz w:val="22"/>
          <w:szCs w:val="22"/>
          <w:lang w:val="en-US"/>
        </w:rPr>
      </w:pPr>
    </w:p>
    <w:p w14:paraId="2F4A5917" w14:textId="1CC669C8" w:rsidR="00790691" w:rsidRPr="00240A69" w:rsidRDefault="00790691"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The PG opposed the relief sought by the first respondent and filed an answering affidavit. She denied any dereliction of duty in </w:t>
      </w:r>
      <w:r w:rsidR="00721AFB" w:rsidRPr="00240A69">
        <w:rPr>
          <w:rFonts w:ascii="Arial" w:hAnsi="Arial" w:cs="Arial"/>
          <w:lang w:val="en-US"/>
        </w:rPr>
        <w:t xml:space="preserve">pursuing </w:t>
      </w:r>
      <w:r w:rsidRPr="00240A69">
        <w:rPr>
          <w:rFonts w:ascii="Arial" w:hAnsi="Arial" w:cs="Arial"/>
          <w:lang w:val="en-US"/>
        </w:rPr>
        <w:t>the prosecution and maintained that the delay was occasioned by the fact that the ‘complainants are foreign nationals and as such could not attend every proceeding even if their presence at co</w:t>
      </w:r>
      <w:r w:rsidR="00C7677C" w:rsidRPr="00240A69">
        <w:rPr>
          <w:rFonts w:ascii="Arial" w:hAnsi="Arial" w:cs="Arial"/>
          <w:lang w:val="en-US"/>
        </w:rPr>
        <w:t>u</w:t>
      </w:r>
      <w:r w:rsidRPr="00240A69">
        <w:rPr>
          <w:rFonts w:ascii="Arial" w:hAnsi="Arial" w:cs="Arial"/>
          <w:lang w:val="en-US"/>
        </w:rPr>
        <w:t xml:space="preserve">rt could be secured at that stage’. She averred that </w:t>
      </w:r>
      <w:r w:rsidR="00C7677C" w:rsidRPr="00240A69">
        <w:rPr>
          <w:rFonts w:ascii="Arial" w:hAnsi="Arial" w:cs="Arial"/>
          <w:lang w:val="en-US"/>
        </w:rPr>
        <w:t>t</w:t>
      </w:r>
      <w:r w:rsidRPr="00240A69">
        <w:rPr>
          <w:rFonts w:ascii="Arial" w:hAnsi="Arial" w:cs="Arial"/>
          <w:lang w:val="en-US"/>
        </w:rPr>
        <w:t xml:space="preserve">he </w:t>
      </w:r>
      <w:r w:rsidR="008A58CC" w:rsidRPr="00240A69">
        <w:rPr>
          <w:rFonts w:ascii="Arial" w:hAnsi="Arial" w:cs="Arial"/>
          <w:lang w:val="en-US"/>
        </w:rPr>
        <w:t>S</w:t>
      </w:r>
      <w:r w:rsidR="00C7677C" w:rsidRPr="00240A69">
        <w:rPr>
          <w:rFonts w:ascii="Arial" w:hAnsi="Arial" w:cs="Arial"/>
          <w:lang w:val="en-US"/>
        </w:rPr>
        <w:t xml:space="preserve">tate </w:t>
      </w:r>
      <w:r w:rsidRPr="00240A69">
        <w:rPr>
          <w:rFonts w:ascii="Arial" w:hAnsi="Arial" w:cs="Arial"/>
          <w:lang w:val="en-US"/>
        </w:rPr>
        <w:t xml:space="preserve">had </w:t>
      </w:r>
      <w:r w:rsidR="00C7677C" w:rsidRPr="00240A69">
        <w:rPr>
          <w:rFonts w:ascii="Arial" w:hAnsi="Arial" w:cs="Arial"/>
          <w:lang w:val="en-US"/>
        </w:rPr>
        <w:t xml:space="preserve">‘all </w:t>
      </w:r>
      <w:r w:rsidRPr="00240A69">
        <w:rPr>
          <w:rFonts w:ascii="Arial" w:hAnsi="Arial" w:cs="Arial"/>
          <w:lang w:val="en-US"/>
        </w:rPr>
        <w:t>the evidence</w:t>
      </w:r>
      <w:r w:rsidR="00C7677C" w:rsidRPr="00240A69">
        <w:rPr>
          <w:rFonts w:ascii="Arial" w:hAnsi="Arial" w:cs="Arial"/>
          <w:lang w:val="en-US"/>
        </w:rPr>
        <w:t>’ and that the matter was only ‘provisionally withdrawn’.</w:t>
      </w:r>
      <w:r w:rsidR="00B575A1" w:rsidRPr="00240A69">
        <w:rPr>
          <w:rFonts w:ascii="Arial" w:hAnsi="Arial" w:cs="Arial"/>
          <w:lang w:val="en-US"/>
        </w:rPr>
        <w:t xml:space="preserve"> According to the PG, since the ‘provisional withdrawal’, all witnesses ‘were traced and will be present once the trial commences</w:t>
      </w:r>
      <w:r w:rsidR="00743DED" w:rsidRPr="00240A69">
        <w:rPr>
          <w:rFonts w:ascii="Arial" w:hAnsi="Arial" w:cs="Arial"/>
          <w:lang w:val="en-US"/>
        </w:rPr>
        <w:t>’</w:t>
      </w:r>
      <w:r w:rsidR="006017A4" w:rsidRPr="00240A69">
        <w:rPr>
          <w:rFonts w:ascii="Arial" w:hAnsi="Arial" w:cs="Arial"/>
          <w:lang w:val="en-US"/>
        </w:rPr>
        <w:t>.</w:t>
      </w:r>
      <w:r w:rsidR="00F445E2" w:rsidRPr="00240A69">
        <w:rPr>
          <w:rFonts w:ascii="Arial" w:hAnsi="Arial" w:cs="Arial"/>
          <w:lang w:val="en-US"/>
        </w:rPr>
        <w:t xml:space="preserve"> She made clear </w:t>
      </w:r>
      <w:r w:rsidR="008F4556" w:rsidRPr="00240A69">
        <w:rPr>
          <w:rFonts w:ascii="Arial" w:hAnsi="Arial" w:cs="Arial"/>
          <w:lang w:val="en-US"/>
        </w:rPr>
        <w:t>that she intends to prosecute the first respondent.</w:t>
      </w:r>
      <w:r w:rsidR="0037060C" w:rsidRPr="00240A69">
        <w:rPr>
          <w:rFonts w:ascii="Arial" w:hAnsi="Arial" w:cs="Arial"/>
          <w:lang w:val="en-US"/>
        </w:rPr>
        <w:t xml:space="preserve"> She denied that there was an unreasonable delay in the </w:t>
      </w:r>
      <w:r w:rsidR="0037060C" w:rsidRPr="00240A69">
        <w:rPr>
          <w:rFonts w:ascii="Arial" w:hAnsi="Arial" w:cs="Arial"/>
          <w:lang w:val="en-US"/>
        </w:rPr>
        <w:lastRenderedPageBreak/>
        <w:t>prosecution</w:t>
      </w:r>
      <w:r w:rsidR="00476226" w:rsidRPr="00240A69">
        <w:rPr>
          <w:rFonts w:ascii="Arial" w:hAnsi="Arial" w:cs="Arial"/>
          <w:lang w:val="en-US"/>
        </w:rPr>
        <w:t xml:space="preserve"> and maintained that the first respondent being a police officer</w:t>
      </w:r>
      <w:r w:rsidR="00BE19C4" w:rsidRPr="00240A69">
        <w:rPr>
          <w:rFonts w:ascii="Arial" w:hAnsi="Arial" w:cs="Arial"/>
          <w:lang w:val="en-US"/>
        </w:rPr>
        <w:t>,</w:t>
      </w:r>
      <w:r w:rsidR="00476226" w:rsidRPr="00240A69">
        <w:rPr>
          <w:rFonts w:ascii="Arial" w:hAnsi="Arial" w:cs="Arial"/>
          <w:lang w:val="en-US"/>
        </w:rPr>
        <w:t xml:space="preserve"> there was greater public interest in </w:t>
      </w:r>
      <w:r w:rsidR="00743DED" w:rsidRPr="00240A69">
        <w:rPr>
          <w:rFonts w:ascii="Arial" w:hAnsi="Arial" w:cs="Arial"/>
          <w:lang w:val="en-US"/>
        </w:rPr>
        <w:t>him being</w:t>
      </w:r>
      <w:r w:rsidR="00476226" w:rsidRPr="00240A69">
        <w:rPr>
          <w:rFonts w:ascii="Arial" w:hAnsi="Arial" w:cs="Arial"/>
          <w:lang w:val="en-US"/>
        </w:rPr>
        <w:t xml:space="preserve"> prosecut</w:t>
      </w:r>
      <w:r w:rsidR="00743DED" w:rsidRPr="00240A69">
        <w:rPr>
          <w:rFonts w:ascii="Arial" w:hAnsi="Arial" w:cs="Arial"/>
          <w:lang w:val="en-US"/>
        </w:rPr>
        <w:t xml:space="preserve">ed. </w:t>
      </w:r>
    </w:p>
    <w:p w14:paraId="7E09B463" w14:textId="77777777" w:rsidR="00E77C51" w:rsidRDefault="00E77C51" w:rsidP="00240A69">
      <w:pPr>
        <w:spacing w:line="480" w:lineRule="auto"/>
        <w:jc w:val="both"/>
        <w:rPr>
          <w:rFonts w:ascii="Arial" w:hAnsi="Arial" w:cs="Arial"/>
          <w:sz w:val="22"/>
          <w:szCs w:val="22"/>
          <w:lang w:val="en-US"/>
        </w:rPr>
      </w:pPr>
    </w:p>
    <w:p w14:paraId="246EEDBD" w14:textId="02D4DFE6" w:rsidR="006066C3" w:rsidRPr="00240A69" w:rsidRDefault="006066C3" w:rsidP="00240A69">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In the replying affidavit, the first respondent makes the following averment with respect to the effect of the withdrawal of the charges following the </w:t>
      </w:r>
      <w:r w:rsidR="00743DED" w:rsidRPr="00240A69">
        <w:rPr>
          <w:rFonts w:ascii="Arial" w:hAnsi="Arial" w:cs="Arial"/>
          <w:lang w:val="en-US"/>
        </w:rPr>
        <w:t>second respondent’s</w:t>
      </w:r>
      <w:r w:rsidRPr="00240A69">
        <w:rPr>
          <w:rFonts w:ascii="Arial" w:hAnsi="Arial" w:cs="Arial"/>
          <w:lang w:val="en-US"/>
        </w:rPr>
        <w:t xml:space="preserve"> refusal to grant a further remand:</w:t>
      </w:r>
    </w:p>
    <w:p w14:paraId="526CCB87" w14:textId="77777777" w:rsidR="006066C3" w:rsidRPr="00F92132" w:rsidRDefault="006066C3" w:rsidP="00A709A1">
      <w:pPr>
        <w:spacing w:line="360" w:lineRule="auto"/>
        <w:ind w:left="720"/>
        <w:jc w:val="both"/>
        <w:rPr>
          <w:rFonts w:ascii="Arial" w:hAnsi="Arial" w:cs="Arial"/>
          <w:lang w:val="en-US"/>
        </w:rPr>
      </w:pPr>
    </w:p>
    <w:p w14:paraId="60E20F54" w14:textId="410FD90F" w:rsidR="006066C3" w:rsidRPr="00A709A1" w:rsidRDefault="00EC6EB1" w:rsidP="0065111D">
      <w:pPr>
        <w:spacing w:line="360" w:lineRule="auto"/>
        <w:ind w:left="720"/>
        <w:jc w:val="both"/>
        <w:rPr>
          <w:rFonts w:ascii="Arial" w:hAnsi="Arial" w:cs="Arial"/>
          <w:sz w:val="22"/>
          <w:szCs w:val="22"/>
          <w:lang w:val="en-US"/>
        </w:rPr>
      </w:pPr>
      <w:r>
        <w:rPr>
          <w:rFonts w:ascii="Arial" w:hAnsi="Arial" w:cs="Arial"/>
          <w:sz w:val="22"/>
          <w:szCs w:val="22"/>
          <w:lang w:val="en-US"/>
        </w:rPr>
        <w:t>‘</w:t>
      </w:r>
      <w:r w:rsidR="006066C3">
        <w:rPr>
          <w:rFonts w:ascii="Arial" w:hAnsi="Arial" w:cs="Arial"/>
          <w:sz w:val="22"/>
          <w:szCs w:val="22"/>
          <w:lang w:val="en-US"/>
        </w:rPr>
        <w:t xml:space="preserve">I wish to state that the fact the [magistrate] has found that the matter must be struck from the Roll and that the State </w:t>
      </w:r>
      <w:r w:rsidR="0010627D">
        <w:rPr>
          <w:rFonts w:ascii="Arial" w:hAnsi="Arial" w:cs="Arial"/>
          <w:sz w:val="22"/>
          <w:szCs w:val="22"/>
          <w:lang w:val="en-US"/>
        </w:rPr>
        <w:t>was at fault and that there would not be a further remand, that decision of the [magistrate] remains extant and any placement of the matter on the roll without impugning the decision of the [magistrate] is fatal. The [magistrate’s] decision is not being impugned in these proceedings, and it remains as a final decision. With that decision standing to this date I am therefore entitled to a permanent stay of prosecution to achieve certainty.</w:t>
      </w:r>
      <w:r>
        <w:rPr>
          <w:rFonts w:ascii="Arial" w:hAnsi="Arial" w:cs="Arial"/>
          <w:sz w:val="22"/>
          <w:szCs w:val="22"/>
          <w:lang w:val="en-US"/>
        </w:rPr>
        <w:t>’</w:t>
      </w:r>
    </w:p>
    <w:p w14:paraId="7F10493A" w14:textId="77777777" w:rsidR="00570499" w:rsidRPr="00DA0BBE" w:rsidRDefault="00570499" w:rsidP="0094207D">
      <w:pPr>
        <w:spacing w:line="360" w:lineRule="auto"/>
        <w:jc w:val="both"/>
        <w:rPr>
          <w:rFonts w:ascii="Arial" w:hAnsi="Arial" w:cs="Arial"/>
          <w:lang w:val="en-US"/>
        </w:rPr>
      </w:pPr>
    </w:p>
    <w:p w14:paraId="08CE856D" w14:textId="49960782" w:rsidR="004C0F95" w:rsidRPr="00AC0B11" w:rsidRDefault="00AC0B11" w:rsidP="00B84DFE">
      <w:pPr>
        <w:spacing w:line="480" w:lineRule="auto"/>
        <w:jc w:val="both"/>
        <w:rPr>
          <w:rFonts w:ascii="Arial" w:hAnsi="Arial" w:cs="Arial"/>
          <w:u w:val="single"/>
          <w:lang w:val="en-US"/>
        </w:rPr>
      </w:pPr>
      <w:r w:rsidRPr="00AC0B11">
        <w:rPr>
          <w:rFonts w:ascii="Arial" w:hAnsi="Arial" w:cs="Arial"/>
          <w:u w:val="single"/>
          <w:lang w:val="en-US"/>
        </w:rPr>
        <w:t>The High Court’s approach</w:t>
      </w:r>
    </w:p>
    <w:p w14:paraId="2605E6D5" w14:textId="7D09D6E0" w:rsidR="00FB6B96" w:rsidRPr="00240A69" w:rsidRDefault="00031918" w:rsidP="00B84DFE">
      <w:pPr>
        <w:pStyle w:val="ListParagraph"/>
        <w:numPr>
          <w:ilvl w:val="0"/>
          <w:numId w:val="6"/>
        </w:numPr>
        <w:spacing w:line="480" w:lineRule="auto"/>
        <w:ind w:left="0" w:firstLine="0"/>
        <w:jc w:val="both"/>
        <w:rPr>
          <w:rFonts w:ascii="Arial" w:hAnsi="Arial" w:cs="Arial"/>
        </w:rPr>
      </w:pPr>
      <w:r w:rsidRPr="00240A69">
        <w:rPr>
          <w:rFonts w:ascii="Arial" w:hAnsi="Arial" w:cs="Arial"/>
        </w:rPr>
        <w:t>Relying</w:t>
      </w:r>
      <w:r w:rsidR="00ED5C94" w:rsidRPr="00240A69">
        <w:rPr>
          <w:rFonts w:ascii="Arial" w:hAnsi="Arial" w:cs="Arial"/>
        </w:rPr>
        <w:t xml:space="preserve"> on the </w:t>
      </w:r>
      <w:r w:rsidR="00ED5C94" w:rsidRPr="00240A69">
        <w:rPr>
          <w:rFonts w:ascii="Arial" w:hAnsi="Arial" w:cs="Arial"/>
          <w:i/>
        </w:rPr>
        <w:t>ratio</w:t>
      </w:r>
      <w:r w:rsidR="00ED5C94" w:rsidRPr="00240A69">
        <w:rPr>
          <w:rFonts w:ascii="Arial" w:hAnsi="Arial" w:cs="Arial"/>
        </w:rPr>
        <w:t xml:space="preserve"> of </w:t>
      </w:r>
      <w:r w:rsidR="00ED5C94" w:rsidRPr="00240A69">
        <w:rPr>
          <w:rFonts w:ascii="Arial" w:hAnsi="Arial" w:cs="Arial"/>
          <w:i/>
        </w:rPr>
        <w:t>Myburgh</w:t>
      </w:r>
      <w:r w:rsidR="00ED5C94" w:rsidRPr="00240A69">
        <w:rPr>
          <w:rFonts w:ascii="Arial" w:hAnsi="Arial" w:cs="Arial"/>
        </w:rPr>
        <w:t xml:space="preserve">, the court </w:t>
      </w:r>
      <w:r w:rsidR="00ED5C94" w:rsidRPr="00240A69">
        <w:rPr>
          <w:rFonts w:ascii="Arial" w:hAnsi="Arial" w:cs="Arial"/>
          <w:i/>
        </w:rPr>
        <w:t>a quo</w:t>
      </w:r>
      <w:r w:rsidR="00ED5C94" w:rsidRPr="00240A69">
        <w:rPr>
          <w:rFonts w:ascii="Arial" w:hAnsi="Arial" w:cs="Arial"/>
        </w:rPr>
        <w:t xml:space="preserve"> </w:t>
      </w:r>
      <w:r w:rsidR="00FB6B96" w:rsidRPr="00240A69">
        <w:rPr>
          <w:rFonts w:ascii="Arial" w:hAnsi="Arial" w:cs="Arial"/>
        </w:rPr>
        <w:t>formulat</w:t>
      </w:r>
      <w:r w:rsidR="00ED5C94" w:rsidRPr="00240A69">
        <w:rPr>
          <w:rFonts w:ascii="Arial" w:hAnsi="Arial" w:cs="Arial"/>
        </w:rPr>
        <w:t>ed</w:t>
      </w:r>
      <w:r w:rsidR="00FB6B96" w:rsidRPr="00240A69">
        <w:rPr>
          <w:rFonts w:ascii="Arial" w:hAnsi="Arial" w:cs="Arial"/>
        </w:rPr>
        <w:t xml:space="preserve"> the</w:t>
      </w:r>
      <w:r w:rsidR="00FB6B96" w:rsidRPr="00240A69">
        <w:rPr>
          <w:rFonts w:ascii="Arial" w:hAnsi="Arial" w:cs="Arial"/>
          <w:i/>
        </w:rPr>
        <w:t xml:space="preserve"> </w:t>
      </w:r>
      <w:r w:rsidR="00ED5C94" w:rsidRPr="00240A69">
        <w:rPr>
          <w:rFonts w:ascii="Arial" w:hAnsi="Arial" w:cs="Arial"/>
        </w:rPr>
        <w:t>issues it had to determine as being, whether:</w:t>
      </w:r>
    </w:p>
    <w:p w14:paraId="6082036D" w14:textId="77777777" w:rsidR="0076335E" w:rsidRDefault="0076335E" w:rsidP="00B84DFE">
      <w:pPr>
        <w:spacing w:line="480" w:lineRule="auto"/>
        <w:jc w:val="both"/>
        <w:rPr>
          <w:rFonts w:ascii="Arial" w:hAnsi="Arial" w:cs="Arial"/>
        </w:rPr>
      </w:pPr>
    </w:p>
    <w:p w14:paraId="6A7D1143" w14:textId="187FA809" w:rsidR="00FB6B96" w:rsidRPr="0076335E" w:rsidRDefault="00FB6B96" w:rsidP="0076335E">
      <w:pPr>
        <w:pStyle w:val="ListParagraph"/>
        <w:numPr>
          <w:ilvl w:val="0"/>
          <w:numId w:val="4"/>
        </w:numPr>
        <w:spacing w:line="480" w:lineRule="auto"/>
        <w:jc w:val="both"/>
        <w:rPr>
          <w:rFonts w:ascii="Arial" w:hAnsi="Arial" w:cs="Arial"/>
        </w:rPr>
      </w:pPr>
      <w:r w:rsidRPr="0076335E">
        <w:rPr>
          <w:rFonts w:ascii="Arial" w:hAnsi="Arial" w:cs="Arial"/>
        </w:rPr>
        <w:t>the applicant ha</w:t>
      </w:r>
      <w:r w:rsidR="00FB666E" w:rsidRPr="0076335E">
        <w:rPr>
          <w:rFonts w:ascii="Arial" w:hAnsi="Arial" w:cs="Arial"/>
        </w:rPr>
        <w:t>d</w:t>
      </w:r>
      <w:r w:rsidRPr="0076335E">
        <w:rPr>
          <w:rFonts w:ascii="Arial" w:hAnsi="Arial" w:cs="Arial"/>
        </w:rPr>
        <w:t xml:space="preserve"> proved that the trial ha</w:t>
      </w:r>
      <w:r w:rsidR="00ED5C94" w:rsidRPr="0076335E">
        <w:rPr>
          <w:rFonts w:ascii="Arial" w:hAnsi="Arial" w:cs="Arial"/>
        </w:rPr>
        <w:t>d</w:t>
      </w:r>
      <w:r w:rsidRPr="0076335E">
        <w:rPr>
          <w:rFonts w:ascii="Arial" w:hAnsi="Arial" w:cs="Arial"/>
        </w:rPr>
        <w:t xml:space="preserve"> not taken plac</w:t>
      </w:r>
      <w:r w:rsidR="00ED5C94" w:rsidRPr="0076335E">
        <w:rPr>
          <w:rFonts w:ascii="Arial" w:hAnsi="Arial" w:cs="Arial"/>
        </w:rPr>
        <w:t>e within a reasonable time;</w:t>
      </w:r>
    </w:p>
    <w:p w14:paraId="430A365E" w14:textId="77777777" w:rsidR="0076335E" w:rsidRDefault="0076335E" w:rsidP="0076335E">
      <w:pPr>
        <w:spacing w:line="480" w:lineRule="auto"/>
        <w:jc w:val="both"/>
        <w:rPr>
          <w:rFonts w:ascii="Arial" w:hAnsi="Arial" w:cs="Arial"/>
        </w:rPr>
      </w:pPr>
    </w:p>
    <w:p w14:paraId="7B3509C6" w14:textId="28447CBE" w:rsidR="00FB6B96" w:rsidRPr="0076335E" w:rsidRDefault="00ED5C94" w:rsidP="0076335E">
      <w:pPr>
        <w:pStyle w:val="ListParagraph"/>
        <w:numPr>
          <w:ilvl w:val="0"/>
          <w:numId w:val="4"/>
        </w:numPr>
        <w:spacing w:line="480" w:lineRule="auto"/>
        <w:jc w:val="both"/>
        <w:rPr>
          <w:rFonts w:ascii="Arial" w:hAnsi="Arial" w:cs="Arial"/>
        </w:rPr>
      </w:pPr>
      <w:r w:rsidRPr="0076335E">
        <w:rPr>
          <w:rFonts w:ascii="Arial" w:hAnsi="Arial" w:cs="Arial"/>
        </w:rPr>
        <w:t>the applicant</w:t>
      </w:r>
      <w:r w:rsidR="00FB6B96" w:rsidRPr="0076335E">
        <w:rPr>
          <w:rFonts w:ascii="Arial" w:hAnsi="Arial" w:cs="Arial"/>
        </w:rPr>
        <w:t xml:space="preserve"> proved that there is irreparable trial prejudice as a result, and/or </w:t>
      </w:r>
    </w:p>
    <w:p w14:paraId="6C07212E" w14:textId="77777777" w:rsidR="0076335E" w:rsidRDefault="0076335E" w:rsidP="0076335E">
      <w:pPr>
        <w:spacing w:line="480" w:lineRule="auto"/>
        <w:jc w:val="both"/>
        <w:rPr>
          <w:rFonts w:ascii="Arial" w:hAnsi="Arial" w:cs="Arial"/>
        </w:rPr>
      </w:pPr>
    </w:p>
    <w:p w14:paraId="3CC4E658" w14:textId="1C130C58" w:rsidR="00FB6B96" w:rsidRPr="0076335E" w:rsidRDefault="00FB6B96" w:rsidP="0076335E">
      <w:pPr>
        <w:pStyle w:val="ListParagraph"/>
        <w:numPr>
          <w:ilvl w:val="0"/>
          <w:numId w:val="4"/>
        </w:numPr>
        <w:spacing w:line="480" w:lineRule="auto"/>
        <w:jc w:val="both"/>
        <w:rPr>
          <w:rFonts w:ascii="Arial" w:hAnsi="Arial" w:cs="Arial"/>
        </w:rPr>
      </w:pPr>
      <w:r w:rsidRPr="0076335E">
        <w:rPr>
          <w:rFonts w:ascii="Arial" w:hAnsi="Arial" w:cs="Arial"/>
        </w:rPr>
        <w:t xml:space="preserve">if the applicant proved exceptional circumstances justifying </w:t>
      </w:r>
      <w:r w:rsidR="00ED5C94" w:rsidRPr="0076335E">
        <w:rPr>
          <w:rFonts w:ascii="Arial" w:hAnsi="Arial" w:cs="Arial"/>
        </w:rPr>
        <w:t>a permanent stay of prosecution.</w:t>
      </w:r>
    </w:p>
    <w:p w14:paraId="68C589B8" w14:textId="77777777" w:rsidR="00FB6B96" w:rsidRPr="00354893" w:rsidRDefault="00FB6B96" w:rsidP="00C8036C">
      <w:pPr>
        <w:spacing w:line="480" w:lineRule="auto"/>
        <w:jc w:val="both"/>
        <w:rPr>
          <w:rFonts w:ascii="Arial" w:hAnsi="Arial" w:cs="Arial"/>
        </w:rPr>
      </w:pPr>
    </w:p>
    <w:p w14:paraId="7D414A2E" w14:textId="1959AE9B" w:rsidR="00FB6B96" w:rsidRPr="00240A69" w:rsidRDefault="00FB6B96"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lastRenderedPageBreak/>
        <w:t xml:space="preserve">The </w:t>
      </w:r>
      <w:r w:rsidR="00ED5C94" w:rsidRPr="00240A69">
        <w:rPr>
          <w:rFonts w:ascii="Arial" w:hAnsi="Arial" w:cs="Arial"/>
        </w:rPr>
        <w:t xml:space="preserve">learned judge </w:t>
      </w:r>
      <w:r w:rsidR="00476226" w:rsidRPr="00240A69">
        <w:rPr>
          <w:rFonts w:ascii="Arial" w:hAnsi="Arial" w:cs="Arial"/>
          <w:i/>
        </w:rPr>
        <w:t>a quo</w:t>
      </w:r>
      <w:r w:rsidR="00476226" w:rsidRPr="00240A69">
        <w:rPr>
          <w:rFonts w:ascii="Arial" w:hAnsi="Arial" w:cs="Arial"/>
        </w:rPr>
        <w:t xml:space="preserve"> </w:t>
      </w:r>
      <w:r w:rsidR="00ED5C94" w:rsidRPr="00240A69">
        <w:rPr>
          <w:rFonts w:ascii="Arial" w:hAnsi="Arial" w:cs="Arial"/>
        </w:rPr>
        <w:t xml:space="preserve">reasoned </w:t>
      </w:r>
      <w:r w:rsidRPr="00240A69">
        <w:rPr>
          <w:rFonts w:ascii="Arial" w:hAnsi="Arial" w:cs="Arial"/>
        </w:rPr>
        <w:t xml:space="preserve">that an applicant seeking a release from trial in terms of </w:t>
      </w:r>
      <w:r w:rsidR="006017A4" w:rsidRPr="00240A69">
        <w:rPr>
          <w:rFonts w:ascii="Arial" w:hAnsi="Arial" w:cs="Arial"/>
        </w:rPr>
        <w:t>A</w:t>
      </w:r>
      <w:r w:rsidR="00743DED" w:rsidRPr="00240A69">
        <w:rPr>
          <w:rFonts w:ascii="Arial" w:hAnsi="Arial" w:cs="Arial"/>
        </w:rPr>
        <w:t>rt</w:t>
      </w:r>
      <w:r w:rsidRPr="00240A69">
        <w:rPr>
          <w:rFonts w:ascii="Arial" w:hAnsi="Arial" w:cs="Arial"/>
        </w:rPr>
        <w:t xml:space="preserve"> 12 (1)(b) of the Constitution must prove at least either the first and second requirements or the first requirement</w:t>
      </w:r>
      <w:r w:rsidR="00354893" w:rsidRPr="00240A69">
        <w:rPr>
          <w:rFonts w:ascii="Arial" w:hAnsi="Arial" w:cs="Arial"/>
        </w:rPr>
        <w:t>,</w:t>
      </w:r>
      <w:r w:rsidRPr="00240A69">
        <w:rPr>
          <w:rFonts w:ascii="Arial" w:hAnsi="Arial" w:cs="Arial"/>
        </w:rPr>
        <w:t xml:space="preserve"> </w:t>
      </w:r>
      <w:r w:rsidR="00354893" w:rsidRPr="00240A69">
        <w:rPr>
          <w:rFonts w:ascii="Arial" w:hAnsi="Arial" w:cs="Arial"/>
        </w:rPr>
        <w:t>and, in addition,</w:t>
      </w:r>
      <w:r w:rsidRPr="00240A69">
        <w:rPr>
          <w:rFonts w:ascii="Arial" w:hAnsi="Arial" w:cs="Arial"/>
        </w:rPr>
        <w:t xml:space="preserve"> exceptional circumstances</w:t>
      </w:r>
      <w:r w:rsidR="00476226" w:rsidRPr="00240A69">
        <w:rPr>
          <w:rFonts w:ascii="Arial" w:hAnsi="Arial" w:cs="Arial"/>
        </w:rPr>
        <w:t xml:space="preserve"> justifying a permanent stay</w:t>
      </w:r>
      <w:r w:rsidR="00354893" w:rsidRPr="00240A69">
        <w:rPr>
          <w:rFonts w:ascii="Arial" w:hAnsi="Arial" w:cs="Arial"/>
        </w:rPr>
        <w:t>.</w:t>
      </w:r>
      <w:r w:rsidRPr="00240A69">
        <w:rPr>
          <w:rFonts w:ascii="Arial" w:hAnsi="Arial" w:cs="Arial"/>
        </w:rPr>
        <w:t xml:space="preserve"> </w:t>
      </w:r>
      <w:r w:rsidR="00354893" w:rsidRPr="00240A69">
        <w:rPr>
          <w:rFonts w:ascii="Arial" w:hAnsi="Arial" w:cs="Arial"/>
        </w:rPr>
        <w:t xml:space="preserve">If he could </w:t>
      </w:r>
      <w:r w:rsidRPr="00240A69">
        <w:rPr>
          <w:rFonts w:ascii="Arial" w:hAnsi="Arial" w:cs="Arial"/>
        </w:rPr>
        <w:t xml:space="preserve">satisfy all three requirements, so much the better. </w:t>
      </w:r>
    </w:p>
    <w:p w14:paraId="4CC7CDF5" w14:textId="77777777" w:rsidR="00FB6B96" w:rsidRPr="00354893" w:rsidRDefault="00FB6B96" w:rsidP="00240A69">
      <w:pPr>
        <w:spacing w:line="480" w:lineRule="auto"/>
        <w:jc w:val="both"/>
        <w:rPr>
          <w:rFonts w:ascii="Arial" w:hAnsi="Arial" w:cs="Arial"/>
        </w:rPr>
      </w:pPr>
    </w:p>
    <w:p w14:paraId="78A4CB1E" w14:textId="208C20F0" w:rsidR="00FB6B96" w:rsidRPr="00240A69" w:rsidRDefault="00354893"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As to the requirement of unreasonableness</w:t>
      </w:r>
      <w:r w:rsidR="00ED5C94" w:rsidRPr="00240A69">
        <w:rPr>
          <w:rFonts w:ascii="Arial" w:hAnsi="Arial" w:cs="Arial"/>
        </w:rPr>
        <w:t>, the</w:t>
      </w:r>
      <w:r w:rsidR="00FB6B96" w:rsidRPr="00240A69">
        <w:rPr>
          <w:rFonts w:ascii="Arial" w:hAnsi="Arial" w:cs="Arial"/>
        </w:rPr>
        <w:t xml:space="preserve"> court </w:t>
      </w:r>
      <w:r w:rsidRPr="00240A69">
        <w:rPr>
          <w:rFonts w:ascii="Arial" w:hAnsi="Arial" w:cs="Arial"/>
        </w:rPr>
        <w:t xml:space="preserve">considered the </w:t>
      </w:r>
      <w:r w:rsidR="00B24770" w:rsidRPr="00240A69">
        <w:rPr>
          <w:rFonts w:ascii="Arial" w:hAnsi="Arial" w:cs="Arial"/>
        </w:rPr>
        <w:t xml:space="preserve">10-year </w:t>
      </w:r>
      <w:r w:rsidRPr="00240A69">
        <w:rPr>
          <w:rFonts w:ascii="Arial" w:hAnsi="Arial" w:cs="Arial"/>
        </w:rPr>
        <w:t xml:space="preserve">period from </w:t>
      </w:r>
      <w:r w:rsidR="00FB6B96" w:rsidRPr="00240A69">
        <w:rPr>
          <w:rFonts w:ascii="Arial" w:hAnsi="Arial" w:cs="Arial"/>
        </w:rPr>
        <w:t xml:space="preserve">arrest on 26 June 2009 until the case was </w:t>
      </w:r>
      <w:r w:rsidRPr="00240A69">
        <w:rPr>
          <w:rFonts w:ascii="Arial" w:hAnsi="Arial" w:cs="Arial"/>
        </w:rPr>
        <w:t>‘</w:t>
      </w:r>
      <w:r w:rsidR="00FB6B96" w:rsidRPr="00240A69">
        <w:rPr>
          <w:rFonts w:ascii="Arial" w:hAnsi="Arial" w:cs="Arial"/>
        </w:rPr>
        <w:t>provisionally</w:t>
      </w:r>
      <w:r w:rsidRPr="00240A69">
        <w:rPr>
          <w:rFonts w:ascii="Arial" w:hAnsi="Arial" w:cs="Arial"/>
        </w:rPr>
        <w:t>’</w:t>
      </w:r>
      <w:r w:rsidR="00FB6B96" w:rsidRPr="00240A69">
        <w:rPr>
          <w:rFonts w:ascii="Arial" w:hAnsi="Arial" w:cs="Arial"/>
        </w:rPr>
        <w:t xml:space="preserve"> withdrawn on 4 August 2014 </w:t>
      </w:r>
      <w:r w:rsidR="00476226" w:rsidRPr="00240A69">
        <w:rPr>
          <w:rFonts w:ascii="Arial" w:hAnsi="Arial" w:cs="Arial"/>
        </w:rPr>
        <w:t>against the backdrop</w:t>
      </w:r>
      <w:r w:rsidR="00FB6B96" w:rsidRPr="00240A69">
        <w:rPr>
          <w:rFonts w:ascii="Arial" w:hAnsi="Arial" w:cs="Arial"/>
        </w:rPr>
        <w:t xml:space="preserve"> that by the end of January 2019</w:t>
      </w:r>
      <w:r w:rsidRPr="00240A69">
        <w:rPr>
          <w:rFonts w:ascii="Arial" w:hAnsi="Arial" w:cs="Arial"/>
        </w:rPr>
        <w:t xml:space="preserve"> no prosecution had occurred. </w:t>
      </w:r>
      <w:r w:rsidR="00FB6B96" w:rsidRPr="00240A69">
        <w:rPr>
          <w:rFonts w:ascii="Arial" w:hAnsi="Arial" w:cs="Arial"/>
        </w:rPr>
        <w:t xml:space="preserve">The court </w:t>
      </w:r>
      <w:r w:rsidR="00476226" w:rsidRPr="00240A69">
        <w:rPr>
          <w:rFonts w:ascii="Arial" w:hAnsi="Arial" w:cs="Arial"/>
        </w:rPr>
        <w:t xml:space="preserve">cautioned itself that it could </w:t>
      </w:r>
      <w:r w:rsidR="00FB6B96" w:rsidRPr="00240A69">
        <w:rPr>
          <w:rFonts w:ascii="Arial" w:hAnsi="Arial" w:cs="Arial"/>
        </w:rPr>
        <w:t>not just look at what seem</w:t>
      </w:r>
      <w:r w:rsidR="00721AFB" w:rsidRPr="00240A69">
        <w:rPr>
          <w:rFonts w:ascii="Arial" w:hAnsi="Arial" w:cs="Arial"/>
        </w:rPr>
        <w:t>ed</w:t>
      </w:r>
      <w:r w:rsidR="00FB6B96" w:rsidRPr="00240A69">
        <w:rPr>
          <w:rFonts w:ascii="Arial" w:hAnsi="Arial" w:cs="Arial"/>
        </w:rPr>
        <w:t>, at first glance, as an extra-ordinary long period of time</w:t>
      </w:r>
      <w:r w:rsidR="00476226" w:rsidRPr="00240A69">
        <w:rPr>
          <w:rFonts w:ascii="Arial" w:hAnsi="Arial" w:cs="Arial"/>
        </w:rPr>
        <w:t xml:space="preserve"> that the matter dragged on</w:t>
      </w:r>
      <w:r w:rsidR="00FB6B96" w:rsidRPr="00240A69">
        <w:rPr>
          <w:rFonts w:ascii="Arial" w:hAnsi="Arial" w:cs="Arial"/>
        </w:rPr>
        <w:t xml:space="preserve">, but that </w:t>
      </w:r>
      <w:r w:rsidR="00476226" w:rsidRPr="00240A69">
        <w:rPr>
          <w:rFonts w:ascii="Arial" w:hAnsi="Arial" w:cs="Arial"/>
        </w:rPr>
        <w:t xml:space="preserve">a proper inquiry involved consideration of </w:t>
      </w:r>
      <w:r w:rsidR="00FB6B96" w:rsidRPr="00240A69">
        <w:rPr>
          <w:rFonts w:ascii="Arial" w:hAnsi="Arial" w:cs="Arial"/>
        </w:rPr>
        <w:t>the reasons for the delay and</w:t>
      </w:r>
      <w:r w:rsidR="00476226" w:rsidRPr="00240A69">
        <w:rPr>
          <w:rFonts w:ascii="Arial" w:hAnsi="Arial" w:cs="Arial"/>
        </w:rPr>
        <w:t xml:space="preserve"> </w:t>
      </w:r>
      <w:r w:rsidR="00FB6B96" w:rsidRPr="00240A69">
        <w:rPr>
          <w:rFonts w:ascii="Arial" w:hAnsi="Arial" w:cs="Arial"/>
        </w:rPr>
        <w:t>distinguish</w:t>
      </w:r>
      <w:r w:rsidR="00743DED" w:rsidRPr="00240A69">
        <w:rPr>
          <w:rFonts w:ascii="Arial" w:hAnsi="Arial" w:cs="Arial"/>
        </w:rPr>
        <w:t>ing</w:t>
      </w:r>
      <w:r w:rsidR="00FB6B96" w:rsidRPr="00240A69">
        <w:rPr>
          <w:rFonts w:ascii="Arial" w:hAnsi="Arial" w:cs="Arial"/>
        </w:rPr>
        <w:t xml:space="preserve"> between systemic delays and delays attribut</w:t>
      </w:r>
      <w:r w:rsidR="00743DED" w:rsidRPr="00240A69">
        <w:rPr>
          <w:rFonts w:ascii="Arial" w:hAnsi="Arial" w:cs="Arial"/>
        </w:rPr>
        <w:t>able to</w:t>
      </w:r>
      <w:r w:rsidR="00FB6B96" w:rsidRPr="00240A69">
        <w:rPr>
          <w:rFonts w:ascii="Arial" w:hAnsi="Arial" w:cs="Arial"/>
        </w:rPr>
        <w:t xml:space="preserve"> an accused</w:t>
      </w:r>
      <w:r w:rsidR="00743DED" w:rsidRPr="00240A69">
        <w:rPr>
          <w:rFonts w:ascii="Arial" w:hAnsi="Arial" w:cs="Arial"/>
        </w:rPr>
        <w:t>.</w:t>
      </w:r>
      <w:r w:rsidR="00FB6B96" w:rsidRPr="00240A69">
        <w:rPr>
          <w:rFonts w:ascii="Arial" w:hAnsi="Arial" w:cs="Arial"/>
        </w:rPr>
        <w:t xml:space="preserve"> </w:t>
      </w:r>
    </w:p>
    <w:p w14:paraId="65113EA0" w14:textId="77777777" w:rsidR="00FB6B96" w:rsidRPr="00354893" w:rsidRDefault="00FB6B96" w:rsidP="00240A69">
      <w:pPr>
        <w:spacing w:line="480" w:lineRule="auto"/>
        <w:jc w:val="both"/>
        <w:rPr>
          <w:rFonts w:ascii="Arial" w:hAnsi="Arial" w:cs="Arial"/>
        </w:rPr>
      </w:pPr>
    </w:p>
    <w:p w14:paraId="6FA70E28" w14:textId="3AD86C9B" w:rsidR="00FB6B96" w:rsidRPr="00240A69" w:rsidRDefault="00476226"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In his analysis, the</w:t>
      </w:r>
      <w:r w:rsidR="00FB6B96" w:rsidRPr="00240A69">
        <w:rPr>
          <w:rFonts w:ascii="Arial" w:hAnsi="Arial" w:cs="Arial"/>
        </w:rPr>
        <w:t xml:space="preserve"> </w:t>
      </w:r>
      <w:r w:rsidRPr="00240A69">
        <w:rPr>
          <w:rFonts w:ascii="Arial" w:hAnsi="Arial" w:cs="Arial"/>
        </w:rPr>
        <w:t>learned judge</w:t>
      </w:r>
      <w:r w:rsidR="00743DED" w:rsidRPr="00240A69">
        <w:rPr>
          <w:rFonts w:ascii="Arial" w:hAnsi="Arial" w:cs="Arial"/>
        </w:rPr>
        <w:t xml:space="preserve"> </w:t>
      </w:r>
      <w:r w:rsidR="00743DED" w:rsidRPr="00240A69">
        <w:rPr>
          <w:rFonts w:ascii="Arial" w:hAnsi="Arial" w:cs="Arial"/>
          <w:i/>
        </w:rPr>
        <w:t>a quo</w:t>
      </w:r>
      <w:r w:rsidR="00FB6B96" w:rsidRPr="00240A69">
        <w:rPr>
          <w:rFonts w:ascii="Arial" w:hAnsi="Arial" w:cs="Arial"/>
        </w:rPr>
        <w:t xml:space="preserve"> divided the entire period, throughout which the </w:t>
      </w:r>
      <w:r w:rsidRPr="00240A69">
        <w:rPr>
          <w:rFonts w:ascii="Arial" w:hAnsi="Arial" w:cs="Arial"/>
        </w:rPr>
        <w:t>first respondent</w:t>
      </w:r>
      <w:r w:rsidR="00FB6B96" w:rsidRPr="00240A69">
        <w:rPr>
          <w:rFonts w:ascii="Arial" w:hAnsi="Arial" w:cs="Arial"/>
        </w:rPr>
        <w:t xml:space="preserve"> was faced with prosecution</w:t>
      </w:r>
      <w:r w:rsidR="00743DED" w:rsidRPr="00240A69">
        <w:rPr>
          <w:rFonts w:ascii="Arial" w:hAnsi="Arial" w:cs="Arial"/>
        </w:rPr>
        <w:t>,</w:t>
      </w:r>
      <w:r w:rsidR="00FB6B96" w:rsidRPr="00240A69">
        <w:rPr>
          <w:rFonts w:ascii="Arial" w:hAnsi="Arial" w:cs="Arial"/>
        </w:rPr>
        <w:t xml:space="preserve"> into two periods, namely the period 26 June 2009 to 4 August 2014 and the period 4 August 2</w:t>
      </w:r>
      <w:r w:rsidR="00B65628" w:rsidRPr="00240A69">
        <w:rPr>
          <w:rFonts w:ascii="Arial" w:hAnsi="Arial" w:cs="Arial"/>
        </w:rPr>
        <w:t>014 to the end of January 2019.</w:t>
      </w:r>
      <w:r w:rsidR="00FB6B96" w:rsidRPr="00240A69">
        <w:rPr>
          <w:rFonts w:ascii="Arial" w:hAnsi="Arial" w:cs="Arial"/>
        </w:rPr>
        <w:t xml:space="preserve"> The court held that up to the date of the </w:t>
      </w:r>
      <w:r w:rsidR="00F0759D" w:rsidRPr="00240A69">
        <w:rPr>
          <w:rFonts w:ascii="Arial" w:hAnsi="Arial" w:cs="Arial"/>
        </w:rPr>
        <w:t>‘</w:t>
      </w:r>
      <w:r w:rsidR="00FB6B96" w:rsidRPr="00240A69">
        <w:rPr>
          <w:rFonts w:ascii="Arial" w:hAnsi="Arial" w:cs="Arial"/>
        </w:rPr>
        <w:t>provisional</w:t>
      </w:r>
      <w:r w:rsidR="00F0759D" w:rsidRPr="00240A69">
        <w:rPr>
          <w:rFonts w:ascii="Arial" w:hAnsi="Arial" w:cs="Arial"/>
        </w:rPr>
        <w:t>’</w:t>
      </w:r>
      <w:r w:rsidR="00FB6B96" w:rsidRPr="00240A69">
        <w:rPr>
          <w:rFonts w:ascii="Arial" w:hAnsi="Arial" w:cs="Arial"/>
        </w:rPr>
        <w:t xml:space="preserve"> withdrawal of the charges, in August 2014, </w:t>
      </w:r>
      <w:r w:rsidR="00F0759D" w:rsidRPr="00240A69">
        <w:rPr>
          <w:rFonts w:ascii="Arial" w:hAnsi="Arial" w:cs="Arial"/>
        </w:rPr>
        <w:t xml:space="preserve">the first respondent </w:t>
      </w:r>
      <w:r w:rsidR="00FB6B96" w:rsidRPr="00240A69">
        <w:rPr>
          <w:rFonts w:ascii="Arial" w:hAnsi="Arial" w:cs="Arial"/>
        </w:rPr>
        <w:t>materia</w:t>
      </w:r>
      <w:r w:rsidR="00F0759D" w:rsidRPr="00240A69">
        <w:rPr>
          <w:rFonts w:ascii="Arial" w:hAnsi="Arial" w:cs="Arial"/>
        </w:rPr>
        <w:t>l</w:t>
      </w:r>
      <w:r w:rsidR="00FB6B96" w:rsidRPr="00240A69">
        <w:rPr>
          <w:rFonts w:ascii="Arial" w:hAnsi="Arial" w:cs="Arial"/>
        </w:rPr>
        <w:t>l</w:t>
      </w:r>
      <w:r w:rsidR="00F0759D" w:rsidRPr="00240A69">
        <w:rPr>
          <w:rFonts w:ascii="Arial" w:hAnsi="Arial" w:cs="Arial"/>
        </w:rPr>
        <w:t>y</w:t>
      </w:r>
      <w:r w:rsidR="00FB6B96" w:rsidRPr="00240A69">
        <w:rPr>
          <w:rFonts w:ascii="Arial" w:hAnsi="Arial" w:cs="Arial"/>
        </w:rPr>
        <w:t xml:space="preserve"> contributed to the initial period of delay</w:t>
      </w:r>
      <w:r w:rsidR="00F0759D" w:rsidRPr="00240A69">
        <w:rPr>
          <w:rFonts w:ascii="Arial" w:hAnsi="Arial" w:cs="Arial"/>
        </w:rPr>
        <w:t xml:space="preserve">, ie </w:t>
      </w:r>
      <w:r w:rsidR="00FB6B96" w:rsidRPr="00240A69">
        <w:rPr>
          <w:rFonts w:ascii="Arial" w:hAnsi="Arial" w:cs="Arial"/>
        </w:rPr>
        <w:t>from August 2011 to July 2012.</w:t>
      </w:r>
      <w:r w:rsidRPr="00240A69">
        <w:rPr>
          <w:rFonts w:ascii="Arial" w:hAnsi="Arial" w:cs="Arial"/>
        </w:rPr>
        <w:t xml:space="preserve"> </w:t>
      </w:r>
      <w:r w:rsidR="00FB6B96" w:rsidRPr="00240A69">
        <w:rPr>
          <w:rFonts w:ascii="Arial" w:hAnsi="Arial" w:cs="Arial"/>
        </w:rPr>
        <w:t xml:space="preserve">The court </w:t>
      </w:r>
      <w:r w:rsidR="00F0759D" w:rsidRPr="00240A69">
        <w:rPr>
          <w:rFonts w:ascii="Arial" w:hAnsi="Arial" w:cs="Arial"/>
        </w:rPr>
        <w:t xml:space="preserve">accordingly </w:t>
      </w:r>
      <w:r w:rsidR="00FB6B96" w:rsidRPr="00240A69">
        <w:rPr>
          <w:rFonts w:ascii="Arial" w:hAnsi="Arial" w:cs="Arial"/>
        </w:rPr>
        <w:t xml:space="preserve">held that the initial period of delay did not amount to actionable unreasonable delay.  </w:t>
      </w:r>
    </w:p>
    <w:p w14:paraId="76D6FFAD" w14:textId="77777777" w:rsidR="00FB6B96" w:rsidRPr="00354893" w:rsidRDefault="00FB6B96" w:rsidP="00240A69">
      <w:pPr>
        <w:spacing w:line="480" w:lineRule="auto"/>
        <w:jc w:val="both"/>
        <w:rPr>
          <w:rFonts w:ascii="Arial" w:hAnsi="Arial" w:cs="Arial"/>
        </w:rPr>
      </w:pPr>
    </w:p>
    <w:p w14:paraId="311B8676" w14:textId="1BCB52D9" w:rsidR="00FB6B96" w:rsidRPr="00240A69" w:rsidRDefault="00FB6B96"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The second part of the delay </w:t>
      </w:r>
      <w:r w:rsidR="00476226" w:rsidRPr="00240A69">
        <w:rPr>
          <w:rFonts w:ascii="Arial" w:hAnsi="Arial" w:cs="Arial"/>
        </w:rPr>
        <w:t xml:space="preserve">concerned </w:t>
      </w:r>
      <w:r w:rsidRPr="00240A69">
        <w:rPr>
          <w:rFonts w:ascii="Arial" w:hAnsi="Arial" w:cs="Arial"/>
        </w:rPr>
        <w:t xml:space="preserve">the period from August 2014 up until the </w:t>
      </w:r>
      <w:r w:rsidR="00F0759D" w:rsidRPr="00240A69">
        <w:rPr>
          <w:rFonts w:ascii="Arial" w:hAnsi="Arial" w:cs="Arial"/>
        </w:rPr>
        <w:t>proceedings in the High Court</w:t>
      </w:r>
      <w:r w:rsidR="00476226" w:rsidRPr="00240A69">
        <w:rPr>
          <w:rFonts w:ascii="Arial" w:hAnsi="Arial" w:cs="Arial"/>
        </w:rPr>
        <w:t>. The judge’</w:t>
      </w:r>
      <w:r w:rsidR="009C7D34" w:rsidRPr="00240A69">
        <w:rPr>
          <w:rFonts w:ascii="Arial" w:hAnsi="Arial" w:cs="Arial"/>
        </w:rPr>
        <w:t>s</w:t>
      </w:r>
      <w:r w:rsidR="00F0759D" w:rsidRPr="00240A69">
        <w:rPr>
          <w:rFonts w:ascii="Arial" w:hAnsi="Arial" w:cs="Arial"/>
        </w:rPr>
        <w:t xml:space="preserve"> </w:t>
      </w:r>
      <w:r w:rsidR="00476226" w:rsidRPr="00240A69">
        <w:rPr>
          <w:rFonts w:ascii="Arial" w:hAnsi="Arial" w:cs="Arial"/>
        </w:rPr>
        <w:t xml:space="preserve">concern here was </w:t>
      </w:r>
      <w:r w:rsidR="00F0759D" w:rsidRPr="00240A69">
        <w:rPr>
          <w:rFonts w:ascii="Arial" w:hAnsi="Arial" w:cs="Arial"/>
        </w:rPr>
        <w:t xml:space="preserve">that </w:t>
      </w:r>
      <w:r w:rsidRPr="00240A69">
        <w:rPr>
          <w:rFonts w:ascii="Arial" w:hAnsi="Arial" w:cs="Arial"/>
        </w:rPr>
        <w:t>the prosecution ha</w:t>
      </w:r>
      <w:r w:rsidR="00F0759D" w:rsidRPr="00240A69">
        <w:rPr>
          <w:rFonts w:ascii="Arial" w:hAnsi="Arial" w:cs="Arial"/>
        </w:rPr>
        <w:t>d</w:t>
      </w:r>
      <w:r w:rsidRPr="00240A69">
        <w:rPr>
          <w:rFonts w:ascii="Arial" w:hAnsi="Arial" w:cs="Arial"/>
        </w:rPr>
        <w:t xml:space="preserve"> not been re-instated despite </w:t>
      </w:r>
      <w:r w:rsidR="00F0759D" w:rsidRPr="00240A69">
        <w:rPr>
          <w:rFonts w:ascii="Arial" w:hAnsi="Arial" w:cs="Arial"/>
        </w:rPr>
        <w:t xml:space="preserve">the first respondent’s </w:t>
      </w:r>
      <w:r w:rsidRPr="00240A69">
        <w:rPr>
          <w:rFonts w:ascii="Arial" w:hAnsi="Arial" w:cs="Arial"/>
        </w:rPr>
        <w:t xml:space="preserve">protestations </w:t>
      </w:r>
      <w:r w:rsidR="00F0759D" w:rsidRPr="00240A69">
        <w:rPr>
          <w:rFonts w:ascii="Arial" w:hAnsi="Arial" w:cs="Arial"/>
        </w:rPr>
        <w:lastRenderedPageBreak/>
        <w:t xml:space="preserve">and the PG’s stance </w:t>
      </w:r>
      <w:r w:rsidR="00721AFB" w:rsidRPr="00240A69">
        <w:rPr>
          <w:rFonts w:ascii="Arial" w:hAnsi="Arial" w:cs="Arial"/>
        </w:rPr>
        <w:t>that all witnesses had</w:t>
      </w:r>
      <w:r w:rsidRPr="00240A69">
        <w:rPr>
          <w:rFonts w:ascii="Arial" w:hAnsi="Arial" w:cs="Arial"/>
        </w:rPr>
        <w:t xml:space="preserve"> in the interim been traced</w:t>
      </w:r>
      <w:r w:rsidR="00F0759D" w:rsidRPr="00240A69">
        <w:rPr>
          <w:rFonts w:ascii="Arial" w:hAnsi="Arial" w:cs="Arial"/>
        </w:rPr>
        <w:t xml:space="preserve"> and would be available once the trial commences and that the co-accused who had gone to study abroad was to return </w:t>
      </w:r>
      <w:r w:rsidR="00B65628" w:rsidRPr="00240A69">
        <w:rPr>
          <w:rFonts w:ascii="Arial" w:hAnsi="Arial" w:cs="Arial"/>
        </w:rPr>
        <w:t xml:space="preserve">to Namibia in 2018. </w:t>
      </w:r>
      <w:r w:rsidR="00476226" w:rsidRPr="00240A69">
        <w:rPr>
          <w:rFonts w:ascii="Arial" w:hAnsi="Arial" w:cs="Arial"/>
        </w:rPr>
        <w:t>The court found signific</w:t>
      </w:r>
      <w:r w:rsidR="00F0759D" w:rsidRPr="00240A69">
        <w:rPr>
          <w:rFonts w:ascii="Arial" w:hAnsi="Arial" w:cs="Arial"/>
        </w:rPr>
        <w:t xml:space="preserve">ance in the fact that a prosecution had not commenced despite the </w:t>
      </w:r>
      <w:r w:rsidR="009409F9" w:rsidRPr="00240A69">
        <w:rPr>
          <w:rFonts w:ascii="Arial" w:hAnsi="Arial" w:cs="Arial"/>
        </w:rPr>
        <w:t>S</w:t>
      </w:r>
      <w:r w:rsidR="00F0759D" w:rsidRPr="00240A69">
        <w:rPr>
          <w:rFonts w:ascii="Arial" w:hAnsi="Arial" w:cs="Arial"/>
        </w:rPr>
        <w:t>tate being ready to proceed</w:t>
      </w:r>
      <w:r w:rsidR="009C7D34" w:rsidRPr="00240A69">
        <w:rPr>
          <w:rFonts w:ascii="Arial" w:hAnsi="Arial" w:cs="Arial"/>
        </w:rPr>
        <w:t>.</w:t>
      </w:r>
    </w:p>
    <w:p w14:paraId="08022507" w14:textId="77777777" w:rsidR="00FB6B96" w:rsidRPr="00354893" w:rsidRDefault="00FB6B96" w:rsidP="00240A69">
      <w:pPr>
        <w:spacing w:line="480" w:lineRule="auto"/>
        <w:jc w:val="both"/>
        <w:rPr>
          <w:rFonts w:ascii="Arial" w:hAnsi="Arial" w:cs="Arial"/>
        </w:rPr>
      </w:pPr>
    </w:p>
    <w:p w14:paraId="41CAC548" w14:textId="62360ED2" w:rsidR="00FB6B96" w:rsidRPr="00240A69" w:rsidRDefault="00F0759D"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 xml:space="preserve">It is that second part of the delay that, according to the </w:t>
      </w:r>
      <w:r w:rsidR="00301B3A" w:rsidRPr="00240A69">
        <w:rPr>
          <w:rFonts w:ascii="Arial" w:hAnsi="Arial" w:cs="Arial"/>
        </w:rPr>
        <w:t xml:space="preserve">judge </w:t>
      </w:r>
      <w:r w:rsidRPr="00240A69">
        <w:rPr>
          <w:rFonts w:ascii="Arial" w:hAnsi="Arial" w:cs="Arial"/>
          <w:i/>
        </w:rPr>
        <w:t>a quo</w:t>
      </w:r>
      <w:r w:rsidRPr="00240A69">
        <w:rPr>
          <w:rFonts w:ascii="Arial" w:hAnsi="Arial" w:cs="Arial"/>
        </w:rPr>
        <w:t xml:space="preserve">, </w:t>
      </w:r>
      <w:r w:rsidR="00FB6B96" w:rsidRPr="00240A69">
        <w:rPr>
          <w:rFonts w:ascii="Arial" w:hAnsi="Arial" w:cs="Arial"/>
        </w:rPr>
        <w:t>is u</w:t>
      </w:r>
      <w:r w:rsidR="00D21C3E" w:rsidRPr="00240A69">
        <w:rPr>
          <w:rFonts w:ascii="Arial" w:hAnsi="Arial" w:cs="Arial"/>
        </w:rPr>
        <w:t xml:space="preserve">nreasonable and </w:t>
      </w:r>
      <w:r w:rsidR="009C7D34" w:rsidRPr="00240A69">
        <w:rPr>
          <w:rFonts w:ascii="Arial" w:hAnsi="Arial" w:cs="Arial"/>
        </w:rPr>
        <w:t xml:space="preserve">amounted to actionable unreasonable delay. </w:t>
      </w:r>
      <w:r w:rsidR="00FB6B96" w:rsidRPr="00240A69">
        <w:rPr>
          <w:rFonts w:ascii="Arial" w:hAnsi="Arial" w:cs="Arial"/>
        </w:rPr>
        <w:t xml:space="preserve">With regard to the question whether the </w:t>
      </w:r>
      <w:r w:rsidR="009C7D34" w:rsidRPr="00240A69">
        <w:rPr>
          <w:rFonts w:ascii="Arial" w:hAnsi="Arial" w:cs="Arial"/>
        </w:rPr>
        <w:t xml:space="preserve">first respondent </w:t>
      </w:r>
      <w:r w:rsidR="00161DEC" w:rsidRPr="00240A69">
        <w:rPr>
          <w:rFonts w:ascii="Arial" w:hAnsi="Arial" w:cs="Arial"/>
        </w:rPr>
        <w:t xml:space="preserve">established </w:t>
      </w:r>
      <w:r w:rsidR="00FB6B96" w:rsidRPr="00240A69">
        <w:rPr>
          <w:rFonts w:ascii="Arial" w:hAnsi="Arial" w:cs="Arial"/>
        </w:rPr>
        <w:t>irreparable trial prejudice</w:t>
      </w:r>
      <w:r w:rsidR="00161DEC" w:rsidRPr="00240A69">
        <w:rPr>
          <w:rFonts w:ascii="Arial" w:hAnsi="Arial" w:cs="Arial"/>
        </w:rPr>
        <w:t xml:space="preserve">, the </w:t>
      </w:r>
      <w:r w:rsidR="009C7D34" w:rsidRPr="00240A69">
        <w:rPr>
          <w:rFonts w:ascii="Arial" w:hAnsi="Arial" w:cs="Arial"/>
        </w:rPr>
        <w:t xml:space="preserve">learned judge </w:t>
      </w:r>
      <w:r w:rsidR="00161DEC" w:rsidRPr="00240A69">
        <w:rPr>
          <w:rFonts w:ascii="Arial" w:hAnsi="Arial" w:cs="Arial"/>
        </w:rPr>
        <w:t xml:space="preserve">reminded </w:t>
      </w:r>
      <w:r w:rsidR="009C7D34" w:rsidRPr="00240A69">
        <w:rPr>
          <w:rFonts w:ascii="Arial" w:hAnsi="Arial" w:cs="Arial"/>
        </w:rPr>
        <w:t xml:space="preserve">himself </w:t>
      </w:r>
      <w:r w:rsidR="00161DEC" w:rsidRPr="00240A69">
        <w:rPr>
          <w:rFonts w:ascii="Arial" w:hAnsi="Arial" w:cs="Arial"/>
        </w:rPr>
        <w:t xml:space="preserve">that the prejudice alleged </w:t>
      </w:r>
      <w:r w:rsidR="00FB6B96" w:rsidRPr="00240A69">
        <w:rPr>
          <w:rFonts w:ascii="Arial" w:hAnsi="Arial" w:cs="Arial"/>
        </w:rPr>
        <w:t>must be trial related</w:t>
      </w:r>
      <w:r w:rsidR="009C7D34" w:rsidRPr="00240A69">
        <w:rPr>
          <w:rFonts w:ascii="Arial" w:hAnsi="Arial" w:cs="Arial"/>
        </w:rPr>
        <w:t xml:space="preserve"> and found that the first respondent did not suffer any trial related prejudice</w:t>
      </w:r>
      <w:r w:rsidR="00FB6B96" w:rsidRPr="00240A69">
        <w:rPr>
          <w:rFonts w:ascii="Arial" w:hAnsi="Arial" w:cs="Arial"/>
        </w:rPr>
        <w:t>.</w:t>
      </w:r>
      <w:r w:rsidR="009C7D34" w:rsidRPr="00240A69">
        <w:rPr>
          <w:rFonts w:ascii="Arial" w:hAnsi="Arial" w:cs="Arial"/>
        </w:rPr>
        <w:t xml:space="preserve"> That finding is also not challenged by way of cross-appeal and</w:t>
      </w:r>
      <w:r w:rsidR="00016954" w:rsidRPr="00240A69">
        <w:rPr>
          <w:rFonts w:ascii="Arial" w:hAnsi="Arial" w:cs="Arial"/>
        </w:rPr>
        <w:t xml:space="preserve"> </w:t>
      </w:r>
      <w:r w:rsidR="009C7D34" w:rsidRPr="00240A69">
        <w:rPr>
          <w:rFonts w:ascii="Arial" w:hAnsi="Arial" w:cs="Arial"/>
        </w:rPr>
        <w:t>s</w:t>
      </w:r>
      <w:r w:rsidR="00016954" w:rsidRPr="00240A69">
        <w:rPr>
          <w:rFonts w:ascii="Arial" w:hAnsi="Arial" w:cs="Arial"/>
        </w:rPr>
        <w:t>ince nothing turn</w:t>
      </w:r>
      <w:r w:rsidR="009C7D34" w:rsidRPr="00240A69">
        <w:rPr>
          <w:rFonts w:ascii="Arial" w:hAnsi="Arial" w:cs="Arial"/>
        </w:rPr>
        <w:t>s</w:t>
      </w:r>
      <w:r w:rsidR="00016954" w:rsidRPr="00240A69">
        <w:rPr>
          <w:rFonts w:ascii="Arial" w:hAnsi="Arial" w:cs="Arial"/>
        </w:rPr>
        <w:t xml:space="preserve"> thereon in this appeal</w:t>
      </w:r>
      <w:r w:rsidR="009C7D34" w:rsidRPr="00240A69">
        <w:rPr>
          <w:rFonts w:ascii="Arial" w:hAnsi="Arial" w:cs="Arial"/>
        </w:rPr>
        <w:t>,</w:t>
      </w:r>
      <w:r w:rsidR="00016954" w:rsidRPr="00240A69">
        <w:rPr>
          <w:rFonts w:ascii="Arial" w:hAnsi="Arial" w:cs="Arial"/>
        </w:rPr>
        <w:t xml:space="preserve"> nothing further needs to be said</w:t>
      </w:r>
      <w:r w:rsidR="009C7D34" w:rsidRPr="00240A69">
        <w:rPr>
          <w:rFonts w:ascii="Arial" w:hAnsi="Arial" w:cs="Arial"/>
        </w:rPr>
        <w:t xml:space="preserve"> about it</w:t>
      </w:r>
      <w:r w:rsidR="00016954" w:rsidRPr="00240A69">
        <w:rPr>
          <w:rFonts w:ascii="Arial" w:hAnsi="Arial" w:cs="Arial"/>
        </w:rPr>
        <w:t>.</w:t>
      </w:r>
    </w:p>
    <w:p w14:paraId="0211B212" w14:textId="77777777" w:rsidR="00FB6B96" w:rsidRPr="00354893" w:rsidRDefault="00FB6B96" w:rsidP="00240A69">
      <w:pPr>
        <w:spacing w:line="480" w:lineRule="auto"/>
        <w:jc w:val="both"/>
        <w:rPr>
          <w:rFonts w:ascii="Arial" w:hAnsi="Arial" w:cs="Arial"/>
        </w:rPr>
      </w:pPr>
    </w:p>
    <w:p w14:paraId="7C872CC3" w14:textId="05D0C3A5" w:rsidR="006E1B1B" w:rsidRPr="00240A69" w:rsidRDefault="00016954" w:rsidP="00240A69">
      <w:pPr>
        <w:pStyle w:val="ListParagraph"/>
        <w:numPr>
          <w:ilvl w:val="0"/>
          <w:numId w:val="6"/>
        </w:numPr>
        <w:spacing w:line="480" w:lineRule="auto"/>
        <w:ind w:left="0" w:firstLine="0"/>
        <w:jc w:val="both"/>
        <w:rPr>
          <w:rFonts w:ascii="Arial" w:hAnsi="Arial" w:cs="Arial"/>
        </w:rPr>
      </w:pPr>
      <w:r w:rsidRPr="00240A69">
        <w:rPr>
          <w:rFonts w:ascii="Arial" w:hAnsi="Arial" w:cs="Arial"/>
        </w:rPr>
        <w:t>On the question</w:t>
      </w:r>
      <w:r w:rsidR="00FB6B96" w:rsidRPr="00240A69">
        <w:rPr>
          <w:rFonts w:ascii="Arial" w:hAnsi="Arial" w:cs="Arial"/>
        </w:rPr>
        <w:t xml:space="preserve"> whether there are exceptional circumstances</w:t>
      </w:r>
      <w:r w:rsidR="00D21C3E" w:rsidRPr="00240A69">
        <w:rPr>
          <w:rFonts w:ascii="Arial" w:hAnsi="Arial" w:cs="Arial"/>
        </w:rPr>
        <w:t>,</w:t>
      </w:r>
      <w:r w:rsidR="00FB6B96" w:rsidRPr="00240A69">
        <w:rPr>
          <w:rFonts w:ascii="Arial" w:hAnsi="Arial" w:cs="Arial"/>
        </w:rPr>
        <w:t xml:space="preserve"> the court </w:t>
      </w:r>
      <w:r w:rsidR="00A542CB" w:rsidRPr="00240A69">
        <w:rPr>
          <w:rFonts w:ascii="Arial" w:hAnsi="Arial" w:cs="Arial"/>
          <w:i/>
        </w:rPr>
        <w:t>a quo</w:t>
      </w:r>
      <w:r w:rsidR="00A542CB" w:rsidRPr="00240A69">
        <w:rPr>
          <w:rFonts w:ascii="Arial" w:hAnsi="Arial" w:cs="Arial"/>
        </w:rPr>
        <w:t xml:space="preserve"> </w:t>
      </w:r>
      <w:r w:rsidR="00FB6B96" w:rsidRPr="00240A69">
        <w:rPr>
          <w:rFonts w:ascii="Arial" w:hAnsi="Arial" w:cs="Arial"/>
        </w:rPr>
        <w:t xml:space="preserve">held that the failure by the prosecution to re-commence the </w:t>
      </w:r>
      <w:r w:rsidR="009C7D34" w:rsidRPr="00240A69">
        <w:rPr>
          <w:rFonts w:ascii="Arial" w:hAnsi="Arial" w:cs="Arial"/>
        </w:rPr>
        <w:t>‘</w:t>
      </w:r>
      <w:r w:rsidR="00FB6B96" w:rsidRPr="00240A69">
        <w:rPr>
          <w:rFonts w:ascii="Arial" w:hAnsi="Arial" w:cs="Arial"/>
        </w:rPr>
        <w:t>provisionally</w:t>
      </w:r>
      <w:r w:rsidR="009C7D34" w:rsidRPr="00240A69">
        <w:rPr>
          <w:rFonts w:ascii="Arial" w:hAnsi="Arial" w:cs="Arial"/>
        </w:rPr>
        <w:t>’</w:t>
      </w:r>
      <w:r w:rsidR="00FB6B96" w:rsidRPr="00240A69">
        <w:rPr>
          <w:rFonts w:ascii="Arial" w:hAnsi="Arial" w:cs="Arial"/>
        </w:rPr>
        <w:t xml:space="preserve"> withdrawn criminal proceedings constitutes such circumstances</w:t>
      </w:r>
      <w:r w:rsidR="009C7D34" w:rsidRPr="00240A69">
        <w:rPr>
          <w:rFonts w:ascii="Arial" w:hAnsi="Arial" w:cs="Arial"/>
        </w:rPr>
        <w:t xml:space="preserve"> and</w:t>
      </w:r>
      <w:r w:rsidRPr="00240A69">
        <w:rPr>
          <w:rFonts w:ascii="Arial" w:hAnsi="Arial" w:cs="Arial"/>
        </w:rPr>
        <w:t xml:space="preserve"> </w:t>
      </w:r>
      <w:r w:rsidR="00FB6B96" w:rsidRPr="00240A69">
        <w:rPr>
          <w:rFonts w:ascii="Arial" w:hAnsi="Arial" w:cs="Arial"/>
        </w:rPr>
        <w:t>that th</w:t>
      </w:r>
      <w:r w:rsidRPr="00240A69">
        <w:rPr>
          <w:rFonts w:ascii="Arial" w:hAnsi="Arial" w:cs="Arial"/>
        </w:rPr>
        <w:t xml:space="preserve">e first respondent established exceptional circumstances in addition to the unreasonable delay. </w:t>
      </w:r>
      <w:r w:rsidR="006E1B1B" w:rsidRPr="00240A69">
        <w:rPr>
          <w:rFonts w:ascii="Arial" w:hAnsi="Arial" w:cs="Arial"/>
        </w:rPr>
        <w:t>As the learned judge observed at para [35] of the judgment:</w:t>
      </w:r>
    </w:p>
    <w:p w14:paraId="59E1E179" w14:textId="77777777" w:rsidR="006E1B1B" w:rsidRDefault="006E1B1B" w:rsidP="00FB6B96">
      <w:pPr>
        <w:spacing w:line="360" w:lineRule="auto"/>
        <w:jc w:val="both"/>
        <w:rPr>
          <w:rFonts w:ascii="Arial" w:hAnsi="Arial" w:cs="Arial"/>
        </w:rPr>
      </w:pPr>
    </w:p>
    <w:p w14:paraId="4993D113" w14:textId="115C9971" w:rsidR="006E1B1B" w:rsidRDefault="006E1B1B" w:rsidP="0065111D">
      <w:pPr>
        <w:spacing w:line="360" w:lineRule="auto"/>
        <w:ind w:left="720"/>
        <w:jc w:val="both"/>
        <w:rPr>
          <w:rFonts w:ascii="Arial" w:hAnsi="Arial" w:cs="Arial"/>
        </w:rPr>
      </w:pPr>
      <w:r w:rsidRPr="006E1B1B">
        <w:rPr>
          <w:rFonts w:ascii="Arial" w:hAnsi="Arial" w:cs="Arial"/>
          <w:sz w:val="22"/>
          <w:szCs w:val="22"/>
        </w:rPr>
        <w:t xml:space="preserve">‘The lackadaisical prosecution which had initially brought with it the suspension of the applicant from active duty, now resulted in his reinstatement, after the provisional withdrawal of the charges, in August 2014. The effect of this must be laid at the door of the first respondent and the manner in which the prosecution has done its work which thus resulted in a situation where a police officer, suspected of corruption and extortion, was allowed to continue to work- now already for some further 4 and a half years- without the serious charges pending against him being reinstated for determination by a court of law. If the prosecution would really have had the interests of the public and those of public safety and security at heart, one would have </w:t>
      </w:r>
      <w:r w:rsidRPr="006E1B1B">
        <w:rPr>
          <w:rFonts w:ascii="Arial" w:hAnsi="Arial" w:cs="Arial"/>
          <w:sz w:val="22"/>
          <w:szCs w:val="22"/>
        </w:rPr>
        <w:lastRenderedPageBreak/>
        <w:t>expected a prompt and vigorous resumption of the prosecution. The State has failed dismally in this regard.</w:t>
      </w:r>
      <w:r>
        <w:rPr>
          <w:rFonts w:ascii="Arial" w:hAnsi="Arial" w:cs="Arial"/>
        </w:rPr>
        <w:t>’</w:t>
      </w:r>
    </w:p>
    <w:p w14:paraId="75E15593" w14:textId="75EBA319" w:rsidR="004C0F95" w:rsidRPr="00C91BAD" w:rsidRDefault="004C0F95" w:rsidP="00B84DFE">
      <w:pPr>
        <w:spacing w:line="480" w:lineRule="auto"/>
        <w:jc w:val="both"/>
        <w:rPr>
          <w:rFonts w:ascii="Arial" w:hAnsi="Arial" w:cs="Arial"/>
        </w:rPr>
      </w:pPr>
    </w:p>
    <w:p w14:paraId="711F0762" w14:textId="7F51E9E5" w:rsidR="00C72381" w:rsidRDefault="00C72381" w:rsidP="00B84DFE">
      <w:pPr>
        <w:spacing w:line="480" w:lineRule="auto"/>
        <w:jc w:val="both"/>
        <w:rPr>
          <w:rFonts w:ascii="Arial" w:hAnsi="Arial" w:cs="Arial"/>
          <w:u w:val="single"/>
          <w:lang w:val="en-US"/>
        </w:rPr>
      </w:pPr>
      <w:r>
        <w:rPr>
          <w:rFonts w:ascii="Arial" w:hAnsi="Arial" w:cs="Arial"/>
          <w:u w:val="single"/>
          <w:lang w:val="en-US"/>
        </w:rPr>
        <w:t>Grounds of appeal</w:t>
      </w:r>
    </w:p>
    <w:p w14:paraId="4E6B2406" w14:textId="7D10F6A2" w:rsidR="00C72381" w:rsidRPr="00240A69" w:rsidRDefault="00AC4550" w:rsidP="00B84DFE">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Amongst others, the grounds of appeal assert that the ‘provisional withdrawal’ of the charges constituted sufficient form o</w:t>
      </w:r>
      <w:r w:rsidR="00E75D10" w:rsidRPr="00240A69">
        <w:rPr>
          <w:rFonts w:ascii="Arial" w:hAnsi="Arial" w:cs="Arial"/>
          <w:lang w:val="en-US"/>
        </w:rPr>
        <w:t>f ‘release’ as contemplated in A</w:t>
      </w:r>
      <w:r w:rsidRPr="00240A69">
        <w:rPr>
          <w:rFonts w:ascii="Arial" w:hAnsi="Arial" w:cs="Arial"/>
          <w:lang w:val="en-US"/>
        </w:rPr>
        <w:t>rt 12(1</w:t>
      </w:r>
      <w:r w:rsidRPr="00227AA4">
        <w:rPr>
          <w:rFonts w:ascii="Arial" w:hAnsi="Arial" w:cs="Arial"/>
          <w:lang w:val="en-US"/>
        </w:rPr>
        <w:t>)(b)</w:t>
      </w:r>
      <w:r w:rsidRPr="00240A69">
        <w:rPr>
          <w:rFonts w:ascii="Arial" w:hAnsi="Arial" w:cs="Arial"/>
          <w:lang w:val="en-US"/>
        </w:rPr>
        <w:t xml:space="preserve"> </w:t>
      </w:r>
      <w:r w:rsidR="00A542CB" w:rsidRPr="00240A69">
        <w:rPr>
          <w:rFonts w:ascii="Arial" w:hAnsi="Arial" w:cs="Arial"/>
          <w:lang w:val="en-US"/>
        </w:rPr>
        <w:t>of the Constitution</w:t>
      </w:r>
      <w:r w:rsidRPr="00240A69">
        <w:rPr>
          <w:rFonts w:ascii="Arial" w:hAnsi="Arial" w:cs="Arial"/>
          <w:lang w:val="en-US"/>
        </w:rPr>
        <w:t xml:space="preserve"> that the High Court misdirected itself in not so finding. The other ground of appeal is that the withdrawal of the charges against the first respondent had the effect that he was no longer ‘an accused person before court’; that he was ‘released from the conditions of bail’</w:t>
      </w:r>
      <w:r w:rsidR="0012127C" w:rsidRPr="00240A69">
        <w:rPr>
          <w:rFonts w:ascii="Arial" w:hAnsi="Arial" w:cs="Arial"/>
          <w:lang w:val="en-US"/>
        </w:rPr>
        <w:t xml:space="preserve">, and that he was released from any obligation to stand trial on any specific charge, date and or time. In other words, in the absence of a decision by the PG to reinstate the criminal charges there existed no criminal charges and or hearing which had to take place within a reasonable time and therefore the subject of a permanent stay of prosecution. </w:t>
      </w:r>
      <w:r w:rsidR="00301B3A" w:rsidRPr="00240A69">
        <w:rPr>
          <w:rFonts w:ascii="Arial" w:hAnsi="Arial" w:cs="Arial"/>
          <w:lang w:val="en-US"/>
        </w:rPr>
        <w:t>A</w:t>
      </w:r>
      <w:r w:rsidR="0012127C" w:rsidRPr="00240A69">
        <w:rPr>
          <w:rFonts w:ascii="Arial" w:hAnsi="Arial" w:cs="Arial"/>
          <w:lang w:val="en-US"/>
        </w:rPr>
        <w:t>ccordingly</w:t>
      </w:r>
      <w:r w:rsidR="00301B3A" w:rsidRPr="00240A69">
        <w:rPr>
          <w:rFonts w:ascii="Arial" w:hAnsi="Arial" w:cs="Arial"/>
          <w:lang w:val="en-US"/>
        </w:rPr>
        <w:t>,</w:t>
      </w:r>
      <w:r w:rsidR="0012127C" w:rsidRPr="00240A69">
        <w:rPr>
          <w:rFonts w:ascii="Arial" w:hAnsi="Arial" w:cs="Arial"/>
          <w:lang w:val="en-US"/>
        </w:rPr>
        <w:t xml:space="preserve"> the first respondent did not have the necessary </w:t>
      </w:r>
      <w:r w:rsidR="0012127C" w:rsidRPr="00240A69">
        <w:rPr>
          <w:rFonts w:ascii="Arial" w:hAnsi="Arial" w:cs="Arial"/>
          <w:i/>
          <w:lang w:val="en-US"/>
        </w:rPr>
        <w:t>locus standi</w:t>
      </w:r>
      <w:r w:rsidR="0012127C" w:rsidRPr="00240A69">
        <w:rPr>
          <w:rFonts w:ascii="Arial" w:hAnsi="Arial" w:cs="Arial"/>
          <w:lang w:val="en-US"/>
        </w:rPr>
        <w:t xml:space="preserve"> to bring an application for permanent stay of prosecution against the PG in terms of </w:t>
      </w:r>
      <w:r w:rsidR="006017A4" w:rsidRPr="00240A69">
        <w:rPr>
          <w:rFonts w:ascii="Arial" w:hAnsi="Arial" w:cs="Arial"/>
          <w:lang w:val="en-US"/>
        </w:rPr>
        <w:t>A</w:t>
      </w:r>
      <w:r w:rsidR="0012127C" w:rsidRPr="00240A69">
        <w:rPr>
          <w:rFonts w:ascii="Arial" w:hAnsi="Arial" w:cs="Arial"/>
          <w:lang w:val="en-US"/>
        </w:rPr>
        <w:t xml:space="preserve">rt 12(1)(a) read with (b). In the absence of extant charges, the first respondent had not made </w:t>
      </w:r>
      <w:r w:rsidR="00A542CB" w:rsidRPr="00240A69">
        <w:rPr>
          <w:rFonts w:ascii="Arial" w:hAnsi="Arial" w:cs="Arial"/>
          <w:lang w:val="en-US"/>
        </w:rPr>
        <w:t xml:space="preserve">out </w:t>
      </w:r>
      <w:r w:rsidR="0012127C" w:rsidRPr="00240A69">
        <w:rPr>
          <w:rFonts w:ascii="Arial" w:hAnsi="Arial" w:cs="Arial"/>
          <w:lang w:val="en-US"/>
        </w:rPr>
        <w:t>the case for a final interdict: (a) a clear and or established right, (b) an injury actually committed or reasonably apprehended; and (c)</w:t>
      </w:r>
      <w:r w:rsidR="00F47FFE" w:rsidRPr="00240A69">
        <w:rPr>
          <w:rFonts w:ascii="Arial" w:hAnsi="Arial" w:cs="Arial"/>
          <w:lang w:val="en-US"/>
        </w:rPr>
        <w:t xml:space="preserve"> the absence of similar protection by any other ordinary remedy</w:t>
      </w:r>
      <w:r w:rsidR="007B64F4" w:rsidRPr="00240A69">
        <w:rPr>
          <w:rFonts w:ascii="Arial" w:hAnsi="Arial" w:cs="Arial"/>
          <w:lang w:val="en-US"/>
        </w:rPr>
        <w:t>.</w:t>
      </w:r>
      <w:r w:rsidR="0012127C" w:rsidRPr="00240A69">
        <w:rPr>
          <w:rFonts w:ascii="Arial" w:hAnsi="Arial" w:cs="Arial"/>
          <w:lang w:val="en-US"/>
        </w:rPr>
        <w:t xml:space="preserve"> It follows that the High Court had no jurisdiction to entertain the relief sought by the first respondent. </w:t>
      </w:r>
    </w:p>
    <w:p w14:paraId="3BFB4B86" w14:textId="77777777" w:rsidR="007B64F4" w:rsidRDefault="007B64F4" w:rsidP="004C0F95">
      <w:pPr>
        <w:spacing w:line="480" w:lineRule="auto"/>
        <w:jc w:val="both"/>
        <w:rPr>
          <w:rFonts w:ascii="Arial" w:hAnsi="Arial" w:cs="Arial"/>
          <w:lang w:val="en-US"/>
        </w:rPr>
      </w:pPr>
    </w:p>
    <w:p w14:paraId="328D21D5" w14:textId="41410559" w:rsidR="007B64F4" w:rsidRPr="00240A69" w:rsidRDefault="007B64F4" w:rsidP="006251F6">
      <w:pPr>
        <w:pStyle w:val="ListParagraph"/>
        <w:numPr>
          <w:ilvl w:val="0"/>
          <w:numId w:val="6"/>
        </w:numPr>
        <w:spacing w:line="480" w:lineRule="auto"/>
        <w:ind w:left="0" w:firstLine="0"/>
        <w:jc w:val="both"/>
        <w:rPr>
          <w:rFonts w:ascii="Arial" w:hAnsi="Arial" w:cs="Arial"/>
          <w:lang w:val="en-US"/>
        </w:rPr>
      </w:pPr>
      <w:r w:rsidRPr="00240A69">
        <w:rPr>
          <w:rFonts w:ascii="Arial" w:hAnsi="Arial" w:cs="Arial"/>
          <w:lang w:val="en-US"/>
        </w:rPr>
        <w:t xml:space="preserve">In light of the conclusion I have come to on this expanded ground of appeal, it is unnecessary to refer to the </w:t>
      </w:r>
      <w:r w:rsidR="00301B3A" w:rsidRPr="00240A69">
        <w:rPr>
          <w:rFonts w:ascii="Arial" w:hAnsi="Arial" w:cs="Arial"/>
          <w:lang w:val="en-US"/>
        </w:rPr>
        <w:t xml:space="preserve">remaining </w:t>
      </w:r>
      <w:r w:rsidRPr="00240A69">
        <w:rPr>
          <w:rFonts w:ascii="Arial" w:hAnsi="Arial" w:cs="Arial"/>
          <w:lang w:val="en-US"/>
        </w:rPr>
        <w:t>grounds of appeal.</w:t>
      </w:r>
    </w:p>
    <w:p w14:paraId="47A77E06" w14:textId="45F381BC" w:rsidR="009A75EE" w:rsidRPr="00240A69" w:rsidRDefault="009A75EE" w:rsidP="00240A69">
      <w:pPr>
        <w:pStyle w:val="ListParagraph"/>
        <w:numPr>
          <w:ilvl w:val="0"/>
          <w:numId w:val="6"/>
        </w:numPr>
        <w:ind w:left="0" w:firstLine="0"/>
        <w:rPr>
          <w:rFonts w:ascii="Arial" w:hAnsi="Arial" w:cs="Arial"/>
          <w:u w:val="single"/>
          <w:lang w:val="en-US"/>
        </w:rPr>
      </w:pPr>
      <w:r w:rsidRPr="00240A69">
        <w:rPr>
          <w:rFonts w:ascii="Arial" w:hAnsi="Arial" w:cs="Arial"/>
          <w:u w:val="single"/>
          <w:lang w:val="en-US"/>
        </w:rPr>
        <w:br w:type="page"/>
      </w:r>
    </w:p>
    <w:p w14:paraId="4A648B00" w14:textId="33D0ECF3" w:rsidR="005E2B46" w:rsidRPr="00C72381" w:rsidRDefault="005E2B46" w:rsidP="004C0F95">
      <w:pPr>
        <w:spacing w:line="480" w:lineRule="auto"/>
        <w:jc w:val="both"/>
        <w:rPr>
          <w:rFonts w:ascii="Arial" w:hAnsi="Arial" w:cs="Arial"/>
          <w:u w:val="single"/>
          <w:lang w:val="en-US"/>
        </w:rPr>
      </w:pPr>
      <w:r>
        <w:rPr>
          <w:rFonts w:ascii="Arial" w:hAnsi="Arial" w:cs="Arial"/>
          <w:u w:val="single"/>
          <w:lang w:val="en-US"/>
        </w:rPr>
        <w:lastRenderedPageBreak/>
        <w:t>The parties’ main submissions</w:t>
      </w:r>
    </w:p>
    <w:p w14:paraId="152DB99E" w14:textId="46C4882F" w:rsidR="005E2B46" w:rsidRDefault="005E2B46" w:rsidP="004C0F95">
      <w:pPr>
        <w:spacing w:line="480" w:lineRule="auto"/>
        <w:jc w:val="both"/>
        <w:rPr>
          <w:rFonts w:ascii="Arial" w:hAnsi="Arial" w:cs="Arial"/>
          <w:i/>
          <w:lang w:val="en-US"/>
        </w:rPr>
      </w:pPr>
      <w:r w:rsidRPr="005E2B46">
        <w:rPr>
          <w:rFonts w:ascii="Arial" w:hAnsi="Arial" w:cs="Arial"/>
          <w:i/>
          <w:lang w:val="en-US"/>
        </w:rPr>
        <w:t>The PG</w:t>
      </w:r>
    </w:p>
    <w:p w14:paraId="2B74C7A2" w14:textId="4F9159DA" w:rsidR="00DF4A83" w:rsidRPr="00240A69" w:rsidRDefault="005E2B46" w:rsidP="006251F6">
      <w:pPr>
        <w:pStyle w:val="ListParagraph"/>
        <w:numPr>
          <w:ilvl w:val="0"/>
          <w:numId w:val="13"/>
        </w:numPr>
        <w:spacing w:line="480" w:lineRule="auto"/>
        <w:ind w:left="0" w:firstLine="0"/>
        <w:jc w:val="both"/>
        <w:rPr>
          <w:rFonts w:ascii="Arial" w:hAnsi="Arial" w:cs="Arial"/>
          <w:lang w:val="en-US"/>
        </w:rPr>
      </w:pPr>
      <w:r w:rsidRPr="00240A69">
        <w:rPr>
          <w:rFonts w:ascii="Arial" w:hAnsi="Arial" w:cs="Arial"/>
          <w:lang w:val="en-US"/>
        </w:rPr>
        <w:t xml:space="preserve">The thrust of the argument by Mr Botes on behalf of the PG is that in the wake of the withdrawal of the charges against the first respondent, he no longer is an accused as contemplated in </w:t>
      </w:r>
      <w:r w:rsidR="006017A4" w:rsidRPr="00240A69">
        <w:rPr>
          <w:rFonts w:ascii="Arial" w:hAnsi="Arial" w:cs="Arial"/>
          <w:lang w:val="en-US"/>
        </w:rPr>
        <w:t>A</w:t>
      </w:r>
      <w:r w:rsidRPr="00240A69">
        <w:rPr>
          <w:rFonts w:ascii="Arial" w:hAnsi="Arial" w:cs="Arial"/>
          <w:lang w:val="en-US"/>
        </w:rPr>
        <w:t xml:space="preserve">rt 12(1)(b) and that the </w:t>
      </w:r>
      <w:r w:rsidR="00301B3A" w:rsidRPr="00240A69">
        <w:rPr>
          <w:rFonts w:ascii="Arial" w:hAnsi="Arial" w:cs="Arial"/>
          <w:lang w:val="en-US"/>
        </w:rPr>
        <w:t>High Court</w:t>
      </w:r>
      <w:r w:rsidRPr="00240A69">
        <w:rPr>
          <w:rFonts w:ascii="Arial" w:hAnsi="Arial" w:cs="Arial"/>
          <w:lang w:val="en-US"/>
        </w:rPr>
        <w:t>, for that reason</w:t>
      </w:r>
      <w:r w:rsidR="00C70B7E" w:rsidRPr="00240A69">
        <w:rPr>
          <w:rFonts w:ascii="Arial" w:hAnsi="Arial" w:cs="Arial"/>
          <w:lang w:val="en-US"/>
        </w:rPr>
        <w:t>,</w:t>
      </w:r>
      <w:r w:rsidRPr="00240A69">
        <w:rPr>
          <w:rFonts w:ascii="Arial" w:hAnsi="Arial" w:cs="Arial"/>
          <w:lang w:val="en-US"/>
        </w:rPr>
        <w:t xml:space="preserve"> lacked jurisdiction to grant the order of permanent stay.</w:t>
      </w:r>
      <w:r w:rsidR="007B64F4" w:rsidRPr="00240A69">
        <w:rPr>
          <w:rFonts w:ascii="Arial" w:hAnsi="Arial" w:cs="Arial"/>
          <w:lang w:val="en-US"/>
        </w:rPr>
        <w:t xml:space="preserve"> According </w:t>
      </w:r>
      <w:r w:rsidR="00FC7F1A" w:rsidRPr="00240A69">
        <w:rPr>
          <w:rFonts w:ascii="Arial" w:hAnsi="Arial" w:cs="Arial"/>
          <w:lang w:val="en-US"/>
        </w:rPr>
        <w:t>to</w:t>
      </w:r>
      <w:r w:rsidR="007B64F4" w:rsidRPr="00240A69">
        <w:rPr>
          <w:rFonts w:ascii="Arial" w:hAnsi="Arial" w:cs="Arial"/>
          <w:lang w:val="en-US"/>
        </w:rPr>
        <w:t xml:space="preserve"> counsel, </w:t>
      </w:r>
      <w:r w:rsidR="007B64F4" w:rsidRPr="00240A69">
        <w:rPr>
          <w:rFonts w:ascii="Arial" w:hAnsi="Arial" w:cs="Arial"/>
        </w:rPr>
        <w:t>t</w:t>
      </w:r>
      <w:r w:rsidR="00DF4A83" w:rsidRPr="00240A69">
        <w:rPr>
          <w:rFonts w:ascii="Arial" w:hAnsi="Arial" w:cs="Arial"/>
        </w:rPr>
        <w:t xml:space="preserve">he effect of </w:t>
      </w:r>
      <w:r w:rsidR="00A542CB" w:rsidRPr="00240A69">
        <w:rPr>
          <w:rFonts w:ascii="Arial" w:hAnsi="Arial" w:cs="Arial"/>
        </w:rPr>
        <w:t>a withdrawal in terms of s</w:t>
      </w:r>
      <w:r w:rsidR="00DF4A83" w:rsidRPr="00240A69">
        <w:rPr>
          <w:rFonts w:ascii="Arial" w:hAnsi="Arial" w:cs="Arial"/>
        </w:rPr>
        <w:t xml:space="preserve"> 6</w:t>
      </w:r>
      <w:r w:rsidR="00DF4A83" w:rsidRPr="00240A69">
        <w:rPr>
          <w:rFonts w:ascii="Arial" w:hAnsi="Arial" w:cs="Arial"/>
          <w:i/>
        </w:rPr>
        <w:t>(a)</w:t>
      </w:r>
      <w:r w:rsidR="00301B3A" w:rsidRPr="00240A69">
        <w:rPr>
          <w:rFonts w:ascii="Arial" w:hAnsi="Arial" w:cs="Arial"/>
          <w:i/>
        </w:rPr>
        <w:t xml:space="preserve"> </w:t>
      </w:r>
      <w:r w:rsidR="00301B3A" w:rsidRPr="00240A69">
        <w:rPr>
          <w:rFonts w:ascii="Arial" w:hAnsi="Arial" w:cs="Arial"/>
        </w:rPr>
        <w:t>of the CPA</w:t>
      </w:r>
      <w:r w:rsidR="00DF4A83" w:rsidRPr="00240A69">
        <w:rPr>
          <w:rFonts w:ascii="Arial" w:hAnsi="Arial" w:cs="Arial"/>
        </w:rPr>
        <w:t xml:space="preserve"> is that the accused is ‘released’ from the charges and </w:t>
      </w:r>
      <w:r w:rsidR="007B64F4" w:rsidRPr="00240A69">
        <w:rPr>
          <w:rFonts w:ascii="Arial" w:hAnsi="Arial" w:cs="Arial"/>
        </w:rPr>
        <w:t>is no longer an ‘accused</w:t>
      </w:r>
      <w:r w:rsidR="00DF4A83" w:rsidRPr="00240A69">
        <w:rPr>
          <w:rFonts w:ascii="Arial" w:hAnsi="Arial" w:cs="Arial"/>
        </w:rPr>
        <w:t xml:space="preserve">’ </w:t>
      </w:r>
      <w:r w:rsidR="007B64F4" w:rsidRPr="00240A69">
        <w:rPr>
          <w:rFonts w:ascii="Arial" w:hAnsi="Arial" w:cs="Arial"/>
        </w:rPr>
        <w:t xml:space="preserve">in terms of </w:t>
      </w:r>
      <w:r w:rsidR="006017A4" w:rsidRPr="00240A69">
        <w:rPr>
          <w:rFonts w:ascii="Arial" w:hAnsi="Arial" w:cs="Arial"/>
        </w:rPr>
        <w:t>A</w:t>
      </w:r>
      <w:r w:rsidR="007B64F4" w:rsidRPr="00240A69">
        <w:rPr>
          <w:rFonts w:ascii="Arial" w:hAnsi="Arial" w:cs="Arial"/>
        </w:rPr>
        <w:t>rt 12(1)(b)</w:t>
      </w:r>
      <w:r w:rsidR="007B64F4" w:rsidRPr="00240A69">
        <w:rPr>
          <w:rFonts w:ascii="Arial" w:hAnsi="Arial" w:cs="Arial"/>
          <w:i/>
        </w:rPr>
        <w:t>.</w:t>
      </w:r>
    </w:p>
    <w:p w14:paraId="471C4CB3" w14:textId="77777777" w:rsidR="00DF4A83" w:rsidRDefault="00DF4A83" w:rsidP="00240A69">
      <w:pPr>
        <w:spacing w:line="360" w:lineRule="auto"/>
        <w:jc w:val="both"/>
        <w:rPr>
          <w:rFonts w:ascii="Arial" w:hAnsi="Arial" w:cs="Arial"/>
        </w:rPr>
      </w:pPr>
    </w:p>
    <w:p w14:paraId="23B74A38" w14:textId="6D348567" w:rsidR="00DF4A83" w:rsidRPr="00240A69" w:rsidRDefault="007B64F4" w:rsidP="006251F6">
      <w:pPr>
        <w:pStyle w:val="ListParagraph"/>
        <w:numPr>
          <w:ilvl w:val="0"/>
          <w:numId w:val="13"/>
        </w:numPr>
        <w:spacing w:line="480" w:lineRule="auto"/>
        <w:ind w:left="0" w:firstLine="0"/>
        <w:jc w:val="both"/>
        <w:rPr>
          <w:rFonts w:ascii="Arial" w:hAnsi="Arial" w:cs="Arial"/>
        </w:rPr>
      </w:pPr>
      <w:r w:rsidRPr="00240A69">
        <w:rPr>
          <w:rFonts w:ascii="Arial" w:hAnsi="Arial" w:cs="Arial"/>
        </w:rPr>
        <w:t xml:space="preserve">Mr Botes further developed the argument to the effect that </w:t>
      </w:r>
      <w:r w:rsidR="00DF4A83" w:rsidRPr="00240A69">
        <w:rPr>
          <w:rFonts w:ascii="Arial" w:hAnsi="Arial" w:cs="Arial"/>
        </w:rPr>
        <w:t>although th</w:t>
      </w:r>
      <w:r w:rsidR="00A542CB" w:rsidRPr="00240A69">
        <w:rPr>
          <w:rFonts w:ascii="Arial" w:hAnsi="Arial" w:cs="Arial"/>
        </w:rPr>
        <w:t>e withdrawal in terms of s</w:t>
      </w:r>
      <w:r w:rsidR="00DF4A83" w:rsidRPr="00240A69">
        <w:rPr>
          <w:rFonts w:ascii="Arial" w:hAnsi="Arial" w:cs="Arial"/>
        </w:rPr>
        <w:t xml:space="preserve"> 6</w:t>
      </w:r>
      <w:r w:rsidR="00DF4A83" w:rsidRPr="00240A69">
        <w:rPr>
          <w:rFonts w:ascii="Arial" w:hAnsi="Arial" w:cs="Arial"/>
          <w:i/>
        </w:rPr>
        <w:t>(a)</w:t>
      </w:r>
      <w:r w:rsidR="00DF4A83" w:rsidRPr="00240A69">
        <w:rPr>
          <w:rFonts w:ascii="Arial" w:hAnsi="Arial" w:cs="Arial"/>
        </w:rPr>
        <w:t xml:space="preserve"> </w:t>
      </w:r>
      <w:r w:rsidRPr="00240A69">
        <w:rPr>
          <w:rFonts w:ascii="Arial" w:hAnsi="Arial" w:cs="Arial"/>
        </w:rPr>
        <w:t xml:space="preserve">of the CPA </w:t>
      </w:r>
      <w:r w:rsidR="00DF4A83" w:rsidRPr="00240A69">
        <w:rPr>
          <w:rFonts w:ascii="Arial" w:hAnsi="Arial" w:cs="Arial"/>
        </w:rPr>
        <w:t xml:space="preserve">does not entitle an accused to a verdict on the charges, such withdrawal is final, in the sense that the prosecution can only again commence after a decision is taken by the </w:t>
      </w:r>
      <w:r w:rsidRPr="00240A69">
        <w:rPr>
          <w:rFonts w:ascii="Arial" w:hAnsi="Arial" w:cs="Arial"/>
        </w:rPr>
        <w:t xml:space="preserve">PG </w:t>
      </w:r>
      <w:r w:rsidR="00DF4A83" w:rsidRPr="00240A69">
        <w:rPr>
          <w:rFonts w:ascii="Arial" w:hAnsi="Arial" w:cs="Arial"/>
        </w:rPr>
        <w:t>to charge such a person, on similar or other charges, and to institute criminal proceedings.</w:t>
      </w:r>
    </w:p>
    <w:p w14:paraId="49A6FBFE" w14:textId="77777777" w:rsidR="00DF4A83" w:rsidRDefault="00DF4A83" w:rsidP="00240A69">
      <w:pPr>
        <w:spacing w:line="480" w:lineRule="auto"/>
        <w:jc w:val="both"/>
        <w:rPr>
          <w:rFonts w:ascii="Arial" w:hAnsi="Arial" w:cs="Arial"/>
        </w:rPr>
      </w:pPr>
    </w:p>
    <w:p w14:paraId="7EBBE893" w14:textId="69248AC1" w:rsidR="00DF4A83" w:rsidRPr="00240A69" w:rsidRDefault="007B64F4" w:rsidP="006251F6">
      <w:pPr>
        <w:pStyle w:val="ListParagraph"/>
        <w:numPr>
          <w:ilvl w:val="0"/>
          <w:numId w:val="13"/>
        </w:numPr>
        <w:spacing w:line="480" w:lineRule="auto"/>
        <w:ind w:left="0" w:firstLine="0"/>
        <w:jc w:val="both"/>
        <w:rPr>
          <w:rFonts w:ascii="Arial" w:hAnsi="Arial" w:cs="Arial"/>
        </w:rPr>
      </w:pPr>
      <w:r w:rsidRPr="00240A69">
        <w:rPr>
          <w:rFonts w:ascii="Arial" w:hAnsi="Arial" w:cs="Arial"/>
        </w:rPr>
        <w:t>As I understood Mr Botes during oral argument, the order made by the High Court in effect rendered meaningless the statutory prescription period of 20 years</w:t>
      </w:r>
      <w:r w:rsidR="005E65AC">
        <w:rPr>
          <w:rStyle w:val="FootnoteReference"/>
          <w:rFonts w:ascii="Arial" w:hAnsi="Arial"/>
        </w:rPr>
        <w:footnoteReference w:id="7"/>
      </w:r>
      <w:r w:rsidRPr="00240A69">
        <w:rPr>
          <w:rFonts w:ascii="Arial" w:hAnsi="Arial" w:cs="Arial"/>
        </w:rPr>
        <w:t xml:space="preserve"> within which the PG can still bring a fresh prosecution after withdrawal of charges. Regard being had to the fact that the prescription period </w:t>
      </w:r>
      <w:r w:rsidR="005E65AC" w:rsidRPr="00240A69">
        <w:rPr>
          <w:rFonts w:ascii="Arial" w:hAnsi="Arial" w:cs="Arial"/>
        </w:rPr>
        <w:t>ha</w:t>
      </w:r>
      <w:r w:rsidR="00301B3A" w:rsidRPr="00240A69">
        <w:rPr>
          <w:rFonts w:ascii="Arial" w:hAnsi="Arial" w:cs="Arial"/>
        </w:rPr>
        <w:t>d</w:t>
      </w:r>
      <w:r w:rsidR="005E65AC" w:rsidRPr="00240A69">
        <w:rPr>
          <w:rFonts w:ascii="Arial" w:hAnsi="Arial" w:cs="Arial"/>
        </w:rPr>
        <w:t xml:space="preserve"> not run out in respect of the offences of which the first respondent is a suspect, he </w:t>
      </w:r>
      <w:r w:rsidR="00DF4A83" w:rsidRPr="00240A69">
        <w:rPr>
          <w:rFonts w:ascii="Arial" w:hAnsi="Arial" w:cs="Arial"/>
        </w:rPr>
        <w:t>failed to establish any of the requirements for a final interdict.</w:t>
      </w:r>
      <w:r w:rsidR="001C6553">
        <w:rPr>
          <w:rStyle w:val="FootnoteReference"/>
          <w:rFonts w:ascii="Arial" w:hAnsi="Arial"/>
        </w:rPr>
        <w:footnoteReference w:id="8"/>
      </w:r>
      <w:r w:rsidR="00DF4A83" w:rsidRPr="00240A69">
        <w:rPr>
          <w:rFonts w:ascii="Arial" w:hAnsi="Arial" w:cs="Arial"/>
        </w:rPr>
        <w:t xml:space="preserve"> </w:t>
      </w:r>
      <w:r w:rsidR="005E65AC" w:rsidRPr="00240A69">
        <w:rPr>
          <w:rFonts w:ascii="Arial" w:hAnsi="Arial" w:cs="Arial"/>
        </w:rPr>
        <w:t xml:space="preserve">In particular, the first respondent </w:t>
      </w:r>
      <w:r w:rsidR="00DF4A83" w:rsidRPr="00240A69">
        <w:rPr>
          <w:rFonts w:ascii="Arial" w:hAnsi="Arial" w:cs="Arial"/>
        </w:rPr>
        <w:t xml:space="preserve">failed to prove an act of injury or interference </w:t>
      </w:r>
      <w:r w:rsidR="005E65AC" w:rsidRPr="00240A69">
        <w:rPr>
          <w:rFonts w:ascii="Arial" w:hAnsi="Arial" w:cs="Arial"/>
        </w:rPr>
        <w:t xml:space="preserve">with a right </w:t>
      </w:r>
      <w:r w:rsidR="00DF4A83" w:rsidRPr="00240A69">
        <w:rPr>
          <w:rFonts w:ascii="Arial" w:hAnsi="Arial" w:cs="Arial"/>
        </w:rPr>
        <w:t xml:space="preserve">or that there is a reasonable apprehension that such an act will be committed having regard to the uncompleted </w:t>
      </w:r>
      <w:r w:rsidR="00DF4A83" w:rsidRPr="00240A69">
        <w:rPr>
          <w:rFonts w:ascii="Arial" w:hAnsi="Arial" w:cs="Arial"/>
        </w:rPr>
        <w:lastRenderedPageBreak/>
        <w:t>prescri</w:t>
      </w:r>
      <w:r w:rsidR="00A542CB" w:rsidRPr="00240A69">
        <w:rPr>
          <w:rFonts w:ascii="Arial" w:hAnsi="Arial" w:cs="Arial"/>
        </w:rPr>
        <w:t>ption period in terms of s</w:t>
      </w:r>
      <w:r w:rsidR="00DF4A83" w:rsidRPr="00240A69">
        <w:rPr>
          <w:rFonts w:ascii="Arial" w:hAnsi="Arial" w:cs="Arial"/>
        </w:rPr>
        <w:t xml:space="preserve"> 18 of the CPA. Unless the first respondent could show injury in the form of an interference with or some other prejudice to a right, he lacked both </w:t>
      </w:r>
      <w:r w:rsidR="00DF4A83" w:rsidRPr="00240A69">
        <w:rPr>
          <w:rFonts w:ascii="Arial" w:hAnsi="Arial" w:cs="Arial"/>
          <w:i/>
        </w:rPr>
        <w:t>locus standi</w:t>
      </w:r>
      <w:r w:rsidR="00DF4A83" w:rsidRPr="00240A69">
        <w:rPr>
          <w:rFonts w:ascii="Arial" w:hAnsi="Arial" w:cs="Arial"/>
        </w:rPr>
        <w:t xml:space="preserve"> and </w:t>
      </w:r>
      <w:r w:rsidR="00301B3A" w:rsidRPr="00240A69">
        <w:rPr>
          <w:rFonts w:ascii="Arial" w:hAnsi="Arial" w:cs="Arial"/>
        </w:rPr>
        <w:t>an essential</w:t>
      </w:r>
      <w:r w:rsidR="00DF4A83" w:rsidRPr="00240A69">
        <w:rPr>
          <w:rFonts w:ascii="Arial" w:hAnsi="Arial" w:cs="Arial"/>
        </w:rPr>
        <w:t xml:space="preserve"> ground </w:t>
      </w:r>
      <w:r w:rsidR="00301B3A" w:rsidRPr="00240A69">
        <w:rPr>
          <w:rFonts w:ascii="Arial" w:hAnsi="Arial" w:cs="Arial"/>
        </w:rPr>
        <w:t>for the granting of an interdict.</w:t>
      </w:r>
    </w:p>
    <w:p w14:paraId="3426348E" w14:textId="77777777" w:rsidR="0076335E" w:rsidRPr="005E65AC" w:rsidRDefault="0076335E" w:rsidP="00240A69">
      <w:pPr>
        <w:spacing w:line="480" w:lineRule="auto"/>
        <w:jc w:val="both"/>
        <w:rPr>
          <w:rFonts w:ascii="Arial" w:hAnsi="Arial" w:cs="Arial"/>
        </w:rPr>
      </w:pPr>
    </w:p>
    <w:p w14:paraId="7719ACF3" w14:textId="2ACC6633" w:rsidR="00DF4A83" w:rsidRPr="00240A69" w:rsidRDefault="00CB7022" w:rsidP="006251F6">
      <w:pPr>
        <w:pStyle w:val="ListParagraph"/>
        <w:numPr>
          <w:ilvl w:val="0"/>
          <w:numId w:val="13"/>
        </w:numPr>
        <w:spacing w:line="480" w:lineRule="auto"/>
        <w:ind w:left="0" w:firstLine="0"/>
        <w:jc w:val="both"/>
        <w:rPr>
          <w:rFonts w:ascii="Arial" w:hAnsi="Arial" w:cs="Arial"/>
        </w:rPr>
      </w:pPr>
      <w:r w:rsidRPr="00240A69">
        <w:rPr>
          <w:rFonts w:ascii="Arial" w:hAnsi="Arial" w:cs="Arial"/>
        </w:rPr>
        <w:t xml:space="preserve">As regards the alleged prejudice related to non-promotion at the workplace, counsel argued that the first respondent’s alternative remedy was </w:t>
      </w:r>
      <w:r w:rsidR="00DF4A83" w:rsidRPr="00240A69">
        <w:rPr>
          <w:rFonts w:ascii="Arial" w:hAnsi="Arial" w:cs="Arial"/>
        </w:rPr>
        <w:t xml:space="preserve">to </w:t>
      </w:r>
      <w:r w:rsidR="00532980" w:rsidRPr="00240A69">
        <w:rPr>
          <w:rFonts w:ascii="Arial" w:hAnsi="Arial" w:cs="Arial"/>
        </w:rPr>
        <w:t>seek remedies under the Labour Act</w:t>
      </w:r>
      <w:r w:rsidR="00996DA2">
        <w:rPr>
          <w:rStyle w:val="FootnoteReference"/>
          <w:rFonts w:ascii="Arial" w:hAnsi="Arial"/>
        </w:rPr>
        <w:footnoteReference w:id="9"/>
      </w:r>
      <w:r w:rsidR="00532980" w:rsidRPr="00240A69">
        <w:rPr>
          <w:rFonts w:ascii="Arial" w:hAnsi="Arial" w:cs="Arial"/>
        </w:rPr>
        <w:t xml:space="preserve"> against the employer. </w:t>
      </w:r>
      <w:r w:rsidR="00172453" w:rsidRPr="00240A69">
        <w:rPr>
          <w:rFonts w:ascii="Arial" w:hAnsi="Arial" w:cs="Arial"/>
        </w:rPr>
        <w:t>Another argument made by</w:t>
      </w:r>
      <w:r w:rsidR="00DF4A83" w:rsidRPr="00240A69">
        <w:rPr>
          <w:rFonts w:ascii="Arial" w:hAnsi="Arial" w:cs="Arial"/>
        </w:rPr>
        <w:t xml:space="preserve"> </w:t>
      </w:r>
      <w:r w:rsidR="00532980" w:rsidRPr="00240A69">
        <w:rPr>
          <w:rFonts w:ascii="Arial" w:hAnsi="Arial" w:cs="Arial"/>
        </w:rPr>
        <w:t>Mr Botes, and</w:t>
      </w:r>
      <w:r w:rsidR="00DF4A83" w:rsidRPr="00240A69">
        <w:rPr>
          <w:rFonts w:ascii="Arial" w:hAnsi="Arial" w:cs="Arial"/>
        </w:rPr>
        <w:t xml:space="preserve">, to the extent that the first respondent believed that the </w:t>
      </w:r>
      <w:r w:rsidR="00532980" w:rsidRPr="00240A69">
        <w:rPr>
          <w:rFonts w:ascii="Arial" w:hAnsi="Arial" w:cs="Arial"/>
        </w:rPr>
        <w:t xml:space="preserve">PG </w:t>
      </w:r>
      <w:r w:rsidR="00DF4A83" w:rsidRPr="00240A69">
        <w:rPr>
          <w:rFonts w:ascii="Arial" w:hAnsi="Arial" w:cs="Arial"/>
        </w:rPr>
        <w:t>failed or neglected her duties to take a decision to prosecute</w:t>
      </w:r>
      <w:r w:rsidR="00532980" w:rsidRPr="00240A69">
        <w:rPr>
          <w:rFonts w:ascii="Arial" w:hAnsi="Arial" w:cs="Arial"/>
        </w:rPr>
        <w:t>,</w:t>
      </w:r>
      <w:r w:rsidR="00DF4A83" w:rsidRPr="00240A69">
        <w:rPr>
          <w:rFonts w:ascii="Arial" w:hAnsi="Arial" w:cs="Arial"/>
        </w:rPr>
        <w:t xml:space="preserve"> was to appl</w:t>
      </w:r>
      <w:r w:rsidR="00532980" w:rsidRPr="00240A69">
        <w:rPr>
          <w:rFonts w:ascii="Arial" w:hAnsi="Arial" w:cs="Arial"/>
        </w:rPr>
        <w:t>y</w:t>
      </w:r>
      <w:r w:rsidR="00DF4A83" w:rsidRPr="00240A69">
        <w:rPr>
          <w:rFonts w:ascii="Arial" w:hAnsi="Arial" w:cs="Arial"/>
        </w:rPr>
        <w:t xml:space="preserve"> for a </w:t>
      </w:r>
      <w:r w:rsidR="00DF4A83" w:rsidRPr="00240A69">
        <w:rPr>
          <w:rFonts w:ascii="Arial" w:hAnsi="Arial" w:cs="Arial"/>
          <w:i/>
        </w:rPr>
        <w:t>mandamus</w:t>
      </w:r>
      <w:r w:rsidR="00DF4A83" w:rsidRPr="00240A69">
        <w:rPr>
          <w:rFonts w:ascii="Arial" w:hAnsi="Arial" w:cs="Arial"/>
        </w:rPr>
        <w:t xml:space="preserve"> compelling </w:t>
      </w:r>
      <w:r w:rsidR="00532980" w:rsidRPr="00240A69">
        <w:rPr>
          <w:rFonts w:ascii="Arial" w:hAnsi="Arial" w:cs="Arial"/>
        </w:rPr>
        <w:t xml:space="preserve">her </w:t>
      </w:r>
      <w:r w:rsidR="00DF4A83" w:rsidRPr="00240A69">
        <w:rPr>
          <w:rFonts w:ascii="Arial" w:hAnsi="Arial" w:cs="Arial"/>
        </w:rPr>
        <w:t xml:space="preserve">to take a decision whether to charge and call him to trial or </w:t>
      </w:r>
      <w:r w:rsidR="00A542CB" w:rsidRPr="00240A69">
        <w:rPr>
          <w:rFonts w:ascii="Arial" w:hAnsi="Arial" w:cs="Arial"/>
        </w:rPr>
        <w:t>to have waited for the PG</w:t>
      </w:r>
      <w:r w:rsidR="00DF4A83" w:rsidRPr="00240A69">
        <w:rPr>
          <w:rFonts w:ascii="Arial" w:hAnsi="Arial" w:cs="Arial"/>
        </w:rPr>
        <w:t xml:space="preserve"> to re-institute prosecution within the statutory prescription period. </w:t>
      </w:r>
      <w:r w:rsidR="00B2675E" w:rsidRPr="00240A69">
        <w:rPr>
          <w:rFonts w:ascii="Arial" w:hAnsi="Arial" w:cs="Arial"/>
        </w:rPr>
        <w:t>This submission</w:t>
      </w:r>
      <w:r w:rsidR="00996DA2" w:rsidRPr="00240A69">
        <w:rPr>
          <w:rFonts w:ascii="Arial" w:hAnsi="Arial" w:cs="Arial"/>
        </w:rPr>
        <w:t xml:space="preserve"> find</w:t>
      </w:r>
      <w:r w:rsidR="00B2675E" w:rsidRPr="00240A69">
        <w:rPr>
          <w:rFonts w:ascii="Arial" w:hAnsi="Arial" w:cs="Arial"/>
        </w:rPr>
        <w:t>s</w:t>
      </w:r>
      <w:r w:rsidR="00996DA2" w:rsidRPr="00240A69">
        <w:rPr>
          <w:rFonts w:ascii="Arial" w:hAnsi="Arial" w:cs="Arial"/>
        </w:rPr>
        <w:t xml:space="preserve"> support in an </w:t>
      </w:r>
      <w:r w:rsidR="00B2675E" w:rsidRPr="00240A69">
        <w:rPr>
          <w:rFonts w:ascii="Arial" w:hAnsi="Arial" w:cs="Arial"/>
        </w:rPr>
        <w:t xml:space="preserve">obiter </w:t>
      </w:r>
      <w:r w:rsidR="00996DA2" w:rsidRPr="00240A69">
        <w:rPr>
          <w:rFonts w:ascii="Arial" w:hAnsi="Arial" w:cs="Arial"/>
        </w:rPr>
        <w:t xml:space="preserve">observation by O’Linn AJA in </w:t>
      </w:r>
      <w:r w:rsidR="00996DA2" w:rsidRPr="00240A69">
        <w:rPr>
          <w:rFonts w:ascii="Arial" w:hAnsi="Arial" w:cs="Arial"/>
          <w:i/>
        </w:rPr>
        <w:t>Myburg</w:t>
      </w:r>
      <w:r w:rsidR="00D361AD" w:rsidRPr="00240A69">
        <w:rPr>
          <w:rFonts w:ascii="Arial" w:hAnsi="Arial" w:cs="Arial"/>
          <w:i/>
        </w:rPr>
        <w:t>h</w:t>
      </w:r>
      <w:r w:rsidR="00A24944" w:rsidRPr="00240A69">
        <w:rPr>
          <w:rFonts w:ascii="Arial" w:hAnsi="Arial" w:cs="Arial"/>
        </w:rPr>
        <w:t>.</w:t>
      </w:r>
      <w:r w:rsidR="00996DA2">
        <w:rPr>
          <w:rStyle w:val="FootnoteReference"/>
          <w:rFonts w:ascii="Arial" w:hAnsi="Arial"/>
        </w:rPr>
        <w:footnoteReference w:id="10"/>
      </w:r>
      <w:r w:rsidR="00B2675E" w:rsidRPr="00240A69">
        <w:rPr>
          <w:rFonts w:ascii="Arial" w:hAnsi="Arial" w:cs="Arial"/>
        </w:rPr>
        <w:t xml:space="preserve"> The issue does not need to be decided in this appeal</w:t>
      </w:r>
      <w:r w:rsidR="00C47BC9" w:rsidRPr="00240A69">
        <w:rPr>
          <w:rFonts w:ascii="Arial" w:hAnsi="Arial" w:cs="Arial"/>
        </w:rPr>
        <w:t xml:space="preserve"> and I reserve any comment whether indeed that is so</w:t>
      </w:r>
      <w:r w:rsidR="00B2675E" w:rsidRPr="00240A69">
        <w:rPr>
          <w:rFonts w:ascii="Arial" w:hAnsi="Arial" w:cs="Arial"/>
        </w:rPr>
        <w:t>.</w:t>
      </w:r>
    </w:p>
    <w:p w14:paraId="1CB9DE3E" w14:textId="77777777" w:rsidR="00F92132" w:rsidRDefault="00F92132" w:rsidP="00240A69">
      <w:pPr>
        <w:spacing w:line="480" w:lineRule="auto"/>
        <w:jc w:val="both"/>
        <w:rPr>
          <w:rFonts w:ascii="Arial" w:hAnsi="Arial" w:cs="Arial"/>
          <w:lang w:val="en-US"/>
        </w:rPr>
      </w:pPr>
    </w:p>
    <w:p w14:paraId="218FB8FB" w14:textId="18809E85" w:rsidR="00F92132" w:rsidRPr="00240A69" w:rsidRDefault="00F92132" w:rsidP="006251F6">
      <w:pPr>
        <w:pStyle w:val="ListParagraph"/>
        <w:numPr>
          <w:ilvl w:val="0"/>
          <w:numId w:val="13"/>
        </w:numPr>
        <w:spacing w:line="480" w:lineRule="auto"/>
        <w:ind w:left="0" w:firstLine="0"/>
        <w:jc w:val="both"/>
        <w:rPr>
          <w:rFonts w:ascii="Arial" w:hAnsi="Arial" w:cs="Arial"/>
          <w:lang w:val="en-US"/>
        </w:rPr>
      </w:pPr>
      <w:r w:rsidRPr="00240A69">
        <w:rPr>
          <w:rFonts w:ascii="Arial" w:hAnsi="Arial" w:cs="Arial"/>
        </w:rPr>
        <w:t xml:space="preserve">Mr Botes </w:t>
      </w:r>
      <w:r w:rsidR="00532980" w:rsidRPr="00240A69">
        <w:rPr>
          <w:rFonts w:ascii="Arial" w:hAnsi="Arial" w:cs="Arial"/>
        </w:rPr>
        <w:t xml:space="preserve">finally </w:t>
      </w:r>
      <w:r w:rsidRPr="00240A69">
        <w:rPr>
          <w:rFonts w:ascii="Arial" w:hAnsi="Arial" w:cs="Arial"/>
        </w:rPr>
        <w:t>argued that there is an important public policy consideration why the approach contended for by the first respondent should be rejected; and it is this: Were it to be decided that a person against whom charges were withdrawn remains an accused who is entitled to the protection of sub-art 12</w:t>
      </w:r>
      <w:r w:rsidR="00C47BC9" w:rsidRPr="00240A69">
        <w:rPr>
          <w:rFonts w:ascii="Arial" w:hAnsi="Arial" w:cs="Arial"/>
        </w:rPr>
        <w:t>(1)</w:t>
      </w:r>
      <w:r w:rsidRPr="00240A69">
        <w:rPr>
          <w:rFonts w:ascii="Arial" w:hAnsi="Arial" w:cs="Arial"/>
        </w:rPr>
        <w:t>(b)</w:t>
      </w:r>
      <w:r w:rsidRPr="00240A69">
        <w:rPr>
          <w:rFonts w:ascii="Arial" w:hAnsi="Arial" w:cs="Arial"/>
          <w:i/>
        </w:rPr>
        <w:t>,</w:t>
      </w:r>
      <w:r w:rsidRPr="00240A69">
        <w:rPr>
          <w:rFonts w:ascii="Arial" w:hAnsi="Arial" w:cs="Arial"/>
        </w:rPr>
        <w:t xml:space="preserve"> it would open the floodgates for anyone against whom charges are withdrawn to seek permanent stay of prosecution</w:t>
      </w:r>
      <w:r w:rsidR="00C47BC9" w:rsidRPr="00240A69">
        <w:rPr>
          <w:rFonts w:ascii="Arial" w:hAnsi="Arial" w:cs="Arial"/>
        </w:rPr>
        <w:t xml:space="preserve"> and thus result in </w:t>
      </w:r>
      <w:r w:rsidR="007917FA" w:rsidRPr="00240A69">
        <w:rPr>
          <w:rFonts w:ascii="Arial" w:hAnsi="Arial" w:cs="Arial"/>
        </w:rPr>
        <w:t>proliferation of litigation</w:t>
      </w:r>
      <w:r w:rsidRPr="00240A69">
        <w:rPr>
          <w:rFonts w:ascii="Arial" w:hAnsi="Arial" w:cs="Arial"/>
        </w:rPr>
        <w:t xml:space="preserve">. </w:t>
      </w:r>
    </w:p>
    <w:p w14:paraId="10E34403" w14:textId="77777777" w:rsidR="00240A69" w:rsidRDefault="00240A69" w:rsidP="00240A69">
      <w:pPr>
        <w:pStyle w:val="ListParagraph"/>
        <w:spacing w:line="480" w:lineRule="auto"/>
        <w:ind w:left="0"/>
        <w:jc w:val="both"/>
        <w:rPr>
          <w:rFonts w:ascii="Arial" w:hAnsi="Arial" w:cs="Arial"/>
          <w:lang w:val="en-US"/>
        </w:rPr>
      </w:pPr>
    </w:p>
    <w:p w14:paraId="1116DEC5" w14:textId="356CD860" w:rsidR="005E2B46" w:rsidRPr="00240A69" w:rsidRDefault="005E2B46" w:rsidP="00240A69">
      <w:pPr>
        <w:pStyle w:val="ListParagraph"/>
        <w:spacing w:line="480" w:lineRule="auto"/>
        <w:ind w:left="0"/>
        <w:jc w:val="both"/>
        <w:rPr>
          <w:rFonts w:ascii="Arial" w:hAnsi="Arial" w:cs="Arial"/>
          <w:i/>
          <w:lang w:val="en-US"/>
        </w:rPr>
      </w:pPr>
      <w:r w:rsidRPr="00240A69">
        <w:rPr>
          <w:rFonts w:ascii="Arial" w:hAnsi="Arial" w:cs="Arial"/>
          <w:i/>
          <w:lang w:val="en-US"/>
        </w:rPr>
        <w:t>The first respondent</w:t>
      </w:r>
    </w:p>
    <w:p w14:paraId="3E188493" w14:textId="64EC219E" w:rsidR="00747710" w:rsidRPr="00240A69" w:rsidRDefault="00747710" w:rsidP="006251F6">
      <w:pPr>
        <w:pStyle w:val="ListParagraph"/>
        <w:numPr>
          <w:ilvl w:val="0"/>
          <w:numId w:val="13"/>
        </w:numPr>
        <w:spacing w:line="480" w:lineRule="auto"/>
        <w:ind w:left="0" w:firstLine="0"/>
        <w:jc w:val="both"/>
        <w:rPr>
          <w:rFonts w:ascii="Arial" w:hAnsi="Arial" w:cs="Arial"/>
          <w:lang w:val="en-US"/>
        </w:rPr>
      </w:pPr>
      <w:r w:rsidRPr="00240A69">
        <w:rPr>
          <w:rFonts w:ascii="Arial" w:hAnsi="Arial" w:cs="Arial"/>
          <w:lang w:val="en-US"/>
        </w:rPr>
        <w:lastRenderedPageBreak/>
        <w:t>Mr Namandje for the</w:t>
      </w:r>
      <w:r w:rsidR="005E2B46" w:rsidRPr="00240A69">
        <w:rPr>
          <w:rFonts w:ascii="Arial" w:hAnsi="Arial" w:cs="Arial"/>
          <w:lang w:val="en-US"/>
        </w:rPr>
        <w:t xml:space="preserve"> first respondent supports the judgment and order of the </w:t>
      </w:r>
      <w:r w:rsidR="00A542CB" w:rsidRPr="00240A69">
        <w:rPr>
          <w:rFonts w:ascii="Arial" w:hAnsi="Arial" w:cs="Arial"/>
          <w:lang w:val="en-US"/>
        </w:rPr>
        <w:t>High Court</w:t>
      </w:r>
      <w:r w:rsidR="005E2B46" w:rsidRPr="00240A69">
        <w:rPr>
          <w:rFonts w:ascii="Arial" w:hAnsi="Arial" w:cs="Arial"/>
          <w:lang w:val="en-US"/>
        </w:rPr>
        <w:t xml:space="preserve">. </w:t>
      </w:r>
      <w:r w:rsidRPr="00240A69">
        <w:rPr>
          <w:rFonts w:ascii="Arial" w:hAnsi="Arial" w:cs="Arial"/>
          <w:lang w:val="en-US"/>
        </w:rPr>
        <w:t xml:space="preserve">According to counsel, </w:t>
      </w:r>
      <w:r w:rsidR="005E2B46" w:rsidRPr="00240A69">
        <w:rPr>
          <w:rFonts w:ascii="Arial" w:hAnsi="Arial" w:cs="Arial"/>
          <w:lang w:val="en-US"/>
        </w:rPr>
        <w:t xml:space="preserve">the PG has </w:t>
      </w:r>
      <w:r w:rsidRPr="00240A69">
        <w:rPr>
          <w:rFonts w:ascii="Arial" w:hAnsi="Arial" w:cs="Arial"/>
          <w:lang w:val="en-US"/>
        </w:rPr>
        <w:t xml:space="preserve">confirmed under oath in her answering affidavit </w:t>
      </w:r>
      <w:r w:rsidR="005E2B46" w:rsidRPr="00240A69">
        <w:rPr>
          <w:rFonts w:ascii="Arial" w:hAnsi="Arial" w:cs="Arial"/>
          <w:lang w:val="en-US"/>
        </w:rPr>
        <w:t xml:space="preserve">that she intends to reinstitute </w:t>
      </w:r>
      <w:r w:rsidR="00996DA2" w:rsidRPr="00240A69">
        <w:rPr>
          <w:rFonts w:ascii="Arial" w:hAnsi="Arial" w:cs="Arial"/>
          <w:lang w:val="en-US"/>
        </w:rPr>
        <w:t>criminal proceedings against the first respondent.</w:t>
      </w:r>
      <w:r w:rsidR="005E2B46" w:rsidRPr="00240A69">
        <w:rPr>
          <w:rFonts w:ascii="Arial" w:hAnsi="Arial" w:cs="Arial"/>
          <w:lang w:val="en-US"/>
        </w:rPr>
        <w:t xml:space="preserve"> </w:t>
      </w:r>
      <w:r w:rsidRPr="00240A69">
        <w:rPr>
          <w:rFonts w:ascii="Arial" w:hAnsi="Arial" w:cs="Arial"/>
        </w:rPr>
        <w:t xml:space="preserve">Permanent stay of prosecution is therefore the most appropriate remedy </w:t>
      </w:r>
      <w:r w:rsidR="00996DA2" w:rsidRPr="00240A69">
        <w:rPr>
          <w:rFonts w:ascii="Arial" w:hAnsi="Arial" w:cs="Arial"/>
        </w:rPr>
        <w:t xml:space="preserve">considering the prejudice that he has suffered on account of the unreasonable delay. </w:t>
      </w:r>
      <w:r w:rsidRPr="00240A69">
        <w:rPr>
          <w:rFonts w:ascii="Arial" w:hAnsi="Arial" w:cs="Arial"/>
        </w:rPr>
        <w:t xml:space="preserve">This is reinforced by the principle that a party has </w:t>
      </w:r>
      <w:r w:rsidRPr="00240A69">
        <w:rPr>
          <w:rFonts w:ascii="Arial" w:hAnsi="Arial" w:cs="Arial"/>
          <w:i/>
        </w:rPr>
        <w:t>locus standi</w:t>
      </w:r>
      <w:r w:rsidRPr="00240A69">
        <w:rPr>
          <w:rFonts w:ascii="Arial" w:hAnsi="Arial" w:cs="Arial"/>
        </w:rPr>
        <w:t xml:space="preserve"> both in respect of </w:t>
      </w:r>
      <w:r w:rsidR="00996DA2" w:rsidRPr="00240A69">
        <w:rPr>
          <w:rFonts w:ascii="Arial" w:hAnsi="Arial" w:cs="Arial"/>
        </w:rPr>
        <w:t xml:space="preserve">an actual </w:t>
      </w:r>
      <w:r w:rsidRPr="00240A69">
        <w:rPr>
          <w:rFonts w:ascii="Arial" w:hAnsi="Arial" w:cs="Arial"/>
        </w:rPr>
        <w:t xml:space="preserve">violation of </w:t>
      </w:r>
      <w:r w:rsidR="00996DA2" w:rsidRPr="00240A69">
        <w:rPr>
          <w:rFonts w:ascii="Arial" w:hAnsi="Arial" w:cs="Arial"/>
        </w:rPr>
        <w:t xml:space="preserve">a </w:t>
      </w:r>
      <w:r w:rsidRPr="00240A69">
        <w:rPr>
          <w:rFonts w:ascii="Arial" w:hAnsi="Arial" w:cs="Arial"/>
        </w:rPr>
        <w:t xml:space="preserve">fundamental right or upon </w:t>
      </w:r>
      <w:r w:rsidR="00996DA2" w:rsidRPr="00240A69">
        <w:rPr>
          <w:rFonts w:ascii="Arial" w:hAnsi="Arial" w:cs="Arial"/>
        </w:rPr>
        <w:t xml:space="preserve">a </w:t>
      </w:r>
      <w:r w:rsidRPr="00240A69">
        <w:rPr>
          <w:rFonts w:ascii="Arial" w:hAnsi="Arial" w:cs="Arial"/>
        </w:rPr>
        <w:t xml:space="preserve">threat of </w:t>
      </w:r>
      <w:r w:rsidR="00996DA2" w:rsidRPr="00240A69">
        <w:rPr>
          <w:rFonts w:ascii="Arial" w:hAnsi="Arial" w:cs="Arial"/>
        </w:rPr>
        <w:t xml:space="preserve">its </w:t>
      </w:r>
      <w:r w:rsidRPr="00240A69">
        <w:rPr>
          <w:rFonts w:ascii="Arial" w:hAnsi="Arial" w:cs="Arial"/>
        </w:rPr>
        <w:t>violation.</w:t>
      </w:r>
      <w:r w:rsidRPr="00747710">
        <w:rPr>
          <w:rStyle w:val="FootnoteReference"/>
          <w:rFonts w:ascii="Arial" w:hAnsi="Arial"/>
        </w:rPr>
        <w:footnoteReference w:id="11"/>
      </w:r>
      <w:r w:rsidRPr="00240A69">
        <w:rPr>
          <w:rFonts w:ascii="Arial" w:hAnsi="Arial" w:cs="Arial"/>
        </w:rPr>
        <w:t xml:space="preserve"> The first respondent is </w:t>
      </w:r>
      <w:r w:rsidR="006017A4" w:rsidRPr="00240A69">
        <w:rPr>
          <w:rFonts w:ascii="Arial" w:hAnsi="Arial" w:cs="Arial"/>
          <w:lang w:val="en-US"/>
        </w:rPr>
        <w:t>therefore covered by A</w:t>
      </w:r>
      <w:r w:rsidR="005E2B46" w:rsidRPr="00240A69">
        <w:rPr>
          <w:rFonts w:ascii="Arial" w:hAnsi="Arial" w:cs="Arial"/>
          <w:lang w:val="en-US"/>
        </w:rPr>
        <w:t>rt 12</w:t>
      </w:r>
      <w:r w:rsidRPr="00240A69">
        <w:rPr>
          <w:rFonts w:ascii="Arial" w:hAnsi="Arial" w:cs="Arial"/>
          <w:lang w:val="en-US"/>
        </w:rPr>
        <w:t>(1</w:t>
      </w:r>
      <w:r w:rsidRPr="00227AA4">
        <w:rPr>
          <w:rFonts w:ascii="Arial" w:hAnsi="Arial" w:cs="Arial"/>
          <w:lang w:val="en-US"/>
        </w:rPr>
        <w:t>)</w:t>
      </w:r>
      <w:r w:rsidR="005E2B46" w:rsidRPr="00227AA4">
        <w:rPr>
          <w:rFonts w:ascii="Arial" w:hAnsi="Arial" w:cs="Arial"/>
          <w:lang w:val="en-US"/>
        </w:rPr>
        <w:t>(b)</w:t>
      </w:r>
      <w:r w:rsidR="00996DA2" w:rsidRPr="00227AA4">
        <w:rPr>
          <w:rFonts w:ascii="Arial" w:hAnsi="Arial" w:cs="Arial"/>
          <w:lang w:val="en-US"/>
        </w:rPr>
        <w:t>.</w:t>
      </w:r>
      <w:r w:rsidR="005E2B46" w:rsidRPr="00240A69">
        <w:rPr>
          <w:rFonts w:ascii="Arial" w:hAnsi="Arial" w:cs="Arial"/>
          <w:lang w:val="en-US"/>
        </w:rPr>
        <w:t xml:space="preserve"> </w:t>
      </w:r>
    </w:p>
    <w:p w14:paraId="78BF1581" w14:textId="77777777" w:rsidR="00747710" w:rsidRDefault="00747710" w:rsidP="00240A69">
      <w:pPr>
        <w:spacing w:line="480" w:lineRule="auto"/>
        <w:jc w:val="both"/>
        <w:rPr>
          <w:rFonts w:ascii="Arial" w:hAnsi="Arial" w:cs="Arial"/>
          <w:lang w:val="en-US"/>
        </w:rPr>
      </w:pPr>
    </w:p>
    <w:p w14:paraId="2FB1053D" w14:textId="1888F766" w:rsidR="00747710" w:rsidRPr="00240A69" w:rsidRDefault="005E2B46" w:rsidP="006251F6">
      <w:pPr>
        <w:pStyle w:val="ListParagraph"/>
        <w:numPr>
          <w:ilvl w:val="0"/>
          <w:numId w:val="13"/>
        </w:numPr>
        <w:spacing w:line="480" w:lineRule="auto"/>
        <w:ind w:left="0" w:firstLine="0"/>
        <w:jc w:val="both"/>
        <w:rPr>
          <w:rFonts w:ascii="Arial" w:hAnsi="Arial" w:cs="Arial"/>
        </w:rPr>
      </w:pPr>
      <w:r w:rsidRPr="00240A69">
        <w:rPr>
          <w:rFonts w:ascii="Arial" w:hAnsi="Arial" w:cs="Arial"/>
          <w:lang w:val="en-US"/>
        </w:rPr>
        <w:t>Mr Namandje also submitted that</w:t>
      </w:r>
      <w:r w:rsidR="00996DA2" w:rsidRPr="00240A69">
        <w:rPr>
          <w:rFonts w:ascii="Arial" w:hAnsi="Arial" w:cs="Arial"/>
          <w:lang w:val="en-US"/>
        </w:rPr>
        <w:t>,</w:t>
      </w:r>
      <w:r w:rsidRPr="00240A69">
        <w:rPr>
          <w:rFonts w:ascii="Arial" w:hAnsi="Arial" w:cs="Arial"/>
          <w:lang w:val="en-US"/>
        </w:rPr>
        <w:t xml:space="preserve"> in any event, it was never the case made </w:t>
      </w:r>
      <w:r w:rsidRPr="00240A69">
        <w:rPr>
          <w:rFonts w:ascii="Arial" w:hAnsi="Arial" w:cs="Arial"/>
          <w:i/>
          <w:lang w:val="en-US"/>
        </w:rPr>
        <w:t>a quo</w:t>
      </w:r>
      <w:r w:rsidRPr="00240A69">
        <w:rPr>
          <w:rFonts w:ascii="Arial" w:hAnsi="Arial" w:cs="Arial"/>
          <w:lang w:val="en-US"/>
        </w:rPr>
        <w:t xml:space="preserve"> by the PG that the first respondent is not an accused within the meaning of sub-art 12(1</w:t>
      </w:r>
      <w:r w:rsidRPr="00227AA4">
        <w:rPr>
          <w:rFonts w:ascii="Arial" w:hAnsi="Arial" w:cs="Arial"/>
          <w:lang w:val="en-US"/>
        </w:rPr>
        <w:t>)(b)</w:t>
      </w:r>
      <w:r w:rsidRPr="00240A69">
        <w:rPr>
          <w:rFonts w:ascii="Arial" w:hAnsi="Arial" w:cs="Arial"/>
          <w:lang w:val="en-US"/>
        </w:rPr>
        <w:t xml:space="preserve"> and that the issue, being raised for the first time on appeal, should not be entertained.</w:t>
      </w:r>
    </w:p>
    <w:p w14:paraId="54215037" w14:textId="77777777" w:rsidR="00A24944" w:rsidRDefault="00A24944" w:rsidP="00747710">
      <w:pPr>
        <w:spacing w:line="480" w:lineRule="auto"/>
        <w:jc w:val="both"/>
        <w:rPr>
          <w:rFonts w:ascii="Arial" w:hAnsi="Arial" w:cs="Arial"/>
        </w:rPr>
      </w:pPr>
    </w:p>
    <w:p w14:paraId="3522B5C0" w14:textId="32B97C53" w:rsidR="00747710" w:rsidRPr="00240A69" w:rsidRDefault="00747710" w:rsidP="006251F6">
      <w:pPr>
        <w:pStyle w:val="ListParagraph"/>
        <w:numPr>
          <w:ilvl w:val="0"/>
          <w:numId w:val="13"/>
        </w:numPr>
        <w:spacing w:line="480" w:lineRule="auto"/>
        <w:ind w:left="0" w:firstLine="0"/>
        <w:jc w:val="both"/>
        <w:rPr>
          <w:rFonts w:ascii="Arial" w:hAnsi="Arial" w:cs="Arial"/>
          <w:i/>
        </w:rPr>
      </w:pPr>
      <w:r w:rsidRPr="00240A69">
        <w:rPr>
          <w:rFonts w:ascii="Arial" w:hAnsi="Arial" w:cs="Arial"/>
        </w:rPr>
        <w:t xml:space="preserve">According to Mr Namandje, the PG is obligated to ensure that accused persons are not exposed to unreasonable delay in </w:t>
      </w:r>
      <w:r w:rsidR="00996DA2" w:rsidRPr="00240A69">
        <w:rPr>
          <w:rFonts w:ascii="Arial" w:hAnsi="Arial" w:cs="Arial"/>
        </w:rPr>
        <w:t xml:space="preserve">criminal </w:t>
      </w:r>
      <w:r w:rsidRPr="00240A69">
        <w:rPr>
          <w:rFonts w:ascii="Arial" w:hAnsi="Arial" w:cs="Arial"/>
        </w:rPr>
        <w:t>prosecution</w:t>
      </w:r>
      <w:r w:rsidR="00996DA2" w:rsidRPr="00240A69">
        <w:rPr>
          <w:rFonts w:ascii="Arial" w:hAnsi="Arial" w:cs="Arial"/>
        </w:rPr>
        <w:t>.</w:t>
      </w:r>
      <w:r w:rsidRPr="00240A69">
        <w:rPr>
          <w:rFonts w:ascii="Arial" w:hAnsi="Arial" w:cs="Arial"/>
        </w:rPr>
        <w:t xml:space="preserve"> That means that both the prosecutor and </w:t>
      </w:r>
      <w:r w:rsidR="00996DA2" w:rsidRPr="00240A69">
        <w:rPr>
          <w:rFonts w:ascii="Arial" w:hAnsi="Arial" w:cs="Arial"/>
        </w:rPr>
        <w:t xml:space="preserve">the </w:t>
      </w:r>
      <w:r w:rsidRPr="00240A69">
        <w:rPr>
          <w:rFonts w:ascii="Arial" w:hAnsi="Arial" w:cs="Arial"/>
        </w:rPr>
        <w:t xml:space="preserve">presiding officer in criminal proceedings must be mindful that they are constitutionally bound to prevent infringement of the right to a trial within a reasonable time. </w:t>
      </w:r>
      <w:r w:rsidR="00996DA2" w:rsidRPr="00240A69">
        <w:rPr>
          <w:rFonts w:ascii="Arial" w:hAnsi="Arial" w:cs="Arial"/>
        </w:rPr>
        <w:t>According to Mr Namandje, on</w:t>
      </w:r>
      <w:r w:rsidRPr="00240A69">
        <w:rPr>
          <w:rFonts w:ascii="Arial" w:hAnsi="Arial" w:cs="Arial"/>
        </w:rPr>
        <w:t xml:space="preserve"> the papers before court, there is no admissible evidence on the availability of witnesses, the materiality of their evidence and the prospects of securing such witn</w:t>
      </w:r>
      <w:r w:rsidR="00F47FFE" w:rsidRPr="00240A69">
        <w:rPr>
          <w:rFonts w:ascii="Arial" w:hAnsi="Arial" w:cs="Arial"/>
        </w:rPr>
        <w:t>esses’ attendance of the trial.</w:t>
      </w:r>
      <w:r w:rsidRPr="00240A69">
        <w:rPr>
          <w:rFonts w:ascii="Arial" w:hAnsi="Arial" w:cs="Arial"/>
        </w:rPr>
        <w:t xml:space="preserve"> In balancing the interests of both parties, permanent stay of prosecution is the most appropriate remedy on the facts of this case.</w:t>
      </w:r>
      <w:r w:rsidRPr="00E63FA0">
        <w:rPr>
          <w:rStyle w:val="FootnoteReference"/>
          <w:rFonts w:ascii="Arial" w:hAnsi="Arial"/>
        </w:rPr>
        <w:footnoteReference w:id="12"/>
      </w:r>
      <w:r w:rsidRPr="00240A69">
        <w:rPr>
          <w:rFonts w:ascii="Arial" w:hAnsi="Arial" w:cs="Arial"/>
          <w:i/>
        </w:rPr>
        <w:t xml:space="preserve"> </w:t>
      </w:r>
    </w:p>
    <w:p w14:paraId="5987BB20" w14:textId="77777777" w:rsidR="00240A69" w:rsidRPr="00747710" w:rsidRDefault="00240A69" w:rsidP="00747710">
      <w:pPr>
        <w:spacing w:line="480" w:lineRule="auto"/>
        <w:jc w:val="both"/>
        <w:rPr>
          <w:rFonts w:ascii="Arial" w:hAnsi="Arial" w:cs="Arial"/>
        </w:rPr>
      </w:pPr>
    </w:p>
    <w:p w14:paraId="074AAEB9" w14:textId="178EE969" w:rsidR="00747710" w:rsidRPr="00500DE3" w:rsidRDefault="00747710" w:rsidP="006251F6">
      <w:pPr>
        <w:pStyle w:val="ListParagraph"/>
        <w:numPr>
          <w:ilvl w:val="0"/>
          <w:numId w:val="13"/>
        </w:numPr>
        <w:spacing w:line="480" w:lineRule="auto"/>
        <w:ind w:left="0" w:firstLine="0"/>
        <w:jc w:val="both"/>
        <w:rPr>
          <w:rFonts w:ascii="Arial" w:hAnsi="Arial" w:cs="Arial"/>
          <w:color w:val="000000" w:themeColor="text1"/>
        </w:rPr>
      </w:pPr>
      <w:r w:rsidRPr="00500DE3">
        <w:rPr>
          <w:rFonts w:ascii="Arial" w:hAnsi="Arial" w:cs="Arial"/>
        </w:rPr>
        <w:t xml:space="preserve">Mr Namandje submitted that there is no basis for this court to interfere with the order made by the court </w:t>
      </w:r>
      <w:r w:rsidRPr="00500DE3">
        <w:rPr>
          <w:rFonts w:ascii="Arial" w:hAnsi="Arial" w:cs="Arial"/>
          <w:i/>
        </w:rPr>
        <w:t>a quo</w:t>
      </w:r>
      <w:r w:rsidRPr="00500DE3">
        <w:rPr>
          <w:rFonts w:ascii="Arial" w:hAnsi="Arial" w:cs="Arial"/>
        </w:rPr>
        <w:t xml:space="preserve">. As a matter of </w:t>
      </w:r>
      <w:r w:rsidR="00FC7F1A" w:rsidRPr="00500DE3">
        <w:rPr>
          <w:rFonts w:ascii="Arial" w:hAnsi="Arial" w:cs="Arial"/>
        </w:rPr>
        <w:t>fact</w:t>
      </w:r>
      <w:r w:rsidR="007917FA" w:rsidRPr="00500DE3">
        <w:rPr>
          <w:rFonts w:ascii="Arial" w:hAnsi="Arial" w:cs="Arial"/>
        </w:rPr>
        <w:t>,</w:t>
      </w:r>
      <w:r w:rsidRPr="00500DE3">
        <w:rPr>
          <w:rFonts w:ascii="Arial" w:hAnsi="Arial" w:cs="Arial"/>
        </w:rPr>
        <w:t xml:space="preserve"> and law, the first respondent’s trial did not proceed within a reasonable time and that was the basis of the second respondent’s refusal to </w:t>
      </w:r>
      <w:r w:rsidR="00996DA2" w:rsidRPr="00500DE3">
        <w:rPr>
          <w:rFonts w:ascii="Arial" w:hAnsi="Arial" w:cs="Arial"/>
        </w:rPr>
        <w:t xml:space="preserve">further </w:t>
      </w:r>
      <w:r w:rsidRPr="00500DE3">
        <w:rPr>
          <w:rFonts w:ascii="Arial" w:hAnsi="Arial" w:cs="Arial"/>
        </w:rPr>
        <w:t xml:space="preserve">remand the matter </w:t>
      </w:r>
      <w:r w:rsidR="00E63FA0" w:rsidRPr="00500DE3">
        <w:rPr>
          <w:rFonts w:ascii="Arial" w:hAnsi="Arial" w:cs="Arial"/>
        </w:rPr>
        <w:t>in</w:t>
      </w:r>
      <w:r w:rsidRPr="00500DE3">
        <w:rPr>
          <w:rFonts w:ascii="Arial" w:hAnsi="Arial" w:cs="Arial"/>
        </w:rPr>
        <w:t xml:space="preserve"> August 2014. Counsel posited that the period of delay </w:t>
      </w:r>
      <w:r w:rsidR="00996DA2" w:rsidRPr="00500DE3">
        <w:rPr>
          <w:rFonts w:ascii="Arial" w:hAnsi="Arial" w:cs="Arial"/>
        </w:rPr>
        <w:t xml:space="preserve">is </w:t>
      </w:r>
      <w:r w:rsidRPr="00500DE3">
        <w:rPr>
          <w:rFonts w:ascii="Arial" w:hAnsi="Arial" w:cs="Arial"/>
        </w:rPr>
        <w:t xml:space="preserve">exacerbated by the </w:t>
      </w:r>
      <w:r w:rsidR="00996DA2" w:rsidRPr="00500DE3">
        <w:rPr>
          <w:rFonts w:ascii="Arial" w:hAnsi="Arial" w:cs="Arial"/>
        </w:rPr>
        <w:t>PG’s</w:t>
      </w:r>
      <w:r w:rsidR="00E63FA0" w:rsidRPr="00500DE3">
        <w:rPr>
          <w:rFonts w:ascii="Arial" w:hAnsi="Arial" w:cs="Arial"/>
        </w:rPr>
        <w:t xml:space="preserve"> failure to</w:t>
      </w:r>
      <w:r w:rsidR="00E32AEE" w:rsidRPr="00500DE3">
        <w:rPr>
          <w:rFonts w:ascii="Arial" w:hAnsi="Arial" w:cs="Arial"/>
        </w:rPr>
        <w:t xml:space="preserve"> </w:t>
      </w:r>
      <w:r w:rsidRPr="00500DE3">
        <w:rPr>
          <w:rFonts w:ascii="Arial" w:hAnsi="Arial" w:cs="Arial"/>
        </w:rPr>
        <w:t>‘re-</w:t>
      </w:r>
      <w:r w:rsidR="00FC7F1A" w:rsidRPr="00500DE3">
        <w:rPr>
          <w:rFonts w:ascii="Arial" w:hAnsi="Arial" w:cs="Arial"/>
        </w:rPr>
        <w:t>enrol</w:t>
      </w:r>
      <w:r w:rsidRPr="00500DE3">
        <w:rPr>
          <w:rFonts w:ascii="Arial" w:hAnsi="Arial" w:cs="Arial"/>
        </w:rPr>
        <w:t xml:space="preserve">’ the matter despite her proclaimed desire to do so. Maintaining that first respondent cannot be promoted at work while the charges remain </w:t>
      </w:r>
      <w:r w:rsidR="007917FA" w:rsidRPr="00500DE3">
        <w:rPr>
          <w:rFonts w:ascii="Arial" w:hAnsi="Arial" w:cs="Arial"/>
        </w:rPr>
        <w:t>‘</w:t>
      </w:r>
      <w:r w:rsidRPr="00500DE3">
        <w:rPr>
          <w:rFonts w:ascii="Arial" w:hAnsi="Arial" w:cs="Arial"/>
        </w:rPr>
        <w:t>provisionally</w:t>
      </w:r>
      <w:r w:rsidR="007917FA" w:rsidRPr="00500DE3">
        <w:rPr>
          <w:rFonts w:ascii="Arial" w:hAnsi="Arial" w:cs="Arial"/>
        </w:rPr>
        <w:t>’</w:t>
      </w:r>
      <w:r w:rsidRPr="00500DE3">
        <w:rPr>
          <w:rFonts w:ascii="Arial" w:hAnsi="Arial" w:cs="Arial"/>
        </w:rPr>
        <w:t xml:space="preserve"> withdrawn, </w:t>
      </w:r>
      <w:r w:rsidR="0031207A" w:rsidRPr="00500DE3">
        <w:rPr>
          <w:rFonts w:ascii="Arial" w:hAnsi="Arial" w:cs="Arial"/>
        </w:rPr>
        <w:t xml:space="preserve">counsel submitted that </w:t>
      </w:r>
      <w:r w:rsidRPr="00500DE3">
        <w:rPr>
          <w:rFonts w:ascii="Arial" w:hAnsi="Arial" w:cs="Arial"/>
        </w:rPr>
        <w:t xml:space="preserve">the only appropriate remedy from which the </w:t>
      </w:r>
      <w:r w:rsidR="0031207A" w:rsidRPr="00500DE3">
        <w:rPr>
          <w:rFonts w:ascii="Arial" w:hAnsi="Arial" w:cs="Arial"/>
        </w:rPr>
        <w:t xml:space="preserve">first respondent </w:t>
      </w:r>
      <w:r w:rsidRPr="00500DE3">
        <w:rPr>
          <w:rFonts w:ascii="Arial" w:hAnsi="Arial" w:cs="Arial"/>
        </w:rPr>
        <w:t xml:space="preserve">will obtain practical benefit and to prevent further violation of his rights, is </w:t>
      </w:r>
      <w:r w:rsidR="0031207A" w:rsidRPr="00500DE3">
        <w:rPr>
          <w:rFonts w:ascii="Arial" w:hAnsi="Arial" w:cs="Arial"/>
        </w:rPr>
        <w:t xml:space="preserve">a </w:t>
      </w:r>
      <w:r w:rsidRPr="00500DE3">
        <w:rPr>
          <w:rFonts w:ascii="Arial" w:hAnsi="Arial" w:cs="Arial"/>
        </w:rPr>
        <w:t>permanent stay of prosecution</w:t>
      </w:r>
      <w:r w:rsidRPr="00500DE3">
        <w:rPr>
          <w:rFonts w:ascii="Arial" w:hAnsi="Arial" w:cs="Arial"/>
          <w:color w:val="000000" w:themeColor="text1"/>
        </w:rPr>
        <w:t xml:space="preserve">. </w:t>
      </w:r>
    </w:p>
    <w:p w14:paraId="2D3B5288" w14:textId="77777777" w:rsidR="00500DE3" w:rsidRDefault="00500DE3" w:rsidP="00500DE3">
      <w:pPr>
        <w:pStyle w:val="ListParagraph"/>
        <w:spacing w:line="480" w:lineRule="auto"/>
        <w:ind w:left="0"/>
        <w:jc w:val="both"/>
        <w:rPr>
          <w:rFonts w:ascii="Arial" w:hAnsi="Arial" w:cs="Arial"/>
          <w:color w:val="000000" w:themeColor="text1"/>
          <w:u w:val="single"/>
          <w:lang w:val="en-US"/>
        </w:rPr>
      </w:pPr>
    </w:p>
    <w:p w14:paraId="609CE455" w14:textId="0DBEC98D" w:rsidR="004C0F95" w:rsidRPr="00500DE3" w:rsidRDefault="004C0F95" w:rsidP="00500DE3">
      <w:pPr>
        <w:pStyle w:val="ListParagraph"/>
        <w:spacing w:line="480" w:lineRule="auto"/>
        <w:ind w:left="0"/>
        <w:jc w:val="both"/>
        <w:rPr>
          <w:rFonts w:ascii="Arial" w:hAnsi="Arial" w:cs="Arial"/>
          <w:color w:val="000000" w:themeColor="text1"/>
          <w:u w:val="single"/>
          <w:lang w:val="en-US"/>
        </w:rPr>
      </w:pPr>
      <w:r w:rsidRPr="00500DE3">
        <w:rPr>
          <w:rFonts w:ascii="Arial" w:hAnsi="Arial" w:cs="Arial"/>
          <w:color w:val="000000" w:themeColor="text1"/>
          <w:u w:val="single"/>
          <w:lang w:val="en-US"/>
        </w:rPr>
        <w:t>Discussion</w:t>
      </w:r>
    </w:p>
    <w:p w14:paraId="5D7FFBAE" w14:textId="06213E72" w:rsidR="00747710" w:rsidRPr="00500DE3" w:rsidRDefault="00747710" w:rsidP="006251F6">
      <w:pPr>
        <w:pStyle w:val="ListParagraph"/>
        <w:numPr>
          <w:ilvl w:val="0"/>
          <w:numId w:val="13"/>
        </w:numPr>
        <w:spacing w:line="480" w:lineRule="auto"/>
        <w:ind w:left="0" w:firstLine="0"/>
        <w:jc w:val="both"/>
        <w:rPr>
          <w:rFonts w:ascii="Arial" w:eastAsia="Times New Roman" w:hAnsi="Arial" w:cs="Arial"/>
          <w:color w:val="000000" w:themeColor="text1"/>
          <w:lang w:eastAsia="en-GB"/>
        </w:rPr>
      </w:pPr>
      <w:r w:rsidRPr="00500DE3">
        <w:rPr>
          <w:rFonts w:ascii="Arial" w:eastAsia="Times New Roman" w:hAnsi="Arial" w:cs="Arial"/>
          <w:color w:val="000000" w:themeColor="text1"/>
          <w:lang w:eastAsia="en-GB"/>
        </w:rPr>
        <w:t xml:space="preserve">As must be apparent from </w:t>
      </w:r>
      <w:r w:rsidR="00321FE4" w:rsidRPr="00500DE3">
        <w:rPr>
          <w:rFonts w:ascii="Arial" w:eastAsia="Times New Roman" w:hAnsi="Arial" w:cs="Arial"/>
          <w:color w:val="000000" w:themeColor="text1"/>
          <w:lang w:eastAsia="en-GB"/>
        </w:rPr>
        <w:t>the</w:t>
      </w:r>
      <w:r w:rsidRPr="00500DE3">
        <w:rPr>
          <w:rFonts w:ascii="Arial" w:eastAsia="Times New Roman" w:hAnsi="Arial" w:cs="Arial"/>
          <w:color w:val="000000" w:themeColor="text1"/>
          <w:lang w:eastAsia="en-GB"/>
        </w:rPr>
        <w:t xml:space="preserve"> summary of the grounds of appeal and argument </w:t>
      </w:r>
      <w:r w:rsidR="00321FE4" w:rsidRPr="00500DE3">
        <w:rPr>
          <w:rFonts w:ascii="Arial" w:eastAsia="Times New Roman" w:hAnsi="Arial" w:cs="Arial"/>
          <w:color w:val="000000" w:themeColor="text1"/>
          <w:lang w:eastAsia="en-GB"/>
        </w:rPr>
        <w:t>on appeal, the gravamen of the PG’s contention on appeal is that the first respondent was no</w:t>
      </w:r>
      <w:r w:rsidR="0031207A" w:rsidRPr="00500DE3">
        <w:rPr>
          <w:rFonts w:ascii="Arial" w:eastAsia="Times New Roman" w:hAnsi="Arial" w:cs="Arial"/>
          <w:color w:val="000000" w:themeColor="text1"/>
          <w:lang w:eastAsia="en-GB"/>
        </w:rPr>
        <w:t xml:space="preserve"> longer</w:t>
      </w:r>
      <w:r w:rsidR="00321FE4" w:rsidRPr="00500DE3">
        <w:rPr>
          <w:rFonts w:ascii="Arial" w:eastAsia="Times New Roman" w:hAnsi="Arial" w:cs="Arial"/>
          <w:color w:val="000000" w:themeColor="text1"/>
          <w:lang w:eastAsia="en-GB"/>
        </w:rPr>
        <w:t xml:space="preserve"> an </w:t>
      </w:r>
      <w:r w:rsidR="0031207A" w:rsidRPr="00500DE3">
        <w:rPr>
          <w:rFonts w:ascii="Arial" w:eastAsia="Times New Roman" w:hAnsi="Arial" w:cs="Arial"/>
          <w:color w:val="000000" w:themeColor="text1"/>
          <w:lang w:eastAsia="en-GB"/>
        </w:rPr>
        <w:t>‘</w:t>
      </w:r>
      <w:r w:rsidR="00321FE4" w:rsidRPr="00500DE3">
        <w:rPr>
          <w:rFonts w:ascii="Arial" w:eastAsia="Times New Roman" w:hAnsi="Arial" w:cs="Arial"/>
          <w:color w:val="000000" w:themeColor="text1"/>
          <w:lang w:eastAsia="en-GB"/>
        </w:rPr>
        <w:t>accused</w:t>
      </w:r>
      <w:r w:rsidR="0031207A" w:rsidRPr="00500DE3">
        <w:rPr>
          <w:rFonts w:ascii="Arial" w:eastAsia="Times New Roman" w:hAnsi="Arial" w:cs="Arial"/>
          <w:color w:val="000000" w:themeColor="text1"/>
          <w:lang w:eastAsia="en-GB"/>
        </w:rPr>
        <w:t>’</w:t>
      </w:r>
      <w:r w:rsidR="00E63FA0" w:rsidRPr="00500DE3">
        <w:rPr>
          <w:rFonts w:ascii="Arial" w:eastAsia="Times New Roman" w:hAnsi="Arial" w:cs="Arial"/>
          <w:color w:val="000000" w:themeColor="text1"/>
          <w:lang w:eastAsia="en-GB"/>
        </w:rPr>
        <w:t xml:space="preserve"> </w:t>
      </w:r>
      <w:r w:rsidR="00321FE4" w:rsidRPr="00500DE3">
        <w:rPr>
          <w:rFonts w:ascii="Arial" w:eastAsia="Times New Roman" w:hAnsi="Arial" w:cs="Arial"/>
          <w:color w:val="000000" w:themeColor="text1"/>
          <w:lang w:eastAsia="en-GB"/>
        </w:rPr>
        <w:t xml:space="preserve">when he brought the application in the High Court and that for that reason it was incompetent for the </w:t>
      </w:r>
      <w:r w:rsidR="0031207A" w:rsidRPr="00500DE3">
        <w:rPr>
          <w:rFonts w:ascii="Arial" w:eastAsia="Times New Roman" w:hAnsi="Arial" w:cs="Arial"/>
          <w:color w:val="000000" w:themeColor="text1"/>
          <w:lang w:eastAsia="en-GB"/>
        </w:rPr>
        <w:t>High Court</w:t>
      </w:r>
      <w:r w:rsidR="00321FE4" w:rsidRPr="00500DE3">
        <w:rPr>
          <w:rFonts w:ascii="Arial" w:eastAsia="Times New Roman" w:hAnsi="Arial" w:cs="Arial"/>
          <w:color w:val="000000" w:themeColor="text1"/>
          <w:lang w:eastAsia="en-GB"/>
        </w:rPr>
        <w:t xml:space="preserve"> to grant the order of permanent stay of p</w:t>
      </w:r>
      <w:r w:rsidR="006017A4" w:rsidRPr="00500DE3">
        <w:rPr>
          <w:rFonts w:ascii="Arial" w:eastAsia="Times New Roman" w:hAnsi="Arial" w:cs="Arial"/>
          <w:color w:val="000000" w:themeColor="text1"/>
          <w:lang w:eastAsia="en-GB"/>
        </w:rPr>
        <w:t>rosecution predicated on A</w:t>
      </w:r>
      <w:r w:rsidR="00321FE4" w:rsidRPr="00500DE3">
        <w:rPr>
          <w:rFonts w:ascii="Arial" w:eastAsia="Times New Roman" w:hAnsi="Arial" w:cs="Arial"/>
          <w:color w:val="000000" w:themeColor="text1"/>
          <w:lang w:eastAsia="en-GB"/>
        </w:rPr>
        <w:t>rt 12(1</w:t>
      </w:r>
      <w:r w:rsidR="00321FE4" w:rsidRPr="00B84DFE">
        <w:rPr>
          <w:rFonts w:ascii="Arial" w:eastAsia="Times New Roman" w:hAnsi="Arial" w:cs="Arial"/>
          <w:color w:val="000000" w:themeColor="text1"/>
          <w:lang w:eastAsia="en-GB"/>
        </w:rPr>
        <w:t>)(b).</w:t>
      </w:r>
    </w:p>
    <w:p w14:paraId="4629FD1F" w14:textId="77777777" w:rsidR="00321FE4" w:rsidRPr="00240A69" w:rsidRDefault="00321FE4" w:rsidP="00C8036C">
      <w:pPr>
        <w:spacing w:line="480" w:lineRule="auto"/>
        <w:jc w:val="both"/>
        <w:rPr>
          <w:rFonts w:ascii="Arial" w:eastAsia="Times New Roman" w:hAnsi="Arial" w:cs="Arial"/>
          <w:color w:val="000000" w:themeColor="text1"/>
          <w:lang w:eastAsia="en-GB"/>
        </w:rPr>
      </w:pPr>
    </w:p>
    <w:p w14:paraId="2E4B0444" w14:textId="5F30D447" w:rsidR="00A36C85" w:rsidRPr="00500DE3" w:rsidRDefault="00A36C85" w:rsidP="006251F6">
      <w:pPr>
        <w:pStyle w:val="ListParagraph"/>
        <w:numPr>
          <w:ilvl w:val="0"/>
          <w:numId w:val="13"/>
        </w:numPr>
        <w:spacing w:line="480" w:lineRule="auto"/>
        <w:ind w:left="0" w:firstLine="0"/>
        <w:jc w:val="both"/>
        <w:rPr>
          <w:rFonts w:ascii="Arial" w:eastAsia="Times New Roman" w:hAnsi="Arial" w:cs="Arial"/>
          <w:color w:val="000000" w:themeColor="text1"/>
          <w:lang w:eastAsia="en-GB"/>
        </w:rPr>
      </w:pPr>
      <w:r w:rsidRPr="00500DE3">
        <w:rPr>
          <w:rFonts w:ascii="Arial" w:eastAsia="Times New Roman" w:hAnsi="Arial" w:cs="Arial"/>
          <w:color w:val="000000" w:themeColor="text1"/>
          <w:lang w:eastAsia="en-GB"/>
        </w:rPr>
        <w:t>In fairness to the learned judge</w:t>
      </w:r>
      <w:r w:rsidR="0031207A" w:rsidRPr="00500DE3">
        <w:rPr>
          <w:rFonts w:ascii="Arial" w:eastAsia="Times New Roman" w:hAnsi="Arial" w:cs="Arial"/>
          <w:color w:val="000000" w:themeColor="text1"/>
          <w:lang w:eastAsia="en-GB"/>
        </w:rPr>
        <w:t xml:space="preserve"> </w:t>
      </w:r>
      <w:r w:rsidR="0031207A" w:rsidRPr="00500DE3">
        <w:rPr>
          <w:rFonts w:ascii="Arial" w:eastAsia="Times New Roman" w:hAnsi="Arial" w:cs="Arial"/>
          <w:i/>
          <w:color w:val="000000" w:themeColor="text1"/>
          <w:lang w:eastAsia="en-GB"/>
        </w:rPr>
        <w:t>a quo</w:t>
      </w:r>
      <w:r w:rsidRPr="00500DE3">
        <w:rPr>
          <w:rFonts w:ascii="Arial" w:eastAsia="Times New Roman" w:hAnsi="Arial" w:cs="Arial"/>
          <w:color w:val="000000" w:themeColor="text1"/>
          <w:lang w:eastAsia="en-GB"/>
        </w:rPr>
        <w:t xml:space="preserve">, in her answering affidavit the PG never alleged that the first respondent should not succeed because he had ceased to </w:t>
      </w:r>
      <w:r w:rsidR="009F1768" w:rsidRPr="00500DE3">
        <w:rPr>
          <w:rFonts w:ascii="Arial" w:eastAsia="Times New Roman" w:hAnsi="Arial" w:cs="Arial"/>
          <w:color w:val="000000" w:themeColor="text1"/>
          <w:lang w:eastAsia="en-GB"/>
        </w:rPr>
        <w:t>be an accused as contemplated in</w:t>
      </w:r>
      <w:r w:rsidRPr="00500DE3">
        <w:rPr>
          <w:rFonts w:ascii="Arial" w:eastAsia="Times New Roman" w:hAnsi="Arial" w:cs="Arial"/>
          <w:color w:val="000000" w:themeColor="text1"/>
          <w:lang w:eastAsia="en-GB"/>
        </w:rPr>
        <w:t xml:space="preserve"> </w:t>
      </w:r>
      <w:r w:rsidR="006017A4" w:rsidRPr="00500DE3">
        <w:rPr>
          <w:rFonts w:ascii="Arial" w:eastAsia="Times New Roman" w:hAnsi="Arial" w:cs="Arial"/>
          <w:color w:val="000000" w:themeColor="text1"/>
          <w:lang w:eastAsia="en-GB"/>
        </w:rPr>
        <w:t>A</w:t>
      </w:r>
      <w:r w:rsidRPr="00500DE3">
        <w:rPr>
          <w:rFonts w:ascii="Arial" w:eastAsia="Times New Roman" w:hAnsi="Arial" w:cs="Arial"/>
          <w:color w:val="000000" w:themeColor="text1"/>
          <w:lang w:eastAsia="en-GB"/>
        </w:rPr>
        <w:t>rt</w:t>
      </w:r>
      <w:r w:rsidR="00E63FA0" w:rsidRPr="00500DE3">
        <w:rPr>
          <w:rFonts w:ascii="Arial" w:eastAsia="Times New Roman" w:hAnsi="Arial" w:cs="Arial"/>
          <w:color w:val="000000" w:themeColor="text1"/>
          <w:lang w:eastAsia="en-GB"/>
        </w:rPr>
        <w:t xml:space="preserve"> </w:t>
      </w:r>
      <w:r w:rsidR="00E63FA0" w:rsidRPr="00227AA4">
        <w:rPr>
          <w:rFonts w:ascii="Arial" w:eastAsia="Times New Roman" w:hAnsi="Arial" w:cs="Arial"/>
          <w:color w:val="000000" w:themeColor="text1"/>
          <w:lang w:eastAsia="en-GB"/>
        </w:rPr>
        <w:t>12(1)</w:t>
      </w:r>
      <w:r w:rsidRPr="00227AA4">
        <w:rPr>
          <w:rFonts w:ascii="Arial" w:eastAsia="Times New Roman" w:hAnsi="Arial" w:cs="Arial"/>
          <w:color w:val="000000" w:themeColor="text1"/>
          <w:lang w:eastAsia="en-GB"/>
        </w:rPr>
        <w:t>(b)</w:t>
      </w:r>
      <w:r w:rsidRPr="00500DE3">
        <w:rPr>
          <w:rFonts w:ascii="Arial" w:eastAsia="Times New Roman" w:hAnsi="Arial" w:cs="Arial"/>
          <w:color w:val="000000" w:themeColor="text1"/>
          <w:lang w:eastAsia="en-GB"/>
        </w:rPr>
        <w:t xml:space="preserve"> on accou</w:t>
      </w:r>
      <w:r w:rsidR="006E1B1B" w:rsidRPr="00500DE3">
        <w:rPr>
          <w:rFonts w:ascii="Arial" w:eastAsia="Times New Roman" w:hAnsi="Arial" w:cs="Arial"/>
          <w:color w:val="000000" w:themeColor="text1"/>
          <w:lang w:eastAsia="en-GB"/>
        </w:rPr>
        <w:t>nt of the withdrawal of charges</w:t>
      </w:r>
      <w:r w:rsidRPr="00500DE3">
        <w:rPr>
          <w:rFonts w:ascii="Arial" w:eastAsia="Times New Roman" w:hAnsi="Arial" w:cs="Arial"/>
          <w:color w:val="000000" w:themeColor="text1"/>
          <w:lang w:eastAsia="en-GB"/>
        </w:rPr>
        <w:t>.</w:t>
      </w:r>
      <w:r w:rsidR="008B1786" w:rsidRPr="00500DE3">
        <w:rPr>
          <w:rFonts w:ascii="Arial" w:eastAsia="Times New Roman" w:hAnsi="Arial" w:cs="Arial"/>
          <w:color w:val="000000" w:themeColor="text1"/>
          <w:lang w:eastAsia="en-GB"/>
        </w:rPr>
        <w:t xml:space="preserve"> </w:t>
      </w:r>
      <w:r w:rsidR="00321FE4" w:rsidRPr="00500DE3">
        <w:rPr>
          <w:rFonts w:ascii="Arial" w:eastAsia="Times New Roman" w:hAnsi="Arial" w:cs="Arial"/>
          <w:color w:val="000000" w:themeColor="text1"/>
          <w:lang w:eastAsia="en-GB"/>
        </w:rPr>
        <w:t>It is</w:t>
      </w:r>
      <w:r w:rsidRPr="00500DE3">
        <w:rPr>
          <w:rFonts w:ascii="Arial" w:eastAsia="Times New Roman" w:hAnsi="Arial" w:cs="Arial"/>
          <w:color w:val="000000" w:themeColor="text1"/>
          <w:lang w:eastAsia="en-GB"/>
        </w:rPr>
        <w:t>,</w:t>
      </w:r>
      <w:r w:rsidR="007A4FFA" w:rsidRPr="00500DE3">
        <w:rPr>
          <w:rFonts w:ascii="Arial" w:eastAsia="Times New Roman" w:hAnsi="Arial" w:cs="Arial"/>
          <w:color w:val="000000" w:themeColor="text1"/>
          <w:lang w:eastAsia="en-GB"/>
        </w:rPr>
        <w:t xml:space="preserve"> </w:t>
      </w:r>
      <w:r w:rsidR="00321FE4" w:rsidRPr="00500DE3">
        <w:rPr>
          <w:rFonts w:ascii="Arial" w:eastAsia="Times New Roman" w:hAnsi="Arial" w:cs="Arial"/>
          <w:color w:val="000000" w:themeColor="text1"/>
          <w:lang w:eastAsia="en-GB"/>
        </w:rPr>
        <w:t>however</w:t>
      </w:r>
      <w:r w:rsidRPr="00500DE3">
        <w:rPr>
          <w:rFonts w:ascii="Arial" w:eastAsia="Times New Roman" w:hAnsi="Arial" w:cs="Arial"/>
          <w:color w:val="000000" w:themeColor="text1"/>
          <w:lang w:eastAsia="en-GB"/>
        </w:rPr>
        <w:t xml:space="preserve">, as Mr Botes correctly submits a legal question that </w:t>
      </w:r>
      <w:r w:rsidR="007441C0" w:rsidRPr="00500DE3">
        <w:rPr>
          <w:rFonts w:ascii="Arial" w:eastAsia="Times New Roman" w:hAnsi="Arial" w:cs="Arial"/>
          <w:color w:val="000000" w:themeColor="text1"/>
          <w:lang w:eastAsia="en-GB"/>
        </w:rPr>
        <w:t xml:space="preserve">is apparent on the </w:t>
      </w:r>
      <w:r w:rsidR="007441C0" w:rsidRPr="00500DE3">
        <w:rPr>
          <w:rFonts w:ascii="Arial" w:eastAsia="Times New Roman" w:hAnsi="Arial" w:cs="Arial"/>
          <w:color w:val="000000" w:themeColor="text1"/>
          <w:lang w:eastAsia="en-GB"/>
        </w:rPr>
        <w:lastRenderedPageBreak/>
        <w:t>papers.</w:t>
      </w:r>
      <w:r w:rsidR="007441C0" w:rsidRPr="00240A69">
        <w:rPr>
          <w:rStyle w:val="FootnoteReference"/>
          <w:rFonts w:ascii="Arial" w:eastAsia="Times New Roman" w:hAnsi="Arial"/>
          <w:color w:val="000000" w:themeColor="text1"/>
          <w:lang w:eastAsia="en-GB"/>
        </w:rPr>
        <w:footnoteReference w:id="13"/>
      </w:r>
      <w:r w:rsidR="007441C0" w:rsidRPr="00500DE3">
        <w:rPr>
          <w:rFonts w:ascii="Arial" w:eastAsia="Times New Roman" w:hAnsi="Arial" w:cs="Arial"/>
          <w:color w:val="000000" w:themeColor="text1"/>
          <w:lang w:eastAsia="en-GB"/>
        </w:rPr>
        <w:t xml:space="preserve"> </w:t>
      </w:r>
      <w:r w:rsidRPr="00500DE3">
        <w:rPr>
          <w:rFonts w:ascii="Arial" w:eastAsia="Times New Roman" w:hAnsi="Arial" w:cs="Arial"/>
          <w:color w:val="000000" w:themeColor="text1"/>
          <w:lang w:eastAsia="en-GB"/>
        </w:rPr>
        <w:t>Although not mentioned in express terms</w:t>
      </w:r>
      <w:r w:rsidR="007441C0" w:rsidRPr="00500DE3">
        <w:rPr>
          <w:rFonts w:ascii="Arial" w:eastAsia="Times New Roman" w:hAnsi="Arial" w:cs="Arial"/>
          <w:color w:val="000000" w:themeColor="text1"/>
          <w:lang w:eastAsia="en-GB"/>
        </w:rPr>
        <w:t xml:space="preserve"> </w:t>
      </w:r>
      <w:r w:rsidR="0031207A" w:rsidRPr="00500DE3">
        <w:rPr>
          <w:rFonts w:ascii="Arial" w:eastAsia="Times New Roman" w:hAnsi="Arial" w:cs="Arial"/>
          <w:color w:val="000000" w:themeColor="text1"/>
          <w:lang w:eastAsia="en-GB"/>
        </w:rPr>
        <w:t xml:space="preserve">in </w:t>
      </w:r>
      <w:r w:rsidR="007441C0" w:rsidRPr="00500DE3">
        <w:rPr>
          <w:rFonts w:ascii="Arial" w:eastAsia="Times New Roman" w:hAnsi="Arial" w:cs="Arial"/>
          <w:color w:val="000000" w:themeColor="text1"/>
          <w:lang w:eastAsia="en-GB"/>
        </w:rPr>
        <w:t>the answering affidavit</w:t>
      </w:r>
      <w:r w:rsidRPr="00500DE3">
        <w:rPr>
          <w:rFonts w:ascii="Arial" w:eastAsia="Times New Roman" w:hAnsi="Arial" w:cs="Arial"/>
          <w:color w:val="000000" w:themeColor="text1"/>
          <w:lang w:eastAsia="en-GB"/>
        </w:rPr>
        <w:t xml:space="preserve">, the PG raised it in argument when the matter was heard </w:t>
      </w:r>
      <w:r w:rsidRPr="00500DE3">
        <w:rPr>
          <w:rFonts w:ascii="Arial" w:eastAsia="Times New Roman" w:hAnsi="Arial" w:cs="Arial"/>
          <w:i/>
          <w:color w:val="000000" w:themeColor="text1"/>
          <w:lang w:eastAsia="en-GB"/>
        </w:rPr>
        <w:t>a quo</w:t>
      </w:r>
      <w:r w:rsidRPr="00500DE3">
        <w:rPr>
          <w:rFonts w:ascii="Arial" w:eastAsia="Times New Roman" w:hAnsi="Arial" w:cs="Arial"/>
          <w:color w:val="000000" w:themeColor="text1"/>
          <w:lang w:eastAsia="en-GB"/>
        </w:rPr>
        <w:t>. That much becomes appa</w:t>
      </w:r>
      <w:r w:rsidR="009F1768" w:rsidRPr="00500DE3">
        <w:rPr>
          <w:rFonts w:ascii="Arial" w:eastAsia="Times New Roman" w:hAnsi="Arial" w:cs="Arial"/>
          <w:color w:val="000000" w:themeColor="text1"/>
          <w:lang w:eastAsia="en-GB"/>
        </w:rPr>
        <w:t>rent from the heads of argument</w:t>
      </w:r>
      <w:r w:rsidR="0029660C" w:rsidRPr="00500DE3">
        <w:rPr>
          <w:rFonts w:ascii="Arial" w:eastAsia="Times New Roman" w:hAnsi="Arial" w:cs="Arial"/>
          <w:color w:val="000000" w:themeColor="text1"/>
          <w:lang w:eastAsia="en-GB"/>
        </w:rPr>
        <w:t xml:space="preserve"> </w:t>
      </w:r>
      <w:r w:rsidRPr="00500DE3">
        <w:rPr>
          <w:rFonts w:ascii="Arial" w:eastAsia="Times New Roman" w:hAnsi="Arial" w:cs="Arial"/>
          <w:color w:val="000000" w:themeColor="text1"/>
          <w:lang w:eastAsia="en-GB"/>
        </w:rPr>
        <w:t>included in the appeal record.</w:t>
      </w:r>
      <w:r w:rsidR="00A73B91" w:rsidRPr="00240A69">
        <w:rPr>
          <w:rStyle w:val="FootnoteReference"/>
          <w:rFonts w:ascii="Arial" w:eastAsia="Times New Roman" w:hAnsi="Arial"/>
          <w:color w:val="000000" w:themeColor="text1"/>
          <w:lang w:eastAsia="en-GB"/>
        </w:rPr>
        <w:footnoteReference w:id="14"/>
      </w:r>
      <w:r w:rsidRPr="00500DE3">
        <w:rPr>
          <w:rFonts w:ascii="Arial" w:eastAsia="Times New Roman" w:hAnsi="Arial" w:cs="Arial"/>
          <w:color w:val="000000" w:themeColor="text1"/>
          <w:lang w:eastAsia="en-GB"/>
        </w:rPr>
        <w:t> </w:t>
      </w:r>
    </w:p>
    <w:p w14:paraId="0EEF7D0C" w14:textId="77777777" w:rsidR="00A36C85" w:rsidRPr="00240A69" w:rsidRDefault="00A36C85" w:rsidP="00500DE3">
      <w:pPr>
        <w:spacing w:line="480" w:lineRule="auto"/>
        <w:jc w:val="both"/>
        <w:rPr>
          <w:rFonts w:ascii="Arial" w:eastAsia="Times New Roman" w:hAnsi="Arial" w:cs="Arial"/>
          <w:color w:val="000000" w:themeColor="text1"/>
          <w:lang w:eastAsia="en-GB"/>
        </w:rPr>
      </w:pPr>
    </w:p>
    <w:p w14:paraId="2EC3F766" w14:textId="39CF0FB9" w:rsidR="0062335D" w:rsidRPr="00500DE3" w:rsidRDefault="00A73B91" w:rsidP="006251F6">
      <w:pPr>
        <w:pStyle w:val="ListParagraph"/>
        <w:numPr>
          <w:ilvl w:val="0"/>
          <w:numId w:val="13"/>
        </w:numPr>
        <w:spacing w:line="480" w:lineRule="auto"/>
        <w:ind w:left="0" w:firstLine="0"/>
        <w:jc w:val="both"/>
        <w:rPr>
          <w:rFonts w:ascii="Arial" w:hAnsi="Arial" w:cs="Arial"/>
          <w:color w:val="000000" w:themeColor="text1"/>
        </w:rPr>
      </w:pPr>
      <w:r w:rsidRPr="00500DE3">
        <w:rPr>
          <w:rFonts w:ascii="Arial" w:eastAsia="Times New Roman" w:hAnsi="Arial" w:cs="Arial"/>
          <w:color w:val="000000" w:themeColor="text1"/>
          <w:lang w:eastAsia="en-GB"/>
        </w:rPr>
        <w:t xml:space="preserve">As I have already </w:t>
      </w:r>
      <w:r w:rsidR="007441C0" w:rsidRPr="00500DE3">
        <w:rPr>
          <w:rFonts w:ascii="Arial" w:eastAsia="Times New Roman" w:hAnsi="Arial" w:cs="Arial"/>
          <w:color w:val="000000" w:themeColor="text1"/>
          <w:lang w:eastAsia="en-GB"/>
        </w:rPr>
        <w:t>shown,</w:t>
      </w:r>
      <w:r w:rsidRPr="00500DE3">
        <w:rPr>
          <w:rFonts w:ascii="Arial" w:eastAsia="Times New Roman" w:hAnsi="Arial" w:cs="Arial"/>
          <w:color w:val="000000" w:themeColor="text1"/>
          <w:lang w:eastAsia="en-GB"/>
        </w:rPr>
        <w:t xml:space="preserve"> the point </w:t>
      </w:r>
      <w:r w:rsidR="00A36C85" w:rsidRPr="00500DE3">
        <w:rPr>
          <w:rFonts w:ascii="Arial" w:eastAsia="Times New Roman" w:hAnsi="Arial" w:cs="Arial"/>
          <w:color w:val="000000" w:themeColor="text1"/>
          <w:lang w:eastAsia="en-GB"/>
        </w:rPr>
        <w:t>was also squarely raised in the notice of appeal and the PG’s heads of argument and the first respondent was afforded sufficient opportunity to deal with it</w:t>
      </w:r>
      <w:r w:rsidR="007441C0" w:rsidRPr="00500DE3">
        <w:rPr>
          <w:rFonts w:ascii="Arial" w:eastAsia="Times New Roman" w:hAnsi="Arial" w:cs="Arial"/>
          <w:color w:val="000000" w:themeColor="text1"/>
          <w:lang w:eastAsia="en-GB"/>
        </w:rPr>
        <w:t xml:space="preserve"> and </w:t>
      </w:r>
      <w:r w:rsidR="0031207A" w:rsidRPr="00500DE3">
        <w:rPr>
          <w:rFonts w:ascii="Arial" w:eastAsia="Times New Roman" w:hAnsi="Arial" w:cs="Arial"/>
          <w:color w:val="000000" w:themeColor="text1"/>
          <w:lang w:eastAsia="en-GB"/>
        </w:rPr>
        <w:t xml:space="preserve">Mr Namandje </w:t>
      </w:r>
      <w:r w:rsidR="007441C0" w:rsidRPr="00500DE3">
        <w:rPr>
          <w:rFonts w:ascii="Arial" w:eastAsia="Times New Roman" w:hAnsi="Arial" w:cs="Arial"/>
          <w:color w:val="000000" w:themeColor="text1"/>
          <w:lang w:eastAsia="en-GB"/>
        </w:rPr>
        <w:t>did in fact deal with it</w:t>
      </w:r>
      <w:r w:rsidR="00A36C85" w:rsidRPr="00500DE3">
        <w:rPr>
          <w:rFonts w:ascii="Arial" w:eastAsia="Times New Roman" w:hAnsi="Arial" w:cs="Arial"/>
          <w:color w:val="000000" w:themeColor="text1"/>
          <w:lang w:eastAsia="en-GB"/>
        </w:rPr>
        <w:t>.</w:t>
      </w:r>
      <w:r w:rsidR="004257EA" w:rsidRPr="00240A69">
        <w:rPr>
          <w:rStyle w:val="FootnoteReference"/>
          <w:rFonts w:ascii="Arial" w:eastAsia="Times New Roman" w:hAnsi="Arial"/>
          <w:color w:val="000000" w:themeColor="text1"/>
          <w:lang w:eastAsia="en-GB"/>
        </w:rPr>
        <w:footnoteReference w:id="15"/>
      </w:r>
      <w:r w:rsidR="00A36C85" w:rsidRPr="00500DE3">
        <w:rPr>
          <w:rFonts w:ascii="Arial" w:eastAsia="Times New Roman" w:hAnsi="Arial" w:cs="Arial"/>
          <w:color w:val="000000" w:themeColor="text1"/>
          <w:lang w:eastAsia="en-GB"/>
        </w:rPr>
        <w:t xml:space="preserve"> </w:t>
      </w:r>
      <w:r w:rsidR="0062335D" w:rsidRPr="00500DE3">
        <w:rPr>
          <w:rFonts w:ascii="Arial" w:hAnsi="Arial" w:cs="Arial"/>
          <w:color w:val="000000" w:themeColor="text1"/>
        </w:rPr>
        <w:t xml:space="preserve">In </w:t>
      </w:r>
      <w:r w:rsidR="0062335D" w:rsidRPr="00500DE3">
        <w:rPr>
          <w:rFonts w:ascii="Arial" w:hAnsi="Arial" w:cs="Arial"/>
          <w:i/>
          <w:color w:val="000000" w:themeColor="text1"/>
        </w:rPr>
        <w:t>Cole v Governme</w:t>
      </w:r>
      <w:r w:rsidR="00C8036C" w:rsidRPr="00500DE3">
        <w:rPr>
          <w:rFonts w:ascii="Arial" w:hAnsi="Arial" w:cs="Arial"/>
          <w:i/>
          <w:color w:val="000000" w:themeColor="text1"/>
        </w:rPr>
        <w:t>nt of the Union of South Africa</w:t>
      </w:r>
      <w:r w:rsidR="00A24944" w:rsidRPr="00500DE3">
        <w:rPr>
          <w:rFonts w:ascii="Arial" w:hAnsi="Arial" w:cs="Arial"/>
          <w:i/>
          <w:color w:val="000000" w:themeColor="text1"/>
        </w:rPr>
        <w:t>,</w:t>
      </w:r>
      <w:r w:rsidR="0062335D" w:rsidRPr="00240A69">
        <w:rPr>
          <w:rStyle w:val="FootnoteReference"/>
          <w:rFonts w:ascii="Arial" w:hAnsi="Arial" w:cs="Arial"/>
          <w:color w:val="000000" w:themeColor="text1"/>
        </w:rPr>
        <w:footnoteReference w:id="16"/>
      </w:r>
      <w:r w:rsidR="0062335D" w:rsidRPr="00500DE3">
        <w:rPr>
          <w:rFonts w:ascii="Arial" w:hAnsi="Arial" w:cs="Arial"/>
          <w:color w:val="000000" w:themeColor="text1"/>
        </w:rPr>
        <w:t xml:space="preserve"> Innes J stated as follows, (relying on the dictum by Lord Watson in </w:t>
      </w:r>
      <w:r w:rsidR="006017A4" w:rsidRPr="00500DE3">
        <w:rPr>
          <w:rFonts w:ascii="Arial" w:hAnsi="Arial" w:cs="Arial"/>
          <w:i/>
          <w:color w:val="000000" w:themeColor="text1"/>
        </w:rPr>
        <w:t>Connecticut Fire Insurance Co</w:t>
      </w:r>
      <w:r w:rsidR="0062335D" w:rsidRPr="00500DE3">
        <w:rPr>
          <w:rFonts w:ascii="Arial" w:hAnsi="Arial" w:cs="Arial"/>
          <w:i/>
          <w:color w:val="000000" w:themeColor="text1"/>
        </w:rPr>
        <w:t xml:space="preserve"> v Kavanagh</w:t>
      </w:r>
      <w:r w:rsidR="006017A4" w:rsidRPr="00500DE3">
        <w:rPr>
          <w:rFonts w:ascii="Arial" w:hAnsi="Arial" w:cs="Arial"/>
          <w:color w:val="000000" w:themeColor="text1"/>
        </w:rPr>
        <w:t xml:space="preserve">, A </w:t>
      </w:r>
      <w:r w:rsidR="0062335D" w:rsidRPr="00500DE3">
        <w:rPr>
          <w:rFonts w:ascii="Arial" w:hAnsi="Arial" w:cs="Arial"/>
          <w:color w:val="000000" w:themeColor="text1"/>
        </w:rPr>
        <w:t>C 1892, p 481):</w:t>
      </w:r>
    </w:p>
    <w:p w14:paraId="2EF6BDE7" w14:textId="77777777" w:rsidR="0062335D" w:rsidRPr="0062335D" w:rsidRDefault="0062335D" w:rsidP="00500DE3">
      <w:pPr>
        <w:spacing w:line="480" w:lineRule="auto"/>
        <w:jc w:val="both"/>
        <w:rPr>
          <w:rFonts w:ascii="Arial" w:hAnsi="Arial" w:cs="Arial"/>
          <w:b/>
          <w:i/>
          <w:color w:val="000000" w:themeColor="text1"/>
        </w:rPr>
      </w:pPr>
    </w:p>
    <w:p w14:paraId="4AE00316" w14:textId="548E96B9" w:rsidR="0062335D" w:rsidRDefault="0062335D" w:rsidP="0065111D">
      <w:pPr>
        <w:spacing w:line="360" w:lineRule="auto"/>
        <w:ind w:left="720"/>
        <w:jc w:val="both"/>
        <w:rPr>
          <w:rFonts w:ascii="Arial" w:hAnsi="Arial" w:cs="Arial"/>
          <w:color w:val="000000" w:themeColor="text1"/>
          <w:sz w:val="22"/>
          <w:szCs w:val="22"/>
          <w:lang w:val="en-ZA"/>
        </w:rPr>
      </w:pPr>
      <w:r w:rsidRPr="0062335D">
        <w:rPr>
          <w:rFonts w:ascii="Arial" w:hAnsi="Arial" w:cs="Arial"/>
          <w:color w:val="000000" w:themeColor="text1"/>
          <w:sz w:val="22"/>
          <w:szCs w:val="22"/>
          <w:lang w:val="en-ZA"/>
        </w:rPr>
        <w:t>‘The duty of an appellate tribunal is to ascertain whether the Court below came to a correct conclusion on the case submitted to it. And the mere fact that a point of law brought to its notice was not taken at an earlier stage is not in itself a sufficient reason for refusing to give effect to it. If the point is covered by the pleadings, and if its consideration on appeal involves no unfairness to the party against whom it is directed, the Court is bound to deal with it. And no such unfairness can exist if the facts upon which the legal point depends are common cause, or if they are clear beyond doubt upon the record, and there is no ground for thinking that further or other evidence would have been produced had the point been raised at the outset.’</w:t>
      </w:r>
    </w:p>
    <w:p w14:paraId="7D3910AB" w14:textId="77777777" w:rsidR="0062335D" w:rsidRDefault="0062335D" w:rsidP="0062335D">
      <w:pPr>
        <w:spacing w:line="360" w:lineRule="auto"/>
        <w:jc w:val="both"/>
        <w:rPr>
          <w:rFonts w:ascii="Arial" w:hAnsi="Arial" w:cs="Arial"/>
          <w:color w:val="000000" w:themeColor="text1"/>
          <w:sz w:val="22"/>
          <w:szCs w:val="22"/>
          <w:lang w:val="en-ZA"/>
        </w:rPr>
      </w:pPr>
    </w:p>
    <w:p w14:paraId="7DF07B80" w14:textId="03183A94" w:rsidR="004C0F95" w:rsidRPr="00500DE3" w:rsidRDefault="0062335D" w:rsidP="006251F6">
      <w:pPr>
        <w:pStyle w:val="ListParagraph"/>
        <w:numPr>
          <w:ilvl w:val="0"/>
          <w:numId w:val="13"/>
        </w:numPr>
        <w:spacing w:line="480" w:lineRule="auto"/>
        <w:ind w:left="0" w:firstLine="0"/>
        <w:jc w:val="both"/>
        <w:rPr>
          <w:rFonts w:ascii="Arial" w:hAnsi="Arial" w:cs="Arial"/>
          <w:color w:val="000000" w:themeColor="text1"/>
        </w:rPr>
      </w:pPr>
      <w:r w:rsidRPr="00500DE3">
        <w:rPr>
          <w:rFonts w:ascii="Arial" w:hAnsi="Arial" w:cs="Arial"/>
          <w:color w:val="000000" w:themeColor="text1"/>
          <w:lang w:val="en-ZA"/>
        </w:rPr>
        <w:t xml:space="preserve">The facts upon which the issue falls to be determined are common cause and the matter is one of grave public importance and the first respondent was </w:t>
      </w:r>
      <w:r w:rsidRPr="00500DE3">
        <w:rPr>
          <w:rFonts w:ascii="Arial" w:hAnsi="Arial" w:cs="Arial"/>
          <w:color w:val="000000" w:themeColor="text1"/>
          <w:lang w:val="en-ZA"/>
        </w:rPr>
        <w:lastRenderedPageBreak/>
        <w:t>afforded sufficient opportunity to meet the argument.</w:t>
      </w:r>
      <w:r w:rsidRPr="00500DE3">
        <w:rPr>
          <w:rFonts w:ascii="Arial" w:hAnsi="Arial" w:cs="Arial"/>
          <w:color w:val="000000" w:themeColor="text1"/>
        </w:rPr>
        <w:t xml:space="preserve"> </w:t>
      </w:r>
      <w:r w:rsidR="00A36C85" w:rsidRPr="00500DE3">
        <w:rPr>
          <w:rFonts w:ascii="Arial" w:eastAsia="Times New Roman" w:hAnsi="Arial" w:cs="Arial"/>
          <w:color w:val="222222"/>
          <w:lang w:eastAsia="en-GB"/>
        </w:rPr>
        <w:t>The issue is one therefore that this court may entertain not least because of its undoubted public importance.</w:t>
      </w:r>
    </w:p>
    <w:p w14:paraId="5A2B1382" w14:textId="77777777" w:rsidR="00F92132" w:rsidRDefault="00F92132" w:rsidP="009A75EE">
      <w:pPr>
        <w:spacing w:line="480" w:lineRule="auto"/>
        <w:jc w:val="both"/>
        <w:rPr>
          <w:rFonts w:ascii="Arial" w:hAnsi="Arial" w:cs="Arial"/>
          <w:sz w:val="22"/>
          <w:szCs w:val="22"/>
        </w:rPr>
      </w:pPr>
    </w:p>
    <w:p w14:paraId="4BAF8AAC" w14:textId="7137271F" w:rsidR="001A1B14" w:rsidRPr="00E63FA0" w:rsidRDefault="001A1B14" w:rsidP="009A75EE">
      <w:pPr>
        <w:spacing w:line="480" w:lineRule="auto"/>
        <w:jc w:val="both"/>
        <w:rPr>
          <w:rFonts w:ascii="Arial" w:hAnsi="Arial" w:cs="Arial"/>
          <w:u w:val="single"/>
        </w:rPr>
      </w:pPr>
      <w:r w:rsidRPr="001A1B14">
        <w:rPr>
          <w:rFonts w:ascii="Arial" w:hAnsi="Arial" w:cs="Arial"/>
          <w:u w:val="single"/>
        </w:rPr>
        <w:t xml:space="preserve">Is the first respondent an accused? </w:t>
      </w:r>
    </w:p>
    <w:p w14:paraId="2867C71F" w14:textId="49658D25" w:rsidR="001A1B14" w:rsidRPr="00500DE3" w:rsidRDefault="00FC7F1A"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I</w:t>
      </w:r>
      <w:r w:rsidR="001A1B14" w:rsidRPr="00500DE3">
        <w:rPr>
          <w:rFonts w:ascii="Arial" w:hAnsi="Arial" w:cs="Arial"/>
        </w:rPr>
        <w:t xml:space="preserve"> did not understand Mr Namandje for the first respondent to resist the proposition made by Mr Botes for the PG that in o</w:t>
      </w:r>
      <w:r w:rsidR="00E75D10" w:rsidRPr="00500DE3">
        <w:rPr>
          <w:rFonts w:ascii="Arial" w:hAnsi="Arial" w:cs="Arial"/>
        </w:rPr>
        <w:t>rder to receive the benefit of A</w:t>
      </w:r>
      <w:r w:rsidR="001A1B14" w:rsidRPr="00500DE3">
        <w:rPr>
          <w:rFonts w:ascii="Arial" w:hAnsi="Arial" w:cs="Arial"/>
        </w:rPr>
        <w:t>rt 12(1)(b) of the Constitution, the first respondent must be an ‘accused’.</w:t>
      </w:r>
    </w:p>
    <w:p w14:paraId="564AE00B" w14:textId="77777777" w:rsidR="001A1B14" w:rsidRDefault="001A1B14" w:rsidP="00500DE3">
      <w:pPr>
        <w:spacing w:line="480" w:lineRule="auto"/>
        <w:jc w:val="both"/>
        <w:rPr>
          <w:rFonts w:ascii="Arial" w:hAnsi="Arial" w:cs="Arial"/>
        </w:rPr>
      </w:pPr>
    </w:p>
    <w:p w14:paraId="07816DCF" w14:textId="08DE2793" w:rsidR="009F5A89" w:rsidRPr="00500DE3" w:rsidRDefault="0062335D"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Section 6</w:t>
      </w:r>
      <w:r w:rsidRPr="00500DE3">
        <w:rPr>
          <w:rFonts w:ascii="Arial" w:hAnsi="Arial" w:cs="Arial"/>
          <w:i/>
        </w:rPr>
        <w:t>(a)</w:t>
      </w:r>
      <w:r w:rsidRPr="00500DE3">
        <w:rPr>
          <w:rFonts w:ascii="Arial" w:hAnsi="Arial" w:cs="Arial"/>
        </w:rPr>
        <w:t xml:space="preserve"> of the CPA empowers a prosecutor to withdraw a charge before plea. The most significant consequence of a withdrawal is that it does not entitle an accused to an acquittal. In other words, unless the statutory prescription sets in</w:t>
      </w:r>
      <w:r w:rsidR="0031207A" w:rsidRPr="00500DE3">
        <w:rPr>
          <w:rFonts w:ascii="Arial" w:hAnsi="Arial" w:cs="Arial"/>
        </w:rPr>
        <w:t>,</w:t>
      </w:r>
      <w:r w:rsidRPr="00500DE3">
        <w:rPr>
          <w:rFonts w:ascii="Arial" w:hAnsi="Arial" w:cs="Arial"/>
        </w:rPr>
        <w:t xml:space="preserve"> such a person can again be charged. In both the pleadings and the heads of argument, both parties </w:t>
      </w:r>
      <w:r w:rsidR="00E63FA0" w:rsidRPr="00500DE3">
        <w:rPr>
          <w:rFonts w:ascii="Arial" w:hAnsi="Arial" w:cs="Arial"/>
        </w:rPr>
        <w:t>characterised</w:t>
      </w:r>
      <w:r w:rsidRPr="00500DE3">
        <w:rPr>
          <w:rFonts w:ascii="Arial" w:hAnsi="Arial" w:cs="Arial"/>
        </w:rPr>
        <w:t xml:space="preserve"> the </w:t>
      </w:r>
      <w:r w:rsidR="009F1768" w:rsidRPr="00500DE3">
        <w:rPr>
          <w:rFonts w:ascii="Arial" w:hAnsi="Arial" w:cs="Arial"/>
        </w:rPr>
        <w:t>withdrawal</w:t>
      </w:r>
      <w:r w:rsidRPr="00500DE3">
        <w:rPr>
          <w:rFonts w:ascii="Arial" w:hAnsi="Arial" w:cs="Arial"/>
        </w:rPr>
        <w:t xml:space="preserve"> power contained in s 6</w:t>
      </w:r>
      <w:r w:rsidRPr="00500DE3">
        <w:rPr>
          <w:rFonts w:ascii="Arial" w:hAnsi="Arial" w:cs="Arial"/>
          <w:i/>
        </w:rPr>
        <w:t>(a)</w:t>
      </w:r>
      <w:r w:rsidRPr="00500DE3">
        <w:rPr>
          <w:rFonts w:ascii="Arial" w:hAnsi="Arial" w:cs="Arial"/>
        </w:rPr>
        <w:t xml:space="preserve"> as ‘provisional’</w:t>
      </w:r>
      <w:r w:rsidR="0031207A" w:rsidRPr="00500DE3">
        <w:rPr>
          <w:rFonts w:ascii="Arial" w:hAnsi="Arial" w:cs="Arial"/>
        </w:rPr>
        <w:t xml:space="preserve">. </w:t>
      </w:r>
    </w:p>
    <w:p w14:paraId="5DD36CC1" w14:textId="77777777" w:rsidR="00501F74" w:rsidRPr="00E63FA0" w:rsidRDefault="00501F74" w:rsidP="0062335D">
      <w:pPr>
        <w:spacing w:line="480" w:lineRule="auto"/>
        <w:jc w:val="both"/>
        <w:rPr>
          <w:rFonts w:ascii="Arial" w:hAnsi="Arial" w:cs="Arial"/>
        </w:rPr>
      </w:pPr>
    </w:p>
    <w:p w14:paraId="3E2DB779" w14:textId="2FA2C5CB" w:rsidR="009F5A89" w:rsidRPr="00500DE3" w:rsidRDefault="009F5A89"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The Constitution does not define the word ‘accused’. Its dictionary meaning</w:t>
      </w:r>
      <w:r w:rsidR="0031207A" w:rsidRPr="00500DE3">
        <w:rPr>
          <w:rFonts w:ascii="Arial" w:hAnsi="Arial" w:cs="Arial"/>
        </w:rPr>
        <w:t>,</w:t>
      </w:r>
      <w:r w:rsidRPr="00500DE3">
        <w:rPr>
          <w:rFonts w:ascii="Arial" w:hAnsi="Arial" w:cs="Arial"/>
        </w:rPr>
        <w:t xml:space="preserve"> however</w:t>
      </w:r>
      <w:r w:rsidR="0031207A" w:rsidRPr="00500DE3">
        <w:rPr>
          <w:rFonts w:ascii="Arial" w:hAnsi="Arial" w:cs="Arial"/>
        </w:rPr>
        <w:t>,</w:t>
      </w:r>
      <w:r w:rsidRPr="00500DE3">
        <w:rPr>
          <w:rFonts w:ascii="Arial" w:hAnsi="Arial" w:cs="Arial"/>
        </w:rPr>
        <w:t xml:space="preserve"> is a person charged with a crime or fault.</w:t>
      </w:r>
      <w:r>
        <w:rPr>
          <w:rStyle w:val="FootnoteReference"/>
          <w:rFonts w:ascii="Arial" w:hAnsi="Arial"/>
        </w:rPr>
        <w:footnoteReference w:id="17"/>
      </w:r>
      <w:r w:rsidRPr="00500DE3">
        <w:rPr>
          <w:rFonts w:ascii="Arial" w:hAnsi="Arial" w:cs="Arial"/>
        </w:rPr>
        <w:t xml:space="preserve"> </w:t>
      </w:r>
      <w:r w:rsidR="0031207A" w:rsidRPr="00500DE3">
        <w:rPr>
          <w:rFonts w:ascii="Arial" w:hAnsi="Arial" w:cs="Arial"/>
        </w:rPr>
        <w:t>W</w:t>
      </w:r>
      <w:r w:rsidRPr="00500DE3">
        <w:rPr>
          <w:rFonts w:ascii="Arial" w:hAnsi="Arial" w:cs="Arial"/>
        </w:rPr>
        <w:t>hen one has regard to the provisions of the CPA, it primarily refers to the accused person who will appear in court (after arrest by way of summons</w:t>
      </w:r>
      <w:r w:rsidR="00E63FA0" w:rsidRPr="00500DE3">
        <w:rPr>
          <w:rFonts w:ascii="Arial" w:hAnsi="Arial" w:cs="Arial"/>
        </w:rPr>
        <w:t>)</w:t>
      </w:r>
      <w:r w:rsidR="0031207A" w:rsidRPr="00500DE3">
        <w:rPr>
          <w:rFonts w:ascii="Arial" w:hAnsi="Arial" w:cs="Arial"/>
        </w:rPr>
        <w:t>. B</w:t>
      </w:r>
      <w:r w:rsidRPr="00500DE3">
        <w:rPr>
          <w:rFonts w:ascii="Arial" w:hAnsi="Arial" w:cs="Arial"/>
        </w:rPr>
        <w:t>efore a person appears in court</w:t>
      </w:r>
      <w:r w:rsidR="0031207A" w:rsidRPr="00500DE3">
        <w:rPr>
          <w:rFonts w:ascii="Arial" w:hAnsi="Arial" w:cs="Arial"/>
        </w:rPr>
        <w:t>,</w:t>
      </w:r>
      <w:r w:rsidRPr="00500DE3">
        <w:rPr>
          <w:rFonts w:ascii="Arial" w:hAnsi="Arial" w:cs="Arial"/>
        </w:rPr>
        <w:t xml:space="preserve"> </w:t>
      </w:r>
      <w:r w:rsidR="00E63FA0" w:rsidRPr="00500DE3">
        <w:rPr>
          <w:rFonts w:ascii="Arial" w:hAnsi="Arial" w:cs="Arial"/>
        </w:rPr>
        <w:t>the CPA only refers to them as ‘an offender’</w:t>
      </w:r>
      <w:r w:rsidRPr="00500DE3">
        <w:rPr>
          <w:rFonts w:ascii="Arial" w:hAnsi="Arial" w:cs="Arial"/>
        </w:rPr>
        <w:t>.</w:t>
      </w:r>
      <w:r>
        <w:rPr>
          <w:rStyle w:val="FootnoteReference"/>
          <w:rFonts w:ascii="Arial" w:hAnsi="Arial"/>
        </w:rPr>
        <w:footnoteReference w:id="18"/>
      </w:r>
    </w:p>
    <w:p w14:paraId="7523623D" w14:textId="77777777" w:rsidR="00752A93" w:rsidRPr="00A24944" w:rsidRDefault="00752A93" w:rsidP="00500DE3">
      <w:pPr>
        <w:spacing w:line="480" w:lineRule="auto"/>
        <w:jc w:val="both"/>
        <w:rPr>
          <w:rFonts w:ascii="Arial" w:hAnsi="Arial" w:cs="Arial"/>
          <w:sz w:val="22"/>
          <w:szCs w:val="22"/>
        </w:rPr>
      </w:pPr>
    </w:p>
    <w:p w14:paraId="27EF32BC" w14:textId="3A8379EB" w:rsidR="005315D9" w:rsidRPr="00500DE3" w:rsidRDefault="0031207A"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In all fairness, the adjective ‘provisional’ is </w:t>
      </w:r>
      <w:r w:rsidR="009F1768" w:rsidRPr="00500DE3">
        <w:rPr>
          <w:rFonts w:ascii="Arial" w:hAnsi="Arial" w:cs="Arial"/>
        </w:rPr>
        <w:t xml:space="preserve">generally </w:t>
      </w:r>
      <w:r w:rsidRPr="00500DE3">
        <w:rPr>
          <w:rFonts w:ascii="Arial" w:hAnsi="Arial" w:cs="Arial"/>
        </w:rPr>
        <w:t>loosely added in the discourse on the ambit of s 6</w:t>
      </w:r>
      <w:r w:rsidRPr="00500DE3">
        <w:rPr>
          <w:rFonts w:ascii="Arial" w:hAnsi="Arial" w:cs="Arial"/>
          <w:i/>
        </w:rPr>
        <w:t>(a)</w:t>
      </w:r>
      <w:r w:rsidRPr="00500DE3">
        <w:rPr>
          <w:rFonts w:ascii="Arial" w:hAnsi="Arial" w:cs="Arial"/>
        </w:rPr>
        <w:t xml:space="preserve"> of the C</w:t>
      </w:r>
      <w:r w:rsidR="00324930" w:rsidRPr="00500DE3">
        <w:rPr>
          <w:rFonts w:ascii="Arial" w:hAnsi="Arial" w:cs="Arial"/>
        </w:rPr>
        <w:t>PA.</w:t>
      </w:r>
      <w:r w:rsidR="00A24944" w:rsidRPr="00500DE3">
        <w:rPr>
          <w:rFonts w:ascii="Arial" w:hAnsi="Arial" w:cs="Arial"/>
        </w:rPr>
        <w:t xml:space="preserve"> </w:t>
      </w:r>
      <w:r w:rsidR="00752A93" w:rsidRPr="00500DE3">
        <w:rPr>
          <w:rFonts w:ascii="Arial" w:hAnsi="Arial" w:cs="Arial"/>
        </w:rPr>
        <w:t>Th</w:t>
      </w:r>
      <w:r w:rsidR="00324930" w:rsidRPr="00500DE3">
        <w:rPr>
          <w:rFonts w:ascii="Arial" w:hAnsi="Arial" w:cs="Arial"/>
        </w:rPr>
        <w:t>at</w:t>
      </w:r>
      <w:r w:rsidR="00752A93" w:rsidRPr="00500DE3">
        <w:rPr>
          <w:rFonts w:ascii="Arial" w:hAnsi="Arial" w:cs="Arial"/>
        </w:rPr>
        <w:t xml:space="preserve"> </w:t>
      </w:r>
      <w:r w:rsidR="00CB33C7" w:rsidRPr="00500DE3">
        <w:rPr>
          <w:rFonts w:ascii="Arial" w:hAnsi="Arial" w:cs="Arial"/>
        </w:rPr>
        <w:t xml:space="preserve">casual </w:t>
      </w:r>
      <w:r w:rsidR="00752A93" w:rsidRPr="00500DE3">
        <w:rPr>
          <w:rFonts w:ascii="Arial" w:hAnsi="Arial" w:cs="Arial"/>
        </w:rPr>
        <w:t>insertion of the ad</w:t>
      </w:r>
      <w:r w:rsidR="00EF6FF5" w:rsidRPr="00500DE3">
        <w:rPr>
          <w:rFonts w:ascii="Arial" w:hAnsi="Arial" w:cs="Arial"/>
        </w:rPr>
        <w:t xml:space="preserve">jective </w:t>
      </w:r>
      <w:r w:rsidR="00EF6FF5" w:rsidRPr="00500DE3">
        <w:rPr>
          <w:rFonts w:ascii="Arial" w:hAnsi="Arial" w:cs="Arial"/>
        </w:rPr>
        <w:lastRenderedPageBreak/>
        <w:t>‘provisional’ in s</w:t>
      </w:r>
      <w:r w:rsidR="00752A93" w:rsidRPr="00500DE3">
        <w:rPr>
          <w:rFonts w:ascii="Arial" w:hAnsi="Arial" w:cs="Arial"/>
        </w:rPr>
        <w:t xml:space="preserve"> 6 is partly to blame for the confusion</w:t>
      </w:r>
      <w:r w:rsidR="0062335D" w:rsidRPr="00500DE3">
        <w:rPr>
          <w:rFonts w:ascii="Arial" w:hAnsi="Arial" w:cs="Arial"/>
        </w:rPr>
        <w:t xml:space="preserve"> that seems apparent from the debate that has occurred on appeal about </w:t>
      </w:r>
      <w:r w:rsidR="009F5A89" w:rsidRPr="00500DE3">
        <w:rPr>
          <w:rFonts w:ascii="Arial" w:hAnsi="Arial" w:cs="Arial"/>
        </w:rPr>
        <w:t>that provision’s</w:t>
      </w:r>
      <w:r w:rsidR="005315D9" w:rsidRPr="00500DE3">
        <w:rPr>
          <w:rFonts w:ascii="Arial" w:hAnsi="Arial" w:cs="Arial"/>
        </w:rPr>
        <w:t xml:space="preserve"> proper ambit if </w:t>
      </w:r>
      <w:r w:rsidR="009F5A89" w:rsidRPr="00500DE3">
        <w:rPr>
          <w:rFonts w:ascii="Arial" w:hAnsi="Arial" w:cs="Arial"/>
        </w:rPr>
        <w:t>considered</w:t>
      </w:r>
      <w:r w:rsidR="005315D9" w:rsidRPr="00500DE3">
        <w:rPr>
          <w:rFonts w:ascii="Arial" w:hAnsi="Arial" w:cs="Arial"/>
        </w:rPr>
        <w:t xml:space="preserve"> in conjunction with </w:t>
      </w:r>
      <w:r w:rsidR="006017A4" w:rsidRPr="00500DE3">
        <w:rPr>
          <w:rFonts w:ascii="Arial" w:hAnsi="Arial" w:cs="Arial"/>
        </w:rPr>
        <w:t>A</w:t>
      </w:r>
      <w:r w:rsidR="005315D9" w:rsidRPr="00500DE3">
        <w:rPr>
          <w:rFonts w:ascii="Arial" w:hAnsi="Arial" w:cs="Arial"/>
        </w:rPr>
        <w:t>rt 12(1)(a) and (b) of the Constitution</w:t>
      </w:r>
      <w:r w:rsidR="00752A93" w:rsidRPr="00500DE3">
        <w:rPr>
          <w:rFonts w:ascii="Arial" w:hAnsi="Arial" w:cs="Arial"/>
        </w:rPr>
        <w:t xml:space="preserve">. </w:t>
      </w:r>
    </w:p>
    <w:p w14:paraId="4EF1D345" w14:textId="77777777" w:rsidR="005315D9" w:rsidRDefault="005315D9" w:rsidP="00752A93">
      <w:pPr>
        <w:spacing w:line="480" w:lineRule="auto"/>
        <w:jc w:val="both"/>
        <w:rPr>
          <w:rFonts w:ascii="Arial" w:hAnsi="Arial" w:cs="Arial"/>
        </w:rPr>
      </w:pPr>
    </w:p>
    <w:p w14:paraId="030DE095" w14:textId="66161D7F" w:rsidR="007A70E6" w:rsidRPr="00500DE3" w:rsidRDefault="00752A93"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The legislature has not included such a word in the section. The section merely grants a prosecutor the power to withdraw a charge and the consequence thereof is that it does not entitle an accused to an acquittal. </w:t>
      </w:r>
      <w:r w:rsidR="007A70E6" w:rsidRPr="00500DE3">
        <w:rPr>
          <w:rFonts w:ascii="Arial" w:hAnsi="Arial" w:cs="Arial"/>
        </w:rPr>
        <w:t xml:space="preserve">It certainly does not impose any obligation on the PG to reinstitute a prosecution. Thus considered, there is nothing provisional about </w:t>
      </w:r>
      <w:r w:rsidR="007917FA" w:rsidRPr="00500DE3">
        <w:rPr>
          <w:rFonts w:ascii="Arial" w:hAnsi="Arial" w:cs="Arial"/>
        </w:rPr>
        <w:t>a</w:t>
      </w:r>
      <w:r w:rsidR="007A70E6" w:rsidRPr="00500DE3">
        <w:rPr>
          <w:rFonts w:ascii="Arial" w:hAnsi="Arial" w:cs="Arial"/>
        </w:rPr>
        <w:t xml:space="preserve"> withdrawal</w:t>
      </w:r>
      <w:r w:rsidR="007917FA" w:rsidRPr="00500DE3">
        <w:rPr>
          <w:rFonts w:ascii="Arial" w:hAnsi="Arial" w:cs="Arial"/>
        </w:rPr>
        <w:t xml:space="preserve"> in terms of s 6</w:t>
      </w:r>
      <w:r w:rsidR="007917FA" w:rsidRPr="00B84DFE">
        <w:rPr>
          <w:rFonts w:ascii="Arial" w:hAnsi="Arial" w:cs="Arial"/>
          <w:i/>
        </w:rPr>
        <w:t>(a)</w:t>
      </w:r>
      <w:r w:rsidR="007A70E6" w:rsidRPr="00500DE3">
        <w:rPr>
          <w:rFonts w:ascii="Arial" w:hAnsi="Arial" w:cs="Arial"/>
        </w:rPr>
        <w:t xml:space="preserve">. </w:t>
      </w:r>
      <w:r w:rsidRPr="00500DE3">
        <w:rPr>
          <w:rFonts w:ascii="Arial" w:hAnsi="Arial" w:cs="Arial"/>
        </w:rPr>
        <w:t xml:space="preserve">For all practical </w:t>
      </w:r>
      <w:r w:rsidR="00A207EC" w:rsidRPr="00500DE3">
        <w:rPr>
          <w:rFonts w:ascii="Arial" w:hAnsi="Arial" w:cs="Arial"/>
        </w:rPr>
        <w:t xml:space="preserve">and legal </w:t>
      </w:r>
      <w:r w:rsidRPr="00500DE3">
        <w:rPr>
          <w:rFonts w:ascii="Arial" w:hAnsi="Arial" w:cs="Arial"/>
        </w:rPr>
        <w:t>purposes</w:t>
      </w:r>
      <w:r w:rsidR="00A207EC" w:rsidRPr="00500DE3">
        <w:rPr>
          <w:rFonts w:ascii="Arial" w:hAnsi="Arial" w:cs="Arial"/>
        </w:rPr>
        <w:t>,</w:t>
      </w:r>
      <w:r w:rsidRPr="00500DE3">
        <w:rPr>
          <w:rFonts w:ascii="Arial" w:hAnsi="Arial" w:cs="Arial"/>
        </w:rPr>
        <w:t xml:space="preserve"> such a person is on no different footing than one who has not yet been charged. The effect of the withdrawal as far as the </w:t>
      </w:r>
      <w:r w:rsidR="003A6BEE" w:rsidRPr="00500DE3">
        <w:rPr>
          <w:rFonts w:ascii="Arial" w:hAnsi="Arial" w:cs="Arial"/>
        </w:rPr>
        <w:t xml:space="preserve">PG </w:t>
      </w:r>
      <w:r w:rsidRPr="00500DE3">
        <w:rPr>
          <w:rFonts w:ascii="Arial" w:hAnsi="Arial" w:cs="Arial"/>
        </w:rPr>
        <w:t>is concerned is that whilst the statutorily prescribed prescripti</w:t>
      </w:r>
      <w:r w:rsidR="005315D9" w:rsidRPr="00500DE3">
        <w:rPr>
          <w:rFonts w:ascii="Arial" w:hAnsi="Arial" w:cs="Arial"/>
        </w:rPr>
        <w:t>on period has not run out, the S</w:t>
      </w:r>
      <w:r w:rsidRPr="00500DE3">
        <w:rPr>
          <w:rFonts w:ascii="Arial" w:hAnsi="Arial" w:cs="Arial"/>
        </w:rPr>
        <w:t xml:space="preserve">tate can bring fresh charges against the person, either </w:t>
      </w:r>
      <w:r w:rsidR="00387542" w:rsidRPr="00500DE3">
        <w:rPr>
          <w:rFonts w:ascii="Arial" w:hAnsi="Arial" w:cs="Arial"/>
        </w:rPr>
        <w:t xml:space="preserve">identical to those withdrawn or entirely different ones arising from the same factual matrix. </w:t>
      </w:r>
    </w:p>
    <w:p w14:paraId="6D5AA06C" w14:textId="77777777" w:rsidR="007A70E6" w:rsidRPr="001D0935" w:rsidRDefault="007A70E6" w:rsidP="00500DE3">
      <w:pPr>
        <w:spacing w:line="480" w:lineRule="auto"/>
        <w:jc w:val="both"/>
        <w:rPr>
          <w:rFonts w:ascii="Arial" w:hAnsi="Arial" w:cs="Arial"/>
        </w:rPr>
      </w:pPr>
    </w:p>
    <w:p w14:paraId="3B991D46" w14:textId="4FC780EC" w:rsidR="00B5257A" w:rsidRPr="00500DE3" w:rsidRDefault="00387542"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As far as the accused is concerned, he or she remains free </w:t>
      </w:r>
      <w:r w:rsidR="003A6BEE" w:rsidRPr="00500DE3">
        <w:rPr>
          <w:rFonts w:ascii="Arial" w:hAnsi="Arial" w:cs="Arial"/>
        </w:rPr>
        <w:t xml:space="preserve">from </w:t>
      </w:r>
      <w:r w:rsidRPr="00500DE3">
        <w:rPr>
          <w:rFonts w:ascii="Arial" w:hAnsi="Arial" w:cs="Arial"/>
        </w:rPr>
        <w:t xml:space="preserve">any criminal accusation in the eyes of the law. That </w:t>
      </w:r>
      <w:r w:rsidR="00F92132" w:rsidRPr="00500DE3">
        <w:rPr>
          <w:rFonts w:ascii="Arial" w:hAnsi="Arial" w:cs="Arial"/>
        </w:rPr>
        <w:t xml:space="preserve">members of </w:t>
      </w:r>
      <w:r w:rsidRPr="00500DE3">
        <w:rPr>
          <w:rFonts w:ascii="Arial" w:hAnsi="Arial" w:cs="Arial"/>
        </w:rPr>
        <w:t xml:space="preserve">the public may </w:t>
      </w:r>
      <w:r w:rsidR="009F1768" w:rsidRPr="00500DE3">
        <w:rPr>
          <w:rFonts w:ascii="Arial" w:hAnsi="Arial" w:cs="Arial"/>
        </w:rPr>
        <w:t xml:space="preserve">consider </w:t>
      </w:r>
      <w:r w:rsidRPr="00500DE3">
        <w:rPr>
          <w:rFonts w:ascii="Arial" w:hAnsi="Arial" w:cs="Arial"/>
        </w:rPr>
        <w:t>that the person is under a threat of prosecution on some future date</w:t>
      </w:r>
      <w:r w:rsidR="00EF6FF5" w:rsidRPr="00500DE3">
        <w:rPr>
          <w:rFonts w:ascii="Arial" w:hAnsi="Arial" w:cs="Arial"/>
        </w:rPr>
        <w:t>,</w:t>
      </w:r>
      <w:r w:rsidRPr="00500DE3">
        <w:rPr>
          <w:rFonts w:ascii="Arial" w:hAnsi="Arial" w:cs="Arial"/>
        </w:rPr>
        <w:t xml:space="preserve"> is of no moment in law. </w:t>
      </w:r>
      <w:r w:rsidR="007A70E6" w:rsidRPr="00500DE3">
        <w:rPr>
          <w:rFonts w:ascii="Arial" w:hAnsi="Arial" w:cs="Arial"/>
        </w:rPr>
        <w:t xml:space="preserve">How different is </w:t>
      </w:r>
      <w:r w:rsidR="00A24944" w:rsidRPr="00500DE3">
        <w:rPr>
          <w:rFonts w:ascii="Arial" w:hAnsi="Arial" w:cs="Arial"/>
        </w:rPr>
        <w:t>it</w:t>
      </w:r>
      <w:r w:rsidR="00667489" w:rsidRPr="00500DE3">
        <w:rPr>
          <w:rFonts w:ascii="Arial" w:hAnsi="Arial" w:cs="Arial"/>
        </w:rPr>
        <w:t xml:space="preserve"> </w:t>
      </w:r>
      <w:r w:rsidR="00324930" w:rsidRPr="00500DE3">
        <w:rPr>
          <w:rFonts w:ascii="Arial" w:hAnsi="Arial" w:cs="Arial"/>
        </w:rPr>
        <w:t xml:space="preserve">compared to </w:t>
      </w:r>
      <w:r w:rsidR="00B5257A" w:rsidRPr="00500DE3">
        <w:rPr>
          <w:rFonts w:ascii="Arial" w:hAnsi="Arial" w:cs="Arial"/>
        </w:rPr>
        <w:t xml:space="preserve">a person against whom a criminal complaint has been made under oath </w:t>
      </w:r>
      <w:r w:rsidR="00324930" w:rsidRPr="00500DE3">
        <w:rPr>
          <w:rFonts w:ascii="Arial" w:hAnsi="Arial" w:cs="Arial"/>
        </w:rPr>
        <w:t>an</w:t>
      </w:r>
      <w:r w:rsidR="00667489" w:rsidRPr="00500DE3">
        <w:rPr>
          <w:rFonts w:ascii="Arial" w:hAnsi="Arial" w:cs="Arial"/>
        </w:rPr>
        <w:t>d</w:t>
      </w:r>
      <w:r w:rsidR="00B5257A" w:rsidRPr="00500DE3">
        <w:rPr>
          <w:rFonts w:ascii="Arial" w:hAnsi="Arial" w:cs="Arial"/>
        </w:rPr>
        <w:t xml:space="preserve"> no arrest or prosecution has yet occurred but the </w:t>
      </w:r>
      <w:r w:rsidR="005315D9" w:rsidRPr="00500DE3">
        <w:rPr>
          <w:rFonts w:ascii="Arial" w:hAnsi="Arial" w:cs="Arial"/>
        </w:rPr>
        <w:t xml:space="preserve">PG </w:t>
      </w:r>
      <w:r w:rsidR="00B5257A" w:rsidRPr="00500DE3">
        <w:rPr>
          <w:rFonts w:ascii="Arial" w:hAnsi="Arial" w:cs="Arial"/>
        </w:rPr>
        <w:t xml:space="preserve">makes known that she intends to prosecute the alleged offender once all facts have been marshalled? </w:t>
      </w:r>
    </w:p>
    <w:p w14:paraId="60A9B96B" w14:textId="77777777" w:rsidR="00B5257A" w:rsidRPr="001D0935" w:rsidRDefault="00B5257A" w:rsidP="00500DE3">
      <w:pPr>
        <w:spacing w:line="480" w:lineRule="auto"/>
        <w:jc w:val="both"/>
        <w:rPr>
          <w:rFonts w:ascii="Arial" w:hAnsi="Arial" w:cs="Arial"/>
        </w:rPr>
      </w:pPr>
    </w:p>
    <w:p w14:paraId="697CA928" w14:textId="112DD17E" w:rsidR="00752A93" w:rsidRPr="00500DE3" w:rsidRDefault="00387542"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Once the charges are withdrawn, whatever liability </w:t>
      </w:r>
      <w:r w:rsidR="00B5257A" w:rsidRPr="00500DE3">
        <w:rPr>
          <w:rFonts w:ascii="Arial" w:hAnsi="Arial" w:cs="Arial"/>
        </w:rPr>
        <w:t>the accused</w:t>
      </w:r>
      <w:r w:rsidRPr="00500DE3">
        <w:rPr>
          <w:rFonts w:ascii="Arial" w:hAnsi="Arial" w:cs="Arial"/>
        </w:rPr>
        <w:t xml:space="preserve"> stood to suffer under any limitation imposed on </w:t>
      </w:r>
      <w:r w:rsidR="00B5257A" w:rsidRPr="00500DE3">
        <w:rPr>
          <w:rFonts w:ascii="Arial" w:hAnsi="Arial" w:cs="Arial"/>
        </w:rPr>
        <w:t>him or her</w:t>
      </w:r>
      <w:r w:rsidRPr="00500DE3">
        <w:rPr>
          <w:rFonts w:ascii="Arial" w:hAnsi="Arial" w:cs="Arial"/>
        </w:rPr>
        <w:t xml:space="preserve"> ceases. If he or she was allowed </w:t>
      </w:r>
      <w:r w:rsidRPr="00500DE3">
        <w:rPr>
          <w:rFonts w:ascii="Arial" w:hAnsi="Arial" w:cs="Arial"/>
        </w:rPr>
        <w:lastRenderedPageBreak/>
        <w:t>on bail subject to conditions, for example, that obligation ceases. If bail was paid, it wo</w:t>
      </w:r>
      <w:r w:rsidR="00E63FA0" w:rsidRPr="00500DE3">
        <w:rPr>
          <w:rFonts w:ascii="Arial" w:hAnsi="Arial" w:cs="Arial"/>
        </w:rPr>
        <w:t xml:space="preserve">uld be returned to the accused </w:t>
      </w:r>
      <w:r w:rsidRPr="00500DE3">
        <w:rPr>
          <w:rFonts w:ascii="Arial" w:hAnsi="Arial" w:cs="Arial"/>
        </w:rPr>
        <w:t>as indeed it was the case in respect of the first respondent.</w:t>
      </w:r>
    </w:p>
    <w:p w14:paraId="068A902D" w14:textId="77777777" w:rsidR="00A207EC" w:rsidRPr="001D0935" w:rsidRDefault="00A207EC" w:rsidP="00500DE3">
      <w:pPr>
        <w:spacing w:line="480" w:lineRule="auto"/>
        <w:jc w:val="both"/>
        <w:rPr>
          <w:rFonts w:ascii="Arial" w:hAnsi="Arial" w:cs="Arial"/>
        </w:rPr>
      </w:pPr>
    </w:p>
    <w:p w14:paraId="04E2F32B" w14:textId="6407ED86" w:rsidR="006B3F8D" w:rsidRPr="00500DE3" w:rsidRDefault="00A27C0B"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The status of an accused who remains on remand is not comparable to that of a person against whom charges have be</w:t>
      </w:r>
      <w:r w:rsidR="00E63FA0" w:rsidRPr="00500DE3">
        <w:rPr>
          <w:rFonts w:ascii="Arial" w:hAnsi="Arial" w:cs="Arial"/>
        </w:rPr>
        <w:t>en withdrawn in terms of s</w:t>
      </w:r>
      <w:r w:rsidRPr="00500DE3">
        <w:rPr>
          <w:rFonts w:ascii="Arial" w:hAnsi="Arial" w:cs="Arial"/>
        </w:rPr>
        <w:t xml:space="preserve"> 6</w:t>
      </w:r>
      <w:r w:rsidRPr="00500DE3">
        <w:rPr>
          <w:rFonts w:ascii="Arial" w:hAnsi="Arial" w:cs="Arial"/>
          <w:i/>
        </w:rPr>
        <w:t>(a)</w:t>
      </w:r>
      <w:r w:rsidR="00324930" w:rsidRPr="00500DE3">
        <w:rPr>
          <w:rFonts w:ascii="Arial" w:hAnsi="Arial" w:cs="Arial"/>
          <w:i/>
        </w:rPr>
        <w:t xml:space="preserve"> </w:t>
      </w:r>
      <w:r w:rsidR="00324930" w:rsidRPr="00500DE3">
        <w:rPr>
          <w:rFonts w:ascii="Arial" w:hAnsi="Arial" w:cs="Arial"/>
        </w:rPr>
        <w:t>of the CPA</w:t>
      </w:r>
      <w:r w:rsidRPr="00500DE3">
        <w:rPr>
          <w:rFonts w:ascii="Arial" w:hAnsi="Arial" w:cs="Arial"/>
          <w:i/>
        </w:rPr>
        <w:t>.</w:t>
      </w:r>
      <w:r w:rsidRPr="00500DE3">
        <w:rPr>
          <w:rFonts w:ascii="Arial" w:hAnsi="Arial" w:cs="Arial"/>
        </w:rPr>
        <w:t xml:space="preserve"> In the former case, the remand accused is obliged to comply with conditions attaching to his </w:t>
      </w:r>
      <w:r w:rsidR="009F1768" w:rsidRPr="00500DE3">
        <w:rPr>
          <w:rFonts w:ascii="Arial" w:hAnsi="Arial" w:cs="Arial"/>
        </w:rPr>
        <w:t xml:space="preserve">or her </w:t>
      </w:r>
      <w:r w:rsidRPr="00500DE3">
        <w:rPr>
          <w:rFonts w:ascii="Arial" w:hAnsi="Arial" w:cs="Arial"/>
        </w:rPr>
        <w:t>release on either bail</w:t>
      </w:r>
      <w:r w:rsidR="007917FA">
        <w:rPr>
          <w:rStyle w:val="FootnoteReference"/>
          <w:rFonts w:ascii="Arial" w:hAnsi="Arial"/>
        </w:rPr>
        <w:footnoteReference w:id="19"/>
      </w:r>
      <w:r w:rsidRPr="00500DE3">
        <w:rPr>
          <w:rFonts w:ascii="Arial" w:hAnsi="Arial" w:cs="Arial"/>
        </w:rPr>
        <w:t xml:space="preserve"> or </w:t>
      </w:r>
      <w:r w:rsidR="007917FA" w:rsidRPr="00500DE3">
        <w:rPr>
          <w:rFonts w:ascii="Arial" w:hAnsi="Arial" w:cs="Arial"/>
        </w:rPr>
        <w:t>on warning</w:t>
      </w:r>
      <w:r w:rsidRPr="00500DE3">
        <w:rPr>
          <w:rFonts w:ascii="Arial" w:hAnsi="Arial" w:cs="Arial"/>
        </w:rPr>
        <w:t>.</w:t>
      </w:r>
      <w:r w:rsidR="007917FA">
        <w:rPr>
          <w:rStyle w:val="FootnoteReference"/>
          <w:rFonts w:ascii="Arial" w:hAnsi="Arial"/>
        </w:rPr>
        <w:footnoteReference w:id="20"/>
      </w:r>
      <w:r w:rsidR="007917FA" w:rsidRPr="00500DE3">
        <w:rPr>
          <w:rFonts w:ascii="Arial" w:hAnsi="Arial" w:cs="Arial"/>
        </w:rPr>
        <w:t xml:space="preserve"> </w:t>
      </w:r>
      <w:r w:rsidRPr="00500DE3">
        <w:rPr>
          <w:rFonts w:ascii="Arial" w:hAnsi="Arial" w:cs="Arial"/>
        </w:rPr>
        <w:t xml:space="preserve">If he </w:t>
      </w:r>
      <w:r w:rsidR="00324930" w:rsidRPr="00500DE3">
        <w:rPr>
          <w:rFonts w:ascii="Arial" w:hAnsi="Arial" w:cs="Arial"/>
        </w:rPr>
        <w:t xml:space="preserve">or she </w:t>
      </w:r>
      <w:r w:rsidRPr="00500DE3">
        <w:rPr>
          <w:rFonts w:ascii="Arial" w:hAnsi="Arial" w:cs="Arial"/>
        </w:rPr>
        <w:t xml:space="preserve">breaches any of those conditions he </w:t>
      </w:r>
      <w:r w:rsidR="003A6BEE" w:rsidRPr="00500DE3">
        <w:rPr>
          <w:rFonts w:ascii="Arial" w:hAnsi="Arial" w:cs="Arial"/>
        </w:rPr>
        <w:t xml:space="preserve">or she </w:t>
      </w:r>
      <w:r w:rsidRPr="00500DE3">
        <w:rPr>
          <w:rFonts w:ascii="Arial" w:hAnsi="Arial" w:cs="Arial"/>
        </w:rPr>
        <w:t xml:space="preserve">will be arrested on a warrant issued by the court. </w:t>
      </w:r>
    </w:p>
    <w:p w14:paraId="7ACFB918" w14:textId="77777777" w:rsidR="006B3F8D" w:rsidRDefault="006B3F8D" w:rsidP="00500DE3">
      <w:pPr>
        <w:spacing w:line="480" w:lineRule="auto"/>
        <w:jc w:val="both"/>
        <w:rPr>
          <w:rFonts w:ascii="Arial" w:hAnsi="Arial" w:cs="Arial"/>
        </w:rPr>
      </w:pPr>
    </w:p>
    <w:p w14:paraId="56F4F471" w14:textId="77777777" w:rsidR="007864EB" w:rsidRPr="001F653C" w:rsidRDefault="00AE717C" w:rsidP="006251F6">
      <w:pPr>
        <w:pStyle w:val="ListParagraph"/>
        <w:numPr>
          <w:ilvl w:val="0"/>
          <w:numId w:val="13"/>
        </w:numPr>
        <w:spacing w:line="480" w:lineRule="auto"/>
        <w:ind w:left="0" w:firstLine="0"/>
        <w:jc w:val="both"/>
        <w:rPr>
          <w:rFonts w:ascii="Arial" w:hAnsi="Arial" w:cs="Arial"/>
          <w:spacing w:val="6"/>
        </w:rPr>
      </w:pPr>
      <w:r w:rsidRPr="001F653C">
        <w:rPr>
          <w:rFonts w:ascii="Arial" w:hAnsi="Arial" w:cs="Arial"/>
        </w:rPr>
        <w:t>Not only that, where a person is admitted to bail, in terms of s 63 of the CPA, a court has the power</w:t>
      </w:r>
      <w:r w:rsidR="006B3F8D" w:rsidRPr="001F653C">
        <w:rPr>
          <w:rFonts w:ascii="Arial" w:hAnsi="Arial" w:cs="Arial"/>
        </w:rPr>
        <w:t>,</w:t>
      </w:r>
      <w:r w:rsidRPr="001F653C">
        <w:rPr>
          <w:rFonts w:ascii="Arial" w:hAnsi="Arial" w:cs="Arial"/>
        </w:rPr>
        <w:t xml:space="preserve"> upon the application of the prosecutor</w:t>
      </w:r>
      <w:r w:rsidR="006B3F8D" w:rsidRPr="001F653C">
        <w:rPr>
          <w:rFonts w:ascii="Arial" w:hAnsi="Arial" w:cs="Arial"/>
        </w:rPr>
        <w:t>,</w:t>
      </w:r>
      <w:r w:rsidRPr="001F653C">
        <w:rPr>
          <w:rFonts w:ascii="Arial" w:hAnsi="Arial" w:cs="Arial"/>
        </w:rPr>
        <w:t xml:space="preserve"> to increase the bail amount previously determined or to amend any condition attaching to bail. Where </w:t>
      </w:r>
      <w:r w:rsidRPr="001F653C">
        <w:rPr>
          <w:rFonts w:ascii="Arial" w:hAnsi="Arial" w:cs="Arial"/>
        </w:rPr>
        <w:lastRenderedPageBreak/>
        <w:t>an accused has been released on warning, he or she commits an offence by not appearing at court in compliance with the warning</w:t>
      </w:r>
      <w:r w:rsidR="006B3F8D" w:rsidRPr="001F653C">
        <w:rPr>
          <w:rFonts w:ascii="Arial" w:hAnsi="Arial" w:cs="Arial"/>
        </w:rPr>
        <w:t>.</w:t>
      </w:r>
      <w:r w:rsidRPr="001F653C">
        <w:rPr>
          <w:rStyle w:val="FootnoteReference"/>
          <w:rFonts w:ascii="Arial" w:hAnsi="Arial"/>
        </w:rPr>
        <w:footnoteReference w:id="21"/>
      </w:r>
      <w:r w:rsidRPr="001F653C">
        <w:rPr>
          <w:rFonts w:ascii="Arial" w:hAnsi="Arial" w:cs="Arial"/>
        </w:rPr>
        <w:t xml:space="preserve"> </w:t>
      </w:r>
      <w:r w:rsidR="00A27C0B" w:rsidRPr="001F653C">
        <w:rPr>
          <w:rFonts w:ascii="Arial" w:hAnsi="Arial" w:cs="Arial"/>
        </w:rPr>
        <w:t>That contrasts with a person against whom charges have been withdrawn in terms of s 6</w:t>
      </w:r>
      <w:r w:rsidR="00A27C0B" w:rsidRPr="001F653C">
        <w:rPr>
          <w:rFonts w:ascii="Arial" w:hAnsi="Arial" w:cs="Arial"/>
          <w:i/>
        </w:rPr>
        <w:t>(a)</w:t>
      </w:r>
      <w:r w:rsidR="009F1768" w:rsidRPr="001F653C">
        <w:rPr>
          <w:rFonts w:ascii="Arial" w:hAnsi="Arial" w:cs="Arial"/>
        </w:rPr>
        <w:t xml:space="preserve"> of the CPA</w:t>
      </w:r>
      <w:r w:rsidR="00A27C0B" w:rsidRPr="001F653C">
        <w:rPr>
          <w:rFonts w:ascii="Arial" w:hAnsi="Arial" w:cs="Arial"/>
          <w:i/>
        </w:rPr>
        <w:t>.</w:t>
      </w:r>
      <w:r w:rsidR="00A27C0B" w:rsidRPr="001F653C">
        <w:rPr>
          <w:rFonts w:ascii="Arial" w:hAnsi="Arial" w:cs="Arial"/>
        </w:rPr>
        <w:t xml:space="preserve"> Such a person stands no risk of being arrested and being brought back before court on the strength of charges instituted prior to the withdrawal. For him </w:t>
      </w:r>
      <w:r w:rsidR="003A6BEE" w:rsidRPr="001F653C">
        <w:rPr>
          <w:rFonts w:ascii="Arial" w:hAnsi="Arial" w:cs="Arial"/>
        </w:rPr>
        <w:t xml:space="preserve">or her </w:t>
      </w:r>
      <w:r w:rsidR="00A27C0B" w:rsidRPr="001F653C">
        <w:rPr>
          <w:rFonts w:ascii="Arial" w:hAnsi="Arial" w:cs="Arial"/>
        </w:rPr>
        <w:t>to come back before court under coercive circumstances</w:t>
      </w:r>
      <w:r w:rsidR="006B3F8D" w:rsidRPr="001F653C">
        <w:rPr>
          <w:rFonts w:ascii="Arial" w:hAnsi="Arial" w:cs="Arial"/>
        </w:rPr>
        <w:t>,</w:t>
      </w:r>
      <w:r w:rsidR="00A27C0B" w:rsidRPr="001F653C">
        <w:rPr>
          <w:rFonts w:ascii="Arial" w:hAnsi="Arial" w:cs="Arial"/>
        </w:rPr>
        <w:t xml:space="preserve"> the PG must either have him </w:t>
      </w:r>
      <w:r w:rsidR="00324930" w:rsidRPr="001F653C">
        <w:rPr>
          <w:rFonts w:ascii="Arial" w:hAnsi="Arial" w:cs="Arial"/>
        </w:rPr>
        <w:t xml:space="preserve">or her </w:t>
      </w:r>
      <w:r w:rsidR="00A27C0B" w:rsidRPr="001F653C">
        <w:rPr>
          <w:rFonts w:ascii="Arial" w:hAnsi="Arial" w:cs="Arial"/>
        </w:rPr>
        <w:t xml:space="preserve">re-arrested or summoned to appear before court in terms of s 54(1) of the CPA. </w:t>
      </w:r>
      <w:r w:rsidR="006B3F8D" w:rsidRPr="001F653C">
        <w:rPr>
          <w:rFonts w:ascii="Arial" w:hAnsi="Arial" w:cs="Arial"/>
        </w:rPr>
        <w:t xml:space="preserve">That in my view, was recognised by O’Linn AJA in </w:t>
      </w:r>
      <w:r w:rsidR="006B3F8D" w:rsidRPr="001F653C">
        <w:rPr>
          <w:rFonts w:ascii="Arial" w:hAnsi="Arial" w:cs="Arial"/>
          <w:i/>
        </w:rPr>
        <w:t>Myburgh</w:t>
      </w:r>
      <w:r w:rsidR="006B3F8D" w:rsidRPr="001F653C">
        <w:rPr>
          <w:rFonts w:ascii="Arial" w:hAnsi="Arial" w:cs="Arial"/>
        </w:rPr>
        <w:t xml:space="preserve"> as discussed in para [7] above.</w:t>
      </w:r>
      <w:r w:rsidR="00B84DFE" w:rsidRPr="001F653C">
        <w:rPr>
          <w:rFonts w:ascii="Arial" w:hAnsi="Arial" w:cs="Arial"/>
        </w:rPr>
        <w:t xml:space="preserve"> </w:t>
      </w:r>
    </w:p>
    <w:p w14:paraId="2490808F" w14:textId="77777777" w:rsidR="007864EB" w:rsidRPr="002E60C9" w:rsidRDefault="007864EB" w:rsidP="002E60C9">
      <w:pPr>
        <w:pStyle w:val="ListParagraph"/>
        <w:spacing w:line="480" w:lineRule="auto"/>
        <w:jc w:val="both"/>
        <w:rPr>
          <w:rFonts w:ascii="Arial" w:hAnsi="Arial" w:cs="Arial"/>
          <w:spacing w:val="6"/>
        </w:rPr>
      </w:pPr>
    </w:p>
    <w:p w14:paraId="0546AA31" w14:textId="0E527583" w:rsidR="00A27C0B" w:rsidRPr="002E60C9" w:rsidRDefault="003A6BEE" w:rsidP="006251F6">
      <w:pPr>
        <w:pStyle w:val="ListParagraph"/>
        <w:numPr>
          <w:ilvl w:val="0"/>
          <w:numId w:val="13"/>
        </w:numPr>
        <w:spacing w:line="480" w:lineRule="auto"/>
        <w:ind w:left="0" w:firstLine="0"/>
        <w:jc w:val="both"/>
        <w:rPr>
          <w:rFonts w:ascii="Arial" w:hAnsi="Arial" w:cs="Arial"/>
          <w:spacing w:val="6"/>
        </w:rPr>
      </w:pPr>
      <w:r w:rsidRPr="002E60C9">
        <w:rPr>
          <w:rFonts w:ascii="Arial" w:hAnsi="Arial" w:cs="Arial"/>
          <w:spacing w:val="6"/>
        </w:rPr>
        <w:t>T</w:t>
      </w:r>
      <w:r w:rsidR="006B3F8D" w:rsidRPr="002E60C9">
        <w:rPr>
          <w:rFonts w:ascii="Arial" w:hAnsi="Arial" w:cs="Arial"/>
          <w:spacing w:val="6"/>
        </w:rPr>
        <w:t>he consequence must be that</w:t>
      </w:r>
      <w:r w:rsidRPr="002E60C9">
        <w:rPr>
          <w:rFonts w:ascii="Arial" w:hAnsi="Arial" w:cs="Arial"/>
          <w:spacing w:val="6"/>
        </w:rPr>
        <w:t xml:space="preserve"> once</w:t>
      </w:r>
      <w:r w:rsidR="00A27C0B" w:rsidRPr="002E60C9">
        <w:rPr>
          <w:rFonts w:ascii="Arial" w:hAnsi="Arial" w:cs="Arial"/>
          <w:spacing w:val="6"/>
        </w:rPr>
        <w:t xml:space="preserve"> a </w:t>
      </w:r>
      <w:r w:rsidRPr="002E60C9">
        <w:rPr>
          <w:rFonts w:ascii="Arial" w:hAnsi="Arial" w:cs="Arial"/>
          <w:spacing w:val="6"/>
        </w:rPr>
        <w:t>charge has been</w:t>
      </w:r>
      <w:r w:rsidR="00E63FA0" w:rsidRPr="002E60C9">
        <w:rPr>
          <w:rFonts w:ascii="Arial" w:hAnsi="Arial" w:cs="Arial"/>
          <w:spacing w:val="6"/>
        </w:rPr>
        <w:t xml:space="preserve"> withdrawn there is nothing to ‘stay’</w:t>
      </w:r>
      <w:r w:rsidR="00A27C0B" w:rsidRPr="002E60C9">
        <w:rPr>
          <w:rFonts w:ascii="Arial" w:hAnsi="Arial" w:cs="Arial"/>
          <w:spacing w:val="6"/>
        </w:rPr>
        <w:t>. I come to the conclusion therefore that Mr Botes is correct in his submission that a person against whom charges have been withdrawn in terms</w:t>
      </w:r>
      <w:r w:rsidR="006017A4" w:rsidRPr="002E60C9">
        <w:rPr>
          <w:rFonts w:ascii="Arial" w:hAnsi="Arial" w:cs="Arial"/>
          <w:spacing w:val="6"/>
        </w:rPr>
        <w:t xml:space="preserve"> </w:t>
      </w:r>
      <w:r w:rsidR="00A27C0B" w:rsidRPr="002E60C9">
        <w:rPr>
          <w:rFonts w:ascii="Arial" w:hAnsi="Arial" w:cs="Arial"/>
          <w:spacing w:val="6"/>
        </w:rPr>
        <w:t>of</w:t>
      </w:r>
      <w:r w:rsidR="006017A4" w:rsidRPr="002E60C9">
        <w:rPr>
          <w:rFonts w:ascii="Arial" w:hAnsi="Arial" w:cs="Arial"/>
          <w:spacing w:val="6"/>
        </w:rPr>
        <w:t xml:space="preserve"> </w:t>
      </w:r>
      <w:r w:rsidR="00A27C0B" w:rsidRPr="002E60C9">
        <w:rPr>
          <w:rFonts w:ascii="Arial" w:hAnsi="Arial" w:cs="Arial"/>
          <w:spacing w:val="6"/>
        </w:rPr>
        <w:t>s 6</w:t>
      </w:r>
      <w:r w:rsidR="00A27C0B" w:rsidRPr="002E60C9">
        <w:rPr>
          <w:rFonts w:ascii="Arial" w:hAnsi="Arial" w:cs="Arial"/>
          <w:i/>
          <w:spacing w:val="6"/>
        </w:rPr>
        <w:t>(a)</w:t>
      </w:r>
      <w:r w:rsidR="00A27C0B" w:rsidRPr="002E60C9">
        <w:rPr>
          <w:rFonts w:ascii="Arial" w:hAnsi="Arial" w:cs="Arial"/>
          <w:spacing w:val="6"/>
        </w:rPr>
        <w:t xml:space="preserve"> </w:t>
      </w:r>
      <w:r w:rsidRPr="002E60C9">
        <w:rPr>
          <w:rFonts w:ascii="Arial" w:hAnsi="Arial" w:cs="Arial"/>
          <w:spacing w:val="6"/>
        </w:rPr>
        <w:t xml:space="preserve">of the CPA </w:t>
      </w:r>
      <w:r w:rsidR="00A27C0B" w:rsidRPr="002E60C9">
        <w:rPr>
          <w:rFonts w:ascii="Arial" w:hAnsi="Arial" w:cs="Arial"/>
          <w:spacing w:val="6"/>
        </w:rPr>
        <w:t xml:space="preserve">is not an </w:t>
      </w:r>
      <w:r w:rsidRPr="002E60C9">
        <w:rPr>
          <w:rFonts w:ascii="Arial" w:hAnsi="Arial" w:cs="Arial"/>
          <w:spacing w:val="6"/>
        </w:rPr>
        <w:t>‘</w:t>
      </w:r>
      <w:r w:rsidR="00A27C0B" w:rsidRPr="002E60C9">
        <w:rPr>
          <w:rFonts w:ascii="Arial" w:hAnsi="Arial" w:cs="Arial"/>
          <w:spacing w:val="6"/>
        </w:rPr>
        <w:t>accused</w:t>
      </w:r>
      <w:r w:rsidRPr="002E60C9">
        <w:rPr>
          <w:rFonts w:ascii="Arial" w:hAnsi="Arial" w:cs="Arial"/>
          <w:spacing w:val="6"/>
        </w:rPr>
        <w:t>’</w:t>
      </w:r>
      <w:r w:rsidR="00A27C0B" w:rsidRPr="002E60C9">
        <w:rPr>
          <w:rFonts w:ascii="Arial" w:hAnsi="Arial" w:cs="Arial"/>
          <w:spacing w:val="6"/>
        </w:rPr>
        <w:t xml:space="preserve"> in terms of </w:t>
      </w:r>
      <w:r w:rsidR="006017A4" w:rsidRPr="002E60C9">
        <w:rPr>
          <w:rFonts w:ascii="Arial" w:hAnsi="Arial" w:cs="Arial"/>
          <w:spacing w:val="6"/>
        </w:rPr>
        <w:t>A</w:t>
      </w:r>
      <w:r w:rsidRPr="002E60C9">
        <w:rPr>
          <w:rFonts w:ascii="Arial" w:hAnsi="Arial" w:cs="Arial"/>
          <w:spacing w:val="6"/>
        </w:rPr>
        <w:t xml:space="preserve">rt 12(1)(b) of the Constitution. </w:t>
      </w:r>
    </w:p>
    <w:p w14:paraId="1438D75A" w14:textId="77777777" w:rsidR="00A27C0B" w:rsidRDefault="00A27C0B" w:rsidP="00500DE3">
      <w:pPr>
        <w:spacing w:line="480" w:lineRule="auto"/>
        <w:jc w:val="both"/>
        <w:rPr>
          <w:rFonts w:ascii="Arial" w:hAnsi="Arial" w:cs="Arial"/>
        </w:rPr>
      </w:pPr>
    </w:p>
    <w:p w14:paraId="6090603D" w14:textId="4ACB1341" w:rsidR="00BD38D0" w:rsidRPr="00500DE3" w:rsidRDefault="00A207EC"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Mr Namandje on behalf of the first respondent argued with great force, an argument not seriously contested by Mr Botes for the </w:t>
      </w:r>
      <w:r w:rsidR="00F92132" w:rsidRPr="00500DE3">
        <w:rPr>
          <w:rFonts w:ascii="Arial" w:hAnsi="Arial" w:cs="Arial"/>
        </w:rPr>
        <w:t>PG</w:t>
      </w:r>
      <w:r w:rsidRPr="00500DE3">
        <w:rPr>
          <w:rFonts w:ascii="Arial" w:hAnsi="Arial" w:cs="Arial"/>
        </w:rPr>
        <w:t xml:space="preserve">, that in circumstances where a prosecutor withdraws charges against an accused because the court refuses to allow a further postponement, the prosecutor can only </w:t>
      </w:r>
      <w:r w:rsidR="007A70E6" w:rsidRPr="00500DE3">
        <w:rPr>
          <w:rFonts w:ascii="Arial" w:hAnsi="Arial" w:cs="Arial"/>
        </w:rPr>
        <w:t xml:space="preserve">reinstitute a prosecution for good reason. I will assume, without deciding, that it is a correct statement of the law. That, it would appear to me, seems to </w:t>
      </w:r>
      <w:r w:rsidR="00324930" w:rsidRPr="00500DE3">
        <w:rPr>
          <w:rFonts w:ascii="Arial" w:hAnsi="Arial" w:cs="Arial"/>
        </w:rPr>
        <w:t>be</w:t>
      </w:r>
      <w:r w:rsidR="007A70E6" w:rsidRPr="00500DE3">
        <w:rPr>
          <w:rFonts w:ascii="Arial" w:hAnsi="Arial" w:cs="Arial"/>
        </w:rPr>
        <w:t xml:space="preserve"> a sufficiently powerful </w:t>
      </w:r>
      <w:r w:rsidR="007A70E6" w:rsidRPr="00500DE3">
        <w:rPr>
          <w:rFonts w:ascii="Arial" w:hAnsi="Arial" w:cs="Arial"/>
        </w:rPr>
        <w:lastRenderedPageBreak/>
        <w:t xml:space="preserve">disincentive for the </w:t>
      </w:r>
      <w:r w:rsidR="00F92132" w:rsidRPr="00500DE3">
        <w:rPr>
          <w:rFonts w:ascii="Arial" w:hAnsi="Arial" w:cs="Arial"/>
        </w:rPr>
        <w:t>PG</w:t>
      </w:r>
      <w:r w:rsidR="007A70E6" w:rsidRPr="00500DE3">
        <w:rPr>
          <w:rFonts w:ascii="Arial" w:hAnsi="Arial" w:cs="Arial"/>
        </w:rPr>
        <w:t xml:space="preserve"> to reinstitute a prosecution </w:t>
      </w:r>
      <w:r w:rsidR="00324930" w:rsidRPr="00500DE3">
        <w:rPr>
          <w:rFonts w:ascii="Arial" w:hAnsi="Arial" w:cs="Arial"/>
        </w:rPr>
        <w:t>unless she is sure the matter can actually proceed to plea and trial.</w:t>
      </w:r>
    </w:p>
    <w:p w14:paraId="71C44DAF" w14:textId="77777777" w:rsidR="004323A8" w:rsidRDefault="004323A8" w:rsidP="00500DE3">
      <w:pPr>
        <w:spacing w:line="480" w:lineRule="auto"/>
        <w:jc w:val="both"/>
        <w:rPr>
          <w:rFonts w:ascii="Arial" w:hAnsi="Arial" w:cs="Arial"/>
        </w:rPr>
      </w:pPr>
    </w:p>
    <w:p w14:paraId="01661B54" w14:textId="424A59C4" w:rsidR="004323A8" w:rsidRPr="00500DE3" w:rsidRDefault="004323A8"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The floodgates argument made by Mr Botes is a particularly weighty consideration in adopting the approach that I have tak</w:t>
      </w:r>
      <w:r w:rsidR="00E75D10" w:rsidRPr="00500DE3">
        <w:rPr>
          <w:rFonts w:ascii="Arial" w:hAnsi="Arial" w:cs="Arial"/>
        </w:rPr>
        <w:t xml:space="preserve">en on the interpretation of Art </w:t>
      </w:r>
      <w:r w:rsidRPr="00500DE3">
        <w:rPr>
          <w:rFonts w:ascii="Arial" w:hAnsi="Arial" w:cs="Arial"/>
        </w:rPr>
        <w:t xml:space="preserve">12(1)(b). The floodgates concern is not a fanciful one and holds palpable dangers of the overall criminal justice system being overburdened by applications for permanent stay once there is a withdrawal of charges by the PG. </w:t>
      </w:r>
    </w:p>
    <w:p w14:paraId="562CE49B" w14:textId="77777777" w:rsidR="004323A8" w:rsidRDefault="004323A8" w:rsidP="00500DE3">
      <w:pPr>
        <w:spacing w:line="480" w:lineRule="auto"/>
        <w:jc w:val="both"/>
        <w:rPr>
          <w:rFonts w:ascii="Arial" w:hAnsi="Arial" w:cs="Arial"/>
        </w:rPr>
      </w:pPr>
    </w:p>
    <w:p w14:paraId="12E5363A" w14:textId="6CFFC8BE" w:rsidR="004323A8" w:rsidRPr="00500DE3" w:rsidRDefault="004323A8"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Delay is not always a function of dereliction of duty by those responsible for criminal prosecutions. </w:t>
      </w:r>
      <w:r w:rsidR="00B2675E" w:rsidRPr="00500DE3">
        <w:rPr>
          <w:rFonts w:ascii="Arial" w:hAnsi="Arial" w:cs="Arial"/>
        </w:rPr>
        <w:t>‘</w:t>
      </w:r>
      <w:r w:rsidRPr="00500DE3">
        <w:rPr>
          <w:rFonts w:ascii="Arial" w:hAnsi="Arial" w:cs="Arial"/>
        </w:rPr>
        <w:t>Limits on institutional resources</w:t>
      </w:r>
      <w:r w:rsidR="00B2675E" w:rsidRPr="00500DE3">
        <w:rPr>
          <w:rFonts w:ascii="Arial" w:hAnsi="Arial" w:cs="Arial"/>
        </w:rPr>
        <w:t>’</w:t>
      </w:r>
      <w:r w:rsidRPr="00500DE3">
        <w:rPr>
          <w:rFonts w:ascii="Arial" w:hAnsi="Arial" w:cs="Arial"/>
        </w:rPr>
        <w:t xml:space="preserve"> are just as responsible for delay. It is not </w:t>
      </w:r>
      <w:r w:rsidR="00B2675E" w:rsidRPr="00500DE3">
        <w:rPr>
          <w:rFonts w:ascii="Arial" w:hAnsi="Arial" w:cs="Arial"/>
        </w:rPr>
        <w:t xml:space="preserve">a </w:t>
      </w:r>
      <w:r w:rsidRPr="00500DE3">
        <w:rPr>
          <w:rFonts w:ascii="Arial" w:hAnsi="Arial" w:cs="Arial"/>
        </w:rPr>
        <w:t>small matter therefore th</w:t>
      </w:r>
      <w:r w:rsidR="00B2675E" w:rsidRPr="00500DE3">
        <w:rPr>
          <w:rFonts w:ascii="Arial" w:hAnsi="Arial" w:cs="Arial"/>
        </w:rPr>
        <w:t>at courts in jurisdictions with</w:t>
      </w:r>
      <w:r w:rsidRPr="00500DE3">
        <w:rPr>
          <w:rFonts w:ascii="Arial" w:hAnsi="Arial" w:cs="Arial"/>
        </w:rPr>
        <w:t xml:space="preserve"> whom we share the common-law heritage </w:t>
      </w:r>
      <w:r w:rsidR="00B2675E" w:rsidRPr="00500DE3">
        <w:rPr>
          <w:rFonts w:ascii="Arial" w:hAnsi="Arial" w:cs="Arial"/>
        </w:rPr>
        <w:t xml:space="preserve">and progressive constitutions </w:t>
      </w:r>
      <w:r w:rsidRPr="00500DE3">
        <w:rPr>
          <w:rFonts w:ascii="Arial" w:hAnsi="Arial" w:cs="Arial"/>
        </w:rPr>
        <w:t xml:space="preserve">have recognised that systemic delay attributable to </w:t>
      </w:r>
      <w:r w:rsidR="00B2675E" w:rsidRPr="00500DE3">
        <w:rPr>
          <w:rFonts w:ascii="Arial" w:hAnsi="Arial" w:cs="Arial"/>
        </w:rPr>
        <w:t>‘</w:t>
      </w:r>
      <w:r w:rsidRPr="00500DE3">
        <w:rPr>
          <w:rFonts w:ascii="Arial" w:hAnsi="Arial" w:cs="Arial"/>
        </w:rPr>
        <w:t>limits on institutional resources</w:t>
      </w:r>
      <w:r w:rsidR="00B2675E" w:rsidRPr="00500DE3">
        <w:rPr>
          <w:rFonts w:ascii="Arial" w:hAnsi="Arial" w:cs="Arial"/>
        </w:rPr>
        <w:t>’</w:t>
      </w:r>
      <w:r w:rsidRPr="00500DE3">
        <w:rPr>
          <w:rFonts w:ascii="Arial" w:hAnsi="Arial" w:cs="Arial"/>
        </w:rPr>
        <w:t xml:space="preserve"> is an important factor to be taken </w:t>
      </w:r>
      <w:r w:rsidR="00B2675E" w:rsidRPr="00500DE3">
        <w:rPr>
          <w:rFonts w:ascii="Arial" w:hAnsi="Arial" w:cs="Arial"/>
        </w:rPr>
        <w:t>into account i</w:t>
      </w:r>
      <w:r w:rsidRPr="00500DE3">
        <w:rPr>
          <w:rFonts w:ascii="Arial" w:hAnsi="Arial" w:cs="Arial"/>
        </w:rPr>
        <w:t>n the assessment of whether or not there was an unreasonable delay in bringing about a prosecution within a reasonable time.</w:t>
      </w:r>
      <w:r>
        <w:rPr>
          <w:rStyle w:val="FootnoteReference"/>
          <w:rFonts w:ascii="Arial" w:hAnsi="Arial"/>
        </w:rPr>
        <w:footnoteReference w:id="22"/>
      </w:r>
    </w:p>
    <w:p w14:paraId="3AD02BCF" w14:textId="77777777" w:rsidR="00240A69" w:rsidRDefault="00240A69" w:rsidP="00500DE3">
      <w:pPr>
        <w:spacing w:line="480" w:lineRule="auto"/>
        <w:jc w:val="both"/>
        <w:rPr>
          <w:rFonts w:ascii="Arial" w:hAnsi="Arial" w:cs="Arial"/>
        </w:rPr>
      </w:pPr>
    </w:p>
    <w:p w14:paraId="72B99DE3" w14:textId="0FF811D1" w:rsidR="003A6BEE" w:rsidRPr="00500DE3" w:rsidRDefault="003A6BEE"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I conclude therefore that </w:t>
      </w:r>
      <w:r w:rsidR="00B2675E" w:rsidRPr="00500DE3">
        <w:rPr>
          <w:rFonts w:ascii="Arial" w:hAnsi="Arial" w:cs="Arial"/>
        </w:rPr>
        <w:t xml:space="preserve">the first respondent is not an accused </w:t>
      </w:r>
      <w:r w:rsidR="006B3F8D" w:rsidRPr="00500DE3">
        <w:rPr>
          <w:rFonts w:ascii="Arial" w:hAnsi="Arial" w:cs="Arial"/>
        </w:rPr>
        <w:t xml:space="preserve">and that </w:t>
      </w:r>
      <w:r w:rsidRPr="00500DE3">
        <w:rPr>
          <w:rFonts w:ascii="Arial" w:hAnsi="Arial" w:cs="Arial"/>
        </w:rPr>
        <w:t xml:space="preserve">it was not competent for the High Court to grant </w:t>
      </w:r>
      <w:r w:rsidR="00B2675E" w:rsidRPr="00500DE3">
        <w:rPr>
          <w:rFonts w:ascii="Arial" w:hAnsi="Arial" w:cs="Arial"/>
        </w:rPr>
        <w:t xml:space="preserve">him </w:t>
      </w:r>
      <w:r w:rsidRPr="00500DE3">
        <w:rPr>
          <w:rFonts w:ascii="Arial" w:hAnsi="Arial" w:cs="Arial"/>
        </w:rPr>
        <w:t>an order for permanent stay of prosecution</w:t>
      </w:r>
      <w:r w:rsidR="00C6237A" w:rsidRPr="00500DE3">
        <w:rPr>
          <w:rFonts w:ascii="Arial" w:hAnsi="Arial" w:cs="Arial"/>
        </w:rPr>
        <w:t>.</w:t>
      </w:r>
      <w:r w:rsidRPr="00500DE3">
        <w:rPr>
          <w:rFonts w:ascii="Arial" w:hAnsi="Arial" w:cs="Arial"/>
        </w:rPr>
        <w:t xml:space="preserve"> </w:t>
      </w:r>
      <w:r w:rsidR="00C6237A" w:rsidRPr="00500DE3">
        <w:rPr>
          <w:rFonts w:ascii="Arial" w:hAnsi="Arial" w:cs="Arial"/>
        </w:rPr>
        <w:t>H</w:t>
      </w:r>
      <w:r w:rsidRPr="00500DE3">
        <w:rPr>
          <w:rFonts w:ascii="Arial" w:hAnsi="Arial" w:cs="Arial"/>
        </w:rPr>
        <w:t>is application should have been dismissed.</w:t>
      </w:r>
    </w:p>
    <w:p w14:paraId="604ADB61" w14:textId="77777777" w:rsidR="00A75AF0" w:rsidRDefault="00A75AF0" w:rsidP="00500DE3">
      <w:pPr>
        <w:spacing w:line="480" w:lineRule="auto"/>
        <w:jc w:val="both"/>
        <w:rPr>
          <w:rFonts w:ascii="Arial" w:hAnsi="Arial" w:cs="Arial"/>
          <w:lang w:val="en-US"/>
        </w:rPr>
      </w:pPr>
    </w:p>
    <w:p w14:paraId="7949CC47" w14:textId="77777777" w:rsidR="00227AA4" w:rsidRDefault="00227AA4" w:rsidP="00500DE3">
      <w:pPr>
        <w:spacing w:line="480" w:lineRule="auto"/>
        <w:jc w:val="both"/>
        <w:rPr>
          <w:rFonts w:ascii="Arial" w:hAnsi="Arial" w:cs="Arial"/>
          <w:lang w:val="en-US"/>
        </w:rPr>
      </w:pPr>
    </w:p>
    <w:p w14:paraId="1F2ECACA" w14:textId="77777777" w:rsidR="00227AA4" w:rsidRDefault="00227AA4" w:rsidP="00500DE3">
      <w:pPr>
        <w:spacing w:line="480" w:lineRule="auto"/>
        <w:jc w:val="both"/>
        <w:rPr>
          <w:rFonts w:ascii="Arial" w:hAnsi="Arial" w:cs="Arial"/>
          <w:lang w:val="en-US"/>
        </w:rPr>
      </w:pPr>
    </w:p>
    <w:p w14:paraId="65520190" w14:textId="77777777" w:rsidR="004D701B" w:rsidRDefault="004D701B" w:rsidP="00500DE3">
      <w:pPr>
        <w:pStyle w:val="ListParagraph"/>
        <w:spacing w:line="480" w:lineRule="auto"/>
        <w:ind w:left="0"/>
        <w:jc w:val="both"/>
        <w:rPr>
          <w:rFonts w:ascii="Arial" w:hAnsi="Arial" w:cs="Arial"/>
          <w:u w:val="single"/>
        </w:rPr>
      </w:pPr>
    </w:p>
    <w:p w14:paraId="79EF15FD" w14:textId="081B2168" w:rsidR="00631519" w:rsidRPr="00500DE3" w:rsidRDefault="00631519" w:rsidP="00500DE3">
      <w:pPr>
        <w:pStyle w:val="ListParagraph"/>
        <w:spacing w:line="480" w:lineRule="auto"/>
        <w:ind w:left="0"/>
        <w:jc w:val="both"/>
        <w:rPr>
          <w:rFonts w:ascii="Arial" w:hAnsi="Arial" w:cs="Arial"/>
          <w:u w:val="single"/>
        </w:rPr>
      </w:pPr>
      <w:r w:rsidRPr="00500DE3">
        <w:rPr>
          <w:rFonts w:ascii="Arial" w:hAnsi="Arial" w:cs="Arial"/>
          <w:u w:val="single"/>
        </w:rPr>
        <w:t>Costs</w:t>
      </w:r>
    </w:p>
    <w:p w14:paraId="6AC31B9C" w14:textId="60481DC4" w:rsidR="00747710" w:rsidRPr="00500DE3" w:rsidRDefault="003A6BEE" w:rsidP="006251F6">
      <w:pPr>
        <w:pStyle w:val="ListParagraph"/>
        <w:numPr>
          <w:ilvl w:val="0"/>
          <w:numId w:val="13"/>
        </w:numPr>
        <w:spacing w:line="480" w:lineRule="auto"/>
        <w:ind w:left="0" w:firstLine="0"/>
        <w:jc w:val="both"/>
        <w:rPr>
          <w:rFonts w:ascii="Arial" w:hAnsi="Arial" w:cs="Arial"/>
        </w:rPr>
      </w:pPr>
      <w:r w:rsidRPr="00500DE3">
        <w:rPr>
          <w:rFonts w:ascii="Arial" w:hAnsi="Arial" w:cs="Arial"/>
        </w:rPr>
        <w:t xml:space="preserve">The first respondent approached court to ventilate one of the most important rights under our Constitution. </w:t>
      </w:r>
      <w:r w:rsidR="001C6553" w:rsidRPr="00500DE3">
        <w:rPr>
          <w:rFonts w:ascii="Arial" w:hAnsi="Arial" w:cs="Arial"/>
        </w:rPr>
        <w:t>That he did not act frivolously is borne out by the fact that he achieved success below in</w:t>
      </w:r>
      <w:r w:rsidRPr="00500DE3">
        <w:rPr>
          <w:rFonts w:ascii="Arial" w:hAnsi="Arial" w:cs="Arial"/>
        </w:rPr>
        <w:t xml:space="preserve"> a very </w:t>
      </w:r>
      <w:r w:rsidR="001C6553" w:rsidRPr="00500DE3">
        <w:rPr>
          <w:rFonts w:ascii="Arial" w:hAnsi="Arial" w:cs="Arial"/>
        </w:rPr>
        <w:t xml:space="preserve">carefully </w:t>
      </w:r>
      <w:r w:rsidRPr="00500DE3">
        <w:rPr>
          <w:rFonts w:ascii="Arial" w:hAnsi="Arial" w:cs="Arial"/>
        </w:rPr>
        <w:t>considered judgment</w:t>
      </w:r>
      <w:r w:rsidR="001C6553" w:rsidRPr="00500DE3">
        <w:rPr>
          <w:rFonts w:ascii="Arial" w:hAnsi="Arial" w:cs="Arial"/>
        </w:rPr>
        <w:t>.</w:t>
      </w:r>
      <w:r w:rsidRPr="00500DE3">
        <w:rPr>
          <w:rFonts w:ascii="Arial" w:hAnsi="Arial" w:cs="Arial"/>
        </w:rPr>
        <w:t xml:space="preserve"> It is apparent from the papers that he did not act frivolously. </w:t>
      </w:r>
      <w:r w:rsidR="00324930" w:rsidRPr="00500DE3">
        <w:rPr>
          <w:rFonts w:ascii="Arial" w:hAnsi="Arial" w:cs="Arial"/>
        </w:rPr>
        <w:t xml:space="preserve">Relying on </w:t>
      </w:r>
      <w:r w:rsidR="00037935" w:rsidRPr="00500DE3">
        <w:rPr>
          <w:rFonts w:ascii="Arial" w:hAnsi="Arial" w:cs="Arial"/>
        </w:rPr>
        <w:t xml:space="preserve">the principles enunciated in </w:t>
      </w:r>
      <w:r w:rsidR="00037935" w:rsidRPr="00500DE3">
        <w:rPr>
          <w:rFonts w:ascii="Arial" w:hAnsi="Arial" w:cs="Arial"/>
          <w:i/>
        </w:rPr>
        <w:t>Biowatch Trust v Registrar</w:t>
      </w:r>
      <w:r w:rsidR="00B347A6" w:rsidRPr="00500DE3">
        <w:rPr>
          <w:rFonts w:ascii="Arial" w:hAnsi="Arial" w:cs="Arial"/>
          <w:i/>
        </w:rPr>
        <w:t>,</w:t>
      </w:r>
      <w:r w:rsidR="0076335E" w:rsidRPr="00500DE3">
        <w:rPr>
          <w:rFonts w:ascii="Arial" w:hAnsi="Arial" w:cs="Arial"/>
          <w:i/>
        </w:rPr>
        <w:t xml:space="preserve"> Genetic Resources &amp;</w:t>
      </w:r>
      <w:r w:rsidR="00037935" w:rsidRPr="00500DE3">
        <w:rPr>
          <w:rFonts w:ascii="Arial" w:hAnsi="Arial" w:cs="Arial"/>
          <w:i/>
        </w:rPr>
        <w:t xml:space="preserve"> </w:t>
      </w:r>
      <w:r w:rsidR="00B347A6" w:rsidRPr="00500DE3">
        <w:rPr>
          <w:rFonts w:ascii="Arial" w:hAnsi="Arial" w:cs="Arial"/>
          <w:i/>
        </w:rPr>
        <w:t>o</w:t>
      </w:r>
      <w:r w:rsidR="00037935" w:rsidRPr="00500DE3">
        <w:rPr>
          <w:rFonts w:ascii="Arial" w:hAnsi="Arial" w:cs="Arial"/>
          <w:i/>
        </w:rPr>
        <w:t>thers</w:t>
      </w:r>
      <w:r w:rsidR="00037935">
        <w:rPr>
          <w:rStyle w:val="FootnoteReference"/>
          <w:rFonts w:ascii="Arial" w:hAnsi="Arial"/>
        </w:rPr>
        <w:footnoteReference w:id="23"/>
      </w:r>
      <w:r w:rsidR="00037935" w:rsidRPr="00500DE3">
        <w:rPr>
          <w:rFonts w:ascii="Arial" w:hAnsi="Arial" w:cs="Arial"/>
        </w:rPr>
        <w:t xml:space="preserve"> this court has consistently applied the principle that in such circumstances a litigant should not be condemned in costs where he or she is unsuccessful. </w:t>
      </w:r>
    </w:p>
    <w:p w14:paraId="6B3A9996" w14:textId="77777777" w:rsidR="00631519" w:rsidRPr="00D65C50" w:rsidRDefault="00631519" w:rsidP="00500DE3">
      <w:pPr>
        <w:spacing w:line="480" w:lineRule="auto"/>
        <w:jc w:val="both"/>
        <w:rPr>
          <w:rFonts w:cs="Arial"/>
        </w:rPr>
      </w:pPr>
    </w:p>
    <w:p w14:paraId="15ABB405" w14:textId="077C96B7" w:rsidR="00037935" w:rsidRDefault="00631519" w:rsidP="006251F6">
      <w:pPr>
        <w:pStyle w:val="BodyText"/>
        <w:numPr>
          <w:ilvl w:val="0"/>
          <w:numId w:val="13"/>
        </w:numPr>
        <w:autoSpaceDE w:val="0"/>
        <w:autoSpaceDN w:val="0"/>
        <w:adjustRightInd w:val="0"/>
        <w:spacing w:line="480" w:lineRule="auto"/>
        <w:ind w:left="0" w:firstLine="0"/>
        <w:jc w:val="both"/>
        <w:rPr>
          <w:rFonts w:ascii="Arial" w:hAnsi="Arial" w:cs="Arial"/>
        </w:rPr>
      </w:pPr>
      <w:r>
        <w:rPr>
          <w:rFonts w:ascii="Arial" w:hAnsi="Arial" w:cs="Arial"/>
        </w:rPr>
        <w:t xml:space="preserve">In </w:t>
      </w:r>
      <w:r w:rsidRPr="00CF3349">
        <w:rPr>
          <w:rFonts w:ascii="Arial" w:hAnsi="Arial" w:cs="Arial"/>
          <w:i/>
        </w:rPr>
        <w:t>Standard Bank Namibia Limited</w:t>
      </w:r>
      <w:r w:rsidR="00B347A6">
        <w:rPr>
          <w:rFonts w:ascii="Arial" w:hAnsi="Arial" w:cs="Arial"/>
          <w:i/>
        </w:rPr>
        <w:t xml:space="preserve"> &amp; others</w:t>
      </w:r>
      <w:r w:rsidRPr="00CF3349">
        <w:rPr>
          <w:rFonts w:ascii="Arial" w:hAnsi="Arial" w:cs="Arial"/>
          <w:i/>
        </w:rPr>
        <w:t xml:space="preserve"> v Maletzky</w:t>
      </w:r>
      <w:r w:rsidR="00B347A6">
        <w:rPr>
          <w:rFonts w:ascii="Arial" w:hAnsi="Arial" w:cs="Arial"/>
          <w:i/>
        </w:rPr>
        <w:t xml:space="preserve"> &amp; others</w:t>
      </w:r>
      <w:r>
        <w:rPr>
          <w:rStyle w:val="FootnoteReference"/>
          <w:rFonts w:ascii="Arial" w:hAnsi="Arial"/>
        </w:rPr>
        <w:footnoteReference w:id="24"/>
      </w:r>
      <w:r>
        <w:rPr>
          <w:rFonts w:ascii="Arial" w:hAnsi="Arial" w:cs="Arial"/>
        </w:rPr>
        <w:t xml:space="preserve"> this court reiterated that </w:t>
      </w:r>
      <w:r w:rsidR="001C6553">
        <w:rPr>
          <w:rFonts w:ascii="Arial" w:hAnsi="Arial" w:cs="Arial"/>
        </w:rPr>
        <w:t xml:space="preserve">a litigant who </w:t>
      </w:r>
      <w:r w:rsidR="001C6553" w:rsidRPr="0076335E">
        <w:rPr>
          <w:rFonts w:ascii="Arial" w:hAnsi="Arial" w:cs="Arial"/>
          <w:i/>
        </w:rPr>
        <w:t>bona fide</w:t>
      </w:r>
      <w:r w:rsidR="001C6553">
        <w:rPr>
          <w:rFonts w:ascii="Arial" w:hAnsi="Arial" w:cs="Arial"/>
        </w:rPr>
        <w:t xml:space="preserve"> but </w:t>
      </w:r>
      <w:r w:rsidRPr="00CF3349">
        <w:rPr>
          <w:rFonts w:ascii="Arial" w:hAnsi="Arial" w:cs="Arial"/>
        </w:rPr>
        <w:t>unsuccessfully seek</w:t>
      </w:r>
      <w:r w:rsidR="001C6553">
        <w:rPr>
          <w:rFonts w:ascii="Arial" w:hAnsi="Arial" w:cs="Arial"/>
        </w:rPr>
        <w:t>s</w:t>
      </w:r>
      <w:r w:rsidRPr="00CF3349">
        <w:rPr>
          <w:rFonts w:ascii="Arial" w:hAnsi="Arial" w:cs="Arial"/>
        </w:rPr>
        <w:t xml:space="preserve"> constitutional relief will not be ordered to pay costs</w:t>
      </w:r>
      <w:r>
        <w:rPr>
          <w:rFonts w:ascii="Arial" w:hAnsi="Arial" w:cs="Arial"/>
        </w:rPr>
        <w:t>.</w:t>
      </w:r>
      <w:r>
        <w:rPr>
          <w:rStyle w:val="FootnoteReference"/>
          <w:rFonts w:ascii="Arial" w:hAnsi="Arial"/>
        </w:rPr>
        <w:footnoteReference w:id="25"/>
      </w:r>
      <w:r>
        <w:rPr>
          <w:rFonts w:ascii="Arial" w:hAnsi="Arial" w:cs="Arial"/>
        </w:rPr>
        <w:t xml:space="preserve"> </w:t>
      </w:r>
      <w:r w:rsidR="00037935">
        <w:rPr>
          <w:rFonts w:ascii="Arial" w:hAnsi="Arial" w:cs="Arial"/>
        </w:rPr>
        <w:t>I</w:t>
      </w:r>
      <w:r w:rsidRPr="00CF3349">
        <w:rPr>
          <w:rFonts w:ascii="Arial" w:hAnsi="Arial" w:cs="Arial"/>
        </w:rPr>
        <w:t xml:space="preserve">n such cases, the court permits a departure from the ordinary costs rule that successful litigants should recover their costs. Such a departure, however, will only be permitted where </w:t>
      </w:r>
      <w:r w:rsidR="00C6237A">
        <w:rPr>
          <w:rFonts w:ascii="Arial" w:hAnsi="Arial" w:cs="Arial"/>
        </w:rPr>
        <w:t>a</w:t>
      </w:r>
      <w:r w:rsidRPr="00CF3349">
        <w:rPr>
          <w:rFonts w:ascii="Arial" w:hAnsi="Arial" w:cs="Arial"/>
        </w:rPr>
        <w:t xml:space="preserve"> litigant ha</w:t>
      </w:r>
      <w:r w:rsidR="00C6237A">
        <w:rPr>
          <w:rFonts w:ascii="Arial" w:hAnsi="Arial" w:cs="Arial"/>
        </w:rPr>
        <w:t>s</w:t>
      </w:r>
      <w:r w:rsidRPr="00CF3349">
        <w:rPr>
          <w:rFonts w:ascii="Arial" w:hAnsi="Arial" w:cs="Arial"/>
        </w:rPr>
        <w:t xml:space="preserve"> conducted the litigatio</w:t>
      </w:r>
      <w:r>
        <w:rPr>
          <w:rFonts w:ascii="Arial" w:hAnsi="Arial" w:cs="Arial"/>
        </w:rPr>
        <w:t>n in a reasonably proper manner</w:t>
      </w:r>
      <w:r w:rsidR="00037935">
        <w:rPr>
          <w:rFonts w:ascii="Arial" w:hAnsi="Arial" w:cs="Arial"/>
        </w:rPr>
        <w:t xml:space="preserve"> </w:t>
      </w:r>
      <w:r w:rsidR="00C6237A">
        <w:rPr>
          <w:rFonts w:ascii="Arial" w:hAnsi="Arial" w:cs="Arial"/>
        </w:rPr>
        <w:t xml:space="preserve">- </w:t>
      </w:r>
      <w:r w:rsidR="00037935">
        <w:rPr>
          <w:rFonts w:ascii="Arial" w:hAnsi="Arial" w:cs="Arial"/>
        </w:rPr>
        <w:t xml:space="preserve">as </w:t>
      </w:r>
      <w:r w:rsidR="00C6237A">
        <w:rPr>
          <w:rFonts w:ascii="Arial" w:hAnsi="Arial" w:cs="Arial"/>
        </w:rPr>
        <w:t xml:space="preserve">I consider </w:t>
      </w:r>
      <w:r w:rsidR="00037935">
        <w:rPr>
          <w:rFonts w:ascii="Arial" w:hAnsi="Arial" w:cs="Arial"/>
        </w:rPr>
        <w:t xml:space="preserve">the first respondent </w:t>
      </w:r>
      <w:r w:rsidR="00C6237A">
        <w:rPr>
          <w:rFonts w:ascii="Arial" w:hAnsi="Arial" w:cs="Arial"/>
        </w:rPr>
        <w:t>did.</w:t>
      </w:r>
      <w:r>
        <w:rPr>
          <w:rFonts w:ascii="Arial" w:hAnsi="Arial" w:cs="Arial"/>
        </w:rPr>
        <w:t xml:space="preserve"> </w:t>
      </w:r>
      <w:r w:rsidR="00037935">
        <w:rPr>
          <w:rFonts w:ascii="Arial" w:hAnsi="Arial" w:cs="Arial"/>
        </w:rPr>
        <w:t xml:space="preserve">The appropriate costs order </w:t>
      </w:r>
      <w:r>
        <w:rPr>
          <w:rFonts w:ascii="Arial" w:hAnsi="Arial" w:cs="Arial"/>
        </w:rPr>
        <w:t xml:space="preserve">in the circumstances would be that each party pay </w:t>
      </w:r>
      <w:r w:rsidR="00B347A6">
        <w:rPr>
          <w:rFonts w:ascii="Arial" w:hAnsi="Arial" w:cs="Arial"/>
        </w:rPr>
        <w:t xml:space="preserve">his or her </w:t>
      </w:r>
      <w:r>
        <w:rPr>
          <w:rFonts w:ascii="Arial" w:hAnsi="Arial" w:cs="Arial"/>
        </w:rPr>
        <w:t xml:space="preserve">own costs. </w:t>
      </w:r>
    </w:p>
    <w:p w14:paraId="3216D623" w14:textId="7CD996EC" w:rsidR="00383930" w:rsidRDefault="00383930">
      <w:pPr>
        <w:rPr>
          <w:rFonts w:ascii="Arial" w:eastAsia="Times New Roman" w:hAnsi="Arial" w:cs="Arial"/>
          <w:lang w:eastAsia="x-none"/>
        </w:rPr>
      </w:pPr>
      <w:r>
        <w:rPr>
          <w:rFonts w:ascii="Arial" w:eastAsia="Times New Roman" w:hAnsi="Arial" w:cs="Arial"/>
          <w:lang w:eastAsia="x-none"/>
        </w:rPr>
        <w:br w:type="page"/>
      </w:r>
    </w:p>
    <w:p w14:paraId="427FE767" w14:textId="77777777" w:rsidR="004D701B" w:rsidRDefault="004D701B">
      <w:pPr>
        <w:rPr>
          <w:rFonts w:ascii="Arial" w:eastAsia="Times New Roman" w:hAnsi="Arial" w:cs="Arial"/>
          <w:lang w:eastAsia="x-none"/>
        </w:rPr>
      </w:pPr>
    </w:p>
    <w:p w14:paraId="023D8F89" w14:textId="062EB5B0" w:rsidR="00037935" w:rsidRDefault="00037935" w:rsidP="00500DE3">
      <w:pPr>
        <w:pStyle w:val="BodyText"/>
        <w:autoSpaceDE w:val="0"/>
        <w:autoSpaceDN w:val="0"/>
        <w:adjustRightInd w:val="0"/>
        <w:spacing w:line="480" w:lineRule="auto"/>
        <w:jc w:val="both"/>
        <w:rPr>
          <w:rFonts w:ascii="Arial" w:hAnsi="Arial" w:cs="Arial"/>
          <w:u w:val="single"/>
        </w:rPr>
      </w:pPr>
      <w:r w:rsidRPr="00037935">
        <w:rPr>
          <w:rFonts w:ascii="Arial" w:hAnsi="Arial" w:cs="Arial"/>
          <w:u w:val="single"/>
        </w:rPr>
        <w:t>Order</w:t>
      </w:r>
    </w:p>
    <w:p w14:paraId="0EB835F8" w14:textId="16D2CF23" w:rsidR="00037935" w:rsidRDefault="00037935" w:rsidP="006251F6">
      <w:pPr>
        <w:pStyle w:val="BodyText"/>
        <w:numPr>
          <w:ilvl w:val="0"/>
          <w:numId w:val="13"/>
        </w:numPr>
        <w:autoSpaceDE w:val="0"/>
        <w:autoSpaceDN w:val="0"/>
        <w:adjustRightInd w:val="0"/>
        <w:spacing w:line="480" w:lineRule="auto"/>
        <w:ind w:left="0" w:firstLine="0"/>
        <w:jc w:val="both"/>
        <w:rPr>
          <w:rFonts w:ascii="Arial" w:hAnsi="Arial" w:cs="Arial"/>
        </w:rPr>
      </w:pPr>
      <w:r w:rsidRPr="00037935">
        <w:rPr>
          <w:rFonts w:ascii="Arial" w:hAnsi="Arial" w:cs="Arial"/>
        </w:rPr>
        <w:t>I accordingly order as follows:</w:t>
      </w:r>
    </w:p>
    <w:p w14:paraId="1AB417F3" w14:textId="77777777" w:rsidR="00E75D10" w:rsidRDefault="00E75D10" w:rsidP="00E75D10">
      <w:pPr>
        <w:pStyle w:val="BodyText"/>
        <w:autoSpaceDE w:val="0"/>
        <w:autoSpaceDN w:val="0"/>
        <w:adjustRightInd w:val="0"/>
        <w:spacing w:line="480" w:lineRule="auto"/>
        <w:jc w:val="both"/>
        <w:rPr>
          <w:rFonts w:ascii="Arial" w:hAnsi="Arial" w:cs="Arial"/>
        </w:rPr>
      </w:pPr>
    </w:p>
    <w:p w14:paraId="35369AEA" w14:textId="5C8ACBF4" w:rsidR="00037935" w:rsidRDefault="00037935" w:rsidP="00E75D10">
      <w:pPr>
        <w:pStyle w:val="BodyText"/>
        <w:numPr>
          <w:ilvl w:val="0"/>
          <w:numId w:val="5"/>
        </w:numPr>
        <w:autoSpaceDE w:val="0"/>
        <w:autoSpaceDN w:val="0"/>
        <w:adjustRightInd w:val="0"/>
        <w:spacing w:line="480" w:lineRule="auto"/>
        <w:jc w:val="both"/>
        <w:rPr>
          <w:rFonts w:ascii="Arial" w:hAnsi="Arial" w:cs="Arial"/>
        </w:rPr>
      </w:pPr>
      <w:r>
        <w:rPr>
          <w:rFonts w:ascii="Arial" w:hAnsi="Arial" w:cs="Arial"/>
        </w:rPr>
        <w:t>The appeal is allowed and the judgment and order of the High Court are hereby set aside and replaced with the following order:</w:t>
      </w:r>
    </w:p>
    <w:p w14:paraId="735EB707" w14:textId="77777777" w:rsidR="0076335E" w:rsidRDefault="0076335E" w:rsidP="00037935">
      <w:pPr>
        <w:pStyle w:val="BodyText"/>
        <w:autoSpaceDE w:val="0"/>
        <w:autoSpaceDN w:val="0"/>
        <w:adjustRightInd w:val="0"/>
        <w:spacing w:line="480" w:lineRule="auto"/>
        <w:ind w:left="1440"/>
        <w:jc w:val="both"/>
        <w:rPr>
          <w:rFonts w:ascii="Arial" w:hAnsi="Arial" w:cs="Arial"/>
          <w:sz w:val="22"/>
          <w:szCs w:val="22"/>
        </w:rPr>
      </w:pPr>
    </w:p>
    <w:p w14:paraId="3C5C6F76" w14:textId="04C75817" w:rsidR="00037935" w:rsidRPr="00037935" w:rsidRDefault="00037935" w:rsidP="00037935">
      <w:pPr>
        <w:pStyle w:val="BodyText"/>
        <w:autoSpaceDE w:val="0"/>
        <w:autoSpaceDN w:val="0"/>
        <w:adjustRightInd w:val="0"/>
        <w:spacing w:line="480" w:lineRule="auto"/>
        <w:ind w:left="1440"/>
        <w:jc w:val="both"/>
        <w:rPr>
          <w:rFonts w:ascii="Arial" w:hAnsi="Arial" w:cs="Arial"/>
          <w:sz w:val="22"/>
          <w:szCs w:val="22"/>
        </w:rPr>
      </w:pPr>
      <w:r w:rsidRPr="00037935">
        <w:rPr>
          <w:rFonts w:ascii="Arial" w:hAnsi="Arial" w:cs="Arial"/>
          <w:sz w:val="22"/>
          <w:szCs w:val="22"/>
        </w:rPr>
        <w:t>‘The application is dismissed and there shall be no order as to costs.’</w:t>
      </w:r>
    </w:p>
    <w:p w14:paraId="6E8B27A5" w14:textId="77777777" w:rsidR="00037935" w:rsidRDefault="00037935" w:rsidP="00037935">
      <w:pPr>
        <w:pStyle w:val="BodyText"/>
        <w:autoSpaceDE w:val="0"/>
        <w:autoSpaceDN w:val="0"/>
        <w:adjustRightInd w:val="0"/>
        <w:spacing w:line="480" w:lineRule="auto"/>
        <w:jc w:val="both"/>
        <w:rPr>
          <w:rFonts w:ascii="Arial" w:hAnsi="Arial" w:cs="Arial"/>
        </w:rPr>
      </w:pPr>
    </w:p>
    <w:p w14:paraId="6B7CD51B" w14:textId="72076E82" w:rsidR="00037935" w:rsidRPr="00037935" w:rsidRDefault="00037935" w:rsidP="00E75D10">
      <w:pPr>
        <w:pStyle w:val="BodyText"/>
        <w:numPr>
          <w:ilvl w:val="0"/>
          <w:numId w:val="5"/>
        </w:numPr>
        <w:autoSpaceDE w:val="0"/>
        <w:autoSpaceDN w:val="0"/>
        <w:adjustRightInd w:val="0"/>
        <w:spacing w:line="480" w:lineRule="auto"/>
        <w:jc w:val="both"/>
        <w:rPr>
          <w:rFonts w:ascii="Arial" w:hAnsi="Arial" w:cs="Arial"/>
        </w:rPr>
      </w:pPr>
      <w:r>
        <w:rPr>
          <w:rFonts w:ascii="Arial" w:hAnsi="Arial" w:cs="Arial"/>
        </w:rPr>
        <w:t>The</w:t>
      </w:r>
      <w:r w:rsidR="00AE26A0">
        <w:rPr>
          <w:rFonts w:ascii="Arial" w:hAnsi="Arial" w:cs="Arial"/>
        </w:rPr>
        <w:t>re</w:t>
      </w:r>
      <w:r>
        <w:rPr>
          <w:rFonts w:ascii="Arial" w:hAnsi="Arial" w:cs="Arial"/>
        </w:rPr>
        <w:t xml:space="preserve"> shall be no order as to costs in the appeal and each party shall pay </w:t>
      </w:r>
      <w:r w:rsidR="00B347A6">
        <w:rPr>
          <w:rFonts w:ascii="Arial" w:hAnsi="Arial" w:cs="Arial"/>
        </w:rPr>
        <w:t>his or her</w:t>
      </w:r>
      <w:r>
        <w:rPr>
          <w:rFonts w:ascii="Arial" w:hAnsi="Arial" w:cs="Arial"/>
        </w:rPr>
        <w:t xml:space="preserve"> own costs.</w:t>
      </w:r>
    </w:p>
    <w:p w14:paraId="79CBF7F6" w14:textId="1794BB37" w:rsidR="00955B13" w:rsidRDefault="00955B13" w:rsidP="0032137B">
      <w:pPr>
        <w:spacing w:line="480" w:lineRule="auto"/>
        <w:jc w:val="both"/>
        <w:rPr>
          <w:rFonts w:ascii="Arial" w:hAnsi="Arial" w:cs="Arial"/>
          <w:noProof/>
          <w:lang w:val="en-ZA" w:eastAsia="en-ZA"/>
        </w:rPr>
      </w:pPr>
    </w:p>
    <w:p w14:paraId="3FDEF7E9" w14:textId="77777777" w:rsidR="0047543B" w:rsidRDefault="0047543B" w:rsidP="0032137B">
      <w:pPr>
        <w:spacing w:line="480" w:lineRule="auto"/>
        <w:jc w:val="both"/>
        <w:rPr>
          <w:rFonts w:ascii="Arial" w:hAnsi="Arial" w:cs="Arial"/>
          <w:noProof/>
          <w:lang w:val="en-ZA" w:eastAsia="en-ZA"/>
        </w:rPr>
      </w:pPr>
    </w:p>
    <w:p w14:paraId="39A0155A" w14:textId="77777777" w:rsidR="0047543B" w:rsidRDefault="0047543B" w:rsidP="0032137B">
      <w:pPr>
        <w:spacing w:line="480" w:lineRule="auto"/>
        <w:jc w:val="both"/>
        <w:rPr>
          <w:rFonts w:ascii="Arial" w:hAnsi="Arial" w:cs="Arial"/>
          <w:lang w:val="en-US"/>
        </w:rPr>
      </w:pPr>
    </w:p>
    <w:p w14:paraId="29EFEE8E" w14:textId="41296EF0" w:rsidR="00C8036C" w:rsidRPr="00AE26A0" w:rsidRDefault="00C8036C" w:rsidP="0076335E">
      <w:pPr>
        <w:spacing w:line="360" w:lineRule="auto"/>
        <w:jc w:val="both"/>
        <w:rPr>
          <w:rFonts w:ascii="Arial" w:hAnsi="Arial" w:cs="Arial"/>
          <w:b/>
          <w:lang w:val="en-US"/>
        </w:rPr>
      </w:pPr>
      <w:r w:rsidRPr="00AE26A0">
        <w:rPr>
          <w:rFonts w:ascii="Arial" w:hAnsi="Arial" w:cs="Arial"/>
          <w:b/>
          <w:lang w:val="en-US"/>
        </w:rPr>
        <w:t>________________</w:t>
      </w:r>
      <w:r w:rsidR="00AE26A0">
        <w:rPr>
          <w:rFonts w:ascii="Arial" w:hAnsi="Arial" w:cs="Arial"/>
          <w:b/>
          <w:lang w:val="en-US"/>
        </w:rPr>
        <w:t>_____</w:t>
      </w:r>
    </w:p>
    <w:p w14:paraId="52752200" w14:textId="6F3ED855" w:rsidR="00A24944" w:rsidRPr="00AE26A0" w:rsidRDefault="00A24944" w:rsidP="0076335E">
      <w:pPr>
        <w:spacing w:line="360" w:lineRule="auto"/>
        <w:jc w:val="both"/>
        <w:rPr>
          <w:rFonts w:ascii="Arial" w:hAnsi="Arial" w:cs="Arial"/>
          <w:b/>
          <w:lang w:val="en-US"/>
        </w:rPr>
      </w:pPr>
      <w:r w:rsidRPr="00AE26A0">
        <w:rPr>
          <w:rFonts w:ascii="Arial" w:hAnsi="Arial" w:cs="Arial"/>
          <w:b/>
          <w:lang w:val="en-US"/>
        </w:rPr>
        <w:t>DAMASEB DCJ</w:t>
      </w:r>
    </w:p>
    <w:p w14:paraId="3726CE7E" w14:textId="77777777" w:rsidR="00AE26A0" w:rsidRDefault="00AE26A0" w:rsidP="0076335E">
      <w:pPr>
        <w:spacing w:line="360" w:lineRule="auto"/>
        <w:jc w:val="both"/>
        <w:rPr>
          <w:rFonts w:ascii="Arial" w:hAnsi="Arial" w:cs="Arial"/>
          <w:lang w:val="en-US"/>
        </w:rPr>
      </w:pPr>
    </w:p>
    <w:p w14:paraId="5A110416" w14:textId="77777777" w:rsidR="00500DE3" w:rsidRDefault="00500DE3" w:rsidP="0076335E">
      <w:pPr>
        <w:spacing w:line="360" w:lineRule="auto"/>
        <w:rPr>
          <w:lang w:val="en-US"/>
        </w:rPr>
      </w:pPr>
    </w:p>
    <w:p w14:paraId="59D6AB83" w14:textId="77777777" w:rsidR="00500DE3" w:rsidRDefault="00500DE3" w:rsidP="0076335E">
      <w:pPr>
        <w:spacing w:line="360" w:lineRule="auto"/>
        <w:rPr>
          <w:lang w:val="en-US"/>
        </w:rPr>
      </w:pPr>
    </w:p>
    <w:p w14:paraId="6D91B3B1" w14:textId="695FC26C" w:rsidR="00AE26A0" w:rsidRPr="00AE26A0" w:rsidRDefault="00AE26A0" w:rsidP="0076335E">
      <w:pPr>
        <w:spacing w:line="360" w:lineRule="auto"/>
        <w:rPr>
          <w:b/>
          <w:lang w:val="en-US"/>
        </w:rPr>
      </w:pPr>
      <w:r w:rsidRPr="00AE26A0">
        <w:rPr>
          <w:b/>
          <w:lang w:val="en-US"/>
        </w:rPr>
        <w:t>_________________________</w:t>
      </w:r>
    </w:p>
    <w:p w14:paraId="2ED2161B" w14:textId="7232AC5D" w:rsidR="00C8036C" w:rsidRPr="00AE26A0" w:rsidRDefault="00AE26A0" w:rsidP="0076335E">
      <w:pPr>
        <w:spacing w:line="360" w:lineRule="auto"/>
        <w:rPr>
          <w:rFonts w:ascii="Arial" w:hAnsi="Arial" w:cs="Arial"/>
          <w:b/>
          <w:lang w:val="en-US"/>
        </w:rPr>
      </w:pPr>
      <w:r w:rsidRPr="00AE26A0">
        <w:rPr>
          <w:rFonts w:ascii="Arial" w:hAnsi="Arial" w:cs="Arial"/>
          <w:b/>
          <w:lang w:val="en-US"/>
        </w:rPr>
        <w:t>MAINGA JA</w:t>
      </w:r>
    </w:p>
    <w:p w14:paraId="6E6BA00B" w14:textId="2069ECF4" w:rsidR="0076335E" w:rsidRDefault="0076335E">
      <w:pPr>
        <w:rPr>
          <w:rFonts w:ascii="Arial" w:hAnsi="Arial" w:cs="Arial"/>
          <w:b/>
          <w:lang w:val="en-US"/>
        </w:rPr>
      </w:pPr>
    </w:p>
    <w:p w14:paraId="0083A473" w14:textId="77777777" w:rsidR="00500DE3" w:rsidRDefault="00500DE3" w:rsidP="0076335E">
      <w:pPr>
        <w:spacing w:line="360" w:lineRule="auto"/>
        <w:rPr>
          <w:rFonts w:ascii="Arial" w:hAnsi="Arial" w:cs="Arial"/>
          <w:b/>
          <w:lang w:val="en-US"/>
        </w:rPr>
      </w:pPr>
    </w:p>
    <w:p w14:paraId="55488487" w14:textId="77777777" w:rsidR="00500DE3" w:rsidRPr="00AE26A0" w:rsidRDefault="00500DE3" w:rsidP="0076335E">
      <w:pPr>
        <w:spacing w:line="360" w:lineRule="auto"/>
        <w:rPr>
          <w:rFonts w:ascii="Arial" w:hAnsi="Arial" w:cs="Arial"/>
          <w:b/>
          <w:lang w:val="en-US"/>
        </w:rPr>
      </w:pPr>
    </w:p>
    <w:p w14:paraId="3D3369DF" w14:textId="339D2EDB" w:rsidR="00AE26A0" w:rsidRDefault="00AE26A0" w:rsidP="0076335E">
      <w:pPr>
        <w:spacing w:line="360" w:lineRule="auto"/>
        <w:rPr>
          <w:b/>
          <w:lang w:val="en-US"/>
        </w:rPr>
      </w:pPr>
      <w:r>
        <w:rPr>
          <w:b/>
          <w:lang w:val="en-US"/>
        </w:rPr>
        <w:t>_________________________</w:t>
      </w:r>
    </w:p>
    <w:p w14:paraId="787174DD" w14:textId="6B6484CE" w:rsidR="00AE26A0" w:rsidRDefault="00AE26A0" w:rsidP="0076335E">
      <w:pPr>
        <w:spacing w:line="360" w:lineRule="auto"/>
        <w:rPr>
          <w:rFonts w:ascii="Arial" w:hAnsi="Arial" w:cs="Arial"/>
          <w:b/>
          <w:lang w:val="en-US"/>
        </w:rPr>
      </w:pPr>
      <w:r w:rsidRPr="00AE26A0">
        <w:rPr>
          <w:rFonts w:ascii="Arial" w:hAnsi="Arial" w:cs="Arial"/>
          <w:b/>
          <w:lang w:val="en-US"/>
        </w:rPr>
        <w:t xml:space="preserve">ANGULA AJA </w:t>
      </w:r>
    </w:p>
    <w:p w14:paraId="2CB3CB93" w14:textId="77777777" w:rsidR="00B347A6" w:rsidRDefault="00B347A6" w:rsidP="00AE26A0">
      <w:pPr>
        <w:spacing w:line="480" w:lineRule="auto"/>
        <w:rPr>
          <w:rFonts w:ascii="Arial" w:hAnsi="Arial" w:cs="Arial"/>
          <w:b/>
          <w:lang w:val="en-US"/>
        </w:rPr>
      </w:pPr>
    </w:p>
    <w:p w14:paraId="66BA344E" w14:textId="4D5FF3B6" w:rsidR="0047543B" w:rsidRDefault="0047543B">
      <w:pPr>
        <w:rPr>
          <w:rFonts w:ascii="Arial" w:hAnsi="Arial" w:cs="Arial"/>
          <w:lang w:val="en-US"/>
        </w:rPr>
      </w:pPr>
      <w:r>
        <w:rPr>
          <w:rFonts w:ascii="Arial" w:hAnsi="Arial" w:cs="Arial"/>
          <w:lang w:val="en-US"/>
        </w:rPr>
        <w:br w:type="page"/>
      </w:r>
    </w:p>
    <w:p w14:paraId="75157B09" w14:textId="77777777" w:rsidR="00500DE3" w:rsidRDefault="00500DE3">
      <w:pPr>
        <w:rPr>
          <w:rFonts w:ascii="Arial" w:hAnsi="Arial" w:cs="Arial"/>
          <w:lang w:val="en-US"/>
        </w:rPr>
      </w:pPr>
    </w:p>
    <w:p w14:paraId="6FD7ADE8" w14:textId="1B7EB388" w:rsidR="00AE26A0" w:rsidRPr="0032137B" w:rsidRDefault="00AE26A0" w:rsidP="00AE26A0">
      <w:pPr>
        <w:spacing w:line="480" w:lineRule="auto"/>
        <w:rPr>
          <w:rFonts w:ascii="Arial" w:hAnsi="Arial" w:cs="Arial"/>
          <w:lang w:val="en-US"/>
        </w:rPr>
      </w:pPr>
      <w:r w:rsidRPr="0032137B">
        <w:rPr>
          <w:rFonts w:ascii="Arial" w:hAnsi="Arial" w:cs="Arial"/>
          <w:lang w:val="en-US"/>
        </w:rPr>
        <w:t>APPEARANCES</w:t>
      </w:r>
    </w:p>
    <w:p w14:paraId="40379458" w14:textId="77777777" w:rsidR="00AE26A0" w:rsidRPr="00AE26A0" w:rsidRDefault="00AE26A0" w:rsidP="00AE26A0">
      <w:pPr>
        <w:spacing w:line="480" w:lineRule="auto"/>
        <w:rPr>
          <w:rFonts w:ascii="Arial" w:hAnsi="Arial" w:cs="Arial"/>
          <w:b/>
          <w:lang w:val="en-US"/>
        </w:rPr>
      </w:pPr>
    </w:p>
    <w:p w14:paraId="2F42BF93" w14:textId="4DE0C038" w:rsidR="00AE26A0" w:rsidRPr="00AE26A0" w:rsidRDefault="00AE26A0" w:rsidP="00AE26A0">
      <w:pPr>
        <w:spacing w:line="480" w:lineRule="auto"/>
        <w:rPr>
          <w:rFonts w:ascii="Arial" w:hAnsi="Arial" w:cs="Arial"/>
          <w:lang w:val="en-US"/>
        </w:rPr>
      </w:pPr>
      <w:r w:rsidRPr="0032137B">
        <w:rPr>
          <w:rFonts w:ascii="Arial" w:hAnsi="Arial" w:cs="Arial"/>
          <w:lang w:val="en-US"/>
        </w:rPr>
        <w:t xml:space="preserve">Appellant: </w:t>
      </w:r>
      <w:r w:rsidRPr="0032137B">
        <w:rPr>
          <w:rFonts w:ascii="Arial" w:hAnsi="Arial" w:cs="Arial"/>
          <w:lang w:val="en-US"/>
        </w:rPr>
        <w:tab/>
      </w:r>
      <w:r>
        <w:rPr>
          <w:rFonts w:ascii="Arial" w:hAnsi="Arial" w:cs="Arial"/>
          <w:b/>
          <w:lang w:val="en-US"/>
        </w:rPr>
        <w:tab/>
      </w:r>
      <w:r w:rsidR="00F97E9E">
        <w:rPr>
          <w:rFonts w:ascii="Arial" w:hAnsi="Arial" w:cs="Arial"/>
          <w:b/>
          <w:lang w:val="en-US"/>
        </w:rPr>
        <w:tab/>
      </w:r>
      <w:r w:rsidR="00F97E9E">
        <w:rPr>
          <w:rFonts w:ascii="Arial" w:hAnsi="Arial" w:cs="Arial"/>
          <w:b/>
          <w:lang w:val="en-US"/>
        </w:rPr>
        <w:tab/>
      </w:r>
      <w:r w:rsidRPr="00AE26A0">
        <w:rPr>
          <w:rFonts w:ascii="Arial" w:hAnsi="Arial" w:cs="Arial"/>
          <w:lang w:val="en-US"/>
        </w:rPr>
        <w:t xml:space="preserve">L C Botes </w:t>
      </w:r>
    </w:p>
    <w:p w14:paraId="2EBC2872" w14:textId="040C791F" w:rsidR="00AE26A0" w:rsidRPr="00AE26A0" w:rsidRDefault="00AE26A0" w:rsidP="00AE26A0">
      <w:pPr>
        <w:spacing w:line="480" w:lineRule="auto"/>
        <w:rPr>
          <w:rFonts w:ascii="Arial" w:hAnsi="Arial" w:cs="Arial"/>
          <w:lang w:val="en-US"/>
        </w:rPr>
      </w:pPr>
      <w:r w:rsidRPr="00AE26A0">
        <w:rPr>
          <w:rFonts w:ascii="Arial" w:hAnsi="Arial" w:cs="Arial"/>
          <w:lang w:val="en-US"/>
        </w:rPr>
        <w:tab/>
      </w:r>
      <w:r w:rsidRPr="00AE26A0">
        <w:rPr>
          <w:rFonts w:ascii="Arial" w:hAnsi="Arial" w:cs="Arial"/>
          <w:lang w:val="en-US"/>
        </w:rPr>
        <w:tab/>
      </w:r>
      <w:r w:rsidRPr="00AE26A0">
        <w:rPr>
          <w:rFonts w:ascii="Arial" w:hAnsi="Arial" w:cs="Arial"/>
          <w:lang w:val="en-US"/>
        </w:rPr>
        <w:tab/>
      </w:r>
      <w:r w:rsidR="00F97E9E">
        <w:rPr>
          <w:rFonts w:ascii="Arial" w:hAnsi="Arial" w:cs="Arial"/>
          <w:lang w:val="en-US"/>
        </w:rPr>
        <w:tab/>
      </w:r>
      <w:r w:rsidR="00F97E9E">
        <w:rPr>
          <w:rFonts w:ascii="Arial" w:hAnsi="Arial" w:cs="Arial"/>
          <w:lang w:val="en-US"/>
        </w:rPr>
        <w:tab/>
      </w:r>
      <w:r w:rsidRPr="00AE26A0">
        <w:rPr>
          <w:rFonts w:ascii="Arial" w:hAnsi="Arial" w:cs="Arial"/>
          <w:lang w:val="en-US"/>
        </w:rPr>
        <w:t>Instru</w:t>
      </w:r>
      <w:r w:rsidR="00500DE3">
        <w:rPr>
          <w:rFonts w:ascii="Arial" w:hAnsi="Arial" w:cs="Arial"/>
          <w:lang w:val="en-US"/>
        </w:rPr>
        <w:t>cted by the Government Attorney</w:t>
      </w:r>
      <w:r w:rsidRPr="00AE26A0">
        <w:rPr>
          <w:rFonts w:ascii="Arial" w:hAnsi="Arial" w:cs="Arial"/>
          <w:lang w:val="en-US"/>
        </w:rPr>
        <w:t xml:space="preserve"> </w:t>
      </w:r>
    </w:p>
    <w:p w14:paraId="0368602E" w14:textId="53F8D7F5" w:rsidR="00AE26A0" w:rsidRPr="00AE26A0" w:rsidRDefault="00AE26A0" w:rsidP="00AE26A0">
      <w:pPr>
        <w:spacing w:line="480" w:lineRule="auto"/>
        <w:rPr>
          <w:rFonts w:ascii="Arial" w:hAnsi="Arial" w:cs="Arial"/>
          <w:lang w:val="en-US"/>
        </w:rPr>
      </w:pPr>
      <w:r w:rsidRPr="00AE26A0">
        <w:rPr>
          <w:rFonts w:ascii="Arial" w:hAnsi="Arial" w:cs="Arial"/>
          <w:lang w:val="en-US"/>
        </w:rPr>
        <w:tab/>
      </w:r>
      <w:r w:rsidRPr="00AE26A0">
        <w:rPr>
          <w:rFonts w:ascii="Arial" w:hAnsi="Arial" w:cs="Arial"/>
          <w:lang w:val="en-US"/>
        </w:rPr>
        <w:tab/>
      </w:r>
      <w:r w:rsidRPr="00AE26A0">
        <w:rPr>
          <w:rFonts w:ascii="Arial" w:hAnsi="Arial" w:cs="Arial"/>
          <w:lang w:val="en-US"/>
        </w:rPr>
        <w:tab/>
      </w:r>
      <w:r w:rsidR="00F97E9E">
        <w:rPr>
          <w:rFonts w:ascii="Arial" w:hAnsi="Arial" w:cs="Arial"/>
          <w:lang w:val="en-US"/>
        </w:rPr>
        <w:tab/>
      </w:r>
      <w:r w:rsidR="00F97E9E">
        <w:rPr>
          <w:rFonts w:ascii="Arial" w:hAnsi="Arial" w:cs="Arial"/>
          <w:lang w:val="en-US"/>
        </w:rPr>
        <w:tab/>
      </w:r>
      <w:r w:rsidRPr="00AE26A0">
        <w:rPr>
          <w:rFonts w:ascii="Arial" w:hAnsi="Arial" w:cs="Arial"/>
          <w:lang w:val="en-US"/>
        </w:rPr>
        <w:t>Windhoek</w:t>
      </w:r>
    </w:p>
    <w:p w14:paraId="563E721E" w14:textId="77777777" w:rsidR="00AE26A0" w:rsidRPr="00AE26A0" w:rsidRDefault="00AE26A0" w:rsidP="00AE26A0">
      <w:pPr>
        <w:spacing w:line="480" w:lineRule="auto"/>
        <w:rPr>
          <w:rFonts w:ascii="Arial" w:hAnsi="Arial" w:cs="Arial"/>
          <w:b/>
          <w:lang w:val="en-US"/>
        </w:rPr>
      </w:pPr>
    </w:p>
    <w:p w14:paraId="34ACC596" w14:textId="77777777" w:rsidR="00AE26A0" w:rsidRPr="00AE26A0" w:rsidRDefault="00AE26A0" w:rsidP="00AE26A0">
      <w:pPr>
        <w:spacing w:line="480" w:lineRule="auto"/>
        <w:rPr>
          <w:rFonts w:ascii="Arial" w:hAnsi="Arial" w:cs="Arial"/>
          <w:b/>
          <w:lang w:val="en-US"/>
        </w:rPr>
      </w:pPr>
    </w:p>
    <w:p w14:paraId="17B5B41E" w14:textId="052020E4" w:rsidR="00AE26A0" w:rsidRPr="00AE26A0" w:rsidRDefault="00E63FA0" w:rsidP="00AE26A0">
      <w:pPr>
        <w:spacing w:line="480" w:lineRule="auto"/>
        <w:rPr>
          <w:rFonts w:ascii="Arial" w:hAnsi="Arial" w:cs="Arial"/>
          <w:lang w:val="en-US"/>
        </w:rPr>
      </w:pPr>
      <w:r w:rsidRPr="0032137B">
        <w:rPr>
          <w:rFonts w:ascii="Arial" w:hAnsi="Arial" w:cs="Arial"/>
          <w:lang w:val="en-US"/>
        </w:rPr>
        <w:t>First Respondent</w:t>
      </w:r>
      <w:r w:rsidR="00AE26A0">
        <w:rPr>
          <w:rFonts w:ascii="Arial" w:hAnsi="Arial" w:cs="Arial"/>
          <w:b/>
          <w:lang w:val="en-US"/>
        </w:rPr>
        <w:t xml:space="preserve">: </w:t>
      </w:r>
      <w:r>
        <w:rPr>
          <w:rFonts w:ascii="Arial" w:hAnsi="Arial" w:cs="Arial"/>
          <w:b/>
          <w:lang w:val="en-US"/>
        </w:rPr>
        <w:t xml:space="preserve"> </w:t>
      </w:r>
      <w:r w:rsidR="00F97E9E">
        <w:rPr>
          <w:rFonts w:ascii="Arial" w:hAnsi="Arial" w:cs="Arial"/>
          <w:b/>
          <w:lang w:val="en-US"/>
        </w:rPr>
        <w:tab/>
      </w:r>
      <w:r w:rsidR="00F97E9E">
        <w:rPr>
          <w:rFonts w:ascii="Arial" w:hAnsi="Arial" w:cs="Arial"/>
          <w:b/>
          <w:lang w:val="en-US"/>
        </w:rPr>
        <w:tab/>
      </w:r>
      <w:r w:rsidR="0032137B">
        <w:rPr>
          <w:rFonts w:ascii="Arial" w:hAnsi="Arial" w:cs="Arial"/>
          <w:b/>
          <w:lang w:val="en-US"/>
        </w:rPr>
        <w:tab/>
      </w:r>
      <w:r w:rsidR="00AE26A0" w:rsidRPr="00AE26A0">
        <w:rPr>
          <w:rFonts w:ascii="Arial" w:hAnsi="Arial" w:cs="Arial"/>
          <w:lang w:val="en-US"/>
        </w:rPr>
        <w:t xml:space="preserve">S Namandje </w:t>
      </w:r>
    </w:p>
    <w:p w14:paraId="30CB98FF" w14:textId="1075949E" w:rsidR="00AE26A0" w:rsidRPr="00AE26A0" w:rsidRDefault="00AE26A0" w:rsidP="00AE26A0">
      <w:pPr>
        <w:spacing w:line="480" w:lineRule="auto"/>
        <w:rPr>
          <w:rFonts w:ascii="Arial" w:hAnsi="Arial" w:cs="Arial"/>
          <w:lang w:val="en-US"/>
        </w:rPr>
      </w:pPr>
      <w:r w:rsidRPr="00AE26A0">
        <w:rPr>
          <w:rFonts w:ascii="Arial" w:hAnsi="Arial" w:cs="Arial"/>
          <w:lang w:val="en-US"/>
        </w:rPr>
        <w:tab/>
      </w:r>
      <w:r w:rsidRPr="00AE26A0">
        <w:rPr>
          <w:rFonts w:ascii="Arial" w:hAnsi="Arial" w:cs="Arial"/>
          <w:lang w:val="en-US"/>
        </w:rPr>
        <w:tab/>
        <w:t xml:space="preserve">           </w:t>
      </w:r>
      <w:r>
        <w:rPr>
          <w:rFonts w:ascii="Arial" w:hAnsi="Arial" w:cs="Arial"/>
          <w:lang w:val="en-US"/>
        </w:rPr>
        <w:t xml:space="preserve"> </w:t>
      </w:r>
      <w:r w:rsidR="00F97E9E">
        <w:rPr>
          <w:rFonts w:ascii="Arial" w:hAnsi="Arial" w:cs="Arial"/>
          <w:lang w:val="en-US"/>
        </w:rPr>
        <w:tab/>
      </w:r>
      <w:r w:rsidR="00F97E9E">
        <w:rPr>
          <w:rFonts w:ascii="Arial" w:hAnsi="Arial" w:cs="Arial"/>
          <w:lang w:val="en-US"/>
        </w:rPr>
        <w:tab/>
      </w:r>
      <w:r w:rsidR="00033D02">
        <w:rPr>
          <w:rFonts w:ascii="Arial" w:hAnsi="Arial" w:cs="Arial"/>
          <w:lang w:val="en-US"/>
        </w:rPr>
        <w:t xml:space="preserve">Of </w:t>
      </w:r>
      <w:r w:rsidRPr="00AE26A0">
        <w:rPr>
          <w:rFonts w:ascii="Arial" w:hAnsi="Arial" w:cs="Arial"/>
          <w:lang w:val="en-US"/>
        </w:rPr>
        <w:t xml:space="preserve">Sisa Namandje &amp; Co Inc </w:t>
      </w:r>
    </w:p>
    <w:p w14:paraId="0DB94E06" w14:textId="4BAAA0A8" w:rsidR="00AE26A0" w:rsidRPr="00AE26A0" w:rsidRDefault="00AE26A0" w:rsidP="00AE26A0">
      <w:pPr>
        <w:spacing w:line="480" w:lineRule="auto"/>
        <w:rPr>
          <w:rFonts w:ascii="Arial" w:hAnsi="Arial" w:cs="Arial"/>
          <w:lang w:val="en-US"/>
        </w:rPr>
      </w:pPr>
      <w:r w:rsidRPr="00AE26A0">
        <w:rPr>
          <w:rFonts w:ascii="Arial" w:hAnsi="Arial" w:cs="Arial"/>
          <w:lang w:val="en-US"/>
        </w:rPr>
        <w:t xml:space="preserve">   </w:t>
      </w:r>
      <w:r w:rsidR="00E63FA0">
        <w:rPr>
          <w:rFonts w:ascii="Arial" w:hAnsi="Arial" w:cs="Arial"/>
          <w:lang w:val="en-US"/>
        </w:rPr>
        <w:tab/>
      </w:r>
      <w:r w:rsidR="00E63FA0">
        <w:rPr>
          <w:rFonts w:ascii="Arial" w:hAnsi="Arial" w:cs="Arial"/>
          <w:lang w:val="en-US"/>
        </w:rPr>
        <w:tab/>
      </w:r>
      <w:r w:rsidR="00E63FA0">
        <w:rPr>
          <w:rFonts w:ascii="Arial" w:hAnsi="Arial" w:cs="Arial"/>
          <w:lang w:val="en-US"/>
        </w:rPr>
        <w:tab/>
        <w:t xml:space="preserve"> </w:t>
      </w:r>
      <w:r w:rsidR="00F97E9E">
        <w:rPr>
          <w:rFonts w:ascii="Arial" w:hAnsi="Arial" w:cs="Arial"/>
          <w:lang w:val="en-US"/>
        </w:rPr>
        <w:tab/>
      </w:r>
      <w:r w:rsidR="00F97E9E">
        <w:rPr>
          <w:rFonts w:ascii="Arial" w:hAnsi="Arial" w:cs="Arial"/>
          <w:lang w:val="en-US"/>
        </w:rPr>
        <w:tab/>
      </w:r>
      <w:r w:rsidRPr="00AE26A0">
        <w:rPr>
          <w:rFonts w:ascii="Arial" w:hAnsi="Arial" w:cs="Arial"/>
          <w:lang w:val="en-US"/>
        </w:rPr>
        <w:t>Windhoek</w:t>
      </w:r>
    </w:p>
    <w:p w14:paraId="041367E8" w14:textId="77777777" w:rsidR="00AE26A0" w:rsidRPr="00AE26A0" w:rsidRDefault="00AE26A0" w:rsidP="00AE26A0">
      <w:pPr>
        <w:spacing w:line="480" w:lineRule="auto"/>
        <w:rPr>
          <w:rFonts w:ascii="Arial" w:hAnsi="Arial" w:cs="Arial"/>
          <w:b/>
          <w:lang w:val="en-US"/>
        </w:rPr>
      </w:pPr>
    </w:p>
    <w:sectPr w:rsidR="00AE26A0" w:rsidRPr="00AE26A0" w:rsidSect="0012201B">
      <w:headerReference w:type="default" r:id="rId12"/>
      <w:pgSz w:w="11900" w:h="16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D66A4" w14:textId="77777777" w:rsidR="008B15E5" w:rsidRDefault="008B15E5" w:rsidP="00FB6B96">
      <w:r>
        <w:separator/>
      </w:r>
    </w:p>
  </w:endnote>
  <w:endnote w:type="continuationSeparator" w:id="0">
    <w:p w14:paraId="5BF002B4" w14:textId="77777777" w:rsidR="008B15E5" w:rsidRDefault="008B15E5" w:rsidP="00FB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3C60" w14:textId="77777777" w:rsidR="008B15E5" w:rsidRDefault="008B15E5" w:rsidP="00FB6B96">
      <w:r>
        <w:separator/>
      </w:r>
    </w:p>
  </w:footnote>
  <w:footnote w:type="continuationSeparator" w:id="0">
    <w:p w14:paraId="3FD01780" w14:textId="77777777" w:rsidR="008B15E5" w:rsidRDefault="008B15E5" w:rsidP="00FB6B96">
      <w:r>
        <w:continuationSeparator/>
      </w:r>
    </w:p>
  </w:footnote>
  <w:footnote w:id="1">
    <w:p w14:paraId="6BDD2172" w14:textId="54796A93" w:rsidR="00D12AAE" w:rsidRPr="00406F2A" w:rsidRDefault="00D12AAE" w:rsidP="004D4786">
      <w:pPr>
        <w:pStyle w:val="FootnoteText"/>
        <w:jc w:val="both"/>
        <w:rPr>
          <w:lang w:val="en-US"/>
        </w:rPr>
      </w:pPr>
      <w:r>
        <w:rPr>
          <w:rStyle w:val="FootnoteReference"/>
        </w:rPr>
        <w:footnoteRef/>
      </w:r>
      <w:r w:rsidR="006B08FE">
        <w:t xml:space="preserve"> </w:t>
      </w:r>
      <w:r w:rsidR="009409F9">
        <w:rPr>
          <w:sz w:val="20"/>
          <w:szCs w:val="20"/>
          <w:lang w:val="en-ZA"/>
        </w:rPr>
        <w:t>2000 NR 271 (HC)</w:t>
      </w:r>
      <w:r>
        <w:rPr>
          <w:sz w:val="20"/>
          <w:szCs w:val="20"/>
          <w:lang w:val="en-US"/>
        </w:rPr>
        <w:t xml:space="preserve">. </w:t>
      </w:r>
      <w:r w:rsidR="00EA5BB7" w:rsidRPr="00D12AAE">
        <w:rPr>
          <w:sz w:val="20"/>
          <w:szCs w:val="20"/>
        </w:rPr>
        <w:t>Compare</w:t>
      </w:r>
      <w:r w:rsidR="00031918">
        <w:rPr>
          <w:sz w:val="20"/>
          <w:szCs w:val="20"/>
        </w:rPr>
        <w:t>:</w:t>
      </w:r>
      <w:r w:rsidR="00EA5BB7">
        <w:t xml:space="preserve"> </w:t>
      </w:r>
      <w:r w:rsidR="00F8715E">
        <w:rPr>
          <w:rFonts w:cs="Arial"/>
          <w:i/>
          <w:sz w:val="20"/>
          <w:szCs w:val="20"/>
        </w:rPr>
        <w:t>S v Strowitzk</w:t>
      </w:r>
      <w:r w:rsidR="009409F9">
        <w:rPr>
          <w:rFonts w:cs="Arial"/>
          <w:i/>
          <w:sz w:val="20"/>
          <w:szCs w:val="20"/>
          <w:lang w:val="en-ZA"/>
        </w:rPr>
        <w:t>i</w:t>
      </w:r>
      <w:r w:rsidR="00EA5BB7" w:rsidRPr="00FB0848">
        <w:rPr>
          <w:rFonts w:cs="Arial"/>
          <w:i/>
          <w:sz w:val="20"/>
          <w:szCs w:val="20"/>
        </w:rPr>
        <w:t xml:space="preserve"> </w:t>
      </w:r>
      <w:r w:rsidR="009409F9" w:rsidRPr="0076335E">
        <w:rPr>
          <w:rFonts w:cs="Arial"/>
          <w:sz w:val="20"/>
          <w:szCs w:val="20"/>
          <w:lang w:val="en-ZA"/>
        </w:rPr>
        <w:t>1994</w:t>
      </w:r>
      <w:r w:rsidR="009409F9">
        <w:rPr>
          <w:rFonts w:cs="Arial"/>
          <w:i/>
          <w:sz w:val="20"/>
          <w:szCs w:val="20"/>
          <w:lang w:val="en-ZA"/>
        </w:rPr>
        <w:t xml:space="preserve"> </w:t>
      </w:r>
      <w:r w:rsidR="009409F9">
        <w:rPr>
          <w:rFonts w:cs="Arial"/>
          <w:sz w:val="20"/>
          <w:szCs w:val="20"/>
          <w:lang w:val="en-ZA"/>
        </w:rPr>
        <w:t>NR 265 (HC).</w:t>
      </w:r>
    </w:p>
  </w:footnote>
  <w:footnote w:id="2">
    <w:p w14:paraId="2DA63DEF" w14:textId="2FA01CA4" w:rsidR="00292D11" w:rsidRPr="009C6C0D" w:rsidRDefault="00292D11" w:rsidP="004D4786">
      <w:pPr>
        <w:pStyle w:val="FootnoteText"/>
        <w:jc w:val="both"/>
        <w:rPr>
          <w:sz w:val="20"/>
          <w:szCs w:val="20"/>
          <w:lang w:val="en-US"/>
        </w:rPr>
      </w:pPr>
      <w:r w:rsidRPr="00FB0848">
        <w:rPr>
          <w:rStyle w:val="FootnoteReference"/>
          <w:sz w:val="20"/>
          <w:szCs w:val="20"/>
        </w:rPr>
        <w:footnoteRef/>
      </w:r>
      <w:r w:rsidRPr="00FB0848">
        <w:rPr>
          <w:sz w:val="20"/>
          <w:szCs w:val="20"/>
        </w:rPr>
        <w:t xml:space="preserve"> </w:t>
      </w:r>
      <w:r w:rsidR="00102BFC" w:rsidRPr="00FB0848">
        <w:rPr>
          <w:i/>
          <w:sz w:val="20"/>
          <w:szCs w:val="20"/>
        </w:rPr>
        <w:t>S v Myburgh</w:t>
      </w:r>
      <w:r w:rsidR="00FA682F">
        <w:rPr>
          <w:sz w:val="20"/>
          <w:szCs w:val="20"/>
        </w:rPr>
        <w:t xml:space="preserve"> 2008 (2) NR 592 (SC). See also</w:t>
      </w:r>
      <w:r w:rsidR="00031918">
        <w:rPr>
          <w:sz w:val="20"/>
          <w:szCs w:val="20"/>
        </w:rPr>
        <w:t>,</w:t>
      </w:r>
      <w:r w:rsidR="00FA682F">
        <w:rPr>
          <w:sz w:val="20"/>
          <w:szCs w:val="20"/>
        </w:rPr>
        <w:t xml:space="preserve"> </w:t>
      </w:r>
      <w:r w:rsidR="00FA682F" w:rsidRPr="00FA682F">
        <w:rPr>
          <w:rFonts w:cs="Arial"/>
          <w:i/>
          <w:sz w:val="20"/>
          <w:szCs w:val="20"/>
        </w:rPr>
        <w:t>S v Heidenreich</w:t>
      </w:r>
      <w:r w:rsidR="009C6C0D">
        <w:rPr>
          <w:rFonts w:cs="Arial"/>
          <w:i/>
          <w:sz w:val="20"/>
          <w:szCs w:val="20"/>
        </w:rPr>
        <w:t xml:space="preserve"> </w:t>
      </w:r>
      <w:r w:rsidR="009C6C0D" w:rsidRPr="000560EE">
        <w:rPr>
          <w:sz w:val="20"/>
          <w:szCs w:val="20"/>
        </w:rPr>
        <w:t>1995 NR 234 (HC)</w:t>
      </w:r>
      <w:r w:rsidR="009409F9">
        <w:rPr>
          <w:sz w:val="20"/>
          <w:szCs w:val="20"/>
          <w:lang w:val="en-ZA"/>
        </w:rPr>
        <w:t>;</w:t>
      </w:r>
      <w:r w:rsidR="009C6C0D" w:rsidRPr="000560EE">
        <w:rPr>
          <w:sz w:val="20"/>
          <w:szCs w:val="20"/>
        </w:rPr>
        <w:t xml:space="preserve"> (1996 (2) SACR 171 at 241D (178d SACR).</w:t>
      </w:r>
    </w:p>
  </w:footnote>
  <w:footnote w:id="3">
    <w:p w14:paraId="25017AAA" w14:textId="2B7D3963" w:rsidR="00784571" w:rsidRPr="00FB0848" w:rsidRDefault="00784571" w:rsidP="004D4786">
      <w:pPr>
        <w:pStyle w:val="FootnoteText"/>
        <w:jc w:val="both"/>
        <w:rPr>
          <w:sz w:val="20"/>
          <w:szCs w:val="20"/>
          <w:lang w:val="en-US"/>
        </w:rPr>
      </w:pPr>
      <w:r w:rsidRPr="00FB0848">
        <w:rPr>
          <w:rStyle w:val="FootnoteReference"/>
          <w:sz w:val="20"/>
          <w:szCs w:val="20"/>
        </w:rPr>
        <w:footnoteRef/>
      </w:r>
      <w:r w:rsidRPr="00FB0848">
        <w:rPr>
          <w:sz w:val="20"/>
          <w:szCs w:val="20"/>
        </w:rPr>
        <w:t xml:space="preserve"> </w:t>
      </w:r>
      <w:r w:rsidR="00EA5BB7">
        <w:rPr>
          <w:sz w:val="20"/>
          <w:szCs w:val="20"/>
        </w:rPr>
        <w:t>In the sense that such a prosecution may not again be instituted.</w:t>
      </w:r>
    </w:p>
  </w:footnote>
  <w:footnote w:id="4">
    <w:p w14:paraId="4BFD5DCD" w14:textId="77777777" w:rsidR="005863CA" w:rsidRPr="00FB0848" w:rsidRDefault="005863CA" w:rsidP="005863CA">
      <w:pPr>
        <w:pStyle w:val="FootnoteText"/>
        <w:rPr>
          <w:sz w:val="20"/>
          <w:szCs w:val="20"/>
          <w:lang w:val="en-US"/>
        </w:rPr>
      </w:pPr>
      <w:r w:rsidRPr="00FB0848">
        <w:rPr>
          <w:rStyle w:val="FootnoteReference"/>
          <w:sz w:val="20"/>
          <w:szCs w:val="20"/>
        </w:rPr>
        <w:footnoteRef/>
      </w:r>
      <w:r w:rsidRPr="00FB0848">
        <w:rPr>
          <w:sz w:val="20"/>
          <w:szCs w:val="20"/>
        </w:rPr>
        <w:t xml:space="preserve"> </w:t>
      </w:r>
      <w:r w:rsidRPr="00FB0848">
        <w:rPr>
          <w:i/>
          <w:sz w:val="20"/>
          <w:szCs w:val="20"/>
          <w:lang w:val="en-US"/>
        </w:rPr>
        <w:t>Myburgh</w:t>
      </w:r>
      <w:r w:rsidRPr="00FB0848">
        <w:rPr>
          <w:sz w:val="20"/>
          <w:szCs w:val="20"/>
          <w:lang w:val="en-US"/>
        </w:rPr>
        <w:t xml:space="preserve"> at 624F.</w:t>
      </w:r>
    </w:p>
  </w:footnote>
  <w:footnote w:id="5">
    <w:p w14:paraId="083B1056" w14:textId="71206B7C" w:rsidR="00721AFB" w:rsidRDefault="00721AFB">
      <w:pPr>
        <w:pStyle w:val="FootnoteText"/>
        <w:rPr>
          <w:color w:val="FF0000"/>
          <w:sz w:val="20"/>
          <w:szCs w:val="20"/>
          <w:lang w:val="en-ZA"/>
        </w:rPr>
      </w:pPr>
      <w:r w:rsidRPr="0065111D">
        <w:rPr>
          <w:rStyle w:val="FootnoteReference"/>
        </w:rPr>
        <w:footnoteRef/>
      </w:r>
      <w:r w:rsidRPr="009409F9">
        <w:t xml:space="preserve"> </w:t>
      </w:r>
      <w:r w:rsidR="004D4786" w:rsidRPr="0065111D">
        <w:rPr>
          <w:i/>
          <w:sz w:val="20"/>
          <w:szCs w:val="20"/>
        </w:rPr>
        <w:t xml:space="preserve">Myburgh </w:t>
      </w:r>
      <w:r w:rsidR="004D4786" w:rsidRPr="0065111D">
        <w:rPr>
          <w:sz w:val="20"/>
          <w:szCs w:val="20"/>
          <w:lang w:val="en-ZA"/>
        </w:rPr>
        <w:t xml:space="preserve">at 623H-624B. </w:t>
      </w:r>
    </w:p>
    <w:p w14:paraId="4DD77ED5" w14:textId="77777777" w:rsidR="004D4786" w:rsidRPr="004D4786" w:rsidRDefault="004D4786">
      <w:pPr>
        <w:pStyle w:val="FootnoteText"/>
        <w:rPr>
          <w:lang w:val="en-ZA"/>
        </w:rPr>
      </w:pPr>
    </w:p>
  </w:footnote>
  <w:footnote w:id="6">
    <w:p w14:paraId="3E3A86EE" w14:textId="0AA58020" w:rsidR="0096775B" w:rsidRPr="00D37827" w:rsidRDefault="0096775B" w:rsidP="0096775B">
      <w:pPr>
        <w:pStyle w:val="FootnoteText"/>
        <w:jc w:val="both"/>
        <w:rPr>
          <w:sz w:val="20"/>
          <w:szCs w:val="20"/>
          <w:lang w:val="en-US"/>
        </w:rPr>
      </w:pPr>
      <w:r w:rsidRPr="008039A4">
        <w:rPr>
          <w:rStyle w:val="FootnoteReference"/>
          <w:i/>
        </w:rPr>
        <w:footnoteRef/>
      </w:r>
      <w:r w:rsidR="008039A4" w:rsidRPr="008039A4">
        <w:rPr>
          <w:i/>
          <w:sz w:val="20"/>
          <w:szCs w:val="20"/>
          <w:lang w:val="en-US"/>
        </w:rPr>
        <w:t xml:space="preserve"> </w:t>
      </w:r>
      <w:r w:rsidR="008039A4" w:rsidRPr="005E1C96">
        <w:rPr>
          <w:i/>
          <w:sz w:val="20"/>
          <w:szCs w:val="20"/>
          <w:lang w:val="en-US"/>
        </w:rPr>
        <w:t xml:space="preserve"> Myburgh</w:t>
      </w:r>
      <w:r w:rsidR="00721AFB" w:rsidRPr="005E1C96">
        <w:rPr>
          <w:sz w:val="20"/>
          <w:szCs w:val="20"/>
          <w:lang w:val="en-US"/>
        </w:rPr>
        <w:t xml:space="preserve"> at </w:t>
      </w:r>
      <w:r w:rsidR="005E1C96" w:rsidRPr="005E1C96">
        <w:rPr>
          <w:sz w:val="20"/>
          <w:szCs w:val="20"/>
          <w:lang w:val="en-US"/>
        </w:rPr>
        <w:t>600D-E.</w:t>
      </w:r>
    </w:p>
  </w:footnote>
  <w:footnote w:id="7">
    <w:p w14:paraId="4406C4E4" w14:textId="59B80C69" w:rsidR="005E65AC" w:rsidRPr="00172453" w:rsidRDefault="005E65AC">
      <w:pPr>
        <w:pStyle w:val="FootnoteText"/>
        <w:rPr>
          <w:sz w:val="20"/>
          <w:szCs w:val="20"/>
          <w:lang w:val="en-US"/>
        </w:rPr>
      </w:pPr>
      <w:r>
        <w:rPr>
          <w:rStyle w:val="FootnoteReference"/>
        </w:rPr>
        <w:footnoteRef/>
      </w:r>
      <w:r>
        <w:t xml:space="preserve"> </w:t>
      </w:r>
      <w:r w:rsidRPr="00172453">
        <w:rPr>
          <w:sz w:val="20"/>
          <w:szCs w:val="20"/>
          <w:lang w:val="en-US"/>
        </w:rPr>
        <w:t>CPA, s 18.</w:t>
      </w:r>
    </w:p>
  </w:footnote>
  <w:footnote w:id="8">
    <w:p w14:paraId="558BB63B" w14:textId="1FBD16F3" w:rsidR="001C6553" w:rsidRPr="001C6553" w:rsidRDefault="001C6553">
      <w:pPr>
        <w:pStyle w:val="FootnoteText"/>
        <w:rPr>
          <w:lang w:val="en-US"/>
        </w:rPr>
      </w:pPr>
      <w:r>
        <w:rPr>
          <w:rStyle w:val="FootnoteReference"/>
        </w:rPr>
        <w:footnoteRef/>
      </w:r>
      <w:r>
        <w:t xml:space="preserve"> </w:t>
      </w:r>
      <w:r w:rsidRPr="001C6553">
        <w:rPr>
          <w:i/>
          <w:sz w:val="20"/>
          <w:szCs w:val="20"/>
          <w:lang w:val="en-US"/>
        </w:rPr>
        <w:t>Bahlsen v Nederlof</w:t>
      </w:r>
      <w:r w:rsidR="00E32AEE">
        <w:rPr>
          <w:i/>
          <w:sz w:val="20"/>
          <w:szCs w:val="20"/>
          <w:lang w:val="en-US"/>
        </w:rPr>
        <w:t>f</w:t>
      </w:r>
      <w:r w:rsidR="0076335E">
        <w:rPr>
          <w:i/>
          <w:sz w:val="20"/>
          <w:szCs w:val="20"/>
          <w:lang w:val="en-US"/>
        </w:rPr>
        <w:t xml:space="preserve"> &amp;</w:t>
      </w:r>
      <w:r w:rsidRPr="001C6553">
        <w:rPr>
          <w:i/>
          <w:sz w:val="20"/>
          <w:szCs w:val="20"/>
          <w:lang w:val="en-US"/>
        </w:rPr>
        <w:t xml:space="preserve"> </w:t>
      </w:r>
      <w:r w:rsidR="00E32AEE">
        <w:rPr>
          <w:i/>
          <w:sz w:val="20"/>
          <w:szCs w:val="20"/>
          <w:lang w:val="en-US"/>
        </w:rPr>
        <w:t>a</w:t>
      </w:r>
      <w:r w:rsidRPr="001C6553">
        <w:rPr>
          <w:i/>
          <w:sz w:val="20"/>
          <w:szCs w:val="20"/>
          <w:lang w:val="en-US"/>
        </w:rPr>
        <w:t>nother</w:t>
      </w:r>
      <w:r w:rsidRPr="001C6553">
        <w:rPr>
          <w:sz w:val="20"/>
          <w:szCs w:val="20"/>
          <w:lang w:val="en-US"/>
        </w:rPr>
        <w:t xml:space="preserve"> 2006 (2) NR 416 </w:t>
      </w:r>
      <w:r w:rsidR="00E32AEE">
        <w:rPr>
          <w:sz w:val="20"/>
          <w:szCs w:val="20"/>
          <w:lang w:val="en-US"/>
        </w:rPr>
        <w:t>(HC)</w:t>
      </w:r>
      <w:r w:rsidRPr="001C6553">
        <w:rPr>
          <w:sz w:val="20"/>
          <w:szCs w:val="20"/>
          <w:lang w:val="en-US"/>
        </w:rPr>
        <w:t xml:space="preserve"> para [30].</w:t>
      </w:r>
    </w:p>
  </w:footnote>
  <w:footnote w:id="9">
    <w:p w14:paraId="6F4E7403" w14:textId="56C5AE93" w:rsidR="00996DA2" w:rsidRPr="00172453" w:rsidRDefault="00996DA2">
      <w:pPr>
        <w:pStyle w:val="FootnoteText"/>
        <w:rPr>
          <w:sz w:val="20"/>
          <w:szCs w:val="20"/>
          <w:lang w:val="en-US"/>
        </w:rPr>
      </w:pPr>
      <w:r>
        <w:rPr>
          <w:rStyle w:val="FootnoteReference"/>
        </w:rPr>
        <w:footnoteRef/>
      </w:r>
      <w:r>
        <w:t xml:space="preserve"> </w:t>
      </w:r>
      <w:r w:rsidR="00172453" w:rsidRPr="005E1C96">
        <w:rPr>
          <w:sz w:val="20"/>
          <w:szCs w:val="20"/>
          <w:lang w:val="en-US"/>
        </w:rPr>
        <w:t>11 of 2007.</w:t>
      </w:r>
    </w:p>
  </w:footnote>
  <w:footnote w:id="10">
    <w:p w14:paraId="7787F0AB" w14:textId="797403BE" w:rsidR="00996DA2" w:rsidRPr="00172453" w:rsidRDefault="00996DA2">
      <w:pPr>
        <w:pStyle w:val="FootnoteText"/>
        <w:rPr>
          <w:sz w:val="20"/>
          <w:szCs w:val="20"/>
          <w:lang w:val="en-US"/>
        </w:rPr>
      </w:pPr>
      <w:r>
        <w:rPr>
          <w:rStyle w:val="FootnoteReference"/>
        </w:rPr>
        <w:footnoteRef/>
      </w:r>
      <w:r>
        <w:t xml:space="preserve"> </w:t>
      </w:r>
      <w:r w:rsidR="00172453" w:rsidRPr="005E1C96">
        <w:rPr>
          <w:sz w:val="20"/>
          <w:szCs w:val="20"/>
        </w:rPr>
        <w:t>2008 (2) NR 592 (SC)</w:t>
      </w:r>
      <w:r w:rsidR="00A542CB" w:rsidRPr="005E1C96">
        <w:rPr>
          <w:sz w:val="20"/>
          <w:szCs w:val="20"/>
        </w:rPr>
        <w:t xml:space="preserve"> at </w:t>
      </w:r>
      <w:r w:rsidR="005E1C96" w:rsidRPr="005E1C96">
        <w:rPr>
          <w:sz w:val="20"/>
          <w:szCs w:val="20"/>
        </w:rPr>
        <w:t>598D-E.</w:t>
      </w:r>
    </w:p>
  </w:footnote>
  <w:footnote w:id="11">
    <w:p w14:paraId="786138FB" w14:textId="17763A75" w:rsidR="00747710" w:rsidRPr="00B73746" w:rsidRDefault="00747710" w:rsidP="00747710">
      <w:pPr>
        <w:pStyle w:val="FootnoteText"/>
        <w:rPr>
          <w:sz w:val="20"/>
          <w:szCs w:val="20"/>
          <w:lang w:val="en-US"/>
        </w:rPr>
      </w:pPr>
      <w:r>
        <w:rPr>
          <w:rStyle w:val="FootnoteReference"/>
        </w:rPr>
        <w:footnoteRef/>
      </w:r>
      <w:r>
        <w:t xml:space="preserve"> </w:t>
      </w:r>
      <w:r w:rsidRPr="003A5FEB">
        <w:rPr>
          <w:i/>
          <w:sz w:val="20"/>
          <w:szCs w:val="20"/>
        </w:rPr>
        <w:t>Ale</w:t>
      </w:r>
      <w:r w:rsidR="0076335E">
        <w:rPr>
          <w:i/>
          <w:sz w:val="20"/>
          <w:szCs w:val="20"/>
        </w:rPr>
        <w:t>xander v Minister of Justice &amp;</w:t>
      </w:r>
      <w:r w:rsidRPr="003A5FEB">
        <w:rPr>
          <w:i/>
          <w:sz w:val="20"/>
          <w:szCs w:val="20"/>
        </w:rPr>
        <w:t xml:space="preserve"> </w:t>
      </w:r>
      <w:r w:rsidR="00E32AEE">
        <w:rPr>
          <w:i/>
          <w:sz w:val="20"/>
          <w:szCs w:val="20"/>
          <w:lang w:val="en-ZA"/>
        </w:rPr>
        <w:t>o</w:t>
      </w:r>
      <w:r w:rsidRPr="003A5FEB">
        <w:rPr>
          <w:i/>
          <w:sz w:val="20"/>
          <w:szCs w:val="20"/>
        </w:rPr>
        <w:t>thers</w:t>
      </w:r>
      <w:r w:rsidRPr="00B73746">
        <w:rPr>
          <w:sz w:val="20"/>
          <w:szCs w:val="20"/>
          <w:lang w:val="en-US"/>
        </w:rPr>
        <w:t xml:space="preserve"> 2010 (1) NR 328 </w:t>
      </w:r>
      <w:r w:rsidR="00615DC0" w:rsidRPr="00A542CB">
        <w:rPr>
          <w:sz w:val="20"/>
          <w:szCs w:val="20"/>
          <w:lang w:val="en-US"/>
        </w:rPr>
        <w:t>(SC)</w:t>
      </w:r>
      <w:r w:rsidR="00615DC0">
        <w:rPr>
          <w:sz w:val="20"/>
          <w:szCs w:val="20"/>
          <w:lang w:val="en-US"/>
        </w:rPr>
        <w:t xml:space="preserve"> </w:t>
      </w:r>
      <w:r w:rsidRPr="00B73746">
        <w:rPr>
          <w:sz w:val="20"/>
          <w:szCs w:val="20"/>
          <w:lang w:val="en-US"/>
        </w:rPr>
        <w:t xml:space="preserve"> paras 65 and 69 to 71</w:t>
      </w:r>
      <w:r>
        <w:rPr>
          <w:sz w:val="20"/>
          <w:szCs w:val="20"/>
          <w:lang w:val="en-US"/>
        </w:rPr>
        <w:t xml:space="preserve">. </w:t>
      </w:r>
    </w:p>
  </w:footnote>
  <w:footnote w:id="12">
    <w:p w14:paraId="01FB848A" w14:textId="6DF6F7F2" w:rsidR="00747710" w:rsidRPr="00354D50" w:rsidRDefault="00747710" w:rsidP="00747710">
      <w:pPr>
        <w:pStyle w:val="FootnoteText"/>
        <w:rPr>
          <w:sz w:val="20"/>
          <w:szCs w:val="20"/>
          <w:lang w:val="en-US"/>
        </w:rPr>
      </w:pPr>
      <w:r>
        <w:rPr>
          <w:rStyle w:val="FootnoteReference"/>
        </w:rPr>
        <w:footnoteRef/>
      </w:r>
      <w:r>
        <w:t xml:space="preserve"> </w:t>
      </w:r>
      <w:r w:rsidRPr="00354D50">
        <w:rPr>
          <w:sz w:val="20"/>
          <w:szCs w:val="20"/>
        </w:rPr>
        <w:t xml:space="preserve">See </w:t>
      </w:r>
      <w:r w:rsidR="0076335E">
        <w:rPr>
          <w:i/>
          <w:sz w:val="20"/>
          <w:szCs w:val="20"/>
        </w:rPr>
        <w:t>Wild &amp;</w:t>
      </w:r>
      <w:r w:rsidRPr="00F33B5C">
        <w:rPr>
          <w:i/>
          <w:sz w:val="20"/>
          <w:szCs w:val="20"/>
        </w:rPr>
        <w:t xml:space="preserve"> </w:t>
      </w:r>
      <w:r w:rsidR="00E32AEE">
        <w:rPr>
          <w:i/>
          <w:sz w:val="20"/>
          <w:szCs w:val="20"/>
          <w:lang w:val="en-ZA"/>
        </w:rPr>
        <w:t>a</w:t>
      </w:r>
      <w:r w:rsidRPr="00F33B5C">
        <w:rPr>
          <w:i/>
          <w:sz w:val="20"/>
          <w:szCs w:val="20"/>
        </w:rPr>
        <w:t xml:space="preserve">nother v Hoffert NO </w:t>
      </w:r>
      <w:r w:rsidR="0076335E">
        <w:rPr>
          <w:i/>
          <w:sz w:val="20"/>
          <w:szCs w:val="20"/>
          <w:lang w:val="en-ZA"/>
        </w:rPr>
        <w:t>&amp;</w:t>
      </w:r>
      <w:r w:rsidRPr="00F33B5C">
        <w:rPr>
          <w:i/>
          <w:sz w:val="20"/>
          <w:szCs w:val="20"/>
        </w:rPr>
        <w:t xml:space="preserve"> </w:t>
      </w:r>
      <w:r w:rsidR="00E32AEE">
        <w:rPr>
          <w:i/>
          <w:sz w:val="20"/>
          <w:szCs w:val="20"/>
          <w:lang w:val="en-ZA"/>
        </w:rPr>
        <w:t>o</w:t>
      </w:r>
      <w:r w:rsidRPr="00F33B5C">
        <w:rPr>
          <w:i/>
          <w:sz w:val="20"/>
          <w:szCs w:val="20"/>
        </w:rPr>
        <w:t>thers</w:t>
      </w:r>
      <w:r w:rsidRPr="00354D50">
        <w:rPr>
          <w:sz w:val="20"/>
          <w:szCs w:val="20"/>
        </w:rPr>
        <w:t xml:space="preserve"> 1998 (3) SA 695 (CC).</w:t>
      </w:r>
    </w:p>
  </w:footnote>
  <w:footnote w:id="13">
    <w:p w14:paraId="5FA5CC0D" w14:textId="3F076271" w:rsidR="007441C0" w:rsidRPr="007441C0" w:rsidRDefault="007441C0" w:rsidP="006017A4">
      <w:pPr>
        <w:pStyle w:val="FootnoteText"/>
        <w:jc w:val="both"/>
        <w:rPr>
          <w:lang w:val="en-US"/>
        </w:rPr>
      </w:pPr>
      <w:r>
        <w:rPr>
          <w:rStyle w:val="FootnoteReference"/>
        </w:rPr>
        <w:footnoteRef/>
      </w:r>
      <w:r>
        <w:t xml:space="preserve"> </w:t>
      </w:r>
      <w:r w:rsidRPr="001A1B14">
        <w:rPr>
          <w:sz w:val="20"/>
          <w:szCs w:val="20"/>
          <w:lang w:val="en-US"/>
        </w:rPr>
        <w:t>Compare</w:t>
      </w:r>
      <w:r>
        <w:rPr>
          <w:lang w:val="en-US"/>
        </w:rPr>
        <w:t xml:space="preserve"> </w:t>
      </w:r>
      <w:r w:rsidRPr="007441C0">
        <w:rPr>
          <w:i/>
          <w:sz w:val="20"/>
          <w:szCs w:val="20"/>
          <w:lang w:val="en-US"/>
        </w:rPr>
        <w:t xml:space="preserve">CUSA v Tao Ying </w:t>
      </w:r>
      <w:r w:rsidR="00E32AEE">
        <w:rPr>
          <w:i/>
          <w:sz w:val="20"/>
          <w:szCs w:val="20"/>
          <w:lang w:val="en-US"/>
        </w:rPr>
        <w:t>M</w:t>
      </w:r>
      <w:r w:rsidR="0076335E">
        <w:rPr>
          <w:i/>
          <w:sz w:val="20"/>
          <w:szCs w:val="20"/>
          <w:lang w:val="en-US"/>
        </w:rPr>
        <w:t>etal Industries &amp;</w:t>
      </w:r>
      <w:r w:rsidRPr="007441C0">
        <w:rPr>
          <w:i/>
          <w:sz w:val="20"/>
          <w:szCs w:val="20"/>
          <w:lang w:val="en-US"/>
        </w:rPr>
        <w:t xml:space="preserve"> </w:t>
      </w:r>
      <w:r w:rsidR="00E32AEE">
        <w:rPr>
          <w:i/>
          <w:sz w:val="20"/>
          <w:szCs w:val="20"/>
          <w:lang w:val="en-US"/>
        </w:rPr>
        <w:t>o</w:t>
      </w:r>
      <w:r w:rsidRPr="007441C0">
        <w:rPr>
          <w:i/>
          <w:sz w:val="20"/>
          <w:szCs w:val="20"/>
          <w:lang w:val="en-US"/>
        </w:rPr>
        <w:t>thers</w:t>
      </w:r>
      <w:r w:rsidRPr="007441C0">
        <w:rPr>
          <w:sz w:val="20"/>
          <w:szCs w:val="20"/>
          <w:lang w:val="en-US"/>
        </w:rPr>
        <w:t xml:space="preserve"> 2009 (2) SA 204 (CC); 2009 (1) BCLR 1 (CC) para [68].</w:t>
      </w:r>
    </w:p>
  </w:footnote>
  <w:footnote w:id="14">
    <w:p w14:paraId="00AB9F11" w14:textId="370329B9" w:rsidR="00A73B91" w:rsidRPr="0062335D" w:rsidRDefault="00A73B91" w:rsidP="005129A3">
      <w:pPr>
        <w:pStyle w:val="FootnoteText"/>
        <w:jc w:val="both"/>
        <w:rPr>
          <w:sz w:val="20"/>
          <w:szCs w:val="20"/>
          <w:lang w:val="en-US"/>
        </w:rPr>
      </w:pPr>
      <w:r>
        <w:rPr>
          <w:rStyle w:val="FootnoteReference"/>
        </w:rPr>
        <w:footnoteRef/>
      </w:r>
      <w:r>
        <w:t xml:space="preserve"> </w:t>
      </w:r>
      <w:r w:rsidRPr="0062335D">
        <w:rPr>
          <w:i/>
          <w:sz w:val="20"/>
          <w:szCs w:val="20"/>
          <w:lang w:val="en-US"/>
        </w:rPr>
        <w:t>Vide</w:t>
      </w:r>
      <w:r w:rsidRPr="0062335D">
        <w:rPr>
          <w:sz w:val="20"/>
          <w:szCs w:val="20"/>
          <w:lang w:val="en-US"/>
        </w:rPr>
        <w:t xml:space="preserve">, Record, p. 117, para 3.1 to 3.2. </w:t>
      </w:r>
      <w:r w:rsidR="009F1768">
        <w:rPr>
          <w:sz w:val="20"/>
          <w:szCs w:val="20"/>
          <w:lang w:val="en-US"/>
        </w:rPr>
        <w:t xml:space="preserve">It is permissible for heads of argument to be included in the appeal record if it is relevant to an appeal: </w:t>
      </w:r>
      <w:r w:rsidR="009862B8" w:rsidRPr="0065111D">
        <w:rPr>
          <w:sz w:val="20"/>
          <w:szCs w:val="20"/>
          <w:lang w:val="en-US"/>
        </w:rPr>
        <w:t>See Rule 11(8)(a) of the Supreme Court rules.</w:t>
      </w:r>
      <w:r w:rsidR="009862B8">
        <w:rPr>
          <w:sz w:val="20"/>
          <w:szCs w:val="20"/>
          <w:lang w:val="en-US"/>
        </w:rPr>
        <w:t xml:space="preserve"> </w:t>
      </w:r>
    </w:p>
  </w:footnote>
  <w:footnote w:id="15">
    <w:p w14:paraId="04E478CF" w14:textId="163389E6" w:rsidR="004257EA" w:rsidRPr="0029660C" w:rsidRDefault="004257EA" w:rsidP="005129A3">
      <w:pPr>
        <w:pStyle w:val="FootnoteText"/>
        <w:jc w:val="both"/>
        <w:rPr>
          <w:rFonts w:cs="Arial"/>
          <w:sz w:val="20"/>
          <w:szCs w:val="20"/>
          <w:lang w:val="en-US"/>
        </w:rPr>
      </w:pPr>
      <w:r w:rsidRPr="0062335D">
        <w:rPr>
          <w:rStyle w:val="FootnoteReference"/>
          <w:rFonts w:ascii="Calibri" w:hAnsi="Calibri"/>
          <w:sz w:val="20"/>
          <w:szCs w:val="20"/>
        </w:rPr>
        <w:footnoteRef/>
      </w:r>
      <w:r w:rsidRPr="0062335D">
        <w:rPr>
          <w:rFonts w:ascii="Calibri" w:hAnsi="Calibri"/>
          <w:sz w:val="20"/>
          <w:szCs w:val="20"/>
        </w:rPr>
        <w:t xml:space="preserve"> </w:t>
      </w:r>
      <w:r w:rsidRPr="0029660C">
        <w:rPr>
          <w:rFonts w:cs="Arial"/>
          <w:i/>
          <w:sz w:val="20"/>
          <w:szCs w:val="20"/>
          <w:lang w:val="en-US"/>
        </w:rPr>
        <w:t>S</w:t>
      </w:r>
      <w:r w:rsidR="0062335D" w:rsidRPr="0029660C">
        <w:rPr>
          <w:rFonts w:cs="Arial"/>
          <w:i/>
          <w:sz w:val="20"/>
          <w:szCs w:val="20"/>
          <w:lang w:val="en-US"/>
        </w:rPr>
        <w:t>hill</w:t>
      </w:r>
      <w:r w:rsidRPr="0029660C">
        <w:rPr>
          <w:rFonts w:cs="Arial"/>
          <w:i/>
          <w:sz w:val="20"/>
          <w:szCs w:val="20"/>
          <w:lang w:val="en-US"/>
        </w:rPr>
        <w:t xml:space="preserve"> v Milne</w:t>
      </w:r>
      <w:r w:rsidR="0029660C">
        <w:rPr>
          <w:rFonts w:cs="Arial"/>
          <w:i/>
          <w:sz w:val="20"/>
          <w:szCs w:val="20"/>
          <w:lang w:val="en-US"/>
        </w:rPr>
        <w:t>r</w:t>
      </w:r>
      <w:r w:rsidRPr="0029660C">
        <w:rPr>
          <w:rFonts w:cs="Arial"/>
          <w:sz w:val="20"/>
          <w:szCs w:val="20"/>
          <w:lang w:val="en-US"/>
        </w:rPr>
        <w:t xml:space="preserve"> </w:t>
      </w:r>
      <w:r w:rsidR="0029660C">
        <w:rPr>
          <w:rFonts w:cs="Arial"/>
          <w:sz w:val="20"/>
          <w:szCs w:val="20"/>
          <w:lang w:val="en-US"/>
        </w:rPr>
        <w:t>1937 A</w:t>
      </w:r>
      <w:r w:rsidR="0062335D" w:rsidRPr="0029660C">
        <w:rPr>
          <w:rFonts w:cs="Arial"/>
          <w:sz w:val="20"/>
          <w:szCs w:val="20"/>
          <w:lang w:val="en-US"/>
        </w:rPr>
        <w:t>D 101 at 105.</w:t>
      </w:r>
    </w:p>
  </w:footnote>
  <w:footnote w:id="16">
    <w:p w14:paraId="0EE3375D" w14:textId="321E94C6" w:rsidR="0062335D" w:rsidRPr="0029660C" w:rsidRDefault="0062335D" w:rsidP="0062335D">
      <w:pPr>
        <w:pStyle w:val="FootnoteText"/>
        <w:jc w:val="both"/>
        <w:rPr>
          <w:rFonts w:cs="Arial"/>
          <w:sz w:val="20"/>
          <w:szCs w:val="20"/>
          <w:lang w:val="en-ZA"/>
        </w:rPr>
      </w:pPr>
      <w:r w:rsidRPr="00501F74">
        <w:rPr>
          <w:rStyle w:val="FootnoteReference"/>
          <w:rFonts w:cs="Arial"/>
          <w:sz w:val="20"/>
          <w:szCs w:val="20"/>
        </w:rPr>
        <w:footnoteRef/>
      </w:r>
      <w:r w:rsidRPr="000A7878">
        <w:rPr>
          <w:rFonts w:ascii="Bookman Old Style" w:hAnsi="Bookman Old Style"/>
          <w:sz w:val="20"/>
          <w:szCs w:val="20"/>
        </w:rPr>
        <w:t xml:space="preserve"> </w:t>
      </w:r>
      <w:r w:rsidR="00A24944" w:rsidRPr="0029660C">
        <w:rPr>
          <w:rFonts w:cs="Arial"/>
          <w:color w:val="000000" w:themeColor="text1"/>
          <w:sz w:val="20"/>
          <w:szCs w:val="20"/>
          <w:lang w:val="en-ZA"/>
        </w:rPr>
        <w:t xml:space="preserve">1910 AD </w:t>
      </w:r>
      <w:r w:rsidR="00933768">
        <w:rPr>
          <w:rFonts w:cs="Arial"/>
          <w:color w:val="000000" w:themeColor="text1"/>
          <w:sz w:val="20"/>
          <w:szCs w:val="20"/>
          <w:lang w:val="en-ZA"/>
        </w:rPr>
        <w:t xml:space="preserve">at </w:t>
      </w:r>
      <w:r w:rsidR="00A24944" w:rsidRPr="0029660C">
        <w:rPr>
          <w:rFonts w:cs="Arial"/>
          <w:color w:val="000000" w:themeColor="text1"/>
          <w:sz w:val="20"/>
          <w:szCs w:val="20"/>
          <w:lang w:val="en-ZA"/>
        </w:rPr>
        <w:t>263</w:t>
      </w:r>
      <w:r w:rsidR="00933768">
        <w:rPr>
          <w:rFonts w:cs="Arial"/>
          <w:color w:val="000000" w:themeColor="text1"/>
          <w:sz w:val="20"/>
          <w:szCs w:val="20"/>
          <w:lang w:val="en-ZA"/>
        </w:rPr>
        <w:t>.</w:t>
      </w:r>
      <w:r w:rsidR="00A24944" w:rsidRPr="0029660C">
        <w:rPr>
          <w:rFonts w:cs="Arial"/>
          <w:color w:val="000000" w:themeColor="text1"/>
          <w:sz w:val="20"/>
          <w:szCs w:val="20"/>
          <w:lang w:val="en-ZA"/>
        </w:rPr>
        <w:t xml:space="preserve"> </w:t>
      </w:r>
    </w:p>
  </w:footnote>
  <w:footnote w:id="17">
    <w:p w14:paraId="7AE483C1" w14:textId="5B1443A2" w:rsidR="009F5A89" w:rsidRPr="00501F74" w:rsidRDefault="009F5A89" w:rsidP="005129A3">
      <w:pPr>
        <w:pStyle w:val="FootnoteText"/>
        <w:jc w:val="both"/>
        <w:rPr>
          <w:sz w:val="20"/>
          <w:szCs w:val="20"/>
          <w:lang w:val="en-US"/>
        </w:rPr>
      </w:pPr>
      <w:r>
        <w:rPr>
          <w:rStyle w:val="FootnoteReference"/>
        </w:rPr>
        <w:footnoteRef/>
      </w:r>
      <w:r>
        <w:t xml:space="preserve"> </w:t>
      </w:r>
      <w:r w:rsidRPr="00501F74">
        <w:rPr>
          <w:sz w:val="20"/>
          <w:szCs w:val="20"/>
          <w:lang w:val="en-US"/>
        </w:rPr>
        <w:t xml:space="preserve">Shorter Oxford English Dictionary on Historical Principles, 2007, sixth ed, Oxford University Press. See also </w:t>
      </w:r>
      <w:r w:rsidRPr="00501F74">
        <w:rPr>
          <w:i/>
          <w:sz w:val="20"/>
          <w:szCs w:val="20"/>
          <w:lang w:val="en-US"/>
        </w:rPr>
        <w:t>S v Baloyi</w:t>
      </w:r>
      <w:r w:rsidRPr="00501F74">
        <w:rPr>
          <w:sz w:val="20"/>
          <w:szCs w:val="20"/>
          <w:lang w:val="en-US"/>
        </w:rPr>
        <w:t xml:space="preserve"> 2000 (1) SACR 81 (CC). </w:t>
      </w:r>
    </w:p>
  </w:footnote>
  <w:footnote w:id="18">
    <w:p w14:paraId="2B9F8B69" w14:textId="198848E9" w:rsidR="009F5A89" w:rsidRPr="00501F74" w:rsidRDefault="009F5A89" w:rsidP="009F5A89">
      <w:pPr>
        <w:pStyle w:val="FootnoteText"/>
        <w:rPr>
          <w:sz w:val="20"/>
          <w:szCs w:val="20"/>
          <w:lang w:val="en-US"/>
        </w:rPr>
      </w:pPr>
      <w:r w:rsidRPr="00501F74">
        <w:rPr>
          <w:rStyle w:val="FootnoteReference"/>
          <w:sz w:val="20"/>
          <w:szCs w:val="20"/>
        </w:rPr>
        <w:footnoteRef/>
      </w:r>
      <w:r w:rsidRPr="00501F74">
        <w:rPr>
          <w:sz w:val="20"/>
          <w:szCs w:val="20"/>
        </w:rPr>
        <w:t xml:space="preserve"> </w:t>
      </w:r>
      <w:r w:rsidRPr="00501F74">
        <w:rPr>
          <w:sz w:val="20"/>
          <w:szCs w:val="20"/>
          <w:lang w:val="en-US"/>
        </w:rPr>
        <w:t xml:space="preserve">See </w:t>
      </w:r>
      <w:r w:rsidR="005E1C96">
        <w:rPr>
          <w:sz w:val="20"/>
          <w:szCs w:val="20"/>
          <w:lang w:val="en-US"/>
        </w:rPr>
        <w:t xml:space="preserve">CPA, </w:t>
      </w:r>
      <w:r w:rsidRPr="00501F74">
        <w:rPr>
          <w:sz w:val="20"/>
          <w:szCs w:val="20"/>
          <w:lang w:val="en-US"/>
        </w:rPr>
        <w:t xml:space="preserve">s 1 (ii). </w:t>
      </w:r>
    </w:p>
  </w:footnote>
  <w:footnote w:id="19">
    <w:p w14:paraId="4E9E0F9B" w14:textId="55401D89" w:rsidR="007917FA" w:rsidRPr="00276571" w:rsidRDefault="007917FA" w:rsidP="007917FA">
      <w:pPr>
        <w:pStyle w:val="FootnoteText"/>
        <w:jc w:val="both"/>
        <w:rPr>
          <w:sz w:val="20"/>
          <w:szCs w:val="20"/>
        </w:rPr>
      </w:pPr>
      <w:r>
        <w:rPr>
          <w:rStyle w:val="FootnoteReference"/>
        </w:rPr>
        <w:footnoteRef/>
      </w:r>
      <w:r>
        <w:t xml:space="preserve"> </w:t>
      </w:r>
      <w:r w:rsidRPr="00276571">
        <w:rPr>
          <w:sz w:val="20"/>
          <w:szCs w:val="20"/>
        </w:rPr>
        <w:t xml:space="preserve">Section </w:t>
      </w:r>
      <w:r>
        <w:rPr>
          <w:sz w:val="20"/>
          <w:szCs w:val="20"/>
          <w:lang w:val="en-US"/>
        </w:rPr>
        <w:t xml:space="preserve">62 </w:t>
      </w:r>
      <w:r w:rsidRPr="00276571">
        <w:rPr>
          <w:sz w:val="20"/>
          <w:szCs w:val="20"/>
        </w:rPr>
        <w:t>of the Criminal Procedure Act provides that:</w:t>
      </w:r>
      <w:r>
        <w:rPr>
          <w:sz w:val="20"/>
          <w:szCs w:val="20"/>
          <w:lang w:val="en-ZA"/>
        </w:rPr>
        <w:t xml:space="preserve"> </w:t>
      </w:r>
      <w:r w:rsidR="0076335E">
        <w:rPr>
          <w:sz w:val="20"/>
          <w:szCs w:val="20"/>
          <w:lang w:val="en-US"/>
        </w:rPr>
        <w:t>‘</w:t>
      </w:r>
      <w:r w:rsidRPr="00276571">
        <w:rPr>
          <w:sz w:val="20"/>
          <w:szCs w:val="20"/>
        </w:rPr>
        <w:t>(1) Any court before which a charge is pending in respect of which bail has been granted, may at any stage, whether the bail was granted by that court or any other court, on application by the prosecutor, add any further condition of bail -</w:t>
      </w:r>
    </w:p>
    <w:p w14:paraId="20C989C6" w14:textId="77777777" w:rsidR="007917FA" w:rsidRPr="00276571" w:rsidRDefault="007917FA" w:rsidP="007917FA">
      <w:pPr>
        <w:pStyle w:val="FootnoteText"/>
        <w:jc w:val="both"/>
        <w:rPr>
          <w:sz w:val="20"/>
          <w:szCs w:val="20"/>
        </w:rPr>
      </w:pPr>
      <w:r w:rsidRPr="00276571">
        <w:rPr>
          <w:sz w:val="20"/>
          <w:szCs w:val="20"/>
        </w:rPr>
        <w:t>(a) with regard to the reporting in person by the accused at any specified time and</w:t>
      </w:r>
    </w:p>
    <w:p w14:paraId="6EB729F3" w14:textId="77777777" w:rsidR="007917FA" w:rsidRPr="00276571" w:rsidRDefault="007917FA" w:rsidP="007917FA">
      <w:pPr>
        <w:pStyle w:val="FootnoteText"/>
        <w:jc w:val="both"/>
        <w:rPr>
          <w:sz w:val="20"/>
          <w:szCs w:val="20"/>
        </w:rPr>
      </w:pPr>
      <w:r w:rsidRPr="00276571">
        <w:rPr>
          <w:sz w:val="20"/>
          <w:szCs w:val="20"/>
        </w:rPr>
        <w:t>place to any specified person or authority;</w:t>
      </w:r>
    </w:p>
    <w:p w14:paraId="03D131E3" w14:textId="77777777" w:rsidR="007917FA" w:rsidRPr="00276571" w:rsidRDefault="007917FA" w:rsidP="007917FA">
      <w:pPr>
        <w:pStyle w:val="FootnoteText"/>
        <w:jc w:val="both"/>
        <w:rPr>
          <w:sz w:val="20"/>
          <w:szCs w:val="20"/>
        </w:rPr>
      </w:pPr>
      <w:r w:rsidRPr="00276571">
        <w:rPr>
          <w:sz w:val="20"/>
          <w:szCs w:val="20"/>
        </w:rPr>
        <w:t>(b) with regard to any place to which the accused is forbidden to go;</w:t>
      </w:r>
    </w:p>
    <w:p w14:paraId="0B738671" w14:textId="77777777" w:rsidR="007917FA" w:rsidRPr="00276571" w:rsidRDefault="007917FA" w:rsidP="007917FA">
      <w:pPr>
        <w:pStyle w:val="FootnoteText"/>
        <w:jc w:val="both"/>
        <w:rPr>
          <w:sz w:val="20"/>
          <w:szCs w:val="20"/>
        </w:rPr>
      </w:pPr>
      <w:r w:rsidRPr="00276571">
        <w:rPr>
          <w:sz w:val="20"/>
          <w:szCs w:val="20"/>
        </w:rPr>
        <w:t>(c) with regard to the prohibition of or control over communication by the accused with witnesses for the prosecution;</w:t>
      </w:r>
    </w:p>
    <w:p w14:paraId="69F960A2" w14:textId="77777777" w:rsidR="007917FA" w:rsidRPr="00276571" w:rsidRDefault="007917FA" w:rsidP="007917FA">
      <w:pPr>
        <w:pStyle w:val="FootnoteText"/>
        <w:jc w:val="both"/>
        <w:rPr>
          <w:sz w:val="20"/>
          <w:szCs w:val="20"/>
        </w:rPr>
      </w:pPr>
      <w:r w:rsidRPr="00276571">
        <w:rPr>
          <w:sz w:val="20"/>
          <w:szCs w:val="20"/>
        </w:rPr>
        <w:t>(d) with regard to the place at which any document may be served on him under this Act;</w:t>
      </w:r>
    </w:p>
    <w:p w14:paraId="1EFD20E9" w14:textId="77777777" w:rsidR="007917FA" w:rsidRPr="00276571" w:rsidRDefault="007917FA" w:rsidP="007917FA">
      <w:pPr>
        <w:pStyle w:val="FootnoteText"/>
        <w:jc w:val="both"/>
        <w:rPr>
          <w:sz w:val="20"/>
          <w:szCs w:val="20"/>
        </w:rPr>
      </w:pPr>
      <w:r w:rsidRPr="00276571">
        <w:rPr>
          <w:sz w:val="20"/>
          <w:szCs w:val="20"/>
        </w:rPr>
        <w:t>(e) which, in the opinion of the court, will ensure that the proper administration of justice is not placed in jeopardy by the release of the accused.</w:t>
      </w:r>
    </w:p>
    <w:p w14:paraId="6FE4605C" w14:textId="77777777" w:rsidR="007917FA" w:rsidRPr="00276571" w:rsidRDefault="007917FA" w:rsidP="007917FA">
      <w:pPr>
        <w:pStyle w:val="FootnoteText"/>
        <w:jc w:val="both"/>
        <w:rPr>
          <w:sz w:val="20"/>
          <w:szCs w:val="20"/>
        </w:rPr>
      </w:pPr>
      <w:r w:rsidRPr="00276571">
        <w:rPr>
          <w:sz w:val="20"/>
          <w:szCs w:val="20"/>
        </w:rPr>
        <w:t xml:space="preserve">(2) If an accused who is in custody on a charge of rape is released on bail, the court shall, notwithstanding the provisions of subsection (1), add such further conditions of bail as will, in the opinion of the court, ensure that the </w:t>
      </w:r>
      <w:r w:rsidRPr="009650DE">
        <w:rPr>
          <w:sz w:val="20"/>
          <w:szCs w:val="20"/>
        </w:rPr>
        <w:t>a</w:t>
      </w:r>
      <w:r w:rsidRPr="00276571">
        <w:rPr>
          <w:sz w:val="20"/>
          <w:szCs w:val="20"/>
        </w:rPr>
        <w:t>ccused does not make contact with the complainant concerned.</w:t>
      </w:r>
    </w:p>
    <w:p w14:paraId="2751A1D5" w14:textId="77777777" w:rsidR="007917FA" w:rsidRPr="00276571" w:rsidRDefault="007917FA" w:rsidP="007917FA">
      <w:pPr>
        <w:pStyle w:val="FootnoteText"/>
        <w:jc w:val="both"/>
        <w:rPr>
          <w:sz w:val="20"/>
          <w:szCs w:val="20"/>
        </w:rPr>
      </w:pPr>
      <w:r w:rsidRPr="00276571">
        <w:rPr>
          <w:sz w:val="20"/>
          <w:szCs w:val="20"/>
        </w:rPr>
        <w:t>(3) If an accused who is in custody on a charge of a domestic violence offence is released on bail, the court shall, notwithstanding the provisions of subsection (1), impose the following further conditions of bail, unless it finds special circumstances which would make any or all of these conditions inappropriate, which reasons must be entered in the record of the proceedings -</w:t>
      </w:r>
    </w:p>
    <w:p w14:paraId="01BA3E53" w14:textId="77777777" w:rsidR="007917FA" w:rsidRPr="00276571" w:rsidRDefault="007917FA" w:rsidP="007917FA">
      <w:pPr>
        <w:pStyle w:val="FootnoteText"/>
        <w:jc w:val="both"/>
        <w:rPr>
          <w:sz w:val="20"/>
          <w:szCs w:val="20"/>
        </w:rPr>
      </w:pPr>
      <w:r w:rsidRPr="00276571">
        <w:rPr>
          <w:sz w:val="20"/>
          <w:szCs w:val="20"/>
        </w:rPr>
        <w:t>(a) an order prohibiting any direct or indirect contact with the victim during the pendency of the proceedings;</w:t>
      </w:r>
    </w:p>
    <w:p w14:paraId="60F5B6BD" w14:textId="77777777" w:rsidR="007917FA" w:rsidRPr="00276571" w:rsidRDefault="007917FA" w:rsidP="007917FA">
      <w:pPr>
        <w:pStyle w:val="FootnoteText"/>
        <w:jc w:val="both"/>
        <w:rPr>
          <w:sz w:val="20"/>
          <w:szCs w:val="20"/>
        </w:rPr>
      </w:pPr>
      <w:r w:rsidRPr="00276571">
        <w:rPr>
          <w:sz w:val="20"/>
          <w:szCs w:val="20"/>
        </w:rPr>
        <w:t>(b) an order prohibiting the possession of any firearm or other specified weapon; and</w:t>
      </w:r>
    </w:p>
    <w:p w14:paraId="4D706088" w14:textId="77777777" w:rsidR="007917FA" w:rsidRPr="009A75EE" w:rsidRDefault="007917FA" w:rsidP="007917FA">
      <w:pPr>
        <w:pStyle w:val="FootnoteText"/>
        <w:jc w:val="both"/>
        <w:rPr>
          <w:sz w:val="20"/>
          <w:szCs w:val="20"/>
          <w:lang w:val="en-US"/>
        </w:rPr>
      </w:pPr>
      <w:r w:rsidRPr="00276571">
        <w:rPr>
          <w:sz w:val="20"/>
          <w:szCs w:val="20"/>
        </w:rPr>
        <w:t xml:space="preserve">(c) where the accused is legally liable to maintain the complainant or any child or other dependant of the complainant, an order requiring that the accused support the complainant and child or other dependant </w:t>
      </w:r>
      <w:r w:rsidRPr="009A75EE">
        <w:rPr>
          <w:sz w:val="20"/>
          <w:szCs w:val="20"/>
        </w:rPr>
        <w:t>at the same or greater level as prior to the arrest.</w:t>
      </w:r>
      <w:r w:rsidRPr="009A75EE">
        <w:rPr>
          <w:sz w:val="20"/>
          <w:szCs w:val="20"/>
          <w:lang w:val="en-US"/>
        </w:rPr>
        <w:t>’</w:t>
      </w:r>
    </w:p>
  </w:footnote>
  <w:footnote w:id="20">
    <w:p w14:paraId="0327C84D" w14:textId="750E4D9A" w:rsidR="007917FA" w:rsidRPr="009A75EE" w:rsidRDefault="007917FA">
      <w:pPr>
        <w:pStyle w:val="FootnoteText"/>
        <w:rPr>
          <w:sz w:val="20"/>
          <w:szCs w:val="20"/>
          <w:lang w:val="en-US"/>
        </w:rPr>
      </w:pPr>
      <w:r w:rsidRPr="009A75EE">
        <w:rPr>
          <w:rStyle w:val="FootnoteReference"/>
          <w:sz w:val="20"/>
          <w:szCs w:val="20"/>
        </w:rPr>
        <w:footnoteRef/>
      </w:r>
      <w:r w:rsidRPr="009A75EE">
        <w:rPr>
          <w:sz w:val="20"/>
          <w:szCs w:val="20"/>
        </w:rPr>
        <w:t xml:space="preserve"> </w:t>
      </w:r>
      <w:r w:rsidR="00AE717C" w:rsidRPr="009A75EE">
        <w:rPr>
          <w:sz w:val="20"/>
          <w:szCs w:val="20"/>
          <w:lang w:val="en-US"/>
        </w:rPr>
        <w:t>See s 72 of the CPA.</w:t>
      </w:r>
    </w:p>
  </w:footnote>
  <w:footnote w:id="21">
    <w:p w14:paraId="64F1F925" w14:textId="5598D14C" w:rsidR="00AE717C" w:rsidRPr="009A75EE" w:rsidRDefault="00AE717C">
      <w:pPr>
        <w:pStyle w:val="FootnoteText"/>
        <w:rPr>
          <w:sz w:val="20"/>
          <w:szCs w:val="20"/>
          <w:lang w:val="en-US"/>
        </w:rPr>
      </w:pPr>
      <w:r w:rsidRPr="009A75EE">
        <w:rPr>
          <w:rStyle w:val="FootnoteReference"/>
          <w:sz w:val="20"/>
          <w:szCs w:val="20"/>
        </w:rPr>
        <w:footnoteRef/>
      </w:r>
      <w:r w:rsidRPr="009A75EE">
        <w:rPr>
          <w:sz w:val="20"/>
          <w:szCs w:val="20"/>
        </w:rPr>
        <w:t xml:space="preserve"> </w:t>
      </w:r>
      <w:r w:rsidRPr="009A75EE">
        <w:rPr>
          <w:sz w:val="20"/>
          <w:szCs w:val="20"/>
          <w:lang w:val="en-US"/>
        </w:rPr>
        <w:t>See s 72(2) of the CPA</w:t>
      </w:r>
      <w:r w:rsidR="006B3F8D" w:rsidRPr="009A75EE">
        <w:rPr>
          <w:sz w:val="20"/>
          <w:szCs w:val="20"/>
          <w:lang w:val="en-US"/>
        </w:rPr>
        <w:t>.</w:t>
      </w:r>
    </w:p>
  </w:footnote>
  <w:footnote w:id="22">
    <w:p w14:paraId="4A9A0138" w14:textId="2F1FD86F" w:rsidR="004323A8" w:rsidRPr="004323A8" w:rsidRDefault="004323A8" w:rsidP="004D701B">
      <w:pPr>
        <w:pStyle w:val="FootnoteText"/>
        <w:jc w:val="both"/>
        <w:rPr>
          <w:sz w:val="20"/>
          <w:szCs w:val="20"/>
          <w:lang w:val="en-US"/>
        </w:rPr>
      </w:pPr>
      <w:r>
        <w:rPr>
          <w:rStyle w:val="FootnoteReference"/>
        </w:rPr>
        <w:footnoteRef/>
      </w:r>
      <w:r>
        <w:t xml:space="preserve"> </w:t>
      </w:r>
      <w:r w:rsidRPr="004323A8">
        <w:rPr>
          <w:sz w:val="20"/>
          <w:szCs w:val="20"/>
          <w:lang w:val="en-US"/>
        </w:rPr>
        <w:t xml:space="preserve">See for example, the Canadian case of </w:t>
      </w:r>
      <w:r w:rsidRPr="00267975">
        <w:rPr>
          <w:i/>
          <w:sz w:val="20"/>
          <w:szCs w:val="20"/>
          <w:lang w:val="en-US"/>
        </w:rPr>
        <w:t>R v Morin</w:t>
      </w:r>
      <w:r w:rsidRPr="00267975">
        <w:rPr>
          <w:sz w:val="20"/>
          <w:szCs w:val="20"/>
          <w:lang w:val="en-US"/>
        </w:rPr>
        <w:t xml:space="preserve"> </w:t>
      </w:r>
      <w:r w:rsidR="00267975" w:rsidRPr="00267975">
        <w:rPr>
          <w:sz w:val="20"/>
          <w:szCs w:val="20"/>
          <w:lang w:val="en-US"/>
        </w:rPr>
        <w:t>1992 (8) CRR (2d) 193 (71 CCC) (3d)1 at 196-7</w:t>
      </w:r>
      <w:r w:rsidR="00267975">
        <w:rPr>
          <w:color w:val="FF0000"/>
          <w:sz w:val="20"/>
          <w:szCs w:val="20"/>
          <w:lang w:val="en-US"/>
        </w:rPr>
        <w:t xml:space="preserve">, </w:t>
      </w:r>
      <w:r w:rsidRPr="004323A8">
        <w:rPr>
          <w:sz w:val="20"/>
          <w:szCs w:val="20"/>
          <w:lang w:val="en-US"/>
        </w:rPr>
        <w:t xml:space="preserve">cited with approval in </w:t>
      </w:r>
      <w:r w:rsidRPr="004323A8">
        <w:rPr>
          <w:i/>
          <w:sz w:val="20"/>
          <w:szCs w:val="20"/>
          <w:lang w:val="en-US"/>
        </w:rPr>
        <w:t>Myburgh</w:t>
      </w:r>
      <w:r w:rsidRPr="004323A8">
        <w:rPr>
          <w:sz w:val="20"/>
          <w:szCs w:val="20"/>
          <w:lang w:val="en-US"/>
        </w:rPr>
        <w:t xml:space="preserve"> at 602A-G and at 603B-C.</w:t>
      </w:r>
    </w:p>
  </w:footnote>
  <w:footnote w:id="23">
    <w:p w14:paraId="0DB7EDB5" w14:textId="45C561E8" w:rsidR="00037935" w:rsidRPr="00F97E9E" w:rsidRDefault="00037935" w:rsidP="00037935">
      <w:pPr>
        <w:pStyle w:val="FootnoteText"/>
        <w:rPr>
          <w:sz w:val="20"/>
          <w:szCs w:val="20"/>
          <w:lang w:val="en-US"/>
        </w:rPr>
      </w:pPr>
      <w:r>
        <w:rPr>
          <w:rStyle w:val="FootnoteReference"/>
        </w:rPr>
        <w:footnoteRef/>
      </w:r>
      <w:r w:rsidR="00227AA4">
        <w:t xml:space="preserve"> </w:t>
      </w:r>
      <w:r w:rsidRPr="00F97E9E">
        <w:rPr>
          <w:sz w:val="20"/>
          <w:szCs w:val="20"/>
        </w:rPr>
        <w:t>2009 (6) SA 232 (CC)</w:t>
      </w:r>
      <w:r w:rsidR="0076335E">
        <w:rPr>
          <w:sz w:val="20"/>
          <w:szCs w:val="20"/>
          <w:lang w:val="en-ZA"/>
        </w:rPr>
        <w:t>.</w:t>
      </w:r>
    </w:p>
  </w:footnote>
  <w:footnote w:id="24">
    <w:p w14:paraId="001E75F7" w14:textId="77777777" w:rsidR="00631519" w:rsidRPr="00F97E9E" w:rsidRDefault="00631519" w:rsidP="00631519">
      <w:pPr>
        <w:pStyle w:val="FootnoteText"/>
        <w:rPr>
          <w:sz w:val="20"/>
          <w:szCs w:val="20"/>
          <w:lang w:val="en-US"/>
        </w:rPr>
      </w:pPr>
      <w:r w:rsidRPr="00F97E9E">
        <w:rPr>
          <w:rStyle w:val="FootnoteReference"/>
          <w:sz w:val="20"/>
          <w:szCs w:val="20"/>
        </w:rPr>
        <w:footnoteRef/>
      </w:r>
      <w:r w:rsidRPr="00F97E9E">
        <w:rPr>
          <w:sz w:val="20"/>
          <w:szCs w:val="20"/>
        </w:rPr>
        <w:t xml:space="preserve"> </w:t>
      </w:r>
      <w:r w:rsidRPr="00F97E9E">
        <w:rPr>
          <w:sz w:val="20"/>
          <w:szCs w:val="20"/>
          <w:lang w:val="en-US"/>
        </w:rPr>
        <w:t xml:space="preserve">2015 (3) NR 753 (SC). </w:t>
      </w:r>
    </w:p>
  </w:footnote>
  <w:footnote w:id="25">
    <w:p w14:paraId="2BA03CEE" w14:textId="02235469" w:rsidR="00631519" w:rsidRPr="00F97E9E" w:rsidRDefault="00631519" w:rsidP="00631519">
      <w:pPr>
        <w:pStyle w:val="FootnoteText"/>
        <w:rPr>
          <w:sz w:val="20"/>
          <w:szCs w:val="20"/>
          <w:lang w:val="en-US"/>
        </w:rPr>
      </w:pPr>
      <w:r w:rsidRPr="00F97E9E">
        <w:rPr>
          <w:rStyle w:val="FootnoteReference"/>
          <w:sz w:val="20"/>
          <w:szCs w:val="20"/>
        </w:rPr>
        <w:footnoteRef/>
      </w:r>
      <w:r w:rsidRPr="00F97E9E">
        <w:rPr>
          <w:sz w:val="20"/>
          <w:szCs w:val="20"/>
        </w:rPr>
        <w:t xml:space="preserve"> See, for example, </w:t>
      </w:r>
      <w:r w:rsidRPr="00F97E9E">
        <w:rPr>
          <w:i/>
          <w:sz w:val="20"/>
          <w:szCs w:val="20"/>
        </w:rPr>
        <w:t>Minist</w:t>
      </w:r>
      <w:r w:rsidR="00E75D10">
        <w:rPr>
          <w:i/>
          <w:sz w:val="20"/>
          <w:szCs w:val="20"/>
        </w:rPr>
        <w:t>er of Home Affairs v Majiedt &amp;</w:t>
      </w:r>
      <w:r w:rsidRPr="00F97E9E">
        <w:rPr>
          <w:i/>
          <w:sz w:val="20"/>
          <w:szCs w:val="20"/>
        </w:rPr>
        <w:t xml:space="preserve"> </w:t>
      </w:r>
      <w:r w:rsidR="00B347A6">
        <w:rPr>
          <w:i/>
          <w:sz w:val="20"/>
          <w:szCs w:val="20"/>
          <w:lang w:val="en-ZA"/>
        </w:rPr>
        <w:t>o</w:t>
      </w:r>
      <w:r w:rsidRPr="00F97E9E">
        <w:rPr>
          <w:i/>
          <w:sz w:val="20"/>
          <w:szCs w:val="20"/>
        </w:rPr>
        <w:t>thers</w:t>
      </w:r>
      <w:r w:rsidRPr="00F97E9E">
        <w:rPr>
          <w:sz w:val="20"/>
          <w:szCs w:val="20"/>
        </w:rPr>
        <w:t xml:space="preserve"> 2007 (2) NR 475 (SC)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21099"/>
      <w:docPartObj>
        <w:docPartGallery w:val="Page Numbers (Top of Page)"/>
        <w:docPartUnique/>
      </w:docPartObj>
    </w:sdtPr>
    <w:sdtEndPr>
      <w:rPr>
        <w:rFonts w:ascii="Arial" w:hAnsi="Arial" w:cs="Arial"/>
        <w:noProof/>
      </w:rPr>
    </w:sdtEndPr>
    <w:sdtContent>
      <w:p w14:paraId="21091E4E" w14:textId="22BA37B0" w:rsidR="00820E55" w:rsidRPr="0076335E" w:rsidRDefault="00820E55">
        <w:pPr>
          <w:pStyle w:val="Header"/>
          <w:jc w:val="right"/>
          <w:rPr>
            <w:rFonts w:ascii="Arial" w:hAnsi="Arial" w:cs="Arial"/>
          </w:rPr>
        </w:pPr>
        <w:r w:rsidRPr="0076335E">
          <w:rPr>
            <w:rFonts w:ascii="Arial" w:hAnsi="Arial" w:cs="Arial"/>
          </w:rPr>
          <w:fldChar w:fldCharType="begin"/>
        </w:r>
        <w:r w:rsidRPr="0076335E">
          <w:rPr>
            <w:rFonts w:ascii="Arial" w:hAnsi="Arial" w:cs="Arial"/>
          </w:rPr>
          <w:instrText xml:space="preserve"> PAGE   \* MERGEFORMAT </w:instrText>
        </w:r>
        <w:r w:rsidRPr="0076335E">
          <w:rPr>
            <w:rFonts w:ascii="Arial" w:hAnsi="Arial" w:cs="Arial"/>
          </w:rPr>
          <w:fldChar w:fldCharType="separate"/>
        </w:r>
        <w:r w:rsidR="00EC56FA">
          <w:rPr>
            <w:rFonts w:ascii="Arial" w:hAnsi="Arial" w:cs="Arial"/>
            <w:noProof/>
          </w:rPr>
          <w:t>12</w:t>
        </w:r>
        <w:r w:rsidRPr="0076335E">
          <w:rPr>
            <w:rFonts w:ascii="Arial" w:hAnsi="Arial" w:cs="Arial"/>
            <w:noProof/>
          </w:rPr>
          <w:fldChar w:fldCharType="end"/>
        </w:r>
      </w:p>
    </w:sdtContent>
  </w:sdt>
  <w:p w14:paraId="733496E2" w14:textId="77777777" w:rsidR="00820E55" w:rsidRDefault="00820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B28"/>
    <w:multiLevelType w:val="hybridMultilevel"/>
    <w:tmpl w:val="7E9497DE"/>
    <w:lvl w:ilvl="0" w:tplc="4088E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60199D"/>
    <w:multiLevelType w:val="hybridMultilevel"/>
    <w:tmpl w:val="8A22AFE8"/>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9C1A1A"/>
    <w:multiLevelType w:val="hybridMultilevel"/>
    <w:tmpl w:val="5DFAA2AA"/>
    <w:lvl w:ilvl="0" w:tplc="ED7E8E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9D3BDF"/>
    <w:multiLevelType w:val="hybridMultilevel"/>
    <w:tmpl w:val="50EE255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4B1B3D"/>
    <w:multiLevelType w:val="hybridMultilevel"/>
    <w:tmpl w:val="58D41B50"/>
    <w:lvl w:ilvl="0" w:tplc="F9C6D2AE">
      <w:start w:val="1"/>
      <w:numFmt w:val="decimal"/>
      <w:lvlText w:val="[%1]"/>
      <w:lvlJc w:val="left"/>
      <w:pPr>
        <w:ind w:left="107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E167EF"/>
    <w:multiLevelType w:val="hybridMultilevel"/>
    <w:tmpl w:val="11147BD8"/>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35772A4"/>
    <w:multiLevelType w:val="hybridMultilevel"/>
    <w:tmpl w:val="48FAF684"/>
    <w:lvl w:ilvl="0" w:tplc="6A60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E6C63"/>
    <w:multiLevelType w:val="hybridMultilevel"/>
    <w:tmpl w:val="4732D2C4"/>
    <w:lvl w:ilvl="0" w:tplc="9634F6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F2D0A75"/>
    <w:multiLevelType w:val="hybridMultilevel"/>
    <w:tmpl w:val="D01679B0"/>
    <w:lvl w:ilvl="0" w:tplc="3508F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5D5890"/>
    <w:multiLevelType w:val="hybridMultilevel"/>
    <w:tmpl w:val="1534B346"/>
    <w:lvl w:ilvl="0" w:tplc="C32A99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0D2005"/>
    <w:multiLevelType w:val="hybridMultilevel"/>
    <w:tmpl w:val="33384176"/>
    <w:lvl w:ilvl="0" w:tplc="541C40B0">
      <w:start w:val="26"/>
      <w:numFmt w:val="decimal"/>
      <w:lvlText w:val="[%1]"/>
      <w:lvlJc w:val="left"/>
      <w:pPr>
        <w:ind w:left="107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847FDF"/>
    <w:multiLevelType w:val="hybridMultilevel"/>
    <w:tmpl w:val="9EE68FF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735D20"/>
    <w:multiLevelType w:val="hybridMultilevel"/>
    <w:tmpl w:val="AC4E9BE6"/>
    <w:lvl w:ilvl="0" w:tplc="3C26E1B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9"/>
  </w:num>
  <w:num w:numId="5">
    <w:abstractNumId w:val="7"/>
  </w:num>
  <w:num w:numId="6">
    <w:abstractNumId w:val="4"/>
  </w:num>
  <w:num w:numId="7">
    <w:abstractNumId w:val="8"/>
  </w:num>
  <w:num w:numId="8">
    <w:abstractNumId w:val="5"/>
  </w:num>
  <w:num w:numId="9">
    <w:abstractNumId w:val="3"/>
  </w:num>
  <w:num w:numId="10">
    <w:abstractNumId w:val="11"/>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9"/>
    <w:rsid w:val="00002695"/>
    <w:rsid w:val="000028DC"/>
    <w:rsid w:val="00004E3D"/>
    <w:rsid w:val="00005770"/>
    <w:rsid w:val="00005E5F"/>
    <w:rsid w:val="00006D9E"/>
    <w:rsid w:val="00007098"/>
    <w:rsid w:val="000073EC"/>
    <w:rsid w:val="00012406"/>
    <w:rsid w:val="00015C98"/>
    <w:rsid w:val="00016954"/>
    <w:rsid w:val="00020256"/>
    <w:rsid w:val="00021E86"/>
    <w:rsid w:val="00031918"/>
    <w:rsid w:val="00031EDB"/>
    <w:rsid w:val="000323C1"/>
    <w:rsid w:val="00033D02"/>
    <w:rsid w:val="00034F60"/>
    <w:rsid w:val="0003599B"/>
    <w:rsid w:val="00037935"/>
    <w:rsid w:val="00037F46"/>
    <w:rsid w:val="00040D0B"/>
    <w:rsid w:val="00043737"/>
    <w:rsid w:val="00044D0B"/>
    <w:rsid w:val="00046CA0"/>
    <w:rsid w:val="000544FA"/>
    <w:rsid w:val="00066165"/>
    <w:rsid w:val="000765D1"/>
    <w:rsid w:val="00081C62"/>
    <w:rsid w:val="00082052"/>
    <w:rsid w:val="00083D0B"/>
    <w:rsid w:val="00084FFF"/>
    <w:rsid w:val="000850BF"/>
    <w:rsid w:val="00086F90"/>
    <w:rsid w:val="00092CD7"/>
    <w:rsid w:val="0009734E"/>
    <w:rsid w:val="000A2015"/>
    <w:rsid w:val="000A43A1"/>
    <w:rsid w:val="000A699A"/>
    <w:rsid w:val="000B1BA9"/>
    <w:rsid w:val="000B40E8"/>
    <w:rsid w:val="000B5612"/>
    <w:rsid w:val="000C2BCB"/>
    <w:rsid w:val="000C4D6C"/>
    <w:rsid w:val="000C6ABC"/>
    <w:rsid w:val="000D5544"/>
    <w:rsid w:val="000D5D6D"/>
    <w:rsid w:val="000E16E8"/>
    <w:rsid w:val="000E2AB5"/>
    <w:rsid w:val="000E2DF4"/>
    <w:rsid w:val="000E3637"/>
    <w:rsid w:val="000E47EF"/>
    <w:rsid w:val="0010293F"/>
    <w:rsid w:val="00102BFC"/>
    <w:rsid w:val="0010463C"/>
    <w:rsid w:val="0010627D"/>
    <w:rsid w:val="00107639"/>
    <w:rsid w:val="0011091C"/>
    <w:rsid w:val="001121BF"/>
    <w:rsid w:val="00113BAA"/>
    <w:rsid w:val="00113E99"/>
    <w:rsid w:val="00114F00"/>
    <w:rsid w:val="00114F5C"/>
    <w:rsid w:val="0012127C"/>
    <w:rsid w:val="0012201B"/>
    <w:rsid w:val="001241DF"/>
    <w:rsid w:val="00126463"/>
    <w:rsid w:val="00127695"/>
    <w:rsid w:val="00130EDE"/>
    <w:rsid w:val="00132D4B"/>
    <w:rsid w:val="00134DAA"/>
    <w:rsid w:val="00135A09"/>
    <w:rsid w:val="00136D2F"/>
    <w:rsid w:val="00137F29"/>
    <w:rsid w:val="00140FF5"/>
    <w:rsid w:val="00145470"/>
    <w:rsid w:val="00145780"/>
    <w:rsid w:val="00146328"/>
    <w:rsid w:val="00146BEF"/>
    <w:rsid w:val="00151BAB"/>
    <w:rsid w:val="00151E35"/>
    <w:rsid w:val="00152352"/>
    <w:rsid w:val="00152C82"/>
    <w:rsid w:val="00155AE7"/>
    <w:rsid w:val="001610B4"/>
    <w:rsid w:val="00161DEC"/>
    <w:rsid w:val="001661A2"/>
    <w:rsid w:val="001663AF"/>
    <w:rsid w:val="00166AF7"/>
    <w:rsid w:val="00167CB5"/>
    <w:rsid w:val="00172453"/>
    <w:rsid w:val="00173631"/>
    <w:rsid w:val="00174170"/>
    <w:rsid w:val="001767CE"/>
    <w:rsid w:val="00176A29"/>
    <w:rsid w:val="00180702"/>
    <w:rsid w:val="00181A5F"/>
    <w:rsid w:val="00182836"/>
    <w:rsid w:val="00187ED7"/>
    <w:rsid w:val="0019303F"/>
    <w:rsid w:val="00194A7D"/>
    <w:rsid w:val="001954B4"/>
    <w:rsid w:val="001969AA"/>
    <w:rsid w:val="001A1B14"/>
    <w:rsid w:val="001A3403"/>
    <w:rsid w:val="001A631C"/>
    <w:rsid w:val="001A6B08"/>
    <w:rsid w:val="001A76F1"/>
    <w:rsid w:val="001B1DC8"/>
    <w:rsid w:val="001B2616"/>
    <w:rsid w:val="001B486A"/>
    <w:rsid w:val="001B4A66"/>
    <w:rsid w:val="001B4B37"/>
    <w:rsid w:val="001B52E9"/>
    <w:rsid w:val="001C186D"/>
    <w:rsid w:val="001C6553"/>
    <w:rsid w:val="001C669D"/>
    <w:rsid w:val="001D0935"/>
    <w:rsid w:val="001D2860"/>
    <w:rsid w:val="001D731E"/>
    <w:rsid w:val="001D7B0B"/>
    <w:rsid w:val="001E08CB"/>
    <w:rsid w:val="001E0E49"/>
    <w:rsid w:val="001E4003"/>
    <w:rsid w:val="001E5831"/>
    <w:rsid w:val="001E6AFA"/>
    <w:rsid w:val="001F0CA2"/>
    <w:rsid w:val="001F162F"/>
    <w:rsid w:val="001F4B01"/>
    <w:rsid w:val="001F653C"/>
    <w:rsid w:val="0020312F"/>
    <w:rsid w:val="00205149"/>
    <w:rsid w:val="00211D6A"/>
    <w:rsid w:val="00211E8C"/>
    <w:rsid w:val="00214DC2"/>
    <w:rsid w:val="002176C6"/>
    <w:rsid w:val="00220944"/>
    <w:rsid w:val="00223839"/>
    <w:rsid w:val="00224BD2"/>
    <w:rsid w:val="002252D4"/>
    <w:rsid w:val="0022560C"/>
    <w:rsid w:val="00225D01"/>
    <w:rsid w:val="00227AA4"/>
    <w:rsid w:val="00230939"/>
    <w:rsid w:val="0023324B"/>
    <w:rsid w:val="00240A69"/>
    <w:rsid w:val="0024184B"/>
    <w:rsid w:val="00241B48"/>
    <w:rsid w:val="0024239F"/>
    <w:rsid w:val="0024428E"/>
    <w:rsid w:val="00245727"/>
    <w:rsid w:val="00247450"/>
    <w:rsid w:val="00252F04"/>
    <w:rsid w:val="0026286A"/>
    <w:rsid w:val="00262CC6"/>
    <w:rsid w:val="00262D13"/>
    <w:rsid w:val="0026539F"/>
    <w:rsid w:val="00267975"/>
    <w:rsid w:val="00267F13"/>
    <w:rsid w:val="00271772"/>
    <w:rsid w:val="00272EF0"/>
    <w:rsid w:val="002759E6"/>
    <w:rsid w:val="00276935"/>
    <w:rsid w:val="00280187"/>
    <w:rsid w:val="00282D8E"/>
    <w:rsid w:val="00286206"/>
    <w:rsid w:val="002900F6"/>
    <w:rsid w:val="00290BE9"/>
    <w:rsid w:val="00292884"/>
    <w:rsid w:val="00292D11"/>
    <w:rsid w:val="0029660C"/>
    <w:rsid w:val="00296B5B"/>
    <w:rsid w:val="002A470B"/>
    <w:rsid w:val="002A4D4E"/>
    <w:rsid w:val="002B0495"/>
    <w:rsid w:val="002B3DDB"/>
    <w:rsid w:val="002B63F3"/>
    <w:rsid w:val="002C2E68"/>
    <w:rsid w:val="002C360C"/>
    <w:rsid w:val="002C427D"/>
    <w:rsid w:val="002C5116"/>
    <w:rsid w:val="002D55E2"/>
    <w:rsid w:val="002D6A97"/>
    <w:rsid w:val="002E089C"/>
    <w:rsid w:val="002E5085"/>
    <w:rsid w:val="002E60C9"/>
    <w:rsid w:val="002E693A"/>
    <w:rsid w:val="002F2699"/>
    <w:rsid w:val="002F37E9"/>
    <w:rsid w:val="002F593B"/>
    <w:rsid w:val="002F71EF"/>
    <w:rsid w:val="0030116A"/>
    <w:rsid w:val="00301AB8"/>
    <w:rsid w:val="00301B3A"/>
    <w:rsid w:val="00303773"/>
    <w:rsid w:val="00304543"/>
    <w:rsid w:val="00307318"/>
    <w:rsid w:val="003109F1"/>
    <w:rsid w:val="00310D12"/>
    <w:rsid w:val="003116D8"/>
    <w:rsid w:val="00311755"/>
    <w:rsid w:val="0031207A"/>
    <w:rsid w:val="00312D99"/>
    <w:rsid w:val="00316516"/>
    <w:rsid w:val="003168FF"/>
    <w:rsid w:val="003173BC"/>
    <w:rsid w:val="0032137B"/>
    <w:rsid w:val="00321DBD"/>
    <w:rsid w:val="00321FE4"/>
    <w:rsid w:val="00322F08"/>
    <w:rsid w:val="003233D6"/>
    <w:rsid w:val="00323FEA"/>
    <w:rsid w:val="00324930"/>
    <w:rsid w:val="00324FA7"/>
    <w:rsid w:val="00325697"/>
    <w:rsid w:val="00330797"/>
    <w:rsid w:val="0033218F"/>
    <w:rsid w:val="0033555E"/>
    <w:rsid w:val="00335817"/>
    <w:rsid w:val="0033787C"/>
    <w:rsid w:val="003516DE"/>
    <w:rsid w:val="00354893"/>
    <w:rsid w:val="00355C9D"/>
    <w:rsid w:val="0035670A"/>
    <w:rsid w:val="003574DC"/>
    <w:rsid w:val="00357DB9"/>
    <w:rsid w:val="00361111"/>
    <w:rsid w:val="00365877"/>
    <w:rsid w:val="00367EBB"/>
    <w:rsid w:val="0037060C"/>
    <w:rsid w:val="00373F3E"/>
    <w:rsid w:val="0038033E"/>
    <w:rsid w:val="00380A73"/>
    <w:rsid w:val="003832CB"/>
    <w:rsid w:val="00383930"/>
    <w:rsid w:val="0038459C"/>
    <w:rsid w:val="00386D32"/>
    <w:rsid w:val="00387542"/>
    <w:rsid w:val="00393F55"/>
    <w:rsid w:val="003953CB"/>
    <w:rsid w:val="00395A7C"/>
    <w:rsid w:val="00397EB0"/>
    <w:rsid w:val="003A2109"/>
    <w:rsid w:val="003A3533"/>
    <w:rsid w:val="003A6BEE"/>
    <w:rsid w:val="003A78D0"/>
    <w:rsid w:val="003B3BF0"/>
    <w:rsid w:val="003C1FD4"/>
    <w:rsid w:val="003C2226"/>
    <w:rsid w:val="003C6114"/>
    <w:rsid w:val="003C7A27"/>
    <w:rsid w:val="003D265C"/>
    <w:rsid w:val="003D2D82"/>
    <w:rsid w:val="003D61DA"/>
    <w:rsid w:val="003D6C70"/>
    <w:rsid w:val="003E2B13"/>
    <w:rsid w:val="003E42DA"/>
    <w:rsid w:val="003E5A0B"/>
    <w:rsid w:val="003E7A35"/>
    <w:rsid w:val="003F3491"/>
    <w:rsid w:val="003F5E4B"/>
    <w:rsid w:val="004013AC"/>
    <w:rsid w:val="0040360D"/>
    <w:rsid w:val="004118DB"/>
    <w:rsid w:val="00412088"/>
    <w:rsid w:val="0041778D"/>
    <w:rsid w:val="0042049B"/>
    <w:rsid w:val="004204C0"/>
    <w:rsid w:val="00421DE7"/>
    <w:rsid w:val="0042385C"/>
    <w:rsid w:val="004257EA"/>
    <w:rsid w:val="004323A8"/>
    <w:rsid w:val="00434FBC"/>
    <w:rsid w:val="004374F9"/>
    <w:rsid w:val="00440D25"/>
    <w:rsid w:val="00441B92"/>
    <w:rsid w:val="00445168"/>
    <w:rsid w:val="00446F38"/>
    <w:rsid w:val="004507D4"/>
    <w:rsid w:val="00452EBB"/>
    <w:rsid w:val="00453756"/>
    <w:rsid w:val="00454019"/>
    <w:rsid w:val="00461413"/>
    <w:rsid w:val="00466F9F"/>
    <w:rsid w:val="00471E19"/>
    <w:rsid w:val="00472C51"/>
    <w:rsid w:val="0047481F"/>
    <w:rsid w:val="0047543B"/>
    <w:rsid w:val="0047567B"/>
    <w:rsid w:val="00476226"/>
    <w:rsid w:val="00476E3A"/>
    <w:rsid w:val="00482588"/>
    <w:rsid w:val="00485702"/>
    <w:rsid w:val="00485FCC"/>
    <w:rsid w:val="00487DEA"/>
    <w:rsid w:val="00493664"/>
    <w:rsid w:val="00495D4F"/>
    <w:rsid w:val="0049630C"/>
    <w:rsid w:val="004973C1"/>
    <w:rsid w:val="004A15D8"/>
    <w:rsid w:val="004A5DCF"/>
    <w:rsid w:val="004B397C"/>
    <w:rsid w:val="004C0F95"/>
    <w:rsid w:val="004D4786"/>
    <w:rsid w:val="004D6AD1"/>
    <w:rsid w:val="004D701B"/>
    <w:rsid w:val="004E0B4D"/>
    <w:rsid w:val="004E289E"/>
    <w:rsid w:val="004E7A1D"/>
    <w:rsid w:val="004F00D9"/>
    <w:rsid w:val="004F0F95"/>
    <w:rsid w:val="004F6009"/>
    <w:rsid w:val="004F7A7A"/>
    <w:rsid w:val="00500DE3"/>
    <w:rsid w:val="00501F74"/>
    <w:rsid w:val="00503BD1"/>
    <w:rsid w:val="00505392"/>
    <w:rsid w:val="00505CEA"/>
    <w:rsid w:val="005129A3"/>
    <w:rsid w:val="00514F9D"/>
    <w:rsid w:val="00515DE6"/>
    <w:rsid w:val="00516561"/>
    <w:rsid w:val="00525CFD"/>
    <w:rsid w:val="005302A6"/>
    <w:rsid w:val="005315D9"/>
    <w:rsid w:val="00532980"/>
    <w:rsid w:val="00532AEE"/>
    <w:rsid w:val="00532EEF"/>
    <w:rsid w:val="00536E30"/>
    <w:rsid w:val="00537BC8"/>
    <w:rsid w:val="0054276F"/>
    <w:rsid w:val="005451A5"/>
    <w:rsid w:val="005465B5"/>
    <w:rsid w:val="0054740C"/>
    <w:rsid w:val="00547D2D"/>
    <w:rsid w:val="0055169A"/>
    <w:rsid w:val="00552247"/>
    <w:rsid w:val="00553B63"/>
    <w:rsid w:val="00553C23"/>
    <w:rsid w:val="00553E9D"/>
    <w:rsid w:val="00555858"/>
    <w:rsid w:val="00556075"/>
    <w:rsid w:val="00556837"/>
    <w:rsid w:val="00560894"/>
    <w:rsid w:val="00561A5E"/>
    <w:rsid w:val="0056523B"/>
    <w:rsid w:val="00567004"/>
    <w:rsid w:val="00570499"/>
    <w:rsid w:val="00572B14"/>
    <w:rsid w:val="005734AB"/>
    <w:rsid w:val="005758BE"/>
    <w:rsid w:val="00586265"/>
    <w:rsid w:val="005863CA"/>
    <w:rsid w:val="00590F96"/>
    <w:rsid w:val="00594C2D"/>
    <w:rsid w:val="00596E36"/>
    <w:rsid w:val="00597A4F"/>
    <w:rsid w:val="005A202E"/>
    <w:rsid w:val="005A2D73"/>
    <w:rsid w:val="005A6D73"/>
    <w:rsid w:val="005A7AE4"/>
    <w:rsid w:val="005B11ED"/>
    <w:rsid w:val="005B1768"/>
    <w:rsid w:val="005B2B2F"/>
    <w:rsid w:val="005B4732"/>
    <w:rsid w:val="005B5654"/>
    <w:rsid w:val="005B5D4C"/>
    <w:rsid w:val="005B6E26"/>
    <w:rsid w:val="005C215F"/>
    <w:rsid w:val="005C2AAD"/>
    <w:rsid w:val="005C37C5"/>
    <w:rsid w:val="005C5C75"/>
    <w:rsid w:val="005C72D5"/>
    <w:rsid w:val="005D0D4C"/>
    <w:rsid w:val="005D14E5"/>
    <w:rsid w:val="005E1C96"/>
    <w:rsid w:val="005E252C"/>
    <w:rsid w:val="005E2B46"/>
    <w:rsid w:val="005E65AC"/>
    <w:rsid w:val="005E6731"/>
    <w:rsid w:val="005F17C0"/>
    <w:rsid w:val="005F21EB"/>
    <w:rsid w:val="005F559F"/>
    <w:rsid w:val="005F58CD"/>
    <w:rsid w:val="005F7E37"/>
    <w:rsid w:val="006017A4"/>
    <w:rsid w:val="00601D11"/>
    <w:rsid w:val="00604B6E"/>
    <w:rsid w:val="006066C3"/>
    <w:rsid w:val="00613574"/>
    <w:rsid w:val="006144E9"/>
    <w:rsid w:val="00615DC0"/>
    <w:rsid w:val="00615DFB"/>
    <w:rsid w:val="00615EF7"/>
    <w:rsid w:val="0062335D"/>
    <w:rsid w:val="006251F6"/>
    <w:rsid w:val="00626ED6"/>
    <w:rsid w:val="00631519"/>
    <w:rsid w:val="00632ED8"/>
    <w:rsid w:val="00634ABF"/>
    <w:rsid w:val="00641469"/>
    <w:rsid w:val="006504CA"/>
    <w:rsid w:val="0065111D"/>
    <w:rsid w:val="00651AA3"/>
    <w:rsid w:val="006543D5"/>
    <w:rsid w:val="00655A0A"/>
    <w:rsid w:val="00661B09"/>
    <w:rsid w:val="006637B3"/>
    <w:rsid w:val="00665D18"/>
    <w:rsid w:val="00666041"/>
    <w:rsid w:val="006666D4"/>
    <w:rsid w:val="00666FE7"/>
    <w:rsid w:val="00667489"/>
    <w:rsid w:val="00673465"/>
    <w:rsid w:val="006764A3"/>
    <w:rsid w:val="00684EF1"/>
    <w:rsid w:val="0068528F"/>
    <w:rsid w:val="006855C4"/>
    <w:rsid w:val="00685936"/>
    <w:rsid w:val="00691A79"/>
    <w:rsid w:val="00692B46"/>
    <w:rsid w:val="00693FF6"/>
    <w:rsid w:val="006A4229"/>
    <w:rsid w:val="006A4F4D"/>
    <w:rsid w:val="006B08FE"/>
    <w:rsid w:val="006B16D6"/>
    <w:rsid w:val="006B2E7A"/>
    <w:rsid w:val="006B3F8D"/>
    <w:rsid w:val="006B7273"/>
    <w:rsid w:val="006B76B6"/>
    <w:rsid w:val="006C6616"/>
    <w:rsid w:val="006D07BA"/>
    <w:rsid w:val="006D2877"/>
    <w:rsid w:val="006D58CF"/>
    <w:rsid w:val="006D620C"/>
    <w:rsid w:val="006E1B1B"/>
    <w:rsid w:val="006F3D1A"/>
    <w:rsid w:val="006F4630"/>
    <w:rsid w:val="006F5226"/>
    <w:rsid w:val="006F7158"/>
    <w:rsid w:val="006F7DB7"/>
    <w:rsid w:val="00700C91"/>
    <w:rsid w:val="007038B3"/>
    <w:rsid w:val="00703F28"/>
    <w:rsid w:val="00711D58"/>
    <w:rsid w:val="00712116"/>
    <w:rsid w:val="00713B94"/>
    <w:rsid w:val="00715CED"/>
    <w:rsid w:val="00715D41"/>
    <w:rsid w:val="0071717A"/>
    <w:rsid w:val="0072135C"/>
    <w:rsid w:val="00721AFB"/>
    <w:rsid w:val="00721C99"/>
    <w:rsid w:val="0072449D"/>
    <w:rsid w:val="0073513A"/>
    <w:rsid w:val="007355DA"/>
    <w:rsid w:val="007356ED"/>
    <w:rsid w:val="007360A5"/>
    <w:rsid w:val="00742405"/>
    <w:rsid w:val="00743DED"/>
    <w:rsid w:val="007441C0"/>
    <w:rsid w:val="00747710"/>
    <w:rsid w:val="0075292B"/>
    <w:rsid w:val="00752967"/>
    <w:rsid w:val="00752A93"/>
    <w:rsid w:val="007532AE"/>
    <w:rsid w:val="00753889"/>
    <w:rsid w:val="0075773C"/>
    <w:rsid w:val="007606EB"/>
    <w:rsid w:val="0076335E"/>
    <w:rsid w:val="00765740"/>
    <w:rsid w:val="007676D1"/>
    <w:rsid w:val="00771D54"/>
    <w:rsid w:val="007723C6"/>
    <w:rsid w:val="007737EC"/>
    <w:rsid w:val="00777B90"/>
    <w:rsid w:val="00777FCD"/>
    <w:rsid w:val="00780C32"/>
    <w:rsid w:val="00784571"/>
    <w:rsid w:val="007864EB"/>
    <w:rsid w:val="00787883"/>
    <w:rsid w:val="00790691"/>
    <w:rsid w:val="00790DF2"/>
    <w:rsid w:val="007917FA"/>
    <w:rsid w:val="00794E69"/>
    <w:rsid w:val="00797293"/>
    <w:rsid w:val="007973AC"/>
    <w:rsid w:val="00797CA0"/>
    <w:rsid w:val="007A03E0"/>
    <w:rsid w:val="007A2421"/>
    <w:rsid w:val="007A4FFA"/>
    <w:rsid w:val="007A70E6"/>
    <w:rsid w:val="007B3921"/>
    <w:rsid w:val="007B3CA9"/>
    <w:rsid w:val="007B64F4"/>
    <w:rsid w:val="007B6B47"/>
    <w:rsid w:val="007C21FD"/>
    <w:rsid w:val="007C641C"/>
    <w:rsid w:val="007C736D"/>
    <w:rsid w:val="007C7B93"/>
    <w:rsid w:val="007D063C"/>
    <w:rsid w:val="007D3AF2"/>
    <w:rsid w:val="007D4D1F"/>
    <w:rsid w:val="007D53F2"/>
    <w:rsid w:val="007D5963"/>
    <w:rsid w:val="007E1973"/>
    <w:rsid w:val="007E4B92"/>
    <w:rsid w:val="007E5FA8"/>
    <w:rsid w:val="007E7C42"/>
    <w:rsid w:val="007F5101"/>
    <w:rsid w:val="007F680E"/>
    <w:rsid w:val="007F7FF8"/>
    <w:rsid w:val="00803885"/>
    <w:rsid w:val="008039A4"/>
    <w:rsid w:val="00805A83"/>
    <w:rsid w:val="00807A2B"/>
    <w:rsid w:val="008109E6"/>
    <w:rsid w:val="00817800"/>
    <w:rsid w:val="0082011B"/>
    <w:rsid w:val="00820BBC"/>
    <w:rsid w:val="00820E55"/>
    <w:rsid w:val="008226B3"/>
    <w:rsid w:val="00822A17"/>
    <w:rsid w:val="00824C3C"/>
    <w:rsid w:val="00825DAF"/>
    <w:rsid w:val="008270AC"/>
    <w:rsid w:val="008345FC"/>
    <w:rsid w:val="008365D1"/>
    <w:rsid w:val="00840F8B"/>
    <w:rsid w:val="00842D0E"/>
    <w:rsid w:val="00845E53"/>
    <w:rsid w:val="0084650F"/>
    <w:rsid w:val="0085264A"/>
    <w:rsid w:val="00852A68"/>
    <w:rsid w:val="008619A7"/>
    <w:rsid w:val="0086295C"/>
    <w:rsid w:val="00862C90"/>
    <w:rsid w:val="0086397B"/>
    <w:rsid w:val="00864277"/>
    <w:rsid w:val="008657DD"/>
    <w:rsid w:val="00867467"/>
    <w:rsid w:val="00870D42"/>
    <w:rsid w:val="00873BE7"/>
    <w:rsid w:val="00876166"/>
    <w:rsid w:val="0087752D"/>
    <w:rsid w:val="008814D4"/>
    <w:rsid w:val="00881C87"/>
    <w:rsid w:val="0088354F"/>
    <w:rsid w:val="008841F7"/>
    <w:rsid w:val="008853F9"/>
    <w:rsid w:val="00886BC2"/>
    <w:rsid w:val="00887E6D"/>
    <w:rsid w:val="00890E01"/>
    <w:rsid w:val="008927AF"/>
    <w:rsid w:val="008942F3"/>
    <w:rsid w:val="008A1BDB"/>
    <w:rsid w:val="008A4342"/>
    <w:rsid w:val="008A43D8"/>
    <w:rsid w:val="008A58CC"/>
    <w:rsid w:val="008A7938"/>
    <w:rsid w:val="008B15E5"/>
    <w:rsid w:val="008B1786"/>
    <w:rsid w:val="008B381B"/>
    <w:rsid w:val="008B6508"/>
    <w:rsid w:val="008B7534"/>
    <w:rsid w:val="008C23FF"/>
    <w:rsid w:val="008C485E"/>
    <w:rsid w:val="008C7648"/>
    <w:rsid w:val="008C79F2"/>
    <w:rsid w:val="008D2B7D"/>
    <w:rsid w:val="008D575D"/>
    <w:rsid w:val="008E15C4"/>
    <w:rsid w:val="008E7A81"/>
    <w:rsid w:val="008F1956"/>
    <w:rsid w:val="008F19D0"/>
    <w:rsid w:val="008F2D6C"/>
    <w:rsid w:val="008F4556"/>
    <w:rsid w:val="008F5C7A"/>
    <w:rsid w:val="00902CBA"/>
    <w:rsid w:val="00903378"/>
    <w:rsid w:val="00906FC0"/>
    <w:rsid w:val="009105F6"/>
    <w:rsid w:val="00912773"/>
    <w:rsid w:val="00912D75"/>
    <w:rsid w:val="009134AC"/>
    <w:rsid w:val="00913B91"/>
    <w:rsid w:val="009153C1"/>
    <w:rsid w:val="0092039F"/>
    <w:rsid w:val="00924718"/>
    <w:rsid w:val="00927884"/>
    <w:rsid w:val="0093036E"/>
    <w:rsid w:val="00933768"/>
    <w:rsid w:val="009409F9"/>
    <w:rsid w:val="0094207D"/>
    <w:rsid w:val="00945DA4"/>
    <w:rsid w:val="009509BB"/>
    <w:rsid w:val="00952B4A"/>
    <w:rsid w:val="00953747"/>
    <w:rsid w:val="009555F3"/>
    <w:rsid w:val="00955B13"/>
    <w:rsid w:val="009603A5"/>
    <w:rsid w:val="00961C4A"/>
    <w:rsid w:val="00962CBB"/>
    <w:rsid w:val="009650DE"/>
    <w:rsid w:val="00965800"/>
    <w:rsid w:val="0096630D"/>
    <w:rsid w:val="0096775B"/>
    <w:rsid w:val="00976185"/>
    <w:rsid w:val="00976A23"/>
    <w:rsid w:val="009776E4"/>
    <w:rsid w:val="0098240A"/>
    <w:rsid w:val="0098571D"/>
    <w:rsid w:val="009862B8"/>
    <w:rsid w:val="0098782A"/>
    <w:rsid w:val="009924B9"/>
    <w:rsid w:val="00992DA2"/>
    <w:rsid w:val="00996DA2"/>
    <w:rsid w:val="009A0570"/>
    <w:rsid w:val="009A4ED1"/>
    <w:rsid w:val="009A75EE"/>
    <w:rsid w:val="009B4D57"/>
    <w:rsid w:val="009B6A19"/>
    <w:rsid w:val="009C0DD2"/>
    <w:rsid w:val="009C190E"/>
    <w:rsid w:val="009C6102"/>
    <w:rsid w:val="009C68AF"/>
    <w:rsid w:val="009C6C0D"/>
    <w:rsid w:val="009C7D06"/>
    <w:rsid w:val="009C7D34"/>
    <w:rsid w:val="009D0026"/>
    <w:rsid w:val="009D09ED"/>
    <w:rsid w:val="009D3FDF"/>
    <w:rsid w:val="009D50F4"/>
    <w:rsid w:val="009D7D18"/>
    <w:rsid w:val="009E137B"/>
    <w:rsid w:val="009E1CCB"/>
    <w:rsid w:val="009E7180"/>
    <w:rsid w:val="009E74B7"/>
    <w:rsid w:val="009F0FFF"/>
    <w:rsid w:val="009F1768"/>
    <w:rsid w:val="009F35E1"/>
    <w:rsid w:val="009F3F8B"/>
    <w:rsid w:val="009F462B"/>
    <w:rsid w:val="009F4DD1"/>
    <w:rsid w:val="009F563C"/>
    <w:rsid w:val="009F5A89"/>
    <w:rsid w:val="009F78F6"/>
    <w:rsid w:val="00A01A67"/>
    <w:rsid w:val="00A07E31"/>
    <w:rsid w:val="00A13BBB"/>
    <w:rsid w:val="00A153A0"/>
    <w:rsid w:val="00A207EC"/>
    <w:rsid w:val="00A21B97"/>
    <w:rsid w:val="00A24944"/>
    <w:rsid w:val="00A27C0B"/>
    <w:rsid w:val="00A30CFA"/>
    <w:rsid w:val="00A318B6"/>
    <w:rsid w:val="00A32026"/>
    <w:rsid w:val="00A34BEA"/>
    <w:rsid w:val="00A35019"/>
    <w:rsid w:val="00A36C85"/>
    <w:rsid w:val="00A375D5"/>
    <w:rsid w:val="00A429FE"/>
    <w:rsid w:val="00A44CF1"/>
    <w:rsid w:val="00A50017"/>
    <w:rsid w:val="00A512F4"/>
    <w:rsid w:val="00A520F0"/>
    <w:rsid w:val="00A542CB"/>
    <w:rsid w:val="00A54BB2"/>
    <w:rsid w:val="00A612BA"/>
    <w:rsid w:val="00A613AA"/>
    <w:rsid w:val="00A62D78"/>
    <w:rsid w:val="00A702C7"/>
    <w:rsid w:val="00A709A1"/>
    <w:rsid w:val="00A71219"/>
    <w:rsid w:val="00A71DE8"/>
    <w:rsid w:val="00A71E0F"/>
    <w:rsid w:val="00A71EE8"/>
    <w:rsid w:val="00A721DE"/>
    <w:rsid w:val="00A721F7"/>
    <w:rsid w:val="00A73B91"/>
    <w:rsid w:val="00A750F8"/>
    <w:rsid w:val="00A75AF0"/>
    <w:rsid w:val="00A81181"/>
    <w:rsid w:val="00A83D5E"/>
    <w:rsid w:val="00A90491"/>
    <w:rsid w:val="00AB0C8D"/>
    <w:rsid w:val="00AB2112"/>
    <w:rsid w:val="00AB5A8D"/>
    <w:rsid w:val="00AB67C7"/>
    <w:rsid w:val="00AB764F"/>
    <w:rsid w:val="00AC0B11"/>
    <w:rsid w:val="00AC177E"/>
    <w:rsid w:val="00AC4550"/>
    <w:rsid w:val="00AC6ADF"/>
    <w:rsid w:val="00AD0142"/>
    <w:rsid w:val="00AD12C6"/>
    <w:rsid w:val="00AD424B"/>
    <w:rsid w:val="00AD66F7"/>
    <w:rsid w:val="00AD7F9A"/>
    <w:rsid w:val="00AE0D21"/>
    <w:rsid w:val="00AE265B"/>
    <w:rsid w:val="00AE26A0"/>
    <w:rsid w:val="00AE2A37"/>
    <w:rsid w:val="00AE6CCD"/>
    <w:rsid w:val="00AE717C"/>
    <w:rsid w:val="00AE7E62"/>
    <w:rsid w:val="00AF287C"/>
    <w:rsid w:val="00AF435D"/>
    <w:rsid w:val="00AF52C7"/>
    <w:rsid w:val="00AF5ABA"/>
    <w:rsid w:val="00B03F37"/>
    <w:rsid w:val="00B10860"/>
    <w:rsid w:val="00B12688"/>
    <w:rsid w:val="00B1459F"/>
    <w:rsid w:val="00B14FB3"/>
    <w:rsid w:val="00B158F0"/>
    <w:rsid w:val="00B1770B"/>
    <w:rsid w:val="00B17E95"/>
    <w:rsid w:val="00B24770"/>
    <w:rsid w:val="00B24B5B"/>
    <w:rsid w:val="00B2675E"/>
    <w:rsid w:val="00B2791A"/>
    <w:rsid w:val="00B27E8E"/>
    <w:rsid w:val="00B32065"/>
    <w:rsid w:val="00B3251B"/>
    <w:rsid w:val="00B33676"/>
    <w:rsid w:val="00B34398"/>
    <w:rsid w:val="00B347A6"/>
    <w:rsid w:val="00B36287"/>
    <w:rsid w:val="00B4280A"/>
    <w:rsid w:val="00B44518"/>
    <w:rsid w:val="00B46B43"/>
    <w:rsid w:val="00B5019B"/>
    <w:rsid w:val="00B5061D"/>
    <w:rsid w:val="00B5257A"/>
    <w:rsid w:val="00B52B65"/>
    <w:rsid w:val="00B54849"/>
    <w:rsid w:val="00B554BF"/>
    <w:rsid w:val="00B575A1"/>
    <w:rsid w:val="00B61595"/>
    <w:rsid w:val="00B63B1D"/>
    <w:rsid w:val="00B64B6B"/>
    <w:rsid w:val="00B65628"/>
    <w:rsid w:val="00B74AE9"/>
    <w:rsid w:val="00B75192"/>
    <w:rsid w:val="00B80933"/>
    <w:rsid w:val="00B80CD9"/>
    <w:rsid w:val="00B84DFE"/>
    <w:rsid w:val="00B864DB"/>
    <w:rsid w:val="00B93020"/>
    <w:rsid w:val="00BA28AE"/>
    <w:rsid w:val="00BA4200"/>
    <w:rsid w:val="00BA59F8"/>
    <w:rsid w:val="00BA59FA"/>
    <w:rsid w:val="00BB393A"/>
    <w:rsid w:val="00BC1F80"/>
    <w:rsid w:val="00BC56B6"/>
    <w:rsid w:val="00BC6AB3"/>
    <w:rsid w:val="00BD0A9E"/>
    <w:rsid w:val="00BD2AC0"/>
    <w:rsid w:val="00BD38D0"/>
    <w:rsid w:val="00BD6F3A"/>
    <w:rsid w:val="00BD7DBF"/>
    <w:rsid w:val="00BE19C4"/>
    <w:rsid w:val="00BE2FDB"/>
    <w:rsid w:val="00BE4C91"/>
    <w:rsid w:val="00BE64D5"/>
    <w:rsid w:val="00BF056E"/>
    <w:rsid w:val="00BF0FEE"/>
    <w:rsid w:val="00BF1A90"/>
    <w:rsid w:val="00BF30B0"/>
    <w:rsid w:val="00BF30E3"/>
    <w:rsid w:val="00BF59F7"/>
    <w:rsid w:val="00BF78B2"/>
    <w:rsid w:val="00BF79F5"/>
    <w:rsid w:val="00C0065A"/>
    <w:rsid w:val="00C01491"/>
    <w:rsid w:val="00C018C0"/>
    <w:rsid w:val="00C01AFD"/>
    <w:rsid w:val="00C03993"/>
    <w:rsid w:val="00C05AB2"/>
    <w:rsid w:val="00C10230"/>
    <w:rsid w:val="00C10605"/>
    <w:rsid w:val="00C10DC2"/>
    <w:rsid w:val="00C122D9"/>
    <w:rsid w:val="00C15857"/>
    <w:rsid w:val="00C15DB8"/>
    <w:rsid w:val="00C17121"/>
    <w:rsid w:val="00C174B9"/>
    <w:rsid w:val="00C20068"/>
    <w:rsid w:val="00C24EAD"/>
    <w:rsid w:val="00C25118"/>
    <w:rsid w:val="00C30B98"/>
    <w:rsid w:val="00C33110"/>
    <w:rsid w:val="00C40EE5"/>
    <w:rsid w:val="00C43D3F"/>
    <w:rsid w:val="00C47BC9"/>
    <w:rsid w:val="00C5163E"/>
    <w:rsid w:val="00C52A84"/>
    <w:rsid w:val="00C5380D"/>
    <w:rsid w:val="00C548B9"/>
    <w:rsid w:val="00C568ED"/>
    <w:rsid w:val="00C57D8E"/>
    <w:rsid w:val="00C61F6A"/>
    <w:rsid w:val="00C6237A"/>
    <w:rsid w:val="00C629B3"/>
    <w:rsid w:val="00C6416C"/>
    <w:rsid w:val="00C64A1C"/>
    <w:rsid w:val="00C65449"/>
    <w:rsid w:val="00C65C69"/>
    <w:rsid w:val="00C670F0"/>
    <w:rsid w:val="00C67249"/>
    <w:rsid w:val="00C70B7E"/>
    <w:rsid w:val="00C70E0F"/>
    <w:rsid w:val="00C72381"/>
    <w:rsid w:val="00C72596"/>
    <w:rsid w:val="00C7470C"/>
    <w:rsid w:val="00C7677C"/>
    <w:rsid w:val="00C8036C"/>
    <w:rsid w:val="00C81E2C"/>
    <w:rsid w:val="00C825D3"/>
    <w:rsid w:val="00C82810"/>
    <w:rsid w:val="00C850E3"/>
    <w:rsid w:val="00C874E4"/>
    <w:rsid w:val="00C90C11"/>
    <w:rsid w:val="00C90E62"/>
    <w:rsid w:val="00C91BAD"/>
    <w:rsid w:val="00C920E9"/>
    <w:rsid w:val="00C93CC4"/>
    <w:rsid w:val="00C96ED5"/>
    <w:rsid w:val="00CA5592"/>
    <w:rsid w:val="00CB01C0"/>
    <w:rsid w:val="00CB33C7"/>
    <w:rsid w:val="00CB3467"/>
    <w:rsid w:val="00CB489E"/>
    <w:rsid w:val="00CB54A5"/>
    <w:rsid w:val="00CB5FEC"/>
    <w:rsid w:val="00CB7022"/>
    <w:rsid w:val="00CC1130"/>
    <w:rsid w:val="00CC1E7A"/>
    <w:rsid w:val="00CC2E63"/>
    <w:rsid w:val="00CC467E"/>
    <w:rsid w:val="00CC6570"/>
    <w:rsid w:val="00CC6C8E"/>
    <w:rsid w:val="00CD29C9"/>
    <w:rsid w:val="00CD3368"/>
    <w:rsid w:val="00CE0AB0"/>
    <w:rsid w:val="00CE3104"/>
    <w:rsid w:val="00CE5FD4"/>
    <w:rsid w:val="00CE6BBD"/>
    <w:rsid w:val="00CE7BD1"/>
    <w:rsid w:val="00CF7061"/>
    <w:rsid w:val="00D00BC7"/>
    <w:rsid w:val="00D11B0D"/>
    <w:rsid w:val="00D12AAE"/>
    <w:rsid w:val="00D20FD0"/>
    <w:rsid w:val="00D21C3E"/>
    <w:rsid w:val="00D2619C"/>
    <w:rsid w:val="00D268AB"/>
    <w:rsid w:val="00D30DE1"/>
    <w:rsid w:val="00D32ABE"/>
    <w:rsid w:val="00D361AD"/>
    <w:rsid w:val="00D37116"/>
    <w:rsid w:val="00D40EAF"/>
    <w:rsid w:val="00D42476"/>
    <w:rsid w:val="00D5041E"/>
    <w:rsid w:val="00D50642"/>
    <w:rsid w:val="00D5211E"/>
    <w:rsid w:val="00D54563"/>
    <w:rsid w:val="00D57411"/>
    <w:rsid w:val="00D74084"/>
    <w:rsid w:val="00D746B2"/>
    <w:rsid w:val="00D77C1F"/>
    <w:rsid w:val="00D80508"/>
    <w:rsid w:val="00D81018"/>
    <w:rsid w:val="00D83D18"/>
    <w:rsid w:val="00D85DAB"/>
    <w:rsid w:val="00D87605"/>
    <w:rsid w:val="00D91EBF"/>
    <w:rsid w:val="00D93822"/>
    <w:rsid w:val="00D93886"/>
    <w:rsid w:val="00DA0B3A"/>
    <w:rsid w:val="00DA0BBE"/>
    <w:rsid w:val="00DA27C0"/>
    <w:rsid w:val="00DA43BD"/>
    <w:rsid w:val="00DA56B8"/>
    <w:rsid w:val="00DB58F1"/>
    <w:rsid w:val="00DC01A1"/>
    <w:rsid w:val="00DD0E0F"/>
    <w:rsid w:val="00DD67BE"/>
    <w:rsid w:val="00DD6850"/>
    <w:rsid w:val="00DD69C3"/>
    <w:rsid w:val="00DE08E7"/>
    <w:rsid w:val="00DE4E88"/>
    <w:rsid w:val="00DF4A83"/>
    <w:rsid w:val="00DF4EA7"/>
    <w:rsid w:val="00DF67A1"/>
    <w:rsid w:val="00E0053F"/>
    <w:rsid w:val="00E0323E"/>
    <w:rsid w:val="00E06750"/>
    <w:rsid w:val="00E17DB3"/>
    <w:rsid w:val="00E17F1A"/>
    <w:rsid w:val="00E20925"/>
    <w:rsid w:val="00E24570"/>
    <w:rsid w:val="00E25B6B"/>
    <w:rsid w:val="00E32AEE"/>
    <w:rsid w:val="00E32D74"/>
    <w:rsid w:val="00E33535"/>
    <w:rsid w:val="00E33A60"/>
    <w:rsid w:val="00E4286C"/>
    <w:rsid w:val="00E43B9D"/>
    <w:rsid w:val="00E4783F"/>
    <w:rsid w:val="00E53211"/>
    <w:rsid w:val="00E540E6"/>
    <w:rsid w:val="00E56651"/>
    <w:rsid w:val="00E60023"/>
    <w:rsid w:val="00E63FA0"/>
    <w:rsid w:val="00E663A2"/>
    <w:rsid w:val="00E67F0A"/>
    <w:rsid w:val="00E74478"/>
    <w:rsid w:val="00E74A63"/>
    <w:rsid w:val="00E75D10"/>
    <w:rsid w:val="00E75EFD"/>
    <w:rsid w:val="00E76CCF"/>
    <w:rsid w:val="00E77C51"/>
    <w:rsid w:val="00E81A47"/>
    <w:rsid w:val="00E845AD"/>
    <w:rsid w:val="00E86061"/>
    <w:rsid w:val="00E8652A"/>
    <w:rsid w:val="00E86579"/>
    <w:rsid w:val="00E87CB5"/>
    <w:rsid w:val="00E932BB"/>
    <w:rsid w:val="00E943A5"/>
    <w:rsid w:val="00E97C2F"/>
    <w:rsid w:val="00EA5960"/>
    <w:rsid w:val="00EA5BB7"/>
    <w:rsid w:val="00EA60D7"/>
    <w:rsid w:val="00EA6CBA"/>
    <w:rsid w:val="00EA71D4"/>
    <w:rsid w:val="00EB4602"/>
    <w:rsid w:val="00EB71E5"/>
    <w:rsid w:val="00EB7CD0"/>
    <w:rsid w:val="00EC0795"/>
    <w:rsid w:val="00EC56FA"/>
    <w:rsid w:val="00EC6EB1"/>
    <w:rsid w:val="00EC73DC"/>
    <w:rsid w:val="00ED02A4"/>
    <w:rsid w:val="00ED0EBF"/>
    <w:rsid w:val="00ED5C94"/>
    <w:rsid w:val="00ED61FF"/>
    <w:rsid w:val="00EE240F"/>
    <w:rsid w:val="00EF09C2"/>
    <w:rsid w:val="00EF364A"/>
    <w:rsid w:val="00EF3F49"/>
    <w:rsid w:val="00EF494B"/>
    <w:rsid w:val="00EF4A44"/>
    <w:rsid w:val="00EF5C90"/>
    <w:rsid w:val="00EF5FA2"/>
    <w:rsid w:val="00EF6FF5"/>
    <w:rsid w:val="00F0220F"/>
    <w:rsid w:val="00F02413"/>
    <w:rsid w:val="00F04E13"/>
    <w:rsid w:val="00F069E3"/>
    <w:rsid w:val="00F0759D"/>
    <w:rsid w:val="00F105F9"/>
    <w:rsid w:val="00F119BE"/>
    <w:rsid w:val="00F12EC6"/>
    <w:rsid w:val="00F13E9E"/>
    <w:rsid w:val="00F15315"/>
    <w:rsid w:val="00F21648"/>
    <w:rsid w:val="00F21CDD"/>
    <w:rsid w:val="00F2395C"/>
    <w:rsid w:val="00F275E7"/>
    <w:rsid w:val="00F31ED4"/>
    <w:rsid w:val="00F345D5"/>
    <w:rsid w:val="00F34DCC"/>
    <w:rsid w:val="00F36F7B"/>
    <w:rsid w:val="00F445E2"/>
    <w:rsid w:val="00F4464B"/>
    <w:rsid w:val="00F4537F"/>
    <w:rsid w:val="00F456EF"/>
    <w:rsid w:val="00F457D3"/>
    <w:rsid w:val="00F46A7D"/>
    <w:rsid w:val="00F47FFE"/>
    <w:rsid w:val="00F50957"/>
    <w:rsid w:val="00F562B6"/>
    <w:rsid w:val="00F602E2"/>
    <w:rsid w:val="00F606C6"/>
    <w:rsid w:val="00F60C0F"/>
    <w:rsid w:val="00F61AD4"/>
    <w:rsid w:val="00F64AC6"/>
    <w:rsid w:val="00F7109C"/>
    <w:rsid w:val="00F71660"/>
    <w:rsid w:val="00F733C8"/>
    <w:rsid w:val="00F74281"/>
    <w:rsid w:val="00F76343"/>
    <w:rsid w:val="00F80954"/>
    <w:rsid w:val="00F81520"/>
    <w:rsid w:val="00F819A3"/>
    <w:rsid w:val="00F832B3"/>
    <w:rsid w:val="00F8715E"/>
    <w:rsid w:val="00F91E92"/>
    <w:rsid w:val="00F92132"/>
    <w:rsid w:val="00F96381"/>
    <w:rsid w:val="00F96C0A"/>
    <w:rsid w:val="00F97E9E"/>
    <w:rsid w:val="00FA1F84"/>
    <w:rsid w:val="00FA3415"/>
    <w:rsid w:val="00FA369A"/>
    <w:rsid w:val="00FA3FE4"/>
    <w:rsid w:val="00FA5170"/>
    <w:rsid w:val="00FA682F"/>
    <w:rsid w:val="00FA7A59"/>
    <w:rsid w:val="00FB0848"/>
    <w:rsid w:val="00FB129A"/>
    <w:rsid w:val="00FB2E97"/>
    <w:rsid w:val="00FB666E"/>
    <w:rsid w:val="00FB6B96"/>
    <w:rsid w:val="00FC1808"/>
    <w:rsid w:val="00FC1B02"/>
    <w:rsid w:val="00FC5BD4"/>
    <w:rsid w:val="00FC7F1A"/>
    <w:rsid w:val="00FD5F4A"/>
    <w:rsid w:val="00FD6A59"/>
    <w:rsid w:val="00FE1800"/>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8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A93"/>
    <w:pPr>
      <w:ind w:left="720"/>
      <w:contextualSpacing/>
    </w:pPr>
  </w:style>
  <w:style w:type="paragraph" w:styleId="FootnoteText">
    <w:name w:val="footnote text"/>
    <w:basedOn w:val="Normal"/>
    <w:link w:val="FootnoteTextChar"/>
    <w:uiPriority w:val="99"/>
    <w:unhideWhenUsed/>
    <w:rsid w:val="00FB6B96"/>
    <w:pPr>
      <w:widowControl w:val="0"/>
      <w:autoSpaceDE w:val="0"/>
      <w:autoSpaceDN w:val="0"/>
      <w:adjustRightInd w:val="0"/>
    </w:pPr>
    <w:rPr>
      <w:rFonts w:ascii="Arial" w:eastAsia="Times New Roman" w:hAnsi="Arial" w:cs="Times New Roman"/>
      <w:lang w:val="x-none" w:eastAsia="x-none"/>
    </w:rPr>
  </w:style>
  <w:style w:type="character" w:customStyle="1" w:styleId="FootnoteTextChar">
    <w:name w:val="Footnote Text Char"/>
    <w:basedOn w:val="DefaultParagraphFont"/>
    <w:link w:val="FootnoteText"/>
    <w:uiPriority w:val="99"/>
    <w:rsid w:val="00FB6B96"/>
    <w:rPr>
      <w:rFonts w:ascii="Arial" w:eastAsia="Times New Roman" w:hAnsi="Arial" w:cs="Times New Roman"/>
      <w:lang w:val="x-none" w:eastAsia="x-none"/>
    </w:rPr>
  </w:style>
  <w:style w:type="character" w:styleId="FootnoteReference">
    <w:name w:val="footnote reference"/>
    <w:uiPriority w:val="99"/>
    <w:unhideWhenUsed/>
    <w:rsid w:val="00FB6B96"/>
    <w:rPr>
      <w:rFonts w:cs="Times New Roman"/>
      <w:vertAlign w:val="superscript"/>
    </w:rPr>
  </w:style>
  <w:style w:type="character" w:customStyle="1" w:styleId="apple-converted-space">
    <w:name w:val="apple-converted-space"/>
    <w:basedOn w:val="DefaultParagraphFont"/>
    <w:rsid w:val="00A36C85"/>
  </w:style>
  <w:style w:type="paragraph" w:styleId="BodyText">
    <w:name w:val="Body Text"/>
    <w:basedOn w:val="Normal"/>
    <w:link w:val="BodyTextChar"/>
    <w:rsid w:val="00631519"/>
    <w:pPr>
      <w:jc w:val="center"/>
    </w:pPr>
    <w:rPr>
      <w:rFonts w:ascii="Times New Roman" w:eastAsia="Times New Roman" w:hAnsi="Times New Roman" w:cs="Times New Roman"/>
      <w:lang w:eastAsia="x-none"/>
    </w:rPr>
  </w:style>
  <w:style w:type="character" w:customStyle="1" w:styleId="BodyTextChar">
    <w:name w:val="Body Text Char"/>
    <w:basedOn w:val="DefaultParagraphFont"/>
    <w:link w:val="BodyText"/>
    <w:rsid w:val="00631519"/>
    <w:rPr>
      <w:rFonts w:ascii="Times New Roman" w:eastAsia="Times New Roman" w:hAnsi="Times New Roman" w:cs="Times New Roman"/>
      <w:lang w:eastAsia="x-none"/>
    </w:rPr>
  </w:style>
  <w:style w:type="paragraph" w:styleId="BalloonText">
    <w:name w:val="Balloon Text"/>
    <w:basedOn w:val="Normal"/>
    <w:link w:val="BalloonTextChar"/>
    <w:uiPriority w:val="99"/>
    <w:semiHidden/>
    <w:unhideWhenUsed/>
    <w:rsid w:val="000319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918"/>
    <w:rPr>
      <w:rFonts w:ascii="Times New Roman" w:hAnsi="Times New Roman" w:cs="Times New Roman"/>
      <w:sz w:val="18"/>
      <w:szCs w:val="18"/>
    </w:rPr>
  </w:style>
  <w:style w:type="paragraph" w:styleId="Header">
    <w:name w:val="header"/>
    <w:basedOn w:val="Normal"/>
    <w:link w:val="HeaderChar"/>
    <w:uiPriority w:val="99"/>
    <w:unhideWhenUsed/>
    <w:rsid w:val="00820E55"/>
    <w:pPr>
      <w:tabs>
        <w:tab w:val="center" w:pos="4680"/>
        <w:tab w:val="right" w:pos="9360"/>
      </w:tabs>
    </w:pPr>
  </w:style>
  <w:style w:type="character" w:customStyle="1" w:styleId="HeaderChar">
    <w:name w:val="Header Char"/>
    <w:basedOn w:val="DefaultParagraphFont"/>
    <w:link w:val="Header"/>
    <w:uiPriority w:val="99"/>
    <w:rsid w:val="00820E55"/>
  </w:style>
  <w:style w:type="paragraph" w:styleId="Footer">
    <w:name w:val="footer"/>
    <w:basedOn w:val="Normal"/>
    <w:link w:val="FooterChar"/>
    <w:uiPriority w:val="99"/>
    <w:unhideWhenUsed/>
    <w:rsid w:val="00820E55"/>
    <w:pPr>
      <w:tabs>
        <w:tab w:val="center" w:pos="4680"/>
        <w:tab w:val="right" w:pos="9360"/>
      </w:tabs>
    </w:pPr>
  </w:style>
  <w:style w:type="character" w:customStyle="1" w:styleId="FooterChar">
    <w:name w:val="Footer Char"/>
    <w:basedOn w:val="DefaultParagraphFont"/>
    <w:link w:val="Footer"/>
    <w:uiPriority w:val="99"/>
    <w:rsid w:val="0082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380">
      <w:bodyDiv w:val="1"/>
      <w:marLeft w:val="0"/>
      <w:marRight w:val="0"/>
      <w:marTop w:val="0"/>
      <w:marBottom w:val="0"/>
      <w:divBdr>
        <w:top w:val="none" w:sz="0" w:space="0" w:color="auto"/>
        <w:left w:val="none" w:sz="0" w:space="0" w:color="auto"/>
        <w:bottom w:val="none" w:sz="0" w:space="0" w:color="auto"/>
        <w:right w:val="none" w:sz="0" w:space="0" w:color="auto"/>
      </w:divBdr>
      <w:divsChild>
        <w:div w:id="1311907578">
          <w:marLeft w:val="0"/>
          <w:marRight w:val="0"/>
          <w:marTop w:val="0"/>
          <w:marBottom w:val="0"/>
          <w:divBdr>
            <w:top w:val="none" w:sz="0" w:space="0" w:color="auto"/>
            <w:left w:val="none" w:sz="0" w:space="0" w:color="auto"/>
            <w:bottom w:val="none" w:sz="0" w:space="0" w:color="auto"/>
            <w:right w:val="none" w:sz="0" w:space="0" w:color="auto"/>
          </w:divBdr>
          <w:divsChild>
            <w:div w:id="1855604615">
              <w:marLeft w:val="0"/>
              <w:marRight w:val="0"/>
              <w:marTop w:val="0"/>
              <w:marBottom w:val="0"/>
              <w:divBdr>
                <w:top w:val="none" w:sz="0" w:space="0" w:color="auto"/>
                <w:left w:val="none" w:sz="0" w:space="0" w:color="auto"/>
                <w:bottom w:val="none" w:sz="0" w:space="0" w:color="auto"/>
                <w:right w:val="none" w:sz="0" w:space="0" w:color="auto"/>
              </w:divBdr>
            </w:div>
            <w:div w:id="700326241">
              <w:marLeft w:val="0"/>
              <w:marRight w:val="0"/>
              <w:marTop w:val="0"/>
              <w:marBottom w:val="0"/>
              <w:divBdr>
                <w:top w:val="none" w:sz="0" w:space="0" w:color="auto"/>
                <w:left w:val="none" w:sz="0" w:space="0" w:color="auto"/>
                <w:bottom w:val="none" w:sz="0" w:space="0" w:color="auto"/>
                <w:right w:val="none" w:sz="0" w:space="0" w:color="auto"/>
              </w:divBdr>
            </w:div>
            <w:div w:id="523639930">
              <w:marLeft w:val="0"/>
              <w:marRight w:val="0"/>
              <w:marTop w:val="0"/>
              <w:marBottom w:val="0"/>
              <w:divBdr>
                <w:top w:val="none" w:sz="0" w:space="0" w:color="auto"/>
                <w:left w:val="none" w:sz="0" w:space="0" w:color="auto"/>
                <w:bottom w:val="none" w:sz="0" w:space="0" w:color="auto"/>
                <w:right w:val="none" w:sz="0" w:space="0" w:color="auto"/>
              </w:divBdr>
            </w:div>
            <w:div w:id="1984658780">
              <w:marLeft w:val="0"/>
              <w:marRight w:val="0"/>
              <w:marTop w:val="0"/>
              <w:marBottom w:val="0"/>
              <w:divBdr>
                <w:top w:val="none" w:sz="0" w:space="0" w:color="auto"/>
                <w:left w:val="none" w:sz="0" w:space="0" w:color="auto"/>
                <w:bottom w:val="none" w:sz="0" w:space="0" w:color="auto"/>
                <w:right w:val="none" w:sz="0" w:space="0" w:color="auto"/>
              </w:divBdr>
            </w:div>
            <w:div w:id="1496415672">
              <w:marLeft w:val="0"/>
              <w:marRight w:val="0"/>
              <w:marTop w:val="0"/>
              <w:marBottom w:val="0"/>
              <w:divBdr>
                <w:top w:val="none" w:sz="0" w:space="0" w:color="auto"/>
                <w:left w:val="none" w:sz="0" w:space="0" w:color="auto"/>
                <w:bottom w:val="none" w:sz="0" w:space="0" w:color="auto"/>
                <w:right w:val="none" w:sz="0" w:space="0" w:color="auto"/>
              </w:divBdr>
            </w:div>
            <w:div w:id="836921744">
              <w:marLeft w:val="0"/>
              <w:marRight w:val="0"/>
              <w:marTop w:val="0"/>
              <w:marBottom w:val="0"/>
              <w:divBdr>
                <w:top w:val="none" w:sz="0" w:space="0" w:color="auto"/>
                <w:left w:val="none" w:sz="0" w:space="0" w:color="auto"/>
                <w:bottom w:val="none" w:sz="0" w:space="0" w:color="auto"/>
                <w:right w:val="none" w:sz="0" w:space="0" w:color="auto"/>
              </w:divBdr>
            </w:div>
            <w:div w:id="1893886381">
              <w:marLeft w:val="0"/>
              <w:marRight w:val="0"/>
              <w:marTop w:val="0"/>
              <w:marBottom w:val="0"/>
              <w:divBdr>
                <w:top w:val="none" w:sz="0" w:space="0" w:color="auto"/>
                <w:left w:val="none" w:sz="0" w:space="0" w:color="auto"/>
                <w:bottom w:val="none" w:sz="0" w:space="0" w:color="auto"/>
                <w:right w:val="none" w:sz="0" w:space="0" w:color="auto"/>
              </w:divBdr>
            </w:div>
            <w:div w:id="974026562">
              <w:marLeft w:val="0"/>
              <w:marRight w:val="0"/>
              <w:marTop w:val="0"/>
              <w:marBottom w:val="0"/>
              <w:divBdr>
                <w:top w:val="none" w:sz="0" w:space="0" w:color="auto"/>
                <w:left w:val="none" w:sz="0" w:space="0" w:color="auto"/>
                <w:bottom w:val="none" w:sz="0" w:space="0" w:color="auto"/>
                <w:right w:val="none" w:sz="0" w:space="0" w:color="auto"/>
              </w:divBdr>
            </w:div>
            <w:div w:id="973944480">
              <w:marLeft w:val="0"/>
              <w:marRight w:val="0"/>
              <w:marTop w:val="0"/>
              <w:marBottom w:val="0"/>
              <w:divBdr>
                <w:top w:val="none" w:sz="0" w:space="0" w:color="auto"/>
                <w:left w:val="none" w:sz="0" w:space="0" w:color="auto"/>
                <w:bottom w:val="none" w:sz="0" w:space="0" w:color="auto"/>
                <w:right w:val="none" w:sz="0" w:space="0" w:color="auto"/>
              </w:divBdr>
            </w:div>
            <w:div w:id="684212830">
              <w:marLeft w:val="0"/>
              <w:marRight w:val="0"/>
              <w:marTop w:val="0"/>
              <w:marBottom w:val="0"/>
              <w:divBdr>
                <w:top w:val="none" w:sz="0" w:space="0" w:color="auto"/>
                <w:left w:val="none" w:sz="0" w:space="0" w:color="auto"/>
                <w:bottom w:val="none" w:sz="0" w:space="0" w:color="auto"/>
                <w:right w:val="none" w:sz="0" w:space="0" w:color="auto"/>
              </w:divBdr>
            </w:div>
            <w:div w:id="964190351">
              <w:marLeft w:val="0"/>
              <w:marRight w:val="0"/>
              <w:marTop w:val="0"/>
              <w:marBottom w:val="0"/>
              <w:divBdr>
                <w:top w:val="none" w:sz="0" w:space="0" w:color="auto"/>
                <w:left w:val="none" w:sz="0" w:space="0" w:color="auto"/>
                <w:bottom w:val="none" w:sz="0" w:space="0" w:color="auto"/>
                <w:right w:val="none" w:sz="0" w:space="0" w:color="auto"/>
              </w:divBdr>
            </w:div>
            <w:div w:id="17525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2020-08-18T18:30:00+00:00</Judgment_x0020_Date>
    <Year xmlns="63bdd487-88aa-4c54-b893-ddaa81ed2e7c">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9D231E-289B-4A82-9F42-984D8F9CC319}">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2ED65C91-0DA9-464E-A23B-821459DBD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C6B44-4AF7-4F0E-9E5F-5C62FEA48604}">
  <ds:schemaRefs>
    <ds:schemaRef ds:uri="http://schemas.microsoft.com/sharepoint/v3/contenttype/forms"/>
  </ds:schemaRefs>
</ds:datastoreItem>
</file>

<file path=customXml/itemProps4.xml><?xml version="1.0" encoding="utf-8"?>
<ds:datastoreItem xmlns:ds="http://schemas.openxmlformats.org/officeDocument/2006/customXml" ds:itemID="{A3A52D36-3D12-4ADA-B7F2-3C1A9EF5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Prosecutor-General v Namoloh </vt:lpstr>
    </vt:vector>
  </TitlesOfParts>
  <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Prosecutor-General v Namoloh</dc:title>
  <dc:subject/>
  <dc:creator>damasbonsmara26@gmail.com</dc:creator>
  <cp:keywords/>
  <dc:description/>
  <cp:lastModifiedBy>HOME</cp:lastModifiedBy>
  <cp:revision>2</cp:revision>
  <cp:lastPrinted>2020-08-18T13:24:00Z</cp:lastPrinted>
  <dcterms:created xsi:type="dcterms:W3CDTF">2021-07-19T14:09:00Z</dcterms:created>
  <dcterms:modified xsi:type="dcterms:W3CDTF">2021-07-19T14:09:00Z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