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28239F13"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8A4E31">
        <w:rPr>
          <w:rFonts w:ascii="Arial" w:hAnsi="Arial" w:cs="Arial"/>
          <w:sz w:val="24"/>
          <w:szCs w:val="24"/>
        </w:rPr>
        <w:t>CR 1</w:t>
      </w:r>
      <w:r w:rsidRPr="006263C1">
        <w:rPr>
          <w:rFonts w:ascii="Arial" w:hAnsi="Arial" w:cs="Arial"/>
          <w:sz w:val="24"/>
          <w:szCs w:val="24"/>
        </w:rPr>
        <w:t xml:space="preserve"> </w:t>
      </w:r>
      <w:r>
        <w:rPr>
          <w:rFonts w:ascii="Arial" w:hAnsi="Arial" w:cs="Arial"/>
          <w:sz w:val="24"/>
          <w:szCs w:val="24"/>
        </w:rPr>
        <w:t>/20</w:t>
      </w:r>
      <w:r w:rsidR="008A4E31">
        <w:rPr>
          <w:rFonts w:ascii="Arial" w:hAnsi="Arial" w:cs="Arial"/>
          <w:sz w:val="24"/>
          <w:szCs w:val="24"/>
        </w:rPr>
        <w:t>13</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799A5213" w:rsidR="009D3D25" w:rsidRPr="00500CF6" w:rsidRDefault="008A4E31" w:rsidP="00B74507">
            <w:pPr>
              <w:spacing w:line="480" w:lineRule="auto"/>
              <w:ind w:left="-108"/>
              <w:jc w:val="both"/>
              <w:rPr>
                <w:rFonts w:ascii="Arial" w:hAnsi="Arial" w:cs="Arial"/>
                <w:b/>
                <w:sz w:val="24"/>
                <w:szCs w:val="24"/>
              </w:rPr>
            </w:pPr>
            <w:r>
              <w:rPr>
                <w:rFonts w:ascii="Arial" w:hAnsi="Arial" w:cs="Arial"/>
                <w:b/>
                <w:sz w:val="24"/>
                <w:szCs w:val="24"/>
              </w:rPr>
              <w:t>OHORONGO CEMENT (PTY) LTD</w:t>
            </w:r>
          </w:p>
        </w:tc>
        <w:tc>
          <w:tcPr>
            <w:tcW w:w="2967" w:type="dxa"/>
            <w:shd w:val="clear" w:color="auto" w:fill="auto"/>
          </w:tcPr>
          <w:p w14:paraId="3ACE3708" w14:textId="4A987668" w:rsidR="009D3D25" w:rsidRPr="00500CF6" w:rsidRDefault="009D3D25" w:rsidP="008A4E31">
            <w:pPr>
              <w:spacing w:line="480" w:lineRule="auto"/>
              <w:jc w:val="right"/>
              <w:rPr>
                <w:rFonts w:ascii="Arial" w:hAnsi="Arial" w:cs="Arial"/>
                <w:b/>
                <w:sz w:val="24"/>
                <w:szCs w:val="24"/>
              </w:rPr>
            </w:pPr>
            <w:r>
              <w:rPr>
                <w:rFonts w:ascii="Arial" w:hAnsi="Arial" w:cs="Arial"/>
                <w:b/>
                <w:sz w:val="24"/>
                <w:szCs w:val="24"/>
              </w:rPr>
              <w:t>App</w:t>
            </w:r>
            <w:r w:rsidR="008A4E31">
              <w:rPr>
                <w:rFonts w:ascii="Arial" w:hAnsi="Arial" w:cs="Arial"/>
                <w:b/>
                <w:sz w:val="24"/>
                <w:szCs w:val="24"/>
              </w:rPr>
              <w:t>licant</w:t>
            </w:r>
          </w:p>
        </w:tc>
      </w:tr>
      <w:tr w:rsidR="009D3D25" w:rsidRPr="00500CF6" w14:paraId="720D5D95" w14:textId="77777777" w:rsidTr="00B74507">
        <w:tc>
          <w:tcPr>
            <w:tcW w:w="5821" w:type="dxa"/>
            <w:shd w:val="clear" w:color="auto" w:fill="auto"/>
          </w:tcPr>
          <w:p w14:paraId="7694CF35" w14:textId="716801CB" w:rsidR="009D3D25" w:rsidRDefault="002662D4"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100877BF" w14:textId="46D3C716" w:rsidR="009D3D25" w:rsidRDefault="008A4E31" w:rsidP="00AE7816">
            <w:pPr>
              <w:spacing w:line="480" w:lineRule="auto"/>
              <w:ind w:left="-108"/>
              <w:jc w:val="both"/>
              <w:rPr>
                <w:rFonts w:ascii="Arial" w:hAnsi="Arial" w:cs="Arial"/>
                <w:b/>
                <w:sz w:val="24"/>
                <w:szCs w:val="24"/>
              </w:rPr>
            </w:pPr>
            <w:r>
              <w:rPr>
                <w:rFonts w:ascii="Arial" w:hAnsi="Arial" w:cs="Arial"/>
                <w:b/>
                <w:sz w:val="24"/>
                <w:szCs w:val="24"/>
              </w:rPr>
              <w:t>JACK’S TRADING CLOSE CORPORATION</w:t>
            </w:r>
          </w:p>
          <w:p w14:paraId="3B055850"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MINISTER OF FINANCE</w:t>
            </w:r>
          </w:p>
          <w:p w14:paraId="0E024F0E"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HEAD OF THE OFFICE OF THE COMMISSIONER</w:t>
            </w:r>
          </w:p>
          <w:p w14:paraId="385C5C45"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FOR CUSTOMS AND EXCISE</w:t>
            </w:r>
          </w:p>
          <w:p w14:paraId="4A4CA094" w14:textId="2F5619EE" w:rsidR="008A4E31" w:rsidRPr="003646EE" w:rsidRDefault="008A4E31" w:rsidP="00AE7816">
            <w:pPr>
              <w:spacing w:line="480" w:lineRule="auto"/>
              <w:ind w:left="-108"/>
              <w:jc w:val="both"/>
              <w:rPr>
                <w:rFonts w:ascii="Arial" w:hAnsi="Arial" w:cs="Arial"/>
                <w:sz w:val="24"/>
                <w:szCs w:val="24"/>
              </w:rPr>
            </w:pPr>
            <w:r w:rsidRPr="003646EE">
              <w:rPr>
                <w:rFonts w:ascii="Arial" w:hAnsi="Arial" w:cs="Arial"/>
                <w:sz w:val="24"/>
                <w:szCs w:val="24"/>
              </w:rPr>
              <w:t>and</w:t>
            </w:r>
          </w:p>
          <w:p w14:paraId="0F792681"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Ex Parte:</w:t>
            </w:r>
          </w:p>
          <w:p w14:paraId="49C3C3F2" w14:textId="77777777" w:rsidR="003646EE" w:rsidRDefault="003646EE" w:rsidP="00AE7816">
            <w:pPr>
              <w:spacing w:line="480" w:lineRule="auto"/>
              <w:ind w:left="-108"/>
              <w:jc w:val="both"/>
              <w:rPr>
                <w:rFonts w:ascii="Arial" w:hAnsi="Arial" w:cs="Arial"/>
                <w:b/>
                <w:sz w:val="24"/>
                <w:szCs w:val="24"/>
              </w:rPr>
            </w:pPr>
          </w:p>
          <w:p w14:paraId="17263B97"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ATTORNEY-GENERAL</w:t>
            </w:r>
          </w:p>
          <w:p w14:paraId="0B4E57C1"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t>IN RE:</w:t>
            </w:r>
          </w:p>
          <w:p w14:paraId="1276F003" w14:textId="77777777" w:rsidR="008A4E31" w:rsidRDefault="008A4E31" w:rsidP="00AE7816">
            <w:pPr>
              <w:spacing w:line="480" w:lineRule="auto"/>
              <w:ind w:left="-108"/>
              <w:jc w:val="both"/>
              <w:rPr>
                <w:rFonts w:ascii="Arial" w:hAnsi="Arial" w:cs="Arial"/>
                <w:sz w:val="24"/>
                <w:szCs w:val="24"/>
              </w:rPr>
            </w:pPr>
            <w:r>
              <w:rPr>
                <w:rFonts w:ascii="Arial" w:hAnsi="Arial" w:cs="Arial"/>
                <w:sz w:val="24"/>
                <w:szCs w:val="24"/>
              </w:rPr>
              <w:t>High Court matter (Case No.: A316/2012) between</w:t>
            </w:r>
          </w:p>
          <w:p w14:paraId="336C8FD0" w14:textId="77777777" w:rsidR="008A4E31" w:rsidRDefault="008A4E31" w:rsidP="00AE7816">
            <w:pPr>
              <w:spacing w:line="480" w:lineRule="auto"/>
              <w:ind w:left="-108"/>
              <w:jc w:val="both"/>
              <w:rPr>
                <w:rFonts w:ascii="Arial" w:hAnsi="Arial" w:cs="Arial"/>
                <w:b/>
                <w:sz w:val="24"/>
                <w:szCs w:val="24"/>
              </w:rPr>
            </w:pPr>
            <w:r>
              <w:rPr>
                <w:rFonts w:ascii="Arial" w:hAnsi="Arial" w:cs="Arial"/>
                <w:b/>
                <w:sz w:val="24"/>
                <w:szCs w:val="24"/>
              </w:rPr>
              <w:lastRenderedPageBreak/>
              <w:t>JACK’S TRADING CLOSE CORPORATION</w:t>
            </w:r>
          </w:p>
          <w:p w14:paraId="1F3B4C96" w14:textId="405D44EE" w:rsidR="008A4E31" w:rsidRDefault="00E06AF7" w:rsidP="00AE7816">
            <w:pPr>
              <w:spacing w:line="480" w:lineRule="auto"/>
              <w:ind w:left="-108"/>
              <w:jc w:val="both"/>
              <w:rPr>
                <w:rFonts w:ascii="Arial" w:hAnsi="Arial" w:cs="Arial"/>
                <w:sz w:val="24"/>
                <w:szCs w:val="24"/>
              </w:rPr>
            </w:pPr>
            <w:r>
              <w:rPr>
                <w:rFonts w:ascii="Arial" w:hAnsi="Arial" w:cs="Arial"/>
                <w:sz w:val="24"/>
                <w:szCs w:val="24"/>
              </w:rPr>
              <w:t>and</w:t>
            </w:r>
          </w:p>
          <w:p w14:paraId="5F48294E" w14:textId="77777777" w:rsidR="00E06AF7" w:rsidRDefault="00E06AF7" w:rsidP="00AE7816">
            <w:pPr>
              <w:spacing w:line="480" w:lineRule="auto"/>
              <w:ind w:left="-108"/>
              <w:jc w:val="both"/>
              <w:rPr>
                <w:rFonts w:ascii="Arial" w:hAnsi="Arial" w:cs="Arial"/>
                <w:b/>
                <w:sz w:val="24"/>
                <w:szCs w:val="24"/>
              </w:rPr>
            </w:pPr>
            <w:r>
              <w:rPr>
                <w:rFonts w:ascii="Arial" w:hAnsi="Arial" w:cs="Arial"/>
                <w:b/>
                <w:sz w:val="24"/>
                <w:szCs w:val="24"/>
              </w:rPr>
              <w:t>MINISTER OF FINANCE</w:t>
            </w:r>
          </w:p>
          <w:p w14:paraId="6E657F5B" w14:textId="77777777" w:rsidR="00E06AF7" w:rsidRDefault="00E06AF7" w:rsidP="00AE7816">
            <w:pPr>
              <w:spacing w:line="480" w:lineRule="auto"/>
              <w:ind w:left="-108"/>
              <w:jc w:val="both"/>
              <w:rPr>
                <w:rFonts w:ascii="Arial" w:hAnsi="Arial" w:cs="Arial"/>
                <w:b/>
                <w:sz w:val="24"/>
                <w:szCs w:val="24"/>
              </w:rPr>
            </w:pPr>
            <w:r>
              <w:rPr>
                <w:rFonts w:ascii="Arial" w:hAnsi="Arial" w:cs="Arial"/>
                <w:b/>
                <w:sz w:val="24"/>
                <w:szCs w:val="24"/>
              </w:rPr>
              <w:t xml:space="preserve">THE COMMISSIONER, HEAD OF THE OFFICE OF </w:t>
            </w:r>
          </w:p>
          <w:p w14:paraId="67179C4C" w14:textId="77777777" w:rsidR="00E06AF7" w:rsidRDefault="00E06AF7" w:rsidP="00AE7816">
            <w:pPr>
              <w:spacing w:line="480" w:lineRule="auto"/>
              <w:ind w:left="-108"/>
              <w:jc w:val="both"/>
              <w:rPr>
                <w:rFonts w:ascii="Arial" w:hAnsi="Arial" w:cs="Arial"/>
                <w:b/>
                <w:sz w:val="24"/>
                <w:szCs w:val="24"/>
              </w:rPr>
            </w:pPr>
            <w:r>
              <w:rPr>
                <w:rFonts w:ascii="Arial" w:hAnsi="Arial" w:cs="Arial"/>
                <w:b/>
                <w:sz w:val="24"/>
                <w:szCs w:val="24"/>
              </w:rPr>
              <w:t>THE COMMISSIONER FOR CUSTOMS AND EXCISE</w:t>
            </w:r>
          </w:p>
          <w:p w14:paraId="77598A06" w14:textId="0FD40C5E" w:rsidR="00E06AF7" w:rsidRPr="00E06AF7" w:rsidRDefault="00E06AF7" w:rsidP="00AE7816">
            <w:pPr>
              <w:spacing w:line="480" w:lineRule="auto"/>
              <w:ind w:left="-108"/>
              <w:jc w:val="both"/>
              <w:rPr>
                <w:rFonts w:ascii="Arial" w:hAnsi="Arial" w:cs="Arial"/>
                <w:b/>
                <w:sz w:val="24"/>
                <w:szCs w:val="24"/>
              </w:rPr>
            </w:pPr>
            <w:r>
              <w:rPr>
                <w:rFonts w:ascii="Arial" w:hAnsi="Arial" w:cs="Arial"/>
                <w:b/>
                <w:sz w:val="24"/>
                <w:szCs w:val="24"/>
              </w:rPr>
              <w:t>OHORONGO CEMENT (PTY) LTD</w:t>
            </w:r>
          </w:p>
        </w:tc>
        <w:tc>
          <w:tcPr>
            <w:tcW w:w="2967" w:type="dxa"/>
            <w:shd w:val="clear" w:color="auto" w:fill="auto"/>
          </w:tcPr>
          <w:p w14:paraId="2C5133E3" w14:textId="77777777" w:rsidR="009D3D25" w:rsidRDefault="008A4E31" w:rsidP="00500CF6">
            <w:pPr>
              <w:spacing w:line="480" w:lineRule="auto"/>
              <w:jc w:val="right"/>
              <w:rPr>
                <w:rFonts w:ascii="Arial" w:hAnsi="Arial" w:cs="Arial"/>
                <w:b/>
                <w:sz w:val="24"/>
                <w:szCs w:val="24"/>
              </w:rPr>
            </w:pPr>
            <w:r>
              <w:rPr>
                <w:rFonts w:ascii="Arial" w:hAnsi="Arial" w:cs="Arial"/>
                <w:b/>
                <w:sz w:val="24"/>
                <w:szCs w:val="24"/>
              </w:rPr>
              <w:lastRenderedPageBreak/>
              <w:t xml:space="preserve">First </w:t>
            </w:r>
            <w:r w:rsidR="009D3D25" w:rsidRPr="00500CF6">
              <w:rPr>
                <w:rFonts w:ascii="Arial" w:hAnsi="Arial" w:cs="Arial"/>
                <w:b/>
                <w:sz w:val="24"/>
                <w:szCs w:val="24"/>
              </w:rPr>
              <w:t>Respondent</w:t>
            </w:r>
          </w:p>
          <w:p w14:paraId="10A54DD0" w14:textId="77777777" w:rsidR="008A4E31" w:rsidRDefault="008A4E31" w:rsidP="00500CF6">
            <w:pPr>
              <w:spacing w:line="480" w:lineRule="auto"/>
              <w:jc w:val="right"/>
              <w:rPr>
                <w:rFonts w:ascii="Arial" w:hAnsi="Arial" w:cs="Arial"/>
                <w:b/>
                <w:sz w:val="24"/>
                <w:szCs w:val="24"/>
              </w:rPr>
            </w:pPr>
            <w:r>
              <w:rPr>
                <w:rFonts w:ascii="Arial" w:hAnsi="Arial" w:cs="Arial"/>
                <w:b/>
                <w:sz w:val="24"/>
                <w:szCs w:val="24"/>
              </w:rPr>
              <w:t>Second Respondent</w:t>
            </w:r>
          </w:p>
          <w:p w14:paraId="31417CC5" w14:textId="77777777" w:rsidR="008A4E31" w:rsidRDefault="008A4E31" w:rsidP="00500CF6">
            <w:pPr>
              <w:spacing w:line="480" w:lineRule="auto"/>
              <w:jc w:val="right"/>
              <w:rPr>
                <w:rFonts w:ascii="Arial" w:hAnsi="Arial" w:cs="Arial"/>
                <w:b/>
                <w:sz w:val="24"/>
                <w:szCs w:val="24"/>
              </w:rPr>
            </w:pPr>
          </w:p>
          <w:p w14:paraId="0071C83A" w14:textId="77777777" w:rsidR="00C07BA6" w:rsidRDefault="00C07BA6" w:rsidP="00C07BA6">
            <w:pPr>
              <w:spacing w:line="480" w:lineRule="auto"/>
              <w:jc w:val="right"/>
              <w:rPr>
                <w:rFonts w:ascii="Arial" w:hAnsi="Arial" w:cs="Arial"/>
                <w:b/>
                <w:sz w:val="24"/>
                <w:szCs w:val="24"/>
              </w:rPr>
            </w:pPr>
            <w:r>
              <w:rPr>
                <w:rFonts w:ascii="Arial" w:hAnsi="Arial" w:cs="Arial"/>
                <w:b/>
                <w:sz w:val="24"/>
                <w:szCs w:val="24"/>
              </w:rPr>
              <w:t>Third Respondent</w:t>
            </w:r>
          </w:p>
          <w:p w14:paraId="152D8CA4" w14:textId="77777777" w:rsidR="008A4E31" w:rsidRDefault="008A4E31" w:rsidP="00500CF6">
            <w:pPr>
              <w:spacing w:line="480" w:lineRule="auto"/>
              <w:jc w:val="right"/>
              <w:rPr>
                <w:rFonts w:ascii="Arial" w:hAnsi="Arial" w:cs="Arial"/>
                <w:b/>
                <w:sz w:val="24"/>
                <w:szCs w:val="24"/>
              </w:rPr>
            </w:pPr>
          </w:p>
          <w:p w14:paraId="28EB6FD7" w14:textId="77777777" w:rsidR="008A4E31" w:rsidRDefault="008A4E31" w:rsidP="00500CF6">
            <w:pPr>
              <w:spacing w:line="480" w:lineRule="auto"/>
              <w:jc w:val="right"/>
              <w:rPr>
                <w:rFonts w:ascii="Arial" w:hAnsi="Arial" w:cs="Arial"/>
                <w:b/>
                <w:sz w:val="24"/>
                <w:szCs w:val="24"/>
              </w:rPr>
            </w:pPr>
          </w:p>
          <w:p w14:paraId="764105C2" w14:textId="77777777" w:rsidR="003646EE" w:rsidRDefault="003646EE" w:rsidP="00500CF6">
            <w:pPr>
              <w:spacing w:line="480" w:lineRule="auto"/>
              <w:jc w:val="right"/>
              <w:rPr>
                <w:rFonts w:ascii="Arial" w:hAnsi="Arial" w:cs="Arial"/>
                <w:b/>
                <w:sz w:val="24"/>
                <w:szCs w:val="24"/>
              </w:rPr>
            </w:pPr>
          </w:p>
          <w:p w14:paraId="68FB4219" w14:textId="77777777" w:rsidR="008A4E31" w:rsidRDefault="008A4E31" w:rsidP="00500CF6">
            <w:pPr>
              <w:spacing w:line="480" w:lineRule="auto"/>
              <w:jc w:val="right"/>
              <w:rPr>
                <w:rFonts w:ascii="Arial" w:hAnsi="Arial" w:cs="Arial"/>
                <w:b/>
                <w:sz w:val="24"/>
                <w:szCs w:val="24"/>
              </w:rPr>
            </w:pPr>
            <w:r>
              <w:rPr>
                <w:rFonts w:ascii="Arial" w:hAnsi="Arial" w:cs="Arial"/>
                <w:b/>
                <w:sz w:val="24"/>
                <w:szCs w:val="24"/>
              </w:rPr>
              <w:t>Petitioner</w:t>
            </w:r>
          </w:p>
          <w:p w14:paraId="24A93B22" w14:textId="77777777" w:rsidR="008A4E31" w:rsidRDefault="008A4E31" w:rsidP="00500CF6">
            <w:pPr>
              <w:spacing w:line="480" w:lineRule="auto"/>
              <w:jc w:val="right"/>
              <w:rPr>
                <w:rFonts w:ascii="Arial" w:hAnsi="Arial" w:cs="Arial"/>
                <w:b/>
                <w:sz w:val="24"/>
                <w:szCs w:val="24"/>
              </w:rPr>
            </w:pPr>
          </w:p>
          <w:p w14:paraId="4244FD28" w14:textId="77777777" w:rsidR="008A4E31" w:rsidRDefault="008A4E31" w:rsidP="00500CF6">
            <w:pPr>
              <w:spacing w:line="480" w:lineRule="auto"/>
              <w:jc w:val="right"/>
              <w:rPr>
                <w:rFonts w:ascii="Arial" w:hAnsi="Arial" w:cs="Arial"/>
                <w:b/>
                <w:sz w:val="24"/>
                <w:szCs w:val="24"/>
              </w:rPr>
            </w:pPr>
          </w:p>
          <w:p w14:paraId="4AF2E459" w14:textId="77777777" w:rsidR="008A4E31" w:rsidRDefault="00E06AF7" w:rsidP="00500CF6">
            <w:pPr>
              <w:spacing w:line="480" w:lineRule="auto"/>
              <w:jc w:val="right"/>
              <w:rPr>
                <w:rFonts w:ascii="Arial" w:hAnsi="Arial" w:cs="Arial"/>
                <w:b/>
                <w:sz w:val="24"/>
                <w:szCs w:val="24"/>
              </w:rPr>
            </w:pPr>
            <w:r>
              <w:rPr>
                <w:rFonts w:ascii="Arial" w:hAnsi="Arial" w:cs="Arial"/>
                <w:b/>
                <w:sz w:val="24"/>
                <w:szCs w:val="24"/>
              </w:rPr>
              <w:lastRenderedPageBreak/>
              <w:t>Applicant</w:t>
            </w:r>
          </w:p>
          <w:p w14:paraId="30E8CCE2" w14:textId="77777777" w:rsidR="00E06AF7" w:rsidRDefault="00E06AF7" w:rsidP="00500CF6">
            <w:pPr>
              <w:spacing w:line="480" w:lineRule="auto"/>
              <w:jc w:val="right"/>
              <w:rPr>
                <w:rFonts w:ascii="Arial" w:hAnsi="Arial" w:cs="Arial"/>
                <w:b/>
                <w:sz w:val="24"/>
                <w:szCs w:val="24"/>
              </w:rPr>
            </w:pPr>
          </w:p>
          <w:p w14:paraId="4383FB05" w14:textId="77777777" w:rsidR="00E06AF7" w:rsidRDefault="00E06AF7" w:rsidP="00500CF6">
            <w:pPr>
              <w:spacing w:line="480" w:lineRule="auto"/>
              <w:jc w:val="right"/>
              <w:rPr>
                <w:rFonts w:ascii="Arial" w:hAnsi="Arial" w:cs="Arial"/>
                <w:b/>
                <w:sz w:val="24"/>
                <w:szCs w:val="24"/>
              </w:rPr>
            </w:pPr>
            <w:r>
              <w:rPr>
                <w:rFonts w:ascii="Arial" w:hAnsi="Arial" w:cs="Arial"/>
                <w:b/>
                <w:sz w:val="24"/>
                <w:szCs w:val="24"/>
              </w:rPr>
              <w:t>First Respondent</w:t>
            </w:r>
          </w:p>
          <w:p w14:paraId="3941B8EC" w14:textId="77777777" w:rsidR="00E06AF7" w:rsidRDefault="00E06AF7" w:rsidP="00500CF6">
            <w:pPr>
              <w:spacing w:line="480" w:lineRule="auto"/>
              <w:jc w:val="right"/>
              <w:rPr>
                <w:rFonts w:ascii="Arial" w:hAnsi="Arial" w:cs="Arial"/>
                <w:b/>
                <w:sz w:val="24"/>
                <w:szCs w:val="24"/>
              </w:rPr>
            </w:pPr>
          </w:p>
          <w:p w14:paraId="296001DD" w14:textId="77777777" w:rsidR="00E06AF7" w:rsidRDefault="00E06AF7" w:rsidP="00E06AF7">
            <w:pPr>
              <w:spacing w:line="360" w:lineRule="auto"/>
              <w:jc w:val="right"/>
              <w:rPr>
                <w:rFonts w:ascii="Arial" w:hAnsi="Arial" w:cs="Arial"/>
                <w:b/>
                <w:sz w:val="24"/>
                <w:szCs w:val="24"/>
              </w:rPr>
            </w:pPr>
          </w:p>
          <w:p w14:paraId="614B63D3" w14:textId="77777777" w:rsidR="00E06AF7" w:rsidRDefault="00E06AF7" w:rsidP="00500CF6">
            <w:pPr>
              <w:spacing w:line="480" w:lineRule="auto"/>
              <w:jc w:val="right"/>
              <w:rPr>
                <w:rFonts w:ascii="Arial" w:hAnsi="Arial" w:cs="Arial"/>
                <w:b/>
                <w:sz w:val="24"/>
                <w:szCs w:val="24"/>
              </w:rPr>
            </w:pPr>
            <w:r>
              <w:rPr>
                <w:rFonts w:ascii="Arial" w:hAnsi="Arial" w:cs="Arial"/>
                <w:b/>
                <w:sz w:val="24"/>
                <w:szCs w:val="24"/>
              </w:rPr>
              <w:t>Second Respondent</w:t>
            </w:r>
          </w:p>
          <w:p w14:paraId="4110F8A6" w14:textId="244174AA" w:rsidR="00E06AF7" w:rsidRPr="00500CF6" w:rsidRDefault="00E06AF7" w:rsidP="00E06AF7">
            <w:pPr>
              <w:spacing w:line="360" w:lineRule="auto"/>
              <w:jc w:val="right"/>
              <w:rPr>
                <w:rFonts w:ascii="Arial" w:hAnsi="Arial" w:cs="Arial"/>
                <w:b/>
                <w:sz w:val="24"/>
                <w:szCs w:val="24"/>
              </w:rPr>
            </w:pPr>
            <w:r>
              <w:rPr>
                <w:rFonts w:ascii="Arial" w:hAnsi="Arial" w:cs="Arial"/>
                <w:b/>
                <w:sz w:val="24"/>
                <w:szCs w:val="24"/>
              </w:rPr>
              <w:t>Third Respondent</w:t>
            </w:r>
          </w:p>
        </w:tc>
      </w:tr>
      <w:tr w:rsidR="00FD5FF1" w:rsidRPr="00500CF6" w14:paraId="357EA66E" w14:textId="77777777" w:rsidTr="00B74507">
        <w:tc>
          <w:tcPr>
            <w:tcW w:w="5821" w:type="dxa"/>
            <w:shd w:val="clear" w:color="auto" w:fill="auto"/>
          </w:tcPr>
          <w:p w14:paraId="21523690" w14:textId="632F0E0F"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6B387DD5"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E06AF7">
        <w:rPr>
          <w:rFonts w:ascii="Arial" w:hAnsi="Arial" w:cs="Arial"/>
          <w:sz w:val="24"/>
          <w:szCs w:val="24"/>
        </w:rPr>
        <w:t xml:space="preserve">SHIVUTE CJ, </w:t>
      </w:r>
      <w:r w:rsidR="003B4D6E">
        <w:rPr>
          <w:rFonts w:ascii="Arial" w:hAnsi="Arial" w:cs="Arial"/>
          <w:sz w:val="24"/>
          <w:szCs w:val="24"/>
        </w:rPr>
        <w:t>MARITZ JA and MAINGA JA</w:t>
      </w:r>
    </w:p>
    <w:p w14:paraId="3D2501C0" w14:textId="2B3BA846"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A423AF">
        <w:rPr>
          <w:rFonts w:ascii="Arial" w:hAnsi="Arial" w:cs="Arial"/>
          <w:b/>
          <w:sz w:val="24"/>
          <w:szCs w:val="24"/>
        </w:rPr>
        <w:t>09 July</w:t>
      </w:r>
      <w:r w:rsidRPr="00594B41">
        <w:rPr>
          <w:rFonts w:ascii="Arial" w:hAnsi="Arial" w:cs="Arial"/>
          <w:b/>
          <w:sz w:val="24"/>
          <w:szCs w:val="24"/>
        </w:rPr>
        <w:t xml:space="preserve"> 201</w:t>
      </w:r>
      <w:r w:rsidR="00A423AF">
        <w:rPr>
          <w:rFonts w:ascii="Arial" w:hAnsi="Arial" w:cs="Arial"/>
          <w:b/>
          <w:sz w:val="24"/>
          <w:szCs w:val="24"/>
        </w:rPr>
        <w:t>3</w:t>
      </w:r>
    </w:p>
    <w:p w14:paraId="4FC0E56F" w14:textId="44531636"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2662D4">
        <w:rPr>
          <w:rFonts w:ascii="Arial" w:hAnsi="Arial" w:cs="Arial"/>
          <w:b/>
          <w:sz w:val="24"/>
          <w:szCs w:val="24"/>
        </w:rPr>
        <w:t>20</w:t>
      </w:r>
      <w:r w:rsidR="00A423AF">
        <w:rPr>
          <w:rFonts w:ascii="Arial" w:hAnsi="Arial" w:cs="Arial"/>
          <w:b/>
          <w:sz w:val="24"/>
          <w:szCs w:val="24"/>
        </w:rPr>
        <w:t xml:space="preserve"> May 2020</w:t>
      </w:r>
    </w:p>
    <w:p w14:paraId="210ACDC6" w14:textId="77777777" w:rsidR="00E41F9F" w:rsidRDefault="00E41F9F" w:rsidP="006018B8">
      <w:pPr>
        <w:spacing w:after="0" w:line="360" w:lineRule="auto"/>
        <w:jc w:val="both"/>
        <w:rPr>
          <w:rFonts w:ascii="Arial" w:hAnsi="Arial" w:cs="Arial"/>
          <w:b/>
          <w:sz w:val="24"/>
          <w:szCs w:val="24"/>
        </w:rPr>
      </w:pPr>
    </w:p>
    <w:p w14:paraId="0E0D6C08" w14:textId="281B08CD" w:rsidR="00A423AF" w:rsidRDefault="00545BB4" w:rsidP="006A5EB3">
      <w:pPr>
        <w:spacing w:after="0" w:line="360" w:lineRule="auto"/>
        <w:jc w:val="both"/>
        <w:rPr>
          <w:rFonts w:ascii="Arial" w:hAnsi="Arial" w:cs="Arial"/>
          <w:sz w:val="24"/>
          <w:szCs w:val="24"/>
        </w:rPr>
      </w:pPr>
      <w:r>
        <w:rPr>
          <w:rFonts w:ascii="Arial" w:hAnsi="Arial" w:cs="Arial"/>
          <w:b/>
          <w:sz w:val="24"/>
          <w:szCs w:val="24"/>
        </w:rPr>
        <w:t xml:space="preserve">Summary: </w:t>
      </w:r>
      <w:r w:rsidR="00A423AF" w:rsidRPr="000031E5">
        <w:rPr>
          <w:rFonts w:ascii="Arial" w:hAnsi="Arial" w:cs="Arial"/>
          <w:sz w:val="24"/>
          <w:szCs w:val="24"/>
        </w:rPr>
        <w:t xml:space="preserve">This case concerns two consolidated matters. The first is the review of proceedings of the High Court conducted on 23 January 2013. The second is the interpretation of section 65 of the Customs and Excise Act. In the review matter, Ohorongo Cement (Pty) Ltd, has requested the court to review </w:t>
      </w:r>
      <w:r w:rsidR="00A423AF">
        <w:rPr>
          <w:rFonts w:ascii="Arial" w:hAnsi="Arial" w:cs="Arial"/>
          <w:sz w:val="24"/>
          <w:szCs w:val="24"/>
        </w:rPr>
        <w:t>the proceedings of the High Court in which it says it was unfairly treated when it wanted to intervene in the case brought by Jack’s Trading</w:t>
      </w:r>
      <w:r w:rsidR="00470B5F">
        <w:rPr>
          <w:rFonts w:ascii="Arial" w:hAnsi="Arial" w:cs="Arial"/>
          <w:sz w:val="24"/>
          <w:szCs w:val="24"/>
        </w:rPr>
        <w:t xml:space="preserve"> CC</w:t>
      </w:r>
      <w:r w:rsidR="00A423AF">
        <w:rPr>
          <w:rFonts w:ascii="Arial" w:hAnsi="Arial" w:cs="Arial"/>
          <w:sz w:val="24"/>
          <w:szCs w:val="24"/>
        </w:rPr>
        <w:t xml:space="preserve">, a rival of Ohorongo in the cement </w:t>
      </w:r>
      <w:r w:rsidR="00470B5F">
        <w:rPr>
          <w:rFonts w:ascii="Arial" w:hAnsi="Arial" w:cs="Arial"/>
          <w:sz w:val="24"/>
          <w:szCs w:val="24"/>
        </w:rPr>
        <w:t xml:space="preserve">distribution </w:t>
      </w:r>
      <w:r w:rsidR="00A423AF">
        <w:rPr>
          <w:rFonts w:ascii="Arial" w:hAnsi="Arial" w:cs="Arial"/>
          <w:sz w:val="24"/>
          <w:szCs w:val="24"/>
        </w:rPr>
        <w:t>business at the time, against the Minister of Finance and the Commissioner for Customs and Excise. Ohorongo argued that it was not given an opportunity to present its case fully before the High Court converted an agreement made by the parties in Jack’s Trading</w:t>
      </w:r>
      <w:r w:rsidR="00A423AF" w:rsidRPr="000031E5">
        <w:rPr>
          <w:rFonts w:ascii="Arial" w:hAnsi="Arial" w:cs="Arial"/>
          <w:sz w:val="24"/>
          <w:szCs w:val="24"/>
        </w:rPr>
        <w:t xml:space="preserve"> </w:t>
      </w:r>
      <w:r w:rsidR="00A423AF">
        <w:rPr>
          <w:rFonts w:ascii="Arial" w:hAnsi="Arial" w:cs="Arial"/>
          <w:sz w:val="24"/>
          <w:szCs w:val="24"/>
        </w:rPr>
        <w:t>application into an order of court.</w:t>
      </w:r>
    </w:p>
    <w:p w14:paraId="277E9C84" w14:textId="77777777" w:rsidR="00A423AF" w:rsidRPr="000031E5" w:rsidRDefault="00A423AF" w:rsidP="006A5EB3">
      <w:pPr>
        <w:spacing w:after="0" w:line="360" w:lineRule="auto"/>
        <w:jc w:val="both"/>
        <w:rPr>
          <w:rFonts w:ascii="Arial" w:hAnsi="Arial" w:cs="Arial"/>
          <w:color w:val="000000" w:themeColor="text1"/>
          <w:sz w:val="24"/>
          <w:szCs w:val="24"/>
        </w:rPr>
      </w:pPr>
    </w:p>
    <w:p w14:paraId="33F632DE" w14:textId="1CB55260" w:rsidR="00A423AF" w:rsidRDefault="00A423AF" w:rsidP="006A5EB3">
      <w:pPr>
        <w:tabs>
          <w:tab w:val="left" w:pos="0"/>
        </w:tabs>
        <w:spacing w:after="0" w:line="360" w:lineRule="auto"/>
        <w:jc w:val="both"/>
        <w:rPr>
          <w:rFonts w:ascii="Arial" w:hAnsi="Arial" w:cs="Arial"/>
          <w:sz w:val="24"/>
          <w:szCs w:val="24"/>
        </w:rPr>
      </w:pPr>
      <w:r>
        <w:rPr>
          <w:rFonts w:ascii="Arial" w:hAnsi="Arial" w:cs="Arial"/>
          <w:sz w:val="24"/>
          <w:szCs w:val="24"/>
        </w:rPr>
        <w:t xml:space="preserve">In the second matter, </w:t>
      </w:r>
      <w:r w:rsidRPr="00AE7464">
        <w:rPr>
          <w:rFonts w:ascii="Arial" w:hAnsi="Arial" w:cs="Arial"/>
          <w:sz w:val="24"/>
          <w:szCs w:val="24"/>
        </w:rPr>
        <w:t xml:space="preserve">the Attorney-General </w:t>
      </w:r>
      <w:r>
        <w:rPr>
          <w:rFonts w:ascii="Arial" w:hAnsi="Arial" w:cs="Arial"/>
          <w:sz w:val="24"/>
          <w:szCs w:val="24"/>
        </w:rPr>
        <w:t>approached</w:t>
      </w:r>
      <w:r w:rsidRPr="00AE7464">
        <w:rPr>
          <w:rFonts w:ascii="Arial" w:hAnsi="Arial" w:cs="Arial"/>
          <w:sz w:val="24"/>
          <w:szCs w:val="24"/>
        </w:rPr>
        <w:t xml:space="preserve"> the Supreme Court </w:t>
      </w:r>
      <w:r>
        <w:rPr>
          <w:rFonts w:ascii="Arial" w:hAnsi="Arial" w:cs="Arial"/>
          <w:sz w:val="24"/>
          <w:szCs w:val="24"/>
        </w:rPr>
        <w:t>to interpret the provisions of s</w:t>
      </w:r>
      <w:r w:rsidR="00470B5F">
        <w:rPr>
          <w:rFonts w:ascii="Arial" w:hAnsi="Arial" w:cs="Arial"/>
          <w:sz w:val="24"/>
          <w:szCs w:val="24"/>
        </w:rPr>
        <w:t>ection</w:t>
      </w:r>
      <w:r>
        <w:rPr>
          <w:rFonts w:ascii="Arial" w:hAnsi="Arial" w:cs="Arial"/>
          <w:sz w:val="24"/>
          <w:szCs w:val="24"/>
        </w:rPr>
        <w:t xml:space="preserve"> 65 of the Customs and Excise Act as a court of first and last instance.</w:t>
      </w:r>
      <w:r w:rsidRPr="00AE7464">
        <w:rPr>
          <w:rFonts w:ascii="Arial" w:hAnsi="Arial" w:cs="Arial"/>
          <w:sz w:val="24"/>
          <w:szCs w:val="24"/>
        </w:rPr>
        <w:t xml:space="preserve"> </w:t>
      </w:r>
      <w:r>
        <w:rPr>
          <w:rFonts w:ascii="Arial" w:hAnsi="Arial" w:cs="Arial"/>
          <w:sz w:val="24"/>
          <w:szCs w:val="24"/>
        </w:rPr>
        <w:t xml:space="preserve">The Attorney-General asserted </w:t>
      </w:r>
      <w:r w:rsidRPr="00AE7464">
        <w:rPr>
          <w:rFonts w:ascii="Arial" w:hAnsi="Arial" w:cs="Arial"/>
          <w:sz w:val="24"/>
          <w:szCs w:val="24"/>
        </w:rPr>
        <w:t>that the</w:t>
      </w:r>
      <w:r>
        <w:rPr>
          <w:rFonts w:ascii="Arial" w:hAnsi="Arial" w:cs="Arial"/>
          <w:sz w:val="24"/>
          <w:szCs w:val="24"/>
        </w:rPr>
        <w:t xml:space="preserve"> interpretation of the </w:t>
      </w:r>
      <w:r>
        <w:rPr>
          <w:rFonts w:ascii="Arial" w:hAnsi="Arial" w:cs="Arial"/>
          <w:sz w:val="24"/>
          <w:szCs w:val="24"/>
        </w:rPr>
        <w:lastRenderedPageBreak/>
        <w:t>Customs and Excise Act r</w:t>
      </w:r>
      <w:r w:rsidRPr="00AE7464">
        <w:rPr>
          <w:rFonts w:ascii="Arial" w:hAnsi="Arial" w:cs="Arial"/>
          <w:sz w:val="24"/>
          <w:szCs w:val="24"/>
        </w:rPr>
        <w:t>aise</w:t>
      </w:r>
      <w:r>
        <w:rPr>
          <w:rFonts w:ascii="Arial" w:hAnsi="Arial" w:cs="Arial"/>
          <w:sz w:val="24"/>
          <w:szCs w:val="24"/>
        </w:rPr>
        <w:t>d</w:t>
      </w:r>
      <w:r w:rsidRPr="00AE7464">
        <w:rPr>
          <w:rFonts w:ascii="Arial" w:hAnsi="Arial" w:cs="Arial"/>
          <w:sz w:val="24"/>
          <w:szCs w:val="24"/>
        </w:rPr>
        <w:t xml:space="preserve"> a constitutional question relating to the rule of law and may be referred by </w:t>
      </w:r>
      <w:r>
        <w:rPr>
          <w:rFonts w:ascii="Arial" w:hAnsi="Arial" w:cs="Arial"/>
          <w:sz w:val="24"/>
          <w:szCs w:val="24"/>
        </w:rPr>
        <w:t xml:space="preserve">the Attorney-General </w:t>
      </w:r>
      <w:r w:rsidRPr="00AE7464">
        <w:rPr>
          <w:rFonts w:ascii="Arial" w:hAnsi="Arial" w:cs="Arial"/>
          <w:sz w:val="24"/>
          <w:szCs w:val="24"/>
        </w:rPr>
        <w:t xml:space="preserve">to the Supreme Court for adjudication under the powers vested in </w:t>
      </w:r>
      <w:r>
        <w:rPr>
          <w:rFonts w:ascii="Arial" w:hAnsi="Arial" w:cs="Arial"/>
          <w:sz w:val="24"/>
          <w:szCs w:val="24"/>
        </w:rPr>
        <w:t xml:space="preserve">the Attorney-General </w:t>
      </w:r>
      <w:r w:rsidRPr="00AE7464">
        <w:rPr>
          <w:rFonts w:ascii="Arial" w:hAnsi="Arial" w:cs="Arial"/>
          <w:sz w:val="24"/>
          <w:szCs w:val="24"/>
        </w:rPr>
        <w:t xml:space="preserve">by Articles 87(c) and </w:t>
      </w:r>
      <w:r>
        <w:rPr>
          <w:rFonts w:ascii="Arial" w:hAnsi="Arial" w:cs="Arial"/>
          <w:sz w:val="24"/>
          <w:szCs w:val="24"/>
        </w:rPr>
        <w:t>79(2) of the</w:t>
      </w:r>
      <w:r w:rsidRPr="00AE7464">
        <w:rPr>
          <w:rFonts w:ascii="Arial" w:hAnsi="Arial" w:cs="Arial"/>
          <w:sz w:val="24"/>
          <w:szCs w:val="24"/>
        </w:rPr>
        <w:t xml:space="preserve"> </w:t>
      </w:r>
      <w:r>
        <w:rPr>
          <w:rFonts w:ascii="Arial" w:hAnsi="Arial" w:cs="Arial"/>
          <w:sz w:val="24"/>
          <w:szCs w:val="24"/>
        </w:rPr>
        <w:t xml:space="preserve">Namibian </w:t>
      </w:r>
      <w:r w:rsidRPr="00AE7464">
        <w:rPr>
          <w:rFonts w:ascii="Arial" w:hAnsi="Arial" w:cs="Arial"/>
          <w:sz w:val="24"/>
          <w:szCs w:val="24"/>
        </w:rPr>
        <w:t>Constitution.</w:t>
      </w:r>
    </w:p>
    <w:p w14:paraId="070A3ED3" w14:textId="77777777" w:rsidR="00A423AF" w:rsidRDefault="00A423AF" w:rsidP="006A5EB3">
      <w:pPr>
        <w:tabs>
          <w:tab w:val="left" w:pos="0"/>
        </w:tabs>
        <w:spacing w:after="0" w:line="360" w:lineRule="auto"/>
        <w:jc w:val="both"/>
        <w:rPr>
          <w:rFonts w:ascii="Arial" w:hAnsi="Arial" w:cs="Arial"/>
          <w:sz w:val="24"/>
          <w:szCs w:val="24"/>
        </w:rPr>
      </w:pPr>
    </w:p>
    <w:p w14:paraId="2F18E5C4" w14:textId="674D6382" w:rsidR="00A423AF" w:rsidRDefault="00A423AF" w:rsidP="006A5EB3">
      <w:pPr>
        <w:tabs>
          <w:tab w:val="left" w:pos="0"/>
        </w:tabs>
        <w:spacing w:after="0" w:line="360" w:lineRule="auto"/>
        <w:jc w:val="both"/>
        <w:rPr>
          <w:rFonts w:ascii="Arial" w:hAnsi="Arial" w:cs="Arial"/>
          <w:sz w:val="24"/>
          <w:szCs w:val="24"/>
        </w:rPr>
      </w:pPr>
      <w:r>
        <w:rPr>
          <w:rFonts w:ascii="Arial" w:hAnsi="Arial" w:cs="Arial"/>
          <w:sz w:val="24"/>
          <w:szCs w:val="24"/>
        </w:rPr>
        <w:t>In Ohorongo’s application, the Supreme Court had to decide whether there was an irregularity in the proceedings of the High Court requiring it to review those proceedings. The court held that instances constituting an irregularity in the proceedings had been established and the concerned proceedings of the High Court therefore had to be reviewed and set aside.</w:t>
      </w:r>
    </w:p>
    <w:p w14:paraId="763B9844" w14:textId="77777777" w:rsidR="00A423AF" w:rsidRDefault="00A423AF" w:rsidP="006A5EB3">
      <w:pPr>
        <w:tabs>
          <w:tab w:val="left" w:pos="0"/>
        </w:tabs>
        <w:spacing w:after="0" w:line="360" w:lineRule="auto"/>
        <w:jc w:val="both"/>
        <w:rPr>
          <w:rFonts w:ascii="Arial" w:hAnsi="Arial" w:cs="Arial"/>
          <w:sz w:val="24"/>
          <w:szCs w:val="24"/>
        </w:rPr>
      </w:pPr>
    </w:p>
    <w:p w14:paraId="6933641F" w14:textId="77777777" w:rsidR="00A423AF" w:rsidRDefault="00A423AF" w:rsidP="006A5EB3">
      <w:pPr>
        <w:tabs>
          <w:tab w:val="left" w:pos="0"/>
        </w:tabs>
        <w:spacing w:after="0" w:line="360" w:lineRule="auto"/>
        <w:jc w:val="both"/>
        <w:rPr>
          <w:rFonts w:ascii="Arial" w:hAnsi="Arial" w:cs="Arial"/>
          <w:sz w:val="24"/>
          <w:szCs w:val="24"/>
        </w:rPr>
      </w:pPr>
      <w:r>
        <w:rPr>
          <w:rFonts w:ascii="Arial" w:hAnsi="Arial" w:cs="Arial"/>
          <w:sz w:val="24"/>
          <w:szCs w:val="24"/>
        </w:rPr>
        <w:t>In the petition of the Attorney-General, the court had to decide whether the interpretation of the legislation in question could be linked to the protection and the upholding of the Constitution so as to clothe the court with the power to decide the matter as a court of first instance as opposed to a court of appeal.</w:t>
      </w:r>
    </w:p>
    <w:p w14:paraId="7394E3E2" w14:textId="77777777" w:rsidR="00A423AF" w:rsidRDefault="00A423AF" w:rsidP="006A5EB3">
      <w:pPr>
        <w:tabs>
          <w:tab w:val="left" w:pos="0"/>
        </w:tabs>
        <w:spacing w:after="0" w:line="360" w:lineRule="auto"/>
        <w:jc w:val="both"/>
        <w:rPr>
          <w:rFonts w:ascii="Arial" w:hAnsi="Arial" w:cs="Arial"/>
          <w:sz w:val="24"/>
          <w:szCs w:val="24"/>
        </w:rPr>
      </w:pPr>
    </w:p>
    <w:p w14:paraId="31F74126" w14:textId="1EEF6758" w:rsidR="00A423AF" w:rsidRDefault="00A423AF" w:rsidP="006A5EB3">
      <w:pPr>
        <w:tabs>
          <w:tab w:val="left" w:pos="0"/>
        </w:tabs>
        <w:spacing w:after="0" w:line="360" w:lineRule="auto"/>
        <w:jc w:val="both"/>
        <w:rPr>
          <w:rFonts w:ascii="Arial" w:hAnsi="Arial" w:cs="Arial"/>
          <w:sz w:val="24"/>
          <w:szCs w:val="24"/>
        </w:rPr>
      </w:pPr>
      <w:r>
        <w:rPr>
          <w:rFonts w:ascii="Arial" w:hAnsi="Arial" w:cs="Arial"/>
          <w:sz w:val="24"/>
          <w:szCs w:val="24"/>
        </w:rPr>
        <w:t>Having found that the issues relating to the interpretation of the law in question raised constitutional, urgent and essential matters that should be decided by the court as a court of first instance, the court found that the interpretation of section 65 of the Customs and Excise Act proffered by Jack’s Trading and upheld by the High Court was incorrect. The court held further that the correct interpretation was that subsections (1) and (8) of section 65 of the Act in question are two separate mechanisms that may be used by the Minister of Finance to introduce new duty or tax on specific imported goods.</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0EFA647E" w:rsidR="00FF4712" w:rsidRPr="00A9489D" w:rsidRDefault="00946074" w:rsidP="00FF4712">
      <w:pPr>
        <w:spacing w:after="0" w:line="240" w:lineRule="auto"/>
        <w:jc w:val="center"/>
        <w:rPr>
          <w:rFonts w:ascii="Arial" w:hAnsi="Arial" w:cs="Arial"/>
          <w:b/>
          <w:sz w:val="24"/>
          <w:szCs w:val="24"/>
        </w:rPr>
      </w:pPr>
      <w:r>
        <w:rPr>
          <w:rFonts w:ascii="Arial" w:hAnsi="Arial" w:cs="Arial"/>
          <w:b/>
          <w:sz w:val="24"/>
          <w:szCs w:val="24"/>
        </w:rPr>
        <w:t>REVIEW</w:t>
      </w:r>
      <w:r w:rsidR="00FF4712" w:rsidRPr="00A9489D">
        <w:rPr>
          <w:rFonts w:ascii="Arial" w:hAnsi="Arial" w:cs="Arial"/>
          <w:b/>
          <w:sz w:val="24"/>
          <w:szCs w:val="24"/>
        </w:rPr>
        <w:t xml:space="preserve">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2A93FE79" w14:textId="3786E46E" w:rsidR="00A423AF" w:rsidRPr="001A40C6" w:rsidRDefault="00A423AF" w:rsidP="00A423AF">
      <w:pPr>
        <w:tabs>
          <w:tab w:val="left" w:pos="0"/>
        </w:tabs>
        <w:spacing w:after="0" w:line="480" w:lineRule="auto"/>
        <w:jc w:val="both"/>
        <w:rPr>
          <w:rFonts w:ascii="Arial" w:hAnsi="Arial" w:cs="Arial"/>
          <w:b/>
          <w:sz w:val="24"/>
          <w:szCs w:val="24"/>
        </w:rPr>
      </w:pPr>
      <w:r w:rsidRPr="001F3017">
        <w:rPr>
          <w:rFonts w:ascii="Arial" w:hAnsi="Arial" w:cs="Arial"/>
          <w:sz w:val="24"/>
          <w:szCs w:val="24"/>
        </w:rPr>
        <w:t>SHIVUTE CJ (MAINGA JA concurring)</w:t>
      </w:r>
      <w:r>
        <w:rPr>
          <w:rFonts w:ascii="Arial" w:hAnsi="Arial" w:cs="Arial"/>
          <w:sz w:val="24"/>
          <w:szCs w:val="24"/>
        </w:rPr>
        <w:t>:</w:t>
      </w:r>
    </w:p>
    <w:p w14:paraId="0A963510" w14:textId="77777777" w:rsidR="00A423AF" w:rsidRPr="00805CDF" w:rsidRDefault="00A423AF" w:rsidP="00A423AF">
      <w:pPr>
        <w:tabs>
          <w:tab w:val="left" w:pos="0"/>
        </w:tabs>
        <w:spacing w:line="480" w:lineRule="auto"/>
        <w:jc w:val="both"/>
        <w:rPr>
          <w:rFonts w:ascii="Arial" w:hAnsi="Arial" w:cs="Arial"/>
          <w:sz w:val="24"/>
          <w:szCs w:val="24"/>
          <w:u w:val="single"/>
        </w:rPr>
      </w:pPr>
      <w:r w:rsidRPr="00805CDF">
        <w:rPr>
          <w:rFonts w:ascii="Arial" w:hAnsi="Arial" w:cs="Arial"/>
          <w:sz w:val="24"/>
          <w:szCs w:val="24"/>
          <w:u w:val="single"/>
        </w:rPr>
        <w:t>Background</w:t>
      </w:r>
    </w:p>
    <w:p w14:paraId="3F7E56C4" w14:textId="0DD084ED" w:rsidR="00A423AF" w:rsidRPr="00AE7464" w:rsidRDefault="00A423AF" w:rsidP="00A423AF">
      <w:pPr>
        <w:pStyle w:val="ListParagraph"/>
        <w:numPr>
          <w:ilvl w:val="0"/>
          <w:numId w:val="39"/>
        </w:numPr>
        <w:spacing w:after="0" w:line="480" w:lineRule="auto"/>
        <w:ind w:left="0" w:firstLine="0"/>
        <w:jc w:val="both"/>
        <w:rPr>
          <w:rFonts w:ascii="Arial" w:hAnsi="Arial" w:cs="Arial"/>
          <w:color w:val="000000" w:themeColor="text1"/>
          <w:sz w:val="24"/>
          <w:szCs w:val="24"/>
        </w:rPr>
      </w:pPr>
      <w:r w:rsidRPr="00AE7464">
        <w:rPr>
          <w:rFonts w:ascii="Arial" w:hAnsi="Arial" w:cs="Arial"/>
          <w:sz w:val="24"/>
          <w:szCs w:val="24"/>
        </w:rPr>
        <w:t xml:space="preserve">There </w:t>
      </w:r>
      <w:r>
        <w:rPr>
          <w:rFonts w:ascii="Arial" w:hAnsi="Arial" w:cs="Arial"/>
          <w:sz w:val="24"/>
          <w:szCs w:val="24"/>
        </w:rPr>
        <w:t>were</w:t>
      </w:r>
      <w:r w:rsidRPr="00AE7464">
        <w:rPr>
          <w:rFonts w:ascii="Arial" w:hAnsi="Arial" w:cs="Arial"/>
          <w:sz w:val="24"/>
          <w:szCs w:val="24"/>
        </w:rPr>
        <w:t xml:space="preserve"> two petitions in this matter. In the first, the petitioner, Ohorongo Cement (Pty) Ltd (Ohorongo)</w:t>
      </w:r>
      <w:r>
        <w:rPr>
          <w:rFonts w:ascii="Arial" w:hAnsi="Arial" w:cs="Arial"/>
          <w:sz w:val="24"/>
          <w:szCs w:val="24"/>
        </w:rPr>
        <w:t>,</w:t>
      </w:r>
      <w:r w:rsidRPr="00AE7464">
        <w:rPr>
          <w:rFonts w:ascii="Arial" w:hAnsi="Arial" w:cs="Arial"/>
          <w:sz w:val="24"/>
          <w:szCs w:val="24"/>
        </w:rPr>
        <w:t xml:space="preserve"> approached this Court with the request for the Court </w:t>
      </w:r>
      <w:r w:rsidRPr="00AE7464">
        <w:rPr>
          <w:rFonts w:ascii="Arial" w:hAnsi="Arial" w:cs="Arial"/>
          <w:sz w:val="24"/>
          <w:szCs w:val="24"/>
        </w:rPr>
        <w:lastRenderedPageBreak/>
        <w:t>to invoke its review powers as envisaged in s</w:t>
      </w:r>
      <w:r>
        <w:rPr>
          <w:rFonts w:ascii="Arial" w:hAnsi="Arial" w:cs="Arial"/>
          <w:sz w:val="24"/>
          <w:szCs w:val="24"/>
        </w:rPr>
        <w:t>ection</w:t>
      </w:r>
      <w:r w:rsidRPr="00AE7464">
        <w:rPr>
          <w:rFonts w:ascii="Arial" w:hAnsi="Arial" w:cs="Arial"/>
          <w:sz w:val="24"/>
          <w:szCs w:val="24"/>
        </w:rPr>
        <w:t xml:space="preserve"> 16 of the Supreme Court Act 15 of 1990 (the Supreme Court Act). To that end, it lodged an affidavit deposed to by its Managing Director to bring to the Court’s attention </w:t>
      </w:r>
      <w:r>
        <w:rPr>
          <w:rFonts w:ascii="Arial" w:hAnsi="Arial" w:cs="Arial"/>
          <w:sz w:val="24"/>
          <w:szCs w:val="24"/>
        </w:rPr>
        <w:t xml:space="preserve">an </w:t>
      </w:r>
      <w:r w:rsidRPr="00AE7464">
        <w:rPr>
          <w:rFonts w:ascii="Arial" w:hAnsi="Arial" w:cs="Arial"/>
          <w:sz w:val="24"/>
          <w:szCs w:val="24"/>
        </w:rPr>
        <w:t>alleged irregularit</w:t>
      </w:r>
      <w:r>
        <w:rPr>
          <w:rFonts w:ascii="Arial" w:hAnsi="Arial" w:cs="Arial"/>
          <w:sz w:val="24"/>
          <w:szCs w:val="24"/>
        </w:rPr>
        <w:t>y</w:t>
      </w:r>
      <w:r w:rsidRPr="00AE7464">
        <w:rPr>
          <w:rFonts w:ascii="Arial" w:hAnsi="Arial" w:cs="Arial"/>
          <w:sz w:val="24"/>
          <w:szCs w:val="24"/>
        </w:rPr>
        <w:t xml:space="preserve"> in the </w:t>
      </w:r>
      <w:r>
        <w:rPr>
          <w:rFonts w:ascii="Arial" w:hAnsi="Arial" w:cs="Arial"/>
          <w:sz w:val="24"/>
          <w:szCs w:val="24"/>
        </w:rPr>
        <w:t xml:space="preserve">High Court </w:t>
      </w:r>
      <w:r w:rsidRPr="00AE7464">
        <w:rPr>
          <w:rFonts w:ascii="Arial" w:hAnsi="Arial" w:cs="Arial"/>
          <w:sz w:val="24"/>
          <w:szCs w:val="24"/>
        </w:rPr>
        <w:t xml:space="preserve">proceedings </w:t>
      </w:r>
      <w:r>
        <w:rPr>
          <w:rFonts w:ascii="Arial" w:hAnsi="Arial" w:cs="Arial"/>
          <w:sz w:val="24"/>
          <w:szCs w:val="24"/>
        </w:rPr>
        <w:t>of</w:t>
      </w:r>
      <w:r w:rsidRPr="00AE7464">
        <w:rPr>
          <w:rFonts w:ascii="Arial" w:hAnsi="Arial" w:cs="Arial"/>
          <w:sz w:val="24"/>
          <w:szCs w:val="24"/>
        </w:rPr>
        <w:t xml:space="preserve"> 23 January 2013 in an application </w:t>
      </w:r>
      <w:r>
        <w:rPr>
          <w:rFonts w:ascii="Arial" w:hAnsi="Arial" w:cs="Arial"/>
          <w:sz w:val="24"/>
          <w:szCs w:val="24"/>
        </w:rPr>
        <w:t xml:space="preserve">between </w:t>
      </w:r>
      <w:r w:rsidRPr="00AE7464">
        <w:rPr>
          <w:rFonts w:ascii="Arial" w:hAnsi="Arial" w:cs="Arial"/>
          <w:sz w:val="24"/>
          <w:szCs w:val="24"/>
        </w:rPr>
        <w:t xml:space="preserve">Jack’s Trading CC (Jack’s Trading) </w:t>
      </w:r>
      <w:r>
        <w:rPr>
          <w:rFonts w:ascii="Arial" w:hAnsi="Arial" w:cs="Arial"/>
          <w:sz w:val="24"/>
          <w:szCs w:val="24"/>
        </w:rPr>
        <w:t xml:space="preserve">and </w:t>
      </w:r>
      <w:r w:rsidRPr="00AE7464">
        <w:rPr>
          <w:rFonts w:ascii="Arial" w:hAnsi="Arial" w:cs="Arial"/>
          <w:sz w:val="24"/>
          <w:szCs w:val="24"/>
        </w:rPr>
        <w:t>the Minister of Finance (the Minister) a</w:t>
      </w:r>
      <w:r>
        <w:rPr>
          <w:rFonts w:ascii="Arial" w:hAnsi="Arial" w:cs="Arial"/>
          <w:sz w:val="24"/>
          <w:szCs w:val="24"/>
        </w:rPr>
        <w:t xml:space="preserve">s well as </w:t>
      </w:r>
      <w:r w:rsidRPr="00AE7464">
        <w:rPr>
          <w:rFonts w:ascii="Arial" w:hAnsi="Arial" w:cs="Arial"/>
          <w:sz w:val="24"/>
          <w:szCs w:val="24"/>
        </w:rPr>
        <w:t>the Head of the Office of the Commissioner for Customs</w:t>
      </w:r>
      <w:r>
        <w:rPr>
          <w:rFonts w:ascii="Arial" w:hAnsi="Arial" w:cs="Arial"/>
          <w:sz w:val="24"/>
          <w:szCs w:val="24"/>
        </w:rPr>
        <w:t xml:space="preserve"> and Excise (the Commissioner).</w:t>
      </w:r>
    </w:p>
    <w:p w14:paraId="6CD380A1" w14:textId="77777777" w:rsidR="00A423AF" w:rsidRPr="008278B0" w:rsidRDefault="00A423AF" w:rsidP="00A423AF">
      <w:pPr>
        <w:spacing w:after="0" w:line="480" w:lineRule="auto"/>
        <w:jc w:val="both"/>
        <w:rPr>
          <w:rFonts w:ascii="Arial" w:hAnsi="Arial" w:cs="Arial"/>
          <w:color w:val="000000" w:themeColor="text1"/>
          <w:sz w:val="24"/>
          <w:szCs w:val="24"/>
        </w:rPr>
      </w:pPr>
    </w:p>
    <w:p w14:paraId="08FAA21E" w14:textId="1D63EBA6" w:rsidR="00A423AF" w:rsidRPr="00FE0D0C" w:rsidRDefault="00A423AF" w:rsidP="00C07BA6">
      <w:pPr>
        <w:pStyle w:val="ListParagraph"/>
        <w:numPr>
          <w:ilvl w:val="0"/>
          <w:numId w:val="39"/>
        </w:numPr>
        <w:spacing w:after="0" w:line="480" w:lineRule="auto"/>
        <w:ind w:left="0" w:firstLine="0"/>
        <w:jc w:val="both"/>
        <w:rPr>
          <w:rFonts w:ascii="Arial" w:hAnsi="Arial" w:cs="Arial"/>
          <w:color w:val="000000" w:themeColor="text1"/>
          <w:sz w:val="24"/>
          <w:szCs w:val="24"/>
        </w:rPr>
      </w:pPr>
      <w:r w:rsidRPr="00AE7464">
        <w:rPr>
          <w:rFonts w:ascii="Arial" w:hAnsi="Arial" w:cs="Arial"/>
          <w:sz w:val="24"/>
          <w:szCs w:val="24"/>
        </w:rPr>
        <w:t>The alleged irregularit</w:t>
      </w:r>
      <w:r>
        <w:rPr>
          <w:rFonts w:ascii="Arial" w:hAnsi="Arial" w:cs="Arial"/>
          <w:sz w:val="24"/>
          <w:szCs w:val="24"/>
        </w:rPr>
        <w:t>y</w:t>
      </w:r>
      <w:r w:rsidRPr="00AE7464">
        <w:rPr>
          <w:rFonts w:ascii="Arial" w:hAnsi="Arial" w:cs="Arial"/>
          <w:sz w:val="24"/>
          <w:szCs w:val="24"/>
        </w:rPr>
        <w:t xml:space="preserve"> relate</w:t>
      </w:r>
      <w:r>
        <w:rPr>
          <w:rFonts w:ascii="Arial" w:hAnsi="Arial" w:cs="Arial"/>
          <w:sz w:val="24"/>
          <w:szCs w:val="24"/>
        </w:rPr>
        <w:t>s</w:t>
      </w:r>
      <w:r w:rsidRPr="00AE7464">
        <w:rPr>
          <w:rFonts w:ascii="Arial" w:hAnsi="Arial" w:cs="Arial"/>
          <w:sz w:val="24"/>
          <w:szCs w:val="24"/>
        </w:rPr>
        <w:t xml:space="preserve"> to an application by Ohorongo to intervene as a respondent in th</w:t>
      </w:r>
      <w:r w:rsidR="003646EE">
        <w:rPr>
          <w:rFonts w:ascii="Arial" w:hAnsi="Arial" w:cs="Arial"/>
          <w:sz w:val="24"/>
          <w:szCs w:val="24"/>
        </w:rPr>
        <w:t xml:space="preserve">e application by Jack’s Trading. </w:t>
      </w:r>
      <w:r w:rsidRPr="00AE7464">
        <w:rPr>
          <w:rFonts w:ascii="Arial" w:hAnsi="Arial" w:cs="Arial"/>
          <w:sz w:val="24"/>
          <w:szCs w:val="24"/>
        </w:rPr>
        <w:t>The irregularit</w:t>
      </w:r>
      <w:r>
        <w:rPr>
          <w:rFonts w:ascii="Arial" w:hAnsi="Arial" w:cs="Arial"/>
          <w:sz w:val="24"/>
          <w:szCs w:val="24"/>
        </w:rPr>
        <w:t>y</w:t>
      </w:r>
      <w:r w:rsidRPr="00AE7464">
        <w:rPr>
          <w:rFonts w:ascii="Arial" w:hAnsi="Arial" w:cs="Arial"/>
          <w:sz w:val="24"/>
          <w:szCs w:val="24"/>
        </w:rPr>
        <w:t xml:space="preserve"> and the consequences thereof, it claims, warrant this Court’s </w:t>
      </w:r>
      <w:r w:rsidRPr="00AE7464">
        <w:rPr>
          <w:rFonts w:ascii="Arial" w:hAnsi="Arial" w:cs="Arial"/>
          <w:i/>
          <w:sz w:val="24"/>
          <w:szCs w:val="24"/>
        </w:rPr>
        <w:t>mero moto</w:t>
      </w:r>
      <w:r w:rsidRPr="00AE7464">
        <w:rPr>
          <w:rFonts w:ascii="Arial" w:hAnsi="Arial" w:cs="Arial"/>
          <w:sz w:val="24"/>
          <w:szCs w:val="24"/>
        </w:rPr>
        <w:t xml:space="preserve"> invocation of its review jurisdiction. </w:t>
      </w:r>
      <w:r w:rsidRPr="00117ED4">
        <w:rPr>
          <w:rFonts w:ascii="Arial" w:hAnsi="Arial" w:cs="Arial"/>
          <w:sz w:val="24"/>
          <w:szCs w:val="24"/>
        </w:rPr>
        <w:t xml:space="preserve">In light of the information disclosed in the petition, the Chief Justice decided that </w:t>
      </w:r>
      <w:r>
        <w:rPr>
          <w:rFonts w:ascii="Arial" w:hAnsi="Arial" w:cs="Arial"/>
          <w:sz w:val="24"/>
          <w:szCs w:val="24"/>
        </w:rPr>
        <w:t xml:space="preserve">sufficient grounds for an irregularity in the proceedings had been established </w:t>
      </w:r>
      <w:r w:rsidRPr="00117ED4">
        <w:rPr>
          <w:rFonts w:ascii="Arial" w:hAnsi="Arial" w:cs="Arial"/>
          <w:sz w:val="24"/>
          <w:szCs w:val="24"/>
        </w:rPr>
        <w:t xml:space="preserve">justifying the exercise of the </w:t>
      </w:r>
      <w:r>
        <w:rPr>
          <w:rFonts w:ascii="Arial" w:hAnsi="Arial" w:cs="Arial"/>
          <w:sz w:val="24"/>
          <w:szCs w:val="24"/>
        </w:rPr>
        <w:t>court</w:t>
      </w:r>
      <w:r w:rsidRPr="00117ED4">
        <w:rPr>
          <w:rFonts w:ascii="Arial" w:hAnsi="Arial" w:cs="Arial"/>
          <w:sz w:val="24"/>
          <w:szCs w:val="24"/>
        </w:rPr>
        <w:t>'s jurisdiction as contemplated in s</w:t>
      </w:r>
      <w:r>
        <w:rPr>
          <w:rFonts w:ascii="Arial" w:hAnsi="Arial" w:cs="Arial"/>
          <w:sz w:val="24"/>
          <w:szCs w:val="24"/>
        </w:rPr>
        <w:t>ection</w:t>
      </w:r>
      <w:r w:rsidRPr="00117ED4">
        <w:rPr>
          <w:rFonts w:ascii="Arial" w:hAnsi="Arial" w:cs="Arial"/>
          <w:sz w:val="24"/>
          <w:szCs w:val="24"/>
        </w:rPr>
        <w:t xml:space="preserve"> 16 of the </w:t>
      </w:r>
      <w:r>
        <w:rPr>
          <w:rFonts w:ascii="Arial" w:hAnsi="Arial" w:cs="Arial"/>
          <w:sz w:val="24"/>
          <w:szCs w:val="24"/>
        </w:rPr>
        <w:t xml:space="preserve">Supreme Court </w:t>
      </w:r>
      <w:r w:rsidRPr="00117ED4">
        <w:rPr>
          <w:rFonts w:ascii="Arial" w:hAnsi="Arial" w:cs="Arial"/>
          <w:sz w:val="24"/>
          <w:szCs w:val="24"/>
        </w:rPr>
        <w:t xml:space="preserve">Act. </w:t>
      </w:r>
      <w:r>
        <w:rPr>
          <w:rFonts w:ascii="Arial" w:hAnsi="Arial" w:cs="Arial"/>
          <w:sz w:val="24"/>
          <w:szCs w:val="24"/>
        </w:rPr>
        <w:t>Accordingly, s</w:t>
      </w:r>
      <w:r w:rsidRPr="00117ED4">
        <w:rPr>
          <w:rFonts w:ascii="Arial" w:hAnsi="Arial" w:cs="Arial"/>
          <w:sz w:val="24"/>
          <w:szCs w:val="24"/>
        </w:rPr>
        <w:t xml:space="preserve">everal </w:t>
      </w:r>
      <w:r>
        <w:rPr>
          <w:rFonts w:ascii="Arial" w:hAnsi="Arial" w:cs="Arial"/>
          <w:sz w:val="24"/>
          <w:szCs w:val="24"/>
        </w:rPr>
        <w:t xml:space="preserve">procedural </w:t>
      </w:r>
      <w:r w:rsidRPr="00117ED4">
        <w:rPr>
          <w:rFonts w:ascii="Arial" w:hAnsi="Arial" w:cs="Arial"/>
          <w:sz w:val="24"/>
          <w:szCs w:val="24"/>
        </w:rPr>
        <w:t>directions regulating the conduct of the review proceedings were issued.</w:t>
      </w:r>
      <w:r>
        <w:rPr>
          <w:rFonts w:ascii="Arial" w:hAnsi="Arial" w:cs="Arial"/>
          <w:sz w:val="24"/>
          <w:szCs w:val="24"/>
        </w:rPr>
        <w:t xml:space="preserve"> Pursuant to those directions, Ohorongo initiated an application calling upon the respondents to show cause why the proceedings and order of the High Court (including the settlement agreement) under case number A316/2012 made on 23 January 2013 in the application between Jack’s Trading and the Minister as well as the Commissioner (the main application); and the application brought by Ohorongo against the litigants in the main application, under the same case number, for leave to intervene as a respondent in the main application and for ancillary relief, should not be reviewed and corrected or set aside.</w:t>
      </w:r>
    </w:p>
    <w:p w14:paraId="122A15AB" w14:textId="77777777" w:rsidR="00A423AF" w:rsidRPr="00FE0D0C" w:rsidRDefault="00A423AF" w:rsidP="00A423AF">
      <w:pPr>
        <w:spacing w:after="0" w:line="480" w:lineRule="auto"/>
        <w:jc w:val="both"/>
        <w:rPr>
          <w:rFonts w:ascii="Arial" w:hAnsi="Arial" w:cs="Arial"/>
          <w:color w:val="000000" w:themeColor="text1"/>
          <w:sz w:val="24"/>
          <w:szCs w:val="24"/>
        </w:rPr>
      </w:pPr>
    </w:p>
    <w:p w14:paraId="738E0082" w14:textId="2CAA0501" w:rsidR="00A423AF" w:rsidRPr="0050769C" w:rsidRDefault="00A423AF" w:rsidP="00A423AF">
      <w:pPr>
        <w:pStyle w:val="ListParagraph"/>
        <w:numPr>
          <w:ilvl w:val="0"/>
          <w:numId w:val="39"/>
        </w:numPr>
        <w:spacing w:after="0" w:line="480" w:lineRule="auto"/>
        <w:ind w:left="0" w:firstLine="0"/>
        <w:jc w:val="both"/>
        <w:rPr>
          <w:rFonts w:ascii="Arial" w:hAnsi="Arial" w:cs="Arial"/>
          <w:color w:val="000000" w:themeColor="text1"/>
          <w:sz w:val="24"/>
          <w:szCs w:val="24"/>
        </w:rPr>
      </w:pPr>
      <w:r w:rsidRPr="0050769C">
        <w:rPr>
          <w:rFonts w:ascii="Arial" w:hAnsi="Arial" w:cs="Arial"/>
          <w:sz w:val="24"/>
          <w:szCs w:val="24"/>
        </w:rPr>
        <w:lastRenderedPageBreak/>
        <w:t xml:space="preserve">Ohorongo’s application is opposed by Jack’s Trading only. In </w:t>
      </w:r>
      <w:r>
        <w:rPr>
          <w:rFonts w:ascii="Arial" w:hAnsi="Arial" w:cs="Arial"/>
          <w:sz w:val="24"/>
          <w:szCs w:val="24"/>
        </w:rPr>
        <w:t xml:space="preserve">its </w:t>
      </w:r>
      <w:r w:rsidRPr="0050769C">
        <w:rPr>
          <w:rFonts w:ascii="Arial" w:hAnsi="Arial" w:cs="Arial"/>
          <w:sz w:val="24"/>
          <w:szCs w:val="24"/>
        </w:rPr>
        <w:t>answering affidavit</w:t>
      </w:r>
      <w:r>
        <w:rPr>
          <w:rFonts w:ascii="Arial" w:hAnsi="Arial" w:cs="Arial"/>
          <w:sz w:val="24"/>
          <w:szCs w:val="24"/>
        </w:rPr>
        <w:t>,</w:t>
      </w:r>
      <w:r w:rsidRPr="0050769C">
        <w:rPr>
          <w:rFonts w:ascii="Arial" w:hAnsi="Arial" w:cs="Arial"/>
          <w:sz w:val="24"/>
          <w:szCs w:val="24"/>
        </w:rPr>
        <w:t xml:space="preserve"> Jack’s Trading</w:t>
      </w:r>
      <w:r>
        <w:rPr>
          <w:rFonts w:ascii="Arial" w:hAnsi="Arial" w:cs="Arial"/>
          <w:sz w:val="24"/>
          <w:szCs w:val="24"/>
        </w:rPr>
        <w:t xml:space="preserve"> </w:t>
      </w:r>
      <w:r w:rsidRPr="0050769C">
        <w:rPr>
          <w:rFonts w:ascii="Arial" w:hAnsi="Arial" w:cs="Arial"/>
          <w:sz w:val="24"/>
          <w:szCs w:val="24"/>
        </w:rPr>
        <w:t xml:space="preserve">denied that the High Court committed an irregularity in the proceedings. </w:t>
      </w:r>
      <w:r>
        <w:rPr>
          <w:rFonts w:ascii="Arial" w:hAnsi="Arial" w:cs="Arial"/>
          <w:sz w:val="24"/>
          <w:szCs w:val="24"/>
        </w:rPr>
        <w:t xml:space="preserve">It further </w:t>
      </w:r>
      <w:r w:rsidRPr="0050769C">
        <w:rPr>
          <w:rFonts w:ascii="Arial" w:hAnsi="Arial" w:cs="Arial"/>
          <w:sz w:val="24"/>
          <w:szCs w:val="24"/>
        </w:rPr>
        <w:t>disputed the allegations on which Ohorongo relies</w:t>
      </w:r>
      <w:r>
        <w:rPr>
          <w:rFonts w:ascii="Arial" w:hAnsi="Arial" w:cs="Arial"/>
          <w:sz w:val="24"/>
          <w:szCs w:val="24"/>
        </w:rPr>
        <w:t xml:space="preserve"> for the contention of irregularity</w:t>
      </w:r>
      <w:r w:rsidRPr="0050769C">
        <w:rPr>
          <w:rFonts w:ascii="Arial" w:hAnsi="Arial" w:cs="Arial"/>
          <w:sz w:val="24"/>
          <w:szCs w:val="24"/>
        </w:rPr>
        <w:t xml:space="preserve">. </w:t>
      </w:r>
      <w:r>
        <w:rPr>
          <w:rFonts w:ascii="Arial" w:hAnsi="Arial" w:cs="Arial"/>
          <w:sz w:val="24"/>
          <w:szCs w:val="24"/>
        </w:rPr>
        <w:t xml:space="preserve">I will advert to Jack’s Trading’s other arguments later in the judgment. </w:t>
      </w:r>
      <w:r w:rsidRPr="0050769C">
        <w:rPr>
          <w:rFonts w:ascii="Arial" w:hAnsi="Arial" w:cs="Arial"/>
          <w:sz w:val="24"/>
          <w:szCs w:val="24"/>
        </w:rPr>
        <w:t xml:space="preserve">Ohorongo lodged a replying affidavit in which it took issue with </w:t>
      </w:r>
      <w:r>
        <w:rPr>
          <w:rFonts w:ascii="Arial" w:hAnsi="Arial" w:cs="Arial"/>
          <w:sz w:val="24"/>
          <w:szCs w:val="24"/>
        </w:rPr>
        <w:t>t</w:t>
      </w:r>
      <w:r w:rsidRPr="0050769C">
        <w:rPr>
          <w:rFonts w:ascii="Arial" w:hAnsi="Arial" w:cs="Arial"/>
          <w:sz w:val="24"/>
          <w:szCs w:val="24"/>
        </w:rPr>
        <w:t xml:space="preserve">he allegations made on behalf of </w:t>
      </w:r>
      <w:r>
        <w:rPr>
          <w:rFonts w:ascii="Arial" w:hAnsi="Arial" w:cs="Arial"/>
          <w:sz w:val="24"/>
          <w:szCs w:val="24"/>
        </w:rPr>
        <w:t>Jack’s Trading</w:t>
      </w:r>
      <w:r w:rsidRPr="0050769C">
        <w:rPr>
          <w:rFonts w:ascii="Arial" w:hAnsi="Arial" w:cs="Arial"/>
          <w:sz w:val="24"/>
          <w:szCs w:val="24"/>
        </w:rPr>
        <w:t xml:space="preserve">, contending </w:t>
      </w:r>
      <w:r>
        <w:rPr>
          <w:rFonts w:ascii="Arial" w:hAnsi="Arial" w:cs="Arial"/>
          <w:sz w:val="24"/>
          <w:szCs w:val="24"/>
        </w:rPr>
        <w:t xml:space="preserve">in effect </w:t>
      </w:r>
      <w:r w:rsidRPr="0050769C">
        <w:rPr>
          <w:rFonts w:ascii="Arial" w:hAnsi="Arial" w:cs="Arial"/>
          <w:sz w:val="24"/>
          <w:szCs w:val="24"/>
        </w:rPr>
        <w:t>that the essential facts giving rise to the alleged irregularity had not been traversed by the submiss</w:t>
      </w:r>
      <w:r>
        <w:rPr>
          <w:rFonts w:ascii="Arial" w:hAnsi="Arial" w:cs="Arial"/>
          <w:sz w:val="24"/>
          <w:szCs w:val="24"/>
        </w:rPr>
        <w:t>ion of any contradictory facts.</w:t>
      </w:r>
    </w:p>
    <w:p w14:paraId="29B66EB1" w14:textId="77777777" w:rsidR="00A423AF" w:rsidRPr="00FE0D0C" w:rsidRDefault="00A423AF" w:rsidP="00A423AF">
      <w:pPr>
        <w:spacing w:after="0" w:line="480" w:lineRule="auto"/>
        <w:jc w:val="both"/>
        <w:rPr>
          <w:rFonts w:ascii="Arial" w:hAnsi="Arial" w:cs="Arial"/>
          <w:color w:val="000000" w:themeColor="text1"/>
          <w:sz w:val="24"/>
          <w:szCs w:val="24"/>
        </w:rPr>
      </w:pPr>
    </w:p>
    <w:p w14:paraId="56C152B1" w14:textId="3DA14B1F" w:rsidR="00A423AF" w:rsidRPr="00AE7464" w:rsidRDefault="00A423AF" w:rsidP="00A423AF">
      <w:pPr>
        <w:pStyle w:val="ListParagraph"/>
        <w:numPr>
          <w:ilvl w:val="0"/>
          <w:numId w:val="39"/>
        </w:numPr>
        <w:spacing w:after="0" w:line="480" w:lineRule="auto"/>
        <w:ind w:left="0" w:firstLine="0"/>
        <w:jc w:val="both"/>
        <w:rPr>
          <w:rFonts w:ascii="Arial" w:hAnsi="Arial" w:cs="Arial"/>
          <w:color w:val="000000" w:themeColor="text1"/>
          <w:sz w:val="24"/>
          <w:szCs w:val="24"/>
        </w:rPr>
      </w:pPr>
      <w:r w:rsidRPr="00AE7464">
        <w:rPr>
          <w:rFonts w:ascii="Arial" w:hAnsi="Arial" w:cs="Arial"/>
          <w:sz w:val="24"/>
          <w:szCs w:val="24"/>
        </w:rPr>
        <w:t>The other petition was lodged by the Attorney-General. In it, the Attorney-General s</w:t>
      </w:r>
      <w:r>
        <w:rPr>
          <w:rFonts w:ascii="Arial" w:hAnsi="Arial" w:cs="Arial"/>
          <w:sz w:val="24"/>
          <w:szCs w:val="24"/>
        </w:rPr>
        <w:t>ought</w:t>
      </w:r>
      <w:r w:rsidRPr="00AE7464">
        <w:rPr>
          <w:rFonts w:ascii="Arial" w:hAnsi="Arial" w:cs="Arial"/>
          <w:sz w:val="24"/>
          <w:szCs w:val="24"/>
        </w:rPr>
        <w:t xml:space="preserve"> that the Supreme Court exercise its jurisdiction as a court of first instance as contemplated in </w:t>
      </w:r>
      <w:r>
        <w:rPr>
          <w:rFonts w:ascii="Arial" w:hAnsi="Arial" w:cs="Arial"/>
          <w:sz w:val="24"/>
          <w:szCs w:val="24"/>
        </w:rPr>
        <w:t xml:space="preserve">Article 79(2) of the Namibian Constitution (the Constitution) read with the provisions of </w:t>
      </w:r>
      <w:r w:rsidRPr="00AE7464">
        <w:rPr>
          <w:rFonts w:ascii="Arial" w:hAnsi="Arial" w:cs="Arial"/>
          <w:sz w:val="24"/>
          <w:szCs w:val="24"/>
        </w:rPr>
        <w:t>s</w:t>
      </w:r>
      <w:r>
        <w:rPr>
          <w:rFonts w:ascii="Arial" w:hAnsi="Arial" w:cs="Arial"/>
          <w:sz w:val="24"/>
          <w:szCs w:val="24"/>
        </w:rPr>
        <w:t>ection</w:t>
      </w:r>
      <w:r w:rsidRPr="00AE7464">
        <w:rPr>
          <w:rFonts w:ascii="Arial" w:hAnsi="Arial" w:cs="Arial"/>
          <w:sz w:val="24"/>
          <w:szCs w:val="24"/>
        </w:rPr>
        <w:t xml:space="preserve"> 15(2) of the Supreme Court Act to hear and determine the primary legal issue in the proceedings </w:t>
      </w:r>
      <w:r>
        <w:rPr>
          <w:rFonts w:ascii="Arial" w:hAnsi="Arial" w:cs="Arial"/>
          <w:sz w:val="24"/>
          <w:szCs w:val="24"/>
        </w:rPr>
        <w:t xml:space="preserve">that took place in the </w:t>
      </w:r>
      <w:r w:rsidRPr="00AE7464">
        <w:rPr>
          <w:rFonts w:ascii="Arial" w:hAnsi="Arial" w:cs="Arial"/>
          <w:sz w:val="24"/>
          <w:szCs w:val="24"/>
        </w:rPr>
        <w:t xml:space="preserve">High Court referred to in the </w:t>
      </w:r>
      <w:r>
        <w:rPr>
          <w:rFonts w:ascii="Arial" w:hAnsi="Arial" w:cs="Arial"/>
          <w:sz w:val="24"/>
          <w:szCs w:val="24"/>
        </w:rPr>
        <w:t xml:space="preserve">application </w:t>
      </w:r>
      <w:r w:rsidRPr="00AE7464">
        <w:rPr>
          <w:rFonts w:ascii="Arial" w:hAnsi="Arial" w:cs="Arial"/>
          <w:sz w:val="24"/>
          <w:szCs w:val="24"/>
        </w:rPr>
        <w:t>of Ohorongo. He assert</w:t>
      </w:r>
      <w:r>
        <w:rPr>
          <w:rFonts w:ascii="Arial" w:hAnsi="Arial" w:cs="Arial"/>
          <w:sz w:val="24"/>
          <w:szCs w:val="24"/>
        </w:rPr>
        <w:t>ed</w:t>
      </w:r>
      <w:r w:rsidRPr="00AE7464">
        <w:rPr>
          <w:rFonts w:ascii="Arial" w:hAnsi="Arial" w:cs="Arial"/>
          <w:sz w:val="24"/>
          <w:szCs w:val="24"/>
        </w:rPr>
        <w:t xml:space="preserve"> that the issue raises a constitutional question relating to the rule of law and may be referred by him to the Supreme Court for adjudication under the powers vested in him by Articles 87(c) and </w:t>
      </w:r>
      <w:r>
        <w:rPr>
          <w:rFonts w:ascii="Arial" w:hAnsi="Arial" w:cs="Arial"/>
          <w:sz w:val="24"/>
          <w:szCs w:val="24"/>
        </w:rPr>
        <w:t>79(2) of the</w:t>
      </w:r>
      <w:r w:rsidRPr="00AE7464">
        <w:rPr>
          <w:rFonts w:ascii="Arial" w:hAnsi="Arial" w:cs="Arial"/>
          <w:sz w:val="24"/>
          <w:szCs w:val="24"/>
        </w:rPr>
        <w:t xml:space="preserve"> Constitution. In what follows, I shall refer to this petition as the ‘Attorney-General’s petition’ and to the </w:t>
      </w:r>
      <w:r>
        <w:rPr>
          <w:rFonts w:ascii="Arial" w:hAnsi="Arial" w:cs="Arial"/>
          <w:sz w:val="24"/>
          <w:szCs w:val="24"/>
        </w:rPr>
        <w:t xml:space="preserve">application </w:t>
      </w:r>
      <w:r w:rsidRPr="00AE7464">
        <w:rPr>
          <w:rFonts w:ascii="Arial" w:hAnsi="Arial" w:cs="Arial"/>
          <w:sz w:val="24"/>
          <w:szCs w:val="24"/>
        </w:rPr>
        <w:t>by Ohorongo as ‘</w:t>
      </w:r>
      <w:r>
        <w:rPr>
          <w:rFonts w:ascii="Arial" w:hAnsi="Arial" w:cs="Arial"/>
          <w:sz w:val="24"/>
          <w:szCs w:val="24"/>
        </w:rPr>
        <w:t>Ohorongo’s application</w:t>
      </w:r>
      <w:r w:rsidRPr="00AE7464">
        <w:rPr>
          <w:rFonts w:ascii="Arial" w:hAnsi="Arial" w:cs="Arial"/>
          <w:sz w:val="24"/>
          <w:szCs w:val="24"/>
        </w:rPr>
        <w:t xml:space="preserve">’. </w:t>
      </w:r>
      <w:r>
        <w:rPr>
          <w:rFonts w:ascii="Arial" w:hAnsi="Arial" w:cs="Arial"/>
          <w:sz w:val="24"/>
          <w:szCs w:val="24"/>
        </w:rPr>
        <w:t>The Attorney-General’s petition was not opposed.</w:t>
      </w:r>
    </w:p>
    <w:p w14:paraId="518E3AB3" w14:textId="77777777" w:rsidR="00A423AF" w:rsidRPr="00FE0D0C" w:rsidRDefault="00A423AF" w:rsidP="00A423AF">
      <w:pPr>
        <w:spacing w:after="0" w:line="480" w:lineRule="auto"/>
        <w:jc w:val="both"/>
        <w:rPr>
          <w:rFonts w:ascii="Arial" w:hAnsi="Arial" w:cs="Arial"/>
          <w:color w:val="000000" w:themeColor="text1"/>
          <w:sz w:val="24"/>
          <w:szCs w:val="24"/>
        </w:rPr>
      </w:pPr>
    </w:p>
    <w:p w14:paraId="586EBC2B" w14:textId="7B9EB3EB" w:rsidR="00A423AF" w:rsidRPr="00FD4B6B" w:rsidRDefault="00A423AF" w:rsidP="00A423AF">
      <w:pPr>
        <w:pStyle w:val="ListParagraph"/>
        <w:numPr>
          <w:ilvl w:val="0"/>
          <w:numId w:val="39"/>
        </w:numPr>
        <w:spacing w:after="0" w:line="480" w:lineRule="auto"/>
        <w:ind w:left="0" w:firstLine="0"/>
        <w:jc w:val="both"/>
        <w:rPr>
          <w:rFonts w:ascii="Arial" w:hAnsi="Arial" w:cs="Arial"/>
          <w:color w:val="000000" w:themeColor="text1"/>
          <w:sz w:val="24"/>
          <w:szCs w:val="24"/>
        </w:rPr>
      </w:pPr>
      <w:r w:rsidRPr="00AE7464">
        <w:rPr>
          <w:rFonts w:ascii="Arial" w:hAnsi="Arial" w:cs="Arial"/>
          <w:sz w:val="24"/>
          <w:szCs w:val="24"/>
        </w:rPr>
        <w:t xml:space="preserve">In light of the consideration that the </w:t>
      </w:r>
      <w:r>
        <w:rPr>
          <w:rFonts w:ascii="Arial" w:hAnsi="Arial" w:cs="Arial"/>
          <w:sz w:val="24"/>
          <w:szCs w:val="24"/>
        </w:rPr>
        <w:t xml:space="preserve">Attorney-General’s petition and Ohorongo’s application </w:t>
      </w:r>
      <w:r w:rsidRPr="00AE7464">
        <w:rPr>
          <w:rFonts w:ascii="Arial" w:hAnsi="Arial" w:cs="Arial"/>
          <w:sz w:val="24"/>
          <w:szCs w:val="24"/>
        </w:rPr>
        <w:t>ar</w:t>
      </w:r>
      <w:r>
        <w:rPr>
          <w:rFonts w:ascii="Arial" w:hAnsi="Arial" w:cs="Arial"/>
          <w:sz w:val="24"/>
          <w:szCs w:val="24"/>
        </w:rPr>
        <w:t>o</w:t>
      </w:r>
      <w:r w:rsidRPr="00AE7464">
        <w:rPr>
          <w:rFonts w:ascii="Arial" w:hAnsi="Arial" w:cs="Arial"/>
          <w:sz w:val="24"/>
          <w:szCs w:val="24"/>
        </w:rPr>
        <w:t xml:space="preserve">se from </w:t>
      </w:r>
      <w:r>
        <w:rPr>
          <w:rFonts w:ascii="Arial" w:hAnsi="Arial" w:cs="Arial"/>
          <w:sz w:val="24"/>
          <w:szCs w:val="24"/>
        </w:rPr>
        <w:t xml:space="preserve">similar </w:t>
      </w:r>
      <w:r w:rsidRPr="00AE7464">
        <w:rPr>
          <w:rFonts w:ascii="Arial" w:hAnsi="Arial" w:cs="Arial"/>
          <w:sz w:val="24"/>
          <w:szCs w:val="24"/>
        </w:rPr>
        <w:t xml:space="preserve">proceedings in the High Court, this court has decided to consolidate them and to deliver a judgment which deals with both of them at once. In delivering this judgment, I find it convenient to deal with Ohorongo’s </w:t>
      </w:r>
      <w:r>
        <w:rPr>
          <w:rFonts w:ascii="Arial" w:hAnsi="Arial" w:cs="Arial"/>
          <w:sz w:val="24"/>
          <w:szCs w:val="24"/>
        </w:rPr>
        <w:lastRenderedPageBreak/>
        <w:t>ap</w:t>
      </w:r>
      <w:r w:rsidRPr="00AE7464">
        <w:rPr>
          <w:rFonts w:ascii="Arial" w:hAnsi="Arial" w:cs="Arial"/>
          <w:sz w:val="24"/>
          <w:szCs w:val="24"/>
        </w:rPr>
        <w:t>p</w:t>
      </w:r>
      <w:r>
        <w:rPr>
          <w:rFonts w:ascii="Arial" w:hAnsi="Arial" w:cs="Arial"/>
          <w:sz w:val="24"/>
          <w:szCs w:val="24"/>
        </w:rPr>
        <w:t>lication</w:t>
      </w:r>
      <w:r w:rsidRPr="00AE7464">
        <w:rPr>
          <w:rFonts w:ascii="Arial" w:hAnsi="Arial" w:cs="Arial"/>
          <w:sz w:val="24"/>
          <w:szCs w:val="24"/>
        </w:rPr>
        <w:t xml:space="preserve"> first before proceeding to consider and decide the Attorney-General’s petition. </w:t>
      </w:r>
      <w:r>
        <w:rPr>
          <w:rFonts w:ascii="Arial" w:hAnsi="Arial" w:cs="Arial"/>
          <w:sz w:val="24"/>
          <w:szCs w:val="24"/>
        </w:rPr>
        <w:t xml:space="preserve">Before I do </w:t>
      </w:r>
      <w:r w:rsidR="000C2FEE">
        <w:rPr>
          <w:rFonts w:ascii="Arial" w:hAnsi="Arial" w:cs="Arial"/>
          <w:sz w:val="24"/>
          <w:szCs w:val="24"/>
        </w:rPr>
        <w:t>so</w:t>
      </w:r>
      <w:r>
        <w:rPr>
          <w:rFonts w:ascii="Arial" w:hAnsi="Arial" w:cs="Arial"/>
          <w:sz w:val="24"/>
          <w:szCs w:val="24"/>
        </w:rPr>
        <w:t xml:space="preserve">, however, I wish to place on record the </w:t>
      </w:r>
      <w:r w:rsidRPr="00FD4B6B">
        <w:rPr>
          <w:rFonts w:ascii="Arial" w:hAnsi="Arial" w:cs="Arial"/>
          <w:color w:val="000000" w:themeColor="text1"/>
          <w:sz w:val="24"/>
          <w:szCs w:val="24"/>
        </w:rPr>
        <w:t xml:space="preserve">unfortunate </w:t>
      </w:r>
      <w:r>
        <w:rPr>
          <w:rFonts w:ascii="Arial" w:hAnsi="Arial" w:cs="Arial"/>
          <w:color w:val="000000" w:themeColor="text1"/>
          <w:sz w:val="24"/>
          <w:szCs w:val="24"/>
        </w:rPr>
        <w:t>and regrettable</w:t>
      </w:r>
      <w:r w:rsidRPr="00FD4B6B">
        <w:rPr>
          <w:rFonts w:ascii="Arial" w:hAnsi="Arial" w:cs="Arial"/>
          <w:color w:val="000000" w:themeColor="text1"/>
          <w:sz w:val="24"/>
          <w:szCs w:val="24"/>
        </w:rPr>
        <w:t xml:space="preserve"> circumstances</w:t>
      </w:r>
      <w:r w:rsidRPr="00AE7464">
        <w:rPr>
          <w:rFonts w:ascii="Arial" w:hAnsi="Arial" w:cs="Arial"/>
          <w:color w:val="000000" w:themeColor="text1"/>
          <w:sz w:val="24"/>
          <w:szCs w:val="24"/>
        </w:rPr>
        <w:t xml:space="preserve"> for the delay</w:t>
      </w:r>
      <w:r>
        <w:rPr>
          <w:rFonts w:ascii="Arial" w:hAnsi="Arial" w:cs="Arial"/>
          <w:color w:val="000000" w:themeColor="text1"/>
          <w:sz w:val="24"/>
          <w:szCs w:val="24"/>
        </w:rPr>
        <w:t xml:space="preserve"> to hand down the judgment in these matters that were heard on an urgent basis</w:t>
      </w:r>
      <w:r w:rsidRPr="00AE7464">
        <w:rPr>
          <w:rFonts w:ascii="Arial" w:hAnsi="Arial" w:cs="Arial"/>
          <w:color w:val="000000" w:themeColor="text1"/>
          <w:sz w:val="24"/>
          <w:szCs w:val="24"/>
        </w:rPr>
        <w:t>.</w:t>
      </w:r>
      <w:r>
        <w:rPr>
          <w:rFonts w:ascii="Arial" w:hAnsi="Arial" w:cs="Arial"/>
          <w:color w:val="000000" w:themeColor="text1"/>
          <w:sz w:val="24"/>
          <w:szCs w:val="24"/>
        </w:rPr>
        <w:t xml:space="preserve"> </w:t>
      </w:r>
      <w:r w:rsidRPr="00FD4B6B">
        <w:rPr>
          <w:rFonts w:ascii="Arial" w:hAnsi="Arial" w:cs="Arial"/>
          <w:sz w:val="24"/>
          <w:szCs w:val="24"/>
        </w:rPr>
        <w:t>The petition</w:t>
      </w:r>
      <w:r>
        <w:rPr>
          <w:rFonts w:ascii="Arial" w:hAnsi="Arial" w:cs="Arial"/>
          <w:sz w:val="24"/>
          <w:szCs w:val="24"/>
        </w:rPr>
        <w:t xml:space="preserve"> and the application</w:t>
      </w:r>
      <w:r w:rsidRPr="00FD4B6B">
        <w:rPr>
          <w:rFonts w:ascii="Arial" w:hAnsi="Arial" w:cs="Arial"/>
          <w:sz w:val="24"/>
          <w:szCs w:val="24"/>
        </w:rPr>
        <w:t xml:space="preserve"> were heard on 9</w:t>
      </w:r>
      <w:r w:rsidRPr="00FD4B6B">
        <w:rPr>
          <w:rFonts w:ascii="Arial" w:hAnsi="Arial" w:cs="Arial"/>
          <w:color w:val="000000" w:themeColor="text1"/>
          <w:sz w:val="24"/>
          <w:szCs w:val="24"/>
        </w:rPr>
        <w:t xml:space="preserve"> July 2013</w:t>
      </w:r>
      <w:r w:rsidRPr="00FD4B6B">
        <w:rPr>
          <w:rFonts w:ascii="Arial" w:hAnsi="Arial" w:cs="Arial"/>
          <w:sz w:val="24"/>
          <w:szCs w:val="24"/>
        </w:rPr>
        <w:t xml:space="preserve"> by me, Maritz JA and Mainga JA. Maritz JA </w:t>
      </w:r>
      <w:r>
        <w:rPr>
          <w:rFonts w:ascii="Arial" w:hAnsi="Arial" w:cs="Arial"/>
          <w:sz w:val="24"/>
          <w:szCs w:val="24"/>
        </w:rPr>
        <w:t xml:space="preserve">was assigned </w:t>
      </w:r>
      <w:r w:rsidRPr="00FD4B6B">
        <w:rPr>
          <w:rFonts w:ascii="Arial" w:hAnsi="Arial" w:cs="Arial"/>
          <w:sz w:val="24"/>
          <w:szCs w:val="24"/>
        </w:rPr>
        <w:t xml:space="preserve">the responsibility of preparing </w:t>
      </w:r>
      <w:r>
        <w:rPr>
          <w:rFonts w:ascii="Arial" w:hAnsi="Arial" w:cs="Arial"/>
          <w:sz w:val="24"/>
          <w:szCs w:val="24"/>
        </w:rPr>
        <w:t xml:space="preserve">the draft </w:t>
      </w:r>
      <w:r w:rsidRPr="00FD4B6B">
        <w:rPr>
          <w:rFonts w:ascii="Arial" w:hAnsi="Arial" w:cs="Arial"/>
          <w:sz w:val="24"/>
          <w:szCs w:val="24"/>
        </w:rPr>
        <w:t>judgment</w:t>
      </w:r>
      <w:r>
        <w:rPr>
          <w:rFonts w:ascii="Arial" w:hAnsi="Arial" w:cs="Arial"/>
          <w:sz w:val="24"/>
          <w:szCs w:val="24"/>
        </w:rPr>
        <w:t xml:space="preserve"> for the court’s consideration</w:t>
      </w:r>
      <w:r w:rsidRPr="00FD4B6B">
        <w:rPr>
          <w:rFonts w:ascii="Arial" w:hAnsi="Arial" w:cs="Arial"/>
          <w:sz w:val="24"/>
          <w:szCs w:val="24"/>
        </w:rPr>
        <w:t>. Regrettably, he did not present a</w:t>
      </w:r>
      <w:r>
        <w:rPr>
          <w:rFonts w:ascii="Arial" w:hAnsi="Arial" w:cs="Arial"/>
          <w:sz w:val="24"/>
          <w:szCs w:val="24"/>
        </w:rPr>
        <w:t>ny</w:t>
      </w:r>
      <w:r w:rsidRPr="00FD4B6B">
        <w:rPr>
          <w:rFonts w:ascii="Arial" w:hAnsi="Arial" w:cs="Arial"/>
          <w:sz w:val="24"/>
          <w:szCs w:val="24"/>
        </w:rPr>
        <w:t xml:space="preserve"> </w:t>
      </w:r>
      <w:r>
        <w:rPr>
          <w:rFonts w:ascii="Arial" w:hAnsi="Arial" w:cs="Arial"/>
          <w:sz w:val="24"/>
          <w:szCs w:val="24"/>
        </w:rPr>
        <w:t>draft</w:t>
      </w:r>
      <w:r w:rsidRPr="00FD4B6B">
        <w:rPr>
          <w:rFonts w:ascii="Arial" w:hAnsi="Arial" w:cs="Arial"/>
          <w:sz w:val="24"/>
          <w:szCs w:val="24"/>
        </w:rPr>
        <w:t xml:space="preserve"> despite repeated undertakings to do so. After an inordinately long period, it </w:t>
      </w:r>
      <w:r>
        <w:rPr>
          <w:rFonts w:ascii="Arial" w:hAnsi="Arial" w:cs="Arial"/>
          <w:sz w:val="24"/>
          <w:szCs w:val="24"/>
        </w:rPr>
        <w:t xml:space="preserve">emerged </w:t>
      </w:r>
      <w:r w:rsidRPr="00FD4B6B">
        <w:rPr>
          <w:rFonts w:ascii="Arial" w:hAnsi="Arial" w:cs="Arial"/>
          <w:sz w:val="24"/>
          <w:szCs w:val="24"/>
        </w:rPr>
        <w:t xml:space="preserve">that </w:t>
      </w:r>
      <w:r>
        <w:rPr>
          <w:rFonts w:ascii="Arial" w:hAnsi="Arial" w:cs="Arial"/>
          <w:sz w:val="24"/>
          <w:szCs w:val="24"/>
        </w:rPr>
        <w:t xml:space="preserve">due to indisposition our colleague could not deliver the judgment </w:t>
      </w:r>
      <w:r w:rsidRPr="00FD4B6B">
        <w:rPr>
          <w:rFonts w:ascii="Arial" w:hAnsi="Arial" w:cs="Arial"/>
          <w:sz w:val="24"/>
          <w:szCs w:val="24"/>
        </w:rPr>
        <w:t xml:space="preserve">and has since become unavailable to perform further judicial work. Due to this deeply regrettable circumstance, being one of the three </w:t>
      </w:r>
      <w:r>
        <w:rPr>
          <w:rFonts w:ascii="Arial" w:hAnsi="Arial" w:cs="Arial"/>
          <w:sz w:val="24"/>
          <w:szCs w:val="24"/>
        </w:rPr>
        <w:t>j</w:t>
      </w:r>
      <w:r w:rsidRPr="00FD4B6B">
        <w:rPr>
          <w:rFonts w:ascii="Arial" w:hAnsi="Arial" w:cs="Arial"/>
          <w:sz w:val="24"/>
          <w:szCs w:val="24"/>
        </w:rPr>
        <w:t xml:space="preserve">udges who </w:t>
      </w:r>
      <w:r>
        <w:rPr>
          <w:rFonts w:ascii="Arial" w:hAnsi="Arial" w:cs="Arial"/>
          <w:sz w:val="24"/>
          <w:szCs w:val="24"/>
        </w:rPr>
        <w:t xml:space="preserve">presided over </w:t>
      </w:r>
      <w:r w:rsidRPr="00FD4B6B">
        <w:rPr>
          <w:rFonts w:ascii="Arial" w:hAnsi="Arial" w:cs="Arial"/>
          <w:sz w:val="24"/>
          <w:szCs w:val="24"/>
        </w:rPr>
        <w:t xml:space="preserve">the </w:t>
      </w:r>
      <w:r>
        <w:rPr>
          <w:rFonts w:ascii="Arial" w:hAnsi="Arial" w:cs="Arial"/>
          <w:sz w:val="24"/>
          <w:szCs w:val="24"/>
        </w:rPr>
        <w:t>mat</w:t>
      </w:r>
      <w:r w:rsidR="0018187E">
        <w:rPr>
          <w:rFonts w:ascii="Arial" w:hAnsi="Arial" w:cs="Arial"/>
          <w:sz w:val="24"/>
          <w:szCs w:val="24"/>
        </w:rPr>
        <w:t>t</w:t>
      </w:r>
      <w:r>
        <w:rPr>
          <w:rFonts w:ascii="Arial" w:hAnsi="Arial" w:cs="Arial"/>
          <w:sz w:val="24"/>
          <w:szCs w:val="24"/>
        </w:rPr>
        <w:t>ers</w:t>
      </w:r>
      <w:r w:rsidRPr="00FD4B6B">
        <w:rPr>
          <w:rFonts w:ascii="Arial" w:hAnsi="Arial" w:cs="Arial"/>
          <w:sz w:val="24"/>
          <w:szCs w:val="24"/>
        </w:rPr>
        <w:t xml:space="preserve">, I </w:t>
      </w:r>
      <w:r>
        <w:rPr>
          <w:rFonts w:ascii="Arial" w:hAnsi="Arial" w:cs="Arial"/>
          <w:sz w:val="24"/>
          <w:szCs w:val="24"/>
        </w:rPr>
        <w:t>became seized with the responsibility of preparing the judgment.</w:t>
      </w:r>
    </w:p>
    <w:p w14:paraId="2B35A0FA" w14:textId="77777777" w:rsidR="00A423AF" w:rsidRPr="00FD4B6B" w:rsidRDefault="00A423AF" w:rsidP="00A423AF">
      <w:pPr>
        <w:spacing w:after="0" w:line="480" w:lineRule="auto"/>
        <w:jc w:val="both"/>
        <w:rPr>
          <w:rFonts w:ascii="Arial" w:hAnsi="Arial" w:cs="Arial"/>
          <w:color w:val="000000" w:themeColor="text1"/>
          <w:sz w:val="24"/>
          <w:szCs w:val="24"/>
        </w:rPr>
      </w:pPr>
    </w:p>
    <w:p w14:paraId="436D6B1D" w14:textId="5DA56863" w:rsidR="00A423AF" w:rsidRPr="00AE7464" w:rsidRDefault="00A423AF" w:rsidP="00A423AF">
      <w:pPr>
        <w:pStyle w:val="ListParagraph"/>
        <w:numPr>
          <w:ilvl w:val="0"/>
          <w:numId w:val="39"/>
        </w:numPr>
        <w:spacing w:after="0" w:line="480" w:lineRule="auto"/>
        <w:ind w:left="0" w:firstLine="0"/>
        <w:jc w:val="both"/>
        <w:rPr>
          <w:rFonts w:ascii="Arial" w:hAnsi="Arial" w:cs="Arial"/>
          <w:color w:val="000000" w:themeColor="text1"/>
          <w:sz w:val="24"/>
          <w:szCs w:val="24"/>
        </w:rPr>
      </w:pPr>
      <w:r w:rsidRPr="00FD4B6B">
        <w:rPr>
          <w:rFonts w:ascii="Arial" w:hAnsi="Arial" w:cs="Arial"/>
          <w:sz w:val="24"/>
          <w:szCs w:val="24"/>
        </w:rPr>
        <w:t>I</w:t>
      </w:r>
      <w:r w:rsidRPr="00FD4B6B">
        <w:rPr>
          <w:rFonts w:ascii="Arial" w:hAnsi="Arial" w:cs="Arial"/>
          <w:spacing w:val="12"/>
          <w:sz w:val="24"/>
          <w:szCs w:val="24"/>
        </w:rPr>
        <w:t>n terms of s</w:t>
      </w:r>
      <w:r w:rsidR="00470B5F">
        <w:rPr>
          <w:rFonts w:ascii="Arial" w:hAnsi="Arial" w:cs="Arial"/>
          <w:spacing w:val="12"/>
          <w:sz w:val="24"/>
          <w:szCs w:val="24"/>
        </w:rPr>
        <w:t>ection</w:t>
      </w:r>
      <w:r w:rsidRPr="00FD4B6B">
        <w:rPr>
          <w:rFonts w:ascii="Arial" w:hAnsi="Arial" w:cs="Arial"/>
          <w:sz w:val="24"/>
          <w:szCs w:val="24"/>
        </w:rPr>
        <w:t xml:space="preserve"> 13(4) of the Supreme Court Act, two judges forming the majority, can still give a valid judgment provided that they agree on the outcome. Provided that Mainga JA and I agree on the judgment in these matters, the petition</w:t>
      </w:r>
      <w:r>
        <w:rPr>
          <w:rFonts w:ascii="Arial" w:hAnsi="Arial" w:cs="Arial"/>
          <w:sz w:val="24"/>
          <w:szCs w:val="24"/>
        </w:rPr>
        <w:t xml:space="preserve"> and the application </w:t>
      </w:r>
      <w:r w:rsidRPr="00FD4B6B">
        <w:rPr>
          <w:rFonts w:ascii="Arial" w:hAnsi="Arial" w:cs="Arial"/>
          <w:sz w:val="24"/>
          <w:szCs w:val="24"/>
        </w:rPr>
        <w:t xml:space="preserve">may validly be finalised. I will now proceed to consider and decide the </w:t>
      </w:r>
      <w:r>
        <w:rPr>
          <w:rFonts w:ascii="Arial" w:hAnsi="Arial" w:cs="Arial"/>
          <w:sz w:val="24"/>
          <w:szCs w:val="24"/>
        </w:rPr>
        <w:t xml:space="preserve">application and the </w:t>
      </w:r>
      <w:r w:rsidRPr="00FD4B6B">
        <w:rPr>
          <w:rFonts w:ascii="Arial" w:hAnsi="Arial" w:cs="Arial"/>
          <w:sz w:val="24"/>
          <w:szCs w:val="24"/>
        </w:rPr>
        <w:t>petition.</w:t>
      </w:r>
      <w:r w:rsidR="00470B5F">
        <w:rPr>
          <w:rFonts w:ascii="Arial" w:hAnsi="Arial" w:cs="Arial"/>
          <w:sz w:val="24"/>
          <w:szCs w:val="24"/>
        </w:rPr>
        <w:t xml:space="preserve"> Before I do so, however, it is important and fair that I disclose that the proceedings giving rise to Ohorongo’s application and the Attorney-General’s petition were preside</w:t>
      </w:r>
      <w:r w:rsidR="00C07BA6">
        <w:rPr>
          <w:rFonts w:ascii="Arial" w:hAnsi="Arial" w:cs="Arial"/>
          <w:sz w:val="24"/>
          <w:szCs w:val="24"/>
        </w:rPr>
        <w:t>d over by two different judges.</w:t>
      </w:r>
    </w:p>
    <w:p w14:paraId="57B31EA3" w14:textId="77777777" w:rsidR="00A423AF" w:rsidRDefault="00A423AF" w:rsidP="00A423AF">
      <w:pPr>
        <w:pStyle w:val="ListParagraph"/>
        <w:tabs>
          <w:tab w:val="left" w:pos="0"/>
        </w:tabs>
        <w:spacing w:after="0" w:line="480" w:lineRule="auto"/>
        <w:ind w:left="0"/>
        <w:jc w:val="both"/>
        <w:rPr>
          <w:rFonts w:ascii="Arial" w:hAnsi="Arial" w:cs="Arial"/>
          <w:sz w:val="24"/>
          <w:szCs w:val="24"/>
          <w:u w:val="single"/>
        </w:rPr>
      </w:pPr>
    </w:p>
    <w:p w14:paraId="0DAB2AA9" w14:textId="77777777" w:rsidR="00A423AF" w:rsidRPr="004F0A25" w:rsidRDefault="00A423AF" w:rsidP="00A423AF">
      <w:pPr>
        <w:pStyle w:val="ListParagraph"/>
        <w:tabs>
          <w:tab w:val="left" w:pos="0"/>
        </w:tabs>
        <w:spacing w:after="0" w:line="480" w:lineRule="auto"/>
        <w:ind w:left="0"/>
        <w:jc w:val="both"/>
        <w:rPr>
          <w:rFonts w:ascii="Arial" w:hAnsi="Arial" w:cs="Arial"/>
          <w:sz w:val="24"/>
          <w:szCs w:val="24"/>
          <w:u w:val="single"/>
        </w:rPr>
      </w:pPr>
      <w:r w:rsidRPr="004F0A25">
        <w:rPr>
          <w:rFonts w:ascii="Arial" w:hAnsi="Arial" w:cs="Arial"/>
          <w:sz w:val="24"/>
          <w:szCs w:val="24"/>
          <w:u w:val="single"/>
        </w:rPr>
        <w:t xml:space="preserve">Ohorongo’s </w:t>
      </w:r>
      <w:r>
        <w:rPr>
          <w:rFonts w:ascii="Arial" w:hAnsi="Arial" w:cs="Arial"/>
          <w:sz w:val="24"/>
          <w:szCs w:val="24"/>
          <w:u w:val="single"/>
        </w:rPr>
        <w:t>Application</w:t>
      </w:r>
    </w:p>
    <w:p w14:paraId="7A9047E5" w14:textId="2DA298C6" w:rsidR="00A423AF" w:rsidRDefault="00A423AF" w:rsidP="00C07BA6">
      <w:pPr>
        <w:pStyle w:val="ListParagraph"/>
        <w:tabs>
          <w:tab w:val="left" w:pos="0"/>
        </w:tabs>
        <w:spacing w:after="0" w:line="480" w:lineRule="auto"/>
        <w:ind w:left="0"/>
        <w:jc w:val="both"/>
        <w:rPr>
          <w:rFonts w:ascii="Arial" w:hAnsi="Arial" w:cs="Arial"/>
          <w:i/>
          <w:sz w:val="24"/>
          <w:szCs w:val="24"/>
        </w:rPr>
      </w:pPr>
      <w:r>
        <w:rPr>
          <w:rFonts w:ascii="Arial" w:hAnsi="Arial" w:cs="Arial"/>
          <w:i/>
          <w:sz w:val="24"/>
          <w:szCs w:val="24"/>
        </w:rPr>
        <w:t>Wa</w:t>
      </w:r>
      <w:r w:rsidRPr="004F0A25">
        <w:rPr>
          <w:rFonts w:ascii="Arial" w:hAnsi="Arial" w:cs="Arial"/>
          <w:i/>
          <w:sz w:val="24"/>
          <w:szCs w:val="24"/>
        </w:rPr>
        <w:t xml:space="preserve">s there an irregularity in the </w:t>
      </w:r>
      <w:r>
        <w:rPr>
          <w:rFonts w:ascii="Arial" w:hAnsi="Arial" w:cs="Arial"/>
          <w:i/>
          <w:sz w:val="24"/>
          <w:szCs w:val="24"/>
        </w:rPr>
        <w:t xml:space="preserve">proceedings of </w:t>
      </w:r>
      <w:r w:rsidRPr="004F0A25">
        <w:rPr>
          <w:rFonts w:ascii="Arial" w:hAnsi="Arial" w:cs="Arial"/>
          <w:i/>
          <w:sz w:val="24"/>
          <w:szCs w:val="24"/>
        </w:rPr>
        <w:t>Ohorongo</w:t>
      </w:r>
      <w:r>
        <w:rPr>
          <w:rFonts w:ascii="Arial" w:hAnsi="Arial" w:cs="Arial"/>
          <w:i/>
          <w:sz w:val="24"/>
          <w:szCs w:val="24"/>
        </w:rPr>
        <w:t>’s application to intervene</w:t>
      </w:r>
      <w:r w:rsidRPr="004F0A25">
        <w:rPr>
          <w:rFonts w:ascii="Arial" w:hAnsi="Arial" w:cs="Arial"/>
          <w:i/>
          <w:sz w:val="24"/>
          <w:szCs w:val="24"/>
        </w:rPr>
        <w:t>?</w:t>
      </w:r>
    </w:p>
    <w:p w14:paraId="0C23065E" w14:textId="035B1722" w:rsidR="00A423AF" w:rsidRDefault="00A423AF" w:rsidP="00A423AF">
      <w:pPr>
        <w:pStyle w:val="ListParagraph"/>
        <w:numPr>
          <w:ilvl w:val="0"/>
          <w:numId w:val="39"/>
        </w:numPr>
        <w:tabs>
          <w:tab w:val="num" w:pos="0"/>
        </w:tabs>
        <w:spacing w:after="0" w:line="480" w:lineRule="auto"/>
        <w:ind w:left="0" w:firstLine="0"/>
        <w:jc w:val="both"/>
        <w:rPr>
          <w:rFonts w:ascii="Arial" w:hAnsi="Arial" w:cs="Arial"/>
          <w:sz w:val="24"/>
          <w:szCs w:val="24"/>
        </w:rPr>
      </w:pPr>
      <w:r w:rsidRPr="00AE7464">
        <w:rPr>
          <w:rFonts w:ascii="Arial" w:hAnsi="Arial" w:cs="Arial"/>
          <w:sz w:val="24"/>
          <w:szCs w:val="24"/>
        </w:rPr>
        <w:t>Ohorongo</w:t>
      </w:r>
      <w:r>
        <w:rPr>
          <w:rFonts w:ascii="Arial" w:hAnsi="Arial" w:cs="Arial"/>
          <w:sz w:val="24"/>
          <w:szCs w:val="24"/>
        </w:rPr>
        <w:t xml:space="preserve">’s case was that </w:t>
      </w:r>
      <w:r w:rsidRPr="00AE7464">
        <w:rPr>
          <w:rFonts w:ascii="Arial" w:hAnsi="Arial" w:cs="Arial"/>
          <w:sz w:val="24"/>
          <w:szCs w:val="24"/>
        </w:rPr>
        <w:t>its right to be heard, guaranteed in Article 12 of the Constitution</w:t>
      </w:r>
      <w:r>
        <w:rPr>
          <w:rFonts w:ascii="Arial" w:hAnsi="Arial" w:cs="Arial"/>
          <w:sz w:val="24"/>
          <w:szCs w:val="24"/>
        </w:rPr>
        <w:t>,</w:t>
      </w:r>
      <w:r w:rsidRPr="00AE7464">
        <w:rPr>
          <w:rFonts w:ascii="Arial" w:hAnsi="Arial" w:cs="Arial"/>
          <w:sz w:val="24"/>
          <w:szCs w:val="24"/>
        </w:rPr>
        <w:t xml:space="preserve"> was violated</w:t>
      </w:r>
      <w:r>
        <w:rPr>
          <w:rFonts w:ascii="Arial" w:hAnsi="Arial" w:cs="Arial"/>
          <w:sz w:val="24"/>
          <w:szCs w:val="24"/>
        </w:rPr>
        <w:t xml:space="preserve">. This occurred, according to Ohorongo, </w:t>
      </w:r>
      <w:r w:rsidRPr="00AE7464">
        <w:rPr>
          <w:rFonts w:ascii="Arial" w:hAnsi="Arial" w:cs="Arial"/>
          <w:sz w:val="24"/>
          <w:szCs w:val="24"/>
        </w:rPr>
        <w:t xml:space="preserve">when the </w:t>
      </w:r>
      <w:r w:rsidRPr="00AE7464">
        <w:rPr>
          <w:rFonts w:ascii="Arial" w:hAnsi="Arial" w:cs="Arial"/>
          <w:sz w:val="24"/>
          <w:szCs w:val="24"/>
        </w:rPr>
        <w:lastRenderedPageBreak/>
        <w:t>presiding</w:t>
      </w:r>
      <w:r>
        <w:rPr>
          <w:rFonts w:ascii="Arial" w:hAnsi="Arial" w:cs="Arial"/>
          <w:sz w:val="24"/>
          <w:szCs w:val="24"/>
        </w:rPr>
        <w:t xml:space="preserve"> judge</w:t>
      </w:r>
      <w:r w:rsidRPr="00AE7464">
        <w:rPr>
          <w:rFonts w:ascii="Arial" w:hAnsi="Arial" w:cs="Arial"/>
          <w:sz w:val="24"/>
          <w:szCs w:val="24"/>
        </w:rPr>
        <w:t xml:space="preserve"> </w:t>
      </w:r>
      <w:r>
        <w:rPr>
          <w:rFonts w:ascii="Arial" w:hAnsi="Arial" w:cs="Arial"/>
          <w:sz w:val="24"/>
          <w:szCs w:val="24"/>
        </w:rPr>
        <w:t>who was seized with the application for intervention</w:t>
      </w:r>
      <w:r w:rsidRPr="00AE7464">
        <w:rPr>
          <w:rFonts w:ascii="Arial" w:hAnsi="Arial" w:cs="Arial"/>
          <w:sz w:val="24"/>
          <w:szCs w:val="24"/>
        </w:rPr>
        <w:t xml:space="preserve">, without providing Ohorongo with an opportunity to </w:t>
      </w:r>
      <w:r>
        <w:rPr>
          <w:rFonts w:ascii="Arial" w:hAnsi="Arial" w:cs="Arial"/>
          <w:sz w:val="24"/>
          <w:szCs w:val="24"/>
        </w:rPr>
        <w:t xml:space="preserve">be heard </w:t>
      </w:r>
      <w:r w:rsidRPr="00AE7464">
        <w:rPr>
          <w:rFonts w:ascii="Arial" w:hAnsi="Arial" w:cs="Arial"/>
          <w:sz w:val="24"/>
          <w:szCs w:val="24"/>
        </w:rPr>
        <w:t xml:space="preserve">converted the settlement agreement made between Jack’s Trading, the Minister and the </w:t>
      </w:r>
      <w:r>
        <w:rPr>
          <w:rFonts w:ascii="Arial" w:hAnsi="Arial" w:cs="Arial"/>
          <w:sz w:val="24"/>
          <w:szCs w:val="24"/>
        </w:rPr>
        <w:t>Commissioner</w:t>
      </w:r>
      <w:r w:rsidRPr="00AE7464">
        <w:rPr>
          <w:rFonts w:ascii="Arial" w:hAnsi="Arial" w:cs="Arial"/>
          <w:sz w:val="24"/>
          <w:szCs w:val="24"/>
        </w:rPr>
        <w:t xml:space="preserve"> into an order of court.</w:t>
      </w:r>
      <w:r>
        <w:rPr>
          <w:rFonts w:ascii="Arial" w:hAnsi="Arial" w:cs="Arial"/>
          <w:sz w:val="24"/>
          <w:szCs w:val="24"/>
        </w:rPr>
        <w:t xml:space="preserve"> Ohorongo contended that it was entitled to be heard, not only on the intervention application, but also on the effect the terms of the settlement agreement may have had on it.</w:t>
      </w:r>
      <w:r w:rsidRPr="00AE7464">
        <w:rPr>
          <w:rFonts w:ascii="Arial" w:hAnsi="Arial" w:cs="Arial"/>
          <w:sz w:val="24"/>
          <w:szCs w:val="24"/>
        </w:rPr>
        <w:t xml:space="preserve"> It is important to </w:t>
      </w:r>
      <w:r>
        <w:rPr>
          <w:rFonts w:ascii="Arial" w:hAnsi="Arial" w:cs="Arial"/>
          <w:sz w:val="24"/>
          <w:szCs w:val="24"/>
        </w:rPr>
        <w:t xml:space="preserve">present </w:t>
      </w:r>
      <w:r w:rsidRPr="00AE7464">
        <w:rPr>
          <w:rFonts w:ascii="Arial" w:hAnsi="Arial" w:cs="Arial"/>
          <w:sz w:val="24"/>
          <w:szCs w:val="24"/>
        </w:rPr>
        <w:t xml:space="preserve">certain background </w:t>
      </w:r>
      <w:r>
        <w:rPr>
          <w:rFonts w:ascii="Arial" w:hAnsi="Arial" w:cs="Arial"/>
          <w:sz w:val="24"/>
          <w:szCs w:val="24"/>
        </w:rPr>
        <w:t xml:space="preserve">facts </w:t>
      </w:r>
      <w:r w:rsidRPr="00AE7464">
        <w:rPr>
          <w:rFonts w:ascii="Arial" w:hAnsi="Arial" w:cs="Arial"/>
          <w:sz w:val="24"/>
          <w:szCs w:val="24"/>
        </w:rPr>
        <w:t>in order to provide co</w:t>
      </w:r>
      <w:r>
        <w:rPr>
          <w:rFonts w:ascii="Arial" w:hAnsi="Arial" w:cs="Arial"/>
          <w:sz w:val="24"/>
          <w:szCs w:val="24"/>
        </w:rPr>
        <w:t>ntext to Ohorongo’s contention.</w:t>
      </w:r>
    </w:p>
    <w:p w14:paraId="36B80676" w14:textId="77777777" w:rsidR="00A423AF" w:rsidRPr="008278B0" w:rsidRDefault="00A423AF" w:rsidP="00A423AF">
      <w:pPr>
        <w:tabs>
          <w:tab w:val="num" w:pos="0"/>
        </w:tabs>
        <w:spacing w:after="0" w:line="480" w:lineRule="auto"/>
        <w:jc w:val="both"/>
        <w:rPr>
          <w:rFonts w:ascii="Arial" w:hAnsi="Arial" w:cs="Arial"/>
          <w:sz w:val="24"/>
          <w:szCs w:val="24"/>
        </w:rPr>
      </w:pPr>
    </w:p>
    <w:p w14:paraId="4CDCAD31" w14:textId="5E887DC9" w:rsidR="00A423AF" w:rsidRDefault="00A423AF" w:rsidP="00A423AF">
      <w:pPr>
        <w:pStyle w:val="ListParagraph"/>
        <w:numPr>
          <w:ilvl w:val="0"/>
          <w:numId w:val="39"/>
        </w:numPr>
        <w:tabs>
          <w:tab w:val="num" w:pos="0"/>
        </w:tabs>
        <w:spacing w:after="160" w:line="480" w:lineRule="auto"/>
        <w:ind w:left="0" w:firstLine="0"/>
        <w:jc w:val="both"/>
        <w:rPr>
          <w:rFonts w:ascii="Arial" w:hAnsi="Arial" w:cs="Arial"/>
          <w:sz w:val="24"/>
          <w:szCs w:val="24"/>
        </w:rPr>
      </w:pPr>
      <w:r w:rsidRPr="00AE7464">
        <w:rPr>
          <w:rFonts w:ascii="Arial" w:hAnsi="Arial" w:cs="Arial"/>
          <w:sz w:val="24"/>
          <w:szCs w:val="24"/>
        </w:rPr>
        <w:t xml:space="preserve">The more immediate proceedings which gave rise to the petition by Ohorongo, briefly stated, </w:t>
      </w:r>
      <w:r>
        <w:rPr>
          <w:rFonts w:ascii="Arial" w:hAnsi="Arial" w:cs="Arial"/>
          <w:sz w:val="24"/>
          <w:szCs w:val="24"/>
        </w:rPr>
        <w:t xml:space="preserve">occurred as follows. </w:t>
      </w:r>
      <w:r w:rsidRPr="00AE7464">
        <w:rPr>
          <w:rFonts w:ascii="Arial" w:hAnsi="Arial" w:cs="Arial"/>
          <w:sz w:val="24"/>
          <w:szCs w:val="24"/>
        </w:rPr>
        <w:t xml:space="preserve">Jack’s Trading brought an urgent application in the High Court against the Minister and the Commissioner to challenge the validity of the infancy </w:t>
      </w:r>
      <w:r>
        <w:rPr>
          <w:rFonts w:ascii="Arial" w:hAnsi="Arial" w:cs="Arial"/>
          <w:sz w:val="24"/>
          <w:szCs w:val="24"/>
        </w:rPr>
        <w:t xml:space="preserve">industry </w:t>
      </w:r>
      <w:r w:rsidRPr="00AE7464">
        <w:rPr>
          <w:rFonts w:ascii="Arial" w:hAnsi="Arial" w:cs="Arial"/>
          <w:sz w:val="24"/>
          <w:szCs w:val="24"/>
        </w:rPr>
        <w:t>protection legislation</w:t>
      </w:r>
      <w:r>
        <w:rPr>
          <w:rFonts w:ascii="Arial" w:hAnsi="Arial" w:cs="Arial"/>
          <w:sz w:val="24"/>
          <w:szCs w:val="24"/>
        </w:rPr>
        <w:t xml:space="preserve"> </w:t>
      </w:r>
      <w:r w:rsidRPr="00AE7464">
        <w:rPr>
          <w:rFonts w:ascii="Arial" w:hAnsi="Arial" w:cs="Arial"/>
          <w:sz w:val="24"/>
          <w:szCs w:val="24"/>
        </w:rPr>
        <w:t>relating to the importation of Portland cement</w:t>
      </w:r>
      <w:r>
        <w:rPr>
          <w:rFonts w:ascii="Arial" w:hAnsi="Arial" w:cs="Arial"/>
          <w:sz w:val="24"/>
          <w:szCs w:val="24"/>
        </w:rPr>
        <w:t xml:space="preserve"> into Namibia</w:t>
      </w:r>
      <w:r w:rsidRPr="00AE7464">
        <w:rPr>
          <w:rFonts w:ascii="Arial" w:hAnsi="Arial" w:cs="Arial"/>
          <w:sz w:val="24"/>
          <w:szCs w:val="24"/>
        </w:rPr>
        <w:t xml:space="preserve"> promulgated by the Minister under </w:t>
      </w:r>
      <w:r>
        <w:rPr>
          <w:rFonts w:ascii="Arial" w:hAnsi="Arial" w:cs="Arial"/>
          <w:sz w:val="24"/>
          <w:szCs w:val="24"/>
        </w:rPr>
        <w:t>t</w:t>
      </w:r>
      <w:r w:rsidRPr="00AE7464">
        <w:rPr>
          <w:rFonts w:ascii="Arial" w:hAnsi="Arial" w:cs="Arial"/>
          <w:sz w:val="24"/>
          <w:szCs w:val="24"/>
        </w:rPr>
        <w:t>h</w:t>
      </w:r>
      <w:r>
        <w:rPr>
          <w:rFonts w:ascii="Arial" w:hAnsi="Arial" w:cs="Arial"/>
          <w:sz w:val="24"/>
          <w:szCs w:val="24"/>
        </w:rPr>
        <w:t>e</w:t>
      </w:r>
      <w:r w:rsidRPr="00AE7464">
        <w:rPr>
          <w:rFonts w:ascii="Arial" w:hAnsi="Arial" w:cs="Arial"/>
          <w:sz w:val="24"/>
          <w:szCs w:val="24"/>
        </w:rPr>
        <w:t xml:space="preserve"> powers </w:t>
      </w:r>
      <w:r>
        <w:rPr>
          <w:rFonts w:ascii="Arial" w:hAnsi="Arial" w:cs="Arial"/>
          <w:sz w:val="24"/>
          <w:szCs w:val="24"/>
        </w:rPr>
        <w:t xml:space="preserve">vested </w:t>
      </w:r>
      <w:r w:rsidRPr="00AE7464">
        <w:rPr>
          <w:rFonts w:ascii="Arial" w:hAnsi="Arial" w:cs="Arial"/>
          <w:sz w:val="24"/>
          <w:szCs w:val="24"/>
        </w:rPr>
        <w:t xml:space="preserve">in </w:t>
      </w:r>
      <w:r>
        <w:rPr>
          <w:rFonts w:ascii="Arial" w:hAnsi="Arial" w:cs="Arial"/>
          <w:sz w:val="24"/>
          <w:szCs w:val="24"/>
        </w:rPr>
        <w:t xml:space="preserve">her by </w:t>
      </w:r>
      <w:r w:rsidRPr="00AE7464">
        <w:rPr>
          <w:rFonts w:ascii="Arial" w:hAnsi="Arial" w:cs="Arial"/>
          <w:sz w:val="24"/>
          <w:szCs w:val="24"/>
        </w:rPr>
        <w:t>s</w:t>
      </w:r>
      <w:r w:rsidR="004C03FB">
        <w:rPr>
          <w:rFonts w:ascii="Arial" w:hAnsi="Arial" w:cs="Arial"/>
          <w:sz w:val="24"/>
          <w:szCs w:val="24"/>
        </w:rPr>
        <w:t>ection</w:t>
      </w:r>
      <w:r w:rsidRPr="00AE7464">
        <w:rPr>
          <w:rFonts w:ascii="Arial" w:hAnsi="Arial" w:cs="Arial"/>
          <w:sz w:val="24"/>
          <w:szCs w:val="24"/>
        </w:rPr>
        <w:t xml:space="preserve"> 65 of the Customs and Excise Act 20 of 1998 (the Customs and Excise Act). </w:t>
      </w:r>
      <w:r>
        <w:rPr>
          <w:rFonts w:ascii="Arial" w:hAnsi="Arial" w:cs="Arial"/>
          <w:sz w:val="24"/>
          <w:szCs w:val="24"/>
        </w:rPr>
        <w:t>The basis for the introduction of the infant industry protection measure was Article 26 of the Southern African Customs Union (SACU) Agreement, which provided that the governments of certain member states of SACU, including that of Namibia ‘may as a temporary measure levy additional duties on goods imported in [their] area[s] to enable infant industries in [their] area[s] to meet competition from other producers or manufacturer</w:t>
      </w:r>
      <w:r w:rsidR="0018187E">
        <w:rPr>
          <w:rFonts w:ascii="Arial" w:hAnsi="Arial" w:cs="Arial"/>
          <w:sz w:val="24"/>
          <w:szCs w:val="24"/>
        </w:rPr>
        <w:t>s</w:t>
      </w:r>
      <w:r>
        <w:rPr>
          <w:rFonts w:ascii="Arial" w:hAnsi="Arial" w:cs="Arial"/>
          <w:sz w:val="24"/>
          <w:szCs w:val="24"/>
        </w:rPr>
        <w:t xml:space="preserve"> in the common customs areas. . .’.</w:t>
      </w:r>
    </w:p>
    <w:p w14:paraId="7570446A" w14:textId="77777777" w:rsidR="00466795" w:rsidRPr="00466795" w:rsidRDefault="00466795" w:rsidP="006E628B">
      <w:pPr>
        <w:pStyle w:val="ListParagraph"/>
        <w:spacing w:after="0" w:line="480" w:lineRule="auto"/>
        <w:jc w:val="both"/>
        <w:rPr>
          <w:rFonts w:ascii="Arial" w:hAnsi="Arial" w:cs="Arial"/>
          <w:sz w:val="24"/>
          <w:szCs w:val="24"/>
        </w:rPr>
      </w:pPr>
    </w:p>
    <w:p w14:paraId="472019DF" w14:textId="6833DA5C" w:rsidR="00A423AF" w:rsidRPr="00AE7464" w:rsidRDefault="00A423AF" w:rsidP="00A423AF">
      <w:pPr>
        <w:pStyle w:val="ListParagraph"/>
        <w:numPr>
          <w:ilvl w:val="0"/>
          <w:numId w:val="39"/>
        </w:numPr>
        <w:tabs>
          <w:tab w:val="num" w:pos="0"/>
        </w:tabs>
        <w:spacing w:after="0" w:line="480" w:lineRule="auto"/>
        <w:ind w:left="0" w:firstLine="0"/>
        <w:jc w:val="both"/>
        <w:rPr>
          <w:rFonts w:ascii="Arial" w:hAnsi="Arial" w:cs="Arial"/>
          <w:sz w:val="24"/>
          <w:szCs w:val="24"/>
        </w:rPr>
      </w:pPr>
      <w:r>
        <w:rPr>
          <w:rFonts w:ascii="Arial" w:hAnsi="Arial" w:cs="Arial"/>
          <w:sz w:val="24"/>
          <w:szCs w:val="24"/>
        </w:rPr>
        <w:t xml:space="preserve">Although the protection measure was not introduced for the benefit of a specific manufacturing firm, at that time Ohorongo was the only entity in the cement manufacturing industry in Namibia. It had spent </w:t>
      </w:r>
      <w:r w:rsidRPr="00AE7464">
        <w:rPr>
          <w:rFonts w:ascii="Arial" w:hAnsi="Arial" w:cs="Arial"/>
          <w:sz w:val="24"/>
          <w:szCs w:val="24"/>
        </w:rPr>
        <w:t xml:space="preserve">more than </w:t>
      </w:r>
      <w:r>
        <w:rPr>
          <w:rFonts w:ascii="Arial" w:hAnsi="Arial" w:cs="Arial"/>
          <w:sz w:val="24"/>
          <w:szCs w:val="24"/>
        </w:rPr>
        <w:t xml:space="preserve">two </w:t>
      </w:r>
      <w:r w:rsidRPr="00AE7464">
        <w:rPr>
          <w:rFonts w:ascii="Arial" w:hAnsi="Arial" w:cs="Arial"/>
          <w:sz w:val="24"/>
          <w:szCs w:val="24"/>
        </w:rPr>
        <w:t xml:space="preserve">billion Namibia </w:t>
      </w:r>
      <w:r w:rsidRPr="00AE7464">
        <w:rPr>
          <w:rFonts w:ascii="Arial" w:hAnsi="Arial" w:cs="Arial"/>
          <w:sz w:val="24"/>
          <w:szCs w:val="24"/>
        </w:rPr>
        <w:lastRenderedPageBreak/>
        <w:t>Dollars</w:t>
      </w:r>
      <w:r>
        <w:rPr>
          <w:rFonts w:ascii="Arial" w:hAnsi="Arial" w:cs="Arial"/>
          <w:sz w:val="24"/>
          <w:szCs w:val="24"/>
        </w:rPr>
        <w:t xml:space="preserve"> to erect a </w:t>
      </w:r>
      <w:r w:rsidRPr="00AE7464">
        <w:rPr>
          <w:rFonts w:ascii="Arial" w:hAnsi="Arial" w:cs="Arial"/>
          <w:sz w:val="24"/>
          <w:szCs w:val="24"/>
        </w:rPr>
        <w:t xml:space="preserve">cement manufacturing </w:t>
      </w:r>
      <w:r>
        <w:rPr>
          <w:rFonts w:ascii="Arial" w:hAnsi="Arial" w:cs="Arial"/>
          <w:sz w:val="24"/>
          <w:szCs w:val="24"/>
        </w:rPr>
        <w:t>plant in the country. It was thus common cause that Ohorongo was essentially the beneficiary of the infan</w:t>
      </w:r>
      <w:r w:rsidR="000948AA">
        <w:rPr>
          <w:rFonts w:ascii="Arial" w:hAnsi="Arial" w:cs="Arial"/>
          <w:sz w:val="24"/>
          <w:szCs w:val="24"/>
        </w:rPr>
        <w:t>cy</w:t>
      </w:r>
      <w:r>
        <w:rPr>
          <w:rFonts w:ascii="Arial" w:hAnsi="Arial" w:cs="Arial"/>
          <w:sz w:val="24"/>
          <w:szCs w:val="24"/>
        </w:rPr>
        <w:t xml:space="preserve"> industry protection legislation introduced by the Minister.</w:t>
      </w:r>
    </w:p>
    <w:p w14:paraId="358D6B63" w14:textId="77777777" w:rsidR="00A423AF" w:rsidRPr="00AE7464" w:rsidRDefault="00A423AF" w:rsidP="00A423AF">
      <w:pPr>
        <w:tabs>
          <w:tab w:val="num" w:pos="0"/>
        </w:tabs>
        <w:spacing w:after="0" w:line="480" w:lineRule="auto"/>
        <w:jc w:val="both"/>
        <w:rPr>
          <w:rFonts w:ascii="Arial" w:hAnsi="Arial" w:cs="Arial"/>
          <w:sz w:val="24"/>
          <w:szCs w:val="24"/>
        </w:rPr>
      </w:pPr>
    </w:p>
    <w:p w14:paraId="0D5D739C" w14:textId="427CF9C0" w:rsidR="00A423AF" w:rsidRPr="00AE7464" w:rsidRDefault="00A423AF" w:rsidP="00A423AF">
      <w:pPr>
        <w:pStyle w:val="ListParagraph"/>
        <w:numPr>
          <w:ilvl w:val="0"/>
          <w:numId w:val="39"/>
        </w:numPr>
        <w:tabs>
          <w:tab w:val="num" w:pos="0"/>
        </w:tabs>
        <w:spacing w:after="0" w:line="480" w:lineRule="auto"/>
        <w:ind w:left="0" w:firstLine="0"/>
        <w:jc w:val="both"/>
        <w:rPr>
          <w:rFonts w:ascii="Arial" w:hAnsi="Arial" w:cs="Arial"/>
          <w:sz w:val="24"/>
          <w:szCs w:val="24"/>
        </w:rPr>
      </w:pPr>
      <w:r w:rsidRPr="00AE7464">
        <w:rPr>
          <w:rFonts w:ascii="Arial" w:hAnsi="Arial" w:cs="Arial"/>
          <w:sz w:val="24"/>
          <w:szCs w:val="24"/>
        </w:rPr>
        <w:t xml:space="preserve">Aggrieved that Jack’s Trading had failed to join it as a respondent </w:t>
      </w:r>
      <w:r>
        <w:rPr>
          <w:rFonts w:ascii="Arial" w:hAnsi="Arial" w:cs="Arial"/>
          <w:sz w:val="24"/>
          <w:szCs w:val="24"/>
        </w:rPr>
        <w:t xml:space="preserve">in </w:t>
      </w:r>
      <w:r w:rsidRPr="00AE7464">
        <w:rPr>
          <w:rFonts w:ascii="Arial" w:hAnsi="Arial" w:cs="Arial"/>
          <w:sz w:val="24"/>
          <w:szCs w:val="24"/>
        </w:rPr>
        <w:t xml:space="preserve">the </w:t>
      </w:r>
      <w:r>
        <w:rPr>
          <w:rFonts w:ascii="Arial" w:hAnsi="Arial" w:cs="Arial"/>
          <w:sz w:val="24"/>
          <w:szCs w:val="24"/>
        </w:rPr>
        <w:t xml:space="preserve">main </w:t>
      </w:r>
      <w:r w:rsidRPr="00AE7464">
        <w:rPr>
          <w:rFonts w:ascii="Arial" w:hAnsi="Arial" w:cs="Arial"/>
          <w:sz w:val="24"/>
          <w:szCs w:val="24"/>
        </w:rPr>
        <w:t>application</w:t>
      </w:r>
      <w:r>
        <w:rPr>
          <w:rFonts w:ascii="Arial" w:hAnsi="Arial" w:cs="Arial"/>
          <w:sz w:val="24"/>
          <w:szCs w:val="24"/>
        </w:rPr>
        <w:t xml:space="preserve"> despite Ohorongo’s conviction that it was a necessary and interested party</w:t>
      </w:r>
      <w:r w:rsidRPr="00AE7464">
        <w:rPr>
          <w:rFonts w:ascii="Arial" w:hAnsi="Arial" w:cs="Arial"/>
          <w:sz w:val="24"/>
          <w:szCs w:val="24"/>
        </w:rPr>
        <w:t xml:space="preserve">, on </w:t>
      </w:r>
      <w:r w:rsidRPr="00E16072">
        <w:rPr>
          <w:rFonts w:ascii="Arial" w:hAnsi="Arial" w:cs="Arial"/>
          <w:sz w:val="24"/>
          <w:szCs w:val="24"/>
        </w:rPr>
        <w:t>14</w:t>
      </w:r>
      <w:r w:rsidRPr="00AE7464">
        <w:rPr>
          <w:rFonts w:ascii="Arial" w:hAnsi="Arial" w:cs="Arial"/>
          <w:sz w:val="24"/>
          <w:szCs w:val="24"/>
        </w:rPr>
        <w:t xml:space="preserve"> </w:t>
      </w:r>
      <w:r w:rsidRPr="00E16072">
        <w:rPr>
          <w:rFonts w:ascii="Arial" w:hAnsi="Arial" w:cs="Arial"/>
          <w:sz w:val="24"/>
          <w:szCs w:val="24"/>
        </w:rPr>
        <w:t>January</w:t>
      </w:r>
      <w:r w:rsidRPr="00AE7464">
        <w:rPr>
          <w:rFonts w:ascii="Arial" w:hAnsi="Arial" w:cs="Arial"/>
          <w:sz w:val="24"/>
          <w:szCs w:val="24"/>
        </w:rPr>
        <w:t xml:space="preserve"> 2013</w:t>
      </w:r>
      <w:r>
        <w:rPr>
          <w:rFonts w:ascii="Arial" w:hAnsi="Arial" w:cs="Arial"/>
          <w:sz w:val="24"/>
          <w:szCs w:val="24"/>
        </w:rPr>
        <w:t xml:space="preserve"> </w:t>
      </w:r>
      <w:r w:rsidRPr="00AE7464">
        <w:rPr>
          <w:rFonts w:ascii="Arial" w:hAnsi="Arial" w:cs="Arial"/>
          <w:sz w:val="24"/>
          <w:szCs w:val="24"/>
        </w:rPr>
        <w:t xml:space="preserve">Ohorongo </w:t>
      </w:r>
      <w:r>
        <w:rPr>
          <w:rFonts w:ascii="Arial" w:hAnsi="Arial" w:cs="Arial"/>
          <w:sz w:val="24"/>
          <w:szCs w:val="24"/>
        </w:rPr>
        <w:t xml:space="preserve">made </w:t>
      </w:r>
      <w:r w:rsidRPr="00AE7464">
        <w:rPr>
          <w:rFonts w:ascii="Arial" w:hAnsi="Arial" w:cs="Arial"/>
          <w:sz w:val="24"/>
          <w:szCs w:val="24"/>
        </w:rPr>
        <w:t>appli</w:t>
      </w:r>
      <w:r>
        <w:rPr>
          <w:rFonts w:ascii="Arial" w:hAnsi="Arial" w:cs="Arial"/>
          <w:sz w:val="24"/>
          <w:szCs w:val="24"/>
        </w:rPr>
        <w:t>cation</w:t>
      </w:r>
      <w:r w:rsidRPr="00AE7464">
        <w:rPr>
          <w:rFonts w:ascii="Arial" w:hAnsi="Arial" w:cs="Arial"/>
          <w:sz w:val="24"/>
          <w:szCs w:val="24"/>
        </w:rPr>
        <w:t xml:space="preserve"> for leave to intervene in the </w:t>
      </w:r>
      <w:r>
        <w:rPr>
          <w:rFonts w:ascii="Arial" w:hAnsi="Arial" w:cs="Arial"/>
          <w:sz w:val="24"/>
          <w:szCs w:val="24"/>
        </w:rPr>
        <w:t>proceedings</w:t>
      </w:r>
      <w:r w:rsidRPr="00AE7464">
        <w:rPr>
          <w:rFonts w:ascii="Arial" w:hAnsi="Arial" w:cs="Arial"/>
          <w:sz w:val="24"/>
          <w:szCs w:val="24"/>
        </w:rPr>
        <w:t xml:space="preserve">. The main application and the </w:t>
      </w:r>
      <w:r>
        <w:rPr>
          <w:rFonts w:ascii="Arial" w:hAnsi="Arial" w:cs="Arial"/>
          <w:sz w:val="24"/>
          <w:szCs w:val="24"/>
        </w:rPr>
        <w:t xml:space="preserve">intervention </w:t>
      </w:r>
      <w:r w:rsidRPr="00AE7464">
        <w:rPr>
          <w:rFonts w:ascii="Arial" w:hAnsi="Arial" w:cs="Arial"/>
          <w:sz w:val="24"/>
          <w:szCs w:val="24"/>
        </w:rPr>
        <w:t xml:space="preserve">application were postponed by agreement to 23 January 2013. Unbeknown to Ohorongo, the legal representatives of Jack’s Trading, the Minister and the Commissioner negotiated a settlement during the late night hours of </w:t>
      </w:r>
      <w:r w:rsidRPr="00E16072">
        <w:rPr>
          <w:rFonts w:ascii="Arial" w:hAnsi="Arial" w:cs="Arial"/>
          <w:sz w:val="24"/>
          <w:szCs w:val="24"/>
        </w:rPr>
        <w:t>22</w:t>
      </w:r>
      <w:r w:rsidRPr="00AE7464">
        <w:rPr>
          <w:rFonts w:ascii="Arial" w:hAnsi="Arial" w:cs="Arial"/>
          <w:sz w:val="24"/>
          <w:szCs w:val="24"/>
        </w:rPr>
        <w:t xml:space="preserve"> January 2013. After the terms of the</w:t>
      </w:r>
      <w:r>
        <w:rPr>
          <w:rFonts w:ascii="Arial" w:hAnsi="Arial" w:cs="Arial"/>
          <w:sz w:val="24"/>
          <w:szCs w:val="24"/>
        </w:rPr>
        <w:t xml:space="preserve"> settlement had been execute</w:t>
      </w:r>
      <w:r w:rsidR="0018187E">
        <w:rPr>
          <w:rFonts w:ascii="Arial" w:hAnsi="Arial" w:cs="Arial"/>
          <w:sz w:val="24"/>
          <w:szCs w:val="24"/>
        </w:rPr>
        <w:t>d</w:t>
      </w:r>
      <w:r>
        <w:rPr>
          <w:rFonts w:ascii="Arial" w:hAnsi="Arial" w:cs="Arial"/>
          <w:sz w:val="24"/>
          <w:szCs w:val="24"/>
        </w:rPr>
        <w:t xml:space="preserve">, </w:t>
      </w:r>
      <w:r w:rsidRPr="00AE7464">
        <w:rPr>
          <w:rFonts w:ascii="Arial" w:hAnsi="Arial" w:cs="Arial"/>
          <w:sz w:val="24"/>
          <w:szCs w:val="24"/>
        </w:rPr>
        <w:t>t</w:t>
      </w:r>
      <w:r>
        <w:rPr>
          <w:rFonts w:ascii="Arial" w:hAnsi="Arial" w:cs="Arial"/>
          <w:sz w:val="24"/>
          <w:szCs w:val="24"/>
        </w:rPr>
        <w:t xml:space="preserve">he agreement </w:t>
      </w:r>
      <w:r w:rsidRPr="00AE7464">
        <w:rPr>
          <w:rFonts w:ascii="Arial" w:hAnsi="Arial" w:cs="Arial"/>
          <w:sz w:val="24"/>
          <w:szCs w:val="24"/>
        </w:rPr>
        <w:t xml:space="preserve">was disclosed to Ohorongo’s legal representatives shortly before the commencement of the hearing the next day. </w:t>
      </w:r>
      <w:r>
        <w:rPr>
          <w:rFonts w:ascii="Arial" w:hAnsi="Arial" w:cs="Arial"/>
          <w:sz w:val="24"/>
          <w:szCs w:val="24"/>
        </w:rPr>
        <w:t xml:space="preserve">The salient </w:t>
      </w:r>
      <w:r w:rsidRPr="00AE7464">
        <w:rPr>
          <w:rFonts w:ascii="Arial" w:hAnsi="Arial" w:cs="Arial"/>
          <w:sz w:val="24"/>
          <w:szCs w:val="24"/>
        </w:rPr>
        <w:t xml:space="preserve">terms of the settlement </w:t>
      </w:r>
      <w:r>
        <w:rPr>
          <w:rFonts w:ascii="Arial" w:hAnsi="Arial" w:cs="Arial"/>
          <w:sz w:val="24"/>
          <w:szCs w:val="24"/>
        </w:rPr>
        <w:t>agreement were as follows:</w:t>
      </w:r>
    </w:p>
    <w:p w14:paraId="5528D574" w14:textId="77777777" w:rsidR="00A423AF" w:rsidRDefault="00A423AF" w:rsidP="00A423AF">
      <w:pPr>
        <w:tabs>
          <w:tab w:val="num" w:pos="0"/>
        </w:tabs>
        <w:spacing w:after="0" w:line="480" w:lineRule="auto"/>
        <w:ind w:left="720"/>
        <w:jc w:val="both"/>
        <w:rPr>
          <w:rFonts w:ascii="Arial" w:hAnsi="Arial" w:cs="Arial"/>
          <w:sz w:val="24"/>
          <w:szCs w:val="24"/>
        </w:rPr>
      </w:pPr>
    </w:p>
    <w:p w14:paraId="1A919C4F" w14:textId="399868B1" w:rsidR="00A423AF" w:rsidRDefault="00A423AF" w:rsidP="003646EE">
      <w:pPr>
        <w:pStyle w:val="ListParagraph"/>
        <w:numPr>
          <w:ilvl w:val="0"/>
          <w:numId w:val="48"/>
        </w:numPr>
        <w:tabs>
          <w:tab w:val="num" w:pos="0"/>
        </w:tabs>
        <w:spacing w:line="480" w:lineRule="auto"/>
        <w:jc w:val="both"/>
        <w:rPr>
          <w:rFonts w:ascii="Arial" w:hAnsi="Arial" w:cs="Arial"/>
          <w:sz w:val="24"/>
          <w:szCs w:val="24"/>
        </w:rPr>
      </w:pPr>
      <w:r w:rsidRPr="003646EE">
        <w:rPr>
          <w:rFonts w:ascii="Arial" w:hAnsi="Arial" w:cs="Arial"/>
          <w:sz w:val="24"/>
          <w:szCs w:val="24"/>
        </w:rPr>
        <w:t>The main application would be withdrawn by Jack’s Trading on the terms and conditions agreed upon by the parties as recorded in the agreement;</w:t>
      </w:r>
    </w:p>
    <w:p w14:paraId="4FE6D6F4" w14:textId="77777777" w:rsidR="003646EE" w:rsidRDefault="003646EE" w:rsidP="003646EE">
      <w:pPr>
        <w:pStyle w:val="ListParagraph"/>
        <w:spacing w:after="0" w:line="480" w:lineRule="auto"/>
        <w:ind w:left="1080"/>
        <w:jc w:val="both"/>
        <w:rPr>
          <w:rFonts w:ascii="Arial" w:hAnsi="Arial" w:cs="Arial"/>
          <w:sz w:val="24"/>
          <w:szCs w:val="24"/>
        </w:rPr>
      </w:pPr>
    </w:p>
    <w:p w14:paraId="5F263C05" w14:textId="19D7D34A" w:rsidR="00A423AF" w:rsidRDefault="00A423AF" w:rsidP="003646EE">
      <w:pPr>
        <w:pStyle w:val="ListParagraph"/>
        <w:numPr>
          <w:ilvl w:val="0"/>
          <w:numId w:val="48"/>
        </w:numPr>
        <w:tabs>
          <w:tab w:val="num" w:pos="0"/>
        </w:tabs>
        <w:spacing w:line="480" w:lineRule="auto"/>
        <w:jc w:val="both"/>
        <w:rPr>
          <w:rFonts w:ascii="Arial" w:hAnsi="Arial" w:cs="Arial"/>
          <w:sz w:val="24"/>
          <w:szCs w:val="24"/>
        </w:rPr>
      </w:pPr>
      <w:r w:rsidRPr="003646EE">
        <w:rPr>
          <w:rFonts w:ascii="Arial" w:hAnsi="Arial" w:cs="Arial"/>
          <w:sz w:val="24"/>
          <w:szCs w:val="24"/>
        </w:rPr>
        <w:t>It was recorded that the Attorney-General had taken a decision to refer the issues surrounding the interpretation of s</w:t>
      </w:r>
      <w:r w:rsidR="00A221F5">
        <w:rPr>
          <w:rFonts w:ascii="Arial" w:hAnsi="Arial" w:cs="Arial"/>
          <w:sz w:val="24"/>
          <w:szCs w:val="24"/>
        </w:rPr>
        <w:t>ection</w:t>
      </w:r>
      <w:r w:rsidRPr="003646EE">
        <w:rPr>
          <w:rFonts w:ascii="Arial" w:hAnsi="Arial" w:cs="Arial"/>
          <w:sz w:val="24"/>
          <w:szCs w:val="24"/>
        </w:rPr>
        <w:t xml:space="preserve"> 65(1) of the Customs and Excise Act to the Supreme Court as contemplated in Art</w:t>
      </w:r>
      <w:r w:rsidR="00A221F5">
        <w:rPr>
          <w:rFonts w:ascii="Arial" w:hAnsi="Arial" w:cs="Arial"/>
          <w:sz w:val="24"/>
          <w:szCs w:val="24"/>
        </w:rPr>
        <w:t xml:space="preserve">icle </w:t>
      </w:r>
      <w:r w:rsidRPr="003646EE">
        <w:rPr>
          <w:rFonts w:ascii="Arial" w:hAnsi="Arial" w:cs="Arial"/>
          <w:sz w:val="24"/>
          <w:szCs w:val="24"/>
        </w:rPr>
        <w:t>79(2) of the Constitution and that the record of proceedings in the main application and those of the application which previously served in the High Court before a different judge would also serve as the record of proceedings in the Supreme Court;</w:t>
      </w:r>
    </w:p>
    <w:p w14:paraId="58D963EE" w14:textId="07D16D2B" w:rsidR="00A423AF" w:rsidRDefault="00A423AF" w:rsidP="003646EE">
      <w:pPr>
        <w:pStyle w:val="ListParagraph"/>
        <w:numPr>
          <w:ilvl w:val="0"/>
          <w:numId w:val="48"/>
        </w:numPr>
        <w:tabs>
          <w:tab w:val="num" w:pos="0"/>
        </w:tabs>
        <w:spacing w:line="480" w:lineRule="auto"/>
        <w:jc w:val="both"/>
        <w:rPr>
          <w:rFonts w:ascii="Arial" w:hAnsi="Arial" w:cs="Arial"/>
          <w:sz w:val="24"/>
          <w:szCs w:val="24"/>
        </w:rPr>
      </w:pPr>
      <w:r w:rsidRPr="003646EE">
        <w:rPr>
          <w:rFonts w:ascii="Arial" w:hAnsi="Arial" w:cs="Arial"/>
          <w:sz w:val="24"/>
          <w:szCs w:val="24"/>
        </w:rPr>
        <w:lastRenderedPageBreak/>
        <w:t>Although the Government would continue to levy the duties to Portland cement imported by Jack’s Trading at the additional 60% rate prescribed by the infancy protection legislation promulgated pursuant to s</w:t>
      </w:r>
      <w:r w:rsidR="00A221F5">
        <w:rPr>
          <w:rFonts w:ascii="Arial" w:hAnsi="Arial" w:cs="Arial"/>
          <w:sz w:val="24"/>
          <w:szCs w:val="24"/>
        </w:rPr>
        <w:t>ection</w:t>
      </w:r>
      <w:r w:rsidRPr="003646EE">
        <w:rPr>
          <w:rFonts w:ascii="Arial" w:hAnsi="Arial" w:cs="Arial"/>
          <w:sz w:val="24"/>
          <w:szCs w:val="24"/>
        </w:rPr>
        <w:t xml:space="preserve"> 65(1) of the Act, such duties would not be collected pending the outcome of the Supreme Court’s determination of the referred issues;</w:t>
      </w:r>
    </w:p>
    <w:p w14:paraId="15C79DB5" w14:textId="77777777" w:rsidR="003646EE" w:rsidRPr="003646EE" w:rsidRDefault="003646EE" w:rsidP="003646EE">
      <w:pPr>
        <w:pStyle w:val="ListParagraph"/>
        <w:spacing w:after="0" w:line="480" w:lineRule="auto"/>
        <w:jc w:val="both"/>
        <w:rPr>
          <w:rFonts w:ascii="Arial" w:hAnsi="Arial" w:cs="Arial"/>
          <w:sz w:val="24"/>
          <w:szCs w:val="24"/>
        </w:rPr>
      </w:pPr>
    </w:p>
    <w:p w14:paraId="26DB92AE" w14:textId="74D69182" w:rsidR="00A423AF" w:rsidRDefault="00A423AF" w:rsidP="003646EE">
      <w:pPr>
        <w:pStyle w:val="ListParagraph"/>
        <w:numPr>
          <w:ilvl w:val="0"/>
          <w:numId w:val="48"/>
        </w:numPr>
        <w:tabs>
          <w:tab w:val="num" w:pos="0"/>
        </w:tabs>
        <w:spacing w:line="480" w:lineRule="auto"/>
        <w:jc w:val="both"/>
        <w:rPr>
          <w:rFonts w:ascii="Arial" w:hAnsi="Arial" w:cs="Arial"/>
          <w:sz w:val="24"/>
          <w:szCs w:val="24"/>
        </w:rPr>
      </w:pPr>
      <w:r w:rsidRPr="003646EE">
        <w:rPr>
          <w:rFonts w:ascii="Arial" w:hAnsi="Arial" w:cs="Arial"/>
          <w:sz w:val="24"/>
          <w:szCs w:val="24"/>
        </w:rPr>
        <w:t>The duties levied needed only be paid by Jack’s Trading in the event of the Supreme Court upholding the legality of the additional infancy protection legislation but, in the event that the Supreme Court finds against the Minister and the Commissioner, these two parties undertook to refund Jack’s Trading levies in the sum of N$9,718,893.00 previously collected and paid under protest by Jack’s Trading</w:t>
      </w:r>
      <w:r w:rsidR="003646EE">
        <w:rPr>
          <w:rFonts w:ascii="Arial" w:hAnsi="Arial" w:cs="Arial"/>
          <w:sz w:val="24"/>
          <w:szCs w:val="24"/>
        </w:rPr>
        <w:t>, and</w:t>
      </w:r>
    </w:p>
    <w:p w14:paraId="669928A7" w14:textId="77777777" w:rsidR="003646EE" w:rsidRPr="003646EE" w:rsidRDefault="003646EE" w:rsidP="003646EE">
      <w:pPr>
        <w:pStyle w:val="ListParagraph"/>
        <w:spacing w:after="0" w:line="480" w:lineRule="auto"/>
        <w:jc w:val="both"/>
        <w:rPr>
          <w:rFonts w:ascii="Arial" w:hAnsi="Arial" w:cs="Arial"/>
          <w:sz w:val="24"/>
          <w:szCs w:val="24"/>
        </w:rPr>
      </w:pPr>
    </w:p>
    <w:p w14:paraId="5096E24B" w14:textId="6DEE0CD7" w:rsidR="00A423AF" w:rsidRPr="003646EE" w:rsidRDefault="00A423AF" w:rsidP="003646EE">
      <w:pPr>
        <w:pStyle w:val="ListParagraph"/>
        <w:numPr>
          <w:ilvl w:val="0"/>
          <w:numId w:val="48"/>
        </w:numPr>
        <w:tabs>
          <w:tab w:val="num" w:pos="0"/>
        </w:tabs>
        <w:spacing w:after="0" w:line="480" w:lineRule="auto"/>
        <w:jc w:val="both"/>
        <w:rPr>
          <w:rFonts w:ascii="Arial" w:hAnsi="Arial" w:cs="Arial"/>
          <w:sz w:val="24"/>
          <w:szCs w:val="24"/>
        </w:rPr>
      </w:pPr>
      <w:r w:rsidRPr="003646EE">
        <w:rPr>
          <w:rFonts w:ascii="Arial" w:hAnsi="Arial" w:cs="Arial"/>
          <w:sz w:val="24"/>
          <w:szCs w:val="24"/>
        </w:rPr>
        <w:t>Jack’s Trading recorded that it would not object to Ohorongo seeking to intervene in the proceedings before the Supreme Court, but reserved its rights to contend at such hearing that Ohorongo has no</w:t>
      </w:r>
      <w:r w:rsidR="007C483C" w:rsidRPr="003646EE">
        <w:rPr>
          <w:rFonts w:ascii="Arial" w:hAnsi="Arial" w:cs="Arial"/>
          <w:sz w:val="24"/>
          <w:szCs w:val="24"/>
        </w:rPr>
        <w:t xml:space="preserve"> legal interest in the dispute.</w:t>
      </w:r>
    </w:p>
    <w:p w14:paraId="47744338" w14:textId="77777777" w:rsidR="00A423AF" w:rsidRPr="0046204E" w:rsidRDefault="00A423AF" w:rsidP="007C483C">
      <w:pPr>
        <w:spacing w:after="0" w:line="480" w:lineRule="auto"/>
        <w:jc w:val="both"/>
        <w:rPr>
          <w:rFonts w:ascii="Arial" w:hAnsi="Arial" w:cs="Arial"/>
          <w:sz w:val="24"/>
          <w:szCs w:val="24"/>
        </w:rPr>
      </w:pPr>
    </w:p>
    <w:p w14:paraId="52438B5E" w14:textId="6B2C1CF0" w:rsidR="00A423AF" w:rsidRPr="009D2A50" w:rsidRDefault="00A423AF" w:rsidP="007C483C">
      <w:pPr>
        <w:pStyle w:val="ListParagraph"/>
        <w:numPr>
          <w:ilvl w:val="0"/>
          <w:numId w:val="39"/>
        </w:numPr>
        <w:tabs>
          <w:tab w:val="num" w:pos="0"/>
        </w:tabs>
        <w:spacing w:after="0" w:line="480" w:lineRule="auto"/>
        <w:ind w:left="0" w:firstLine="0"/>
        <w:jc w:val="both"/>
        <w:rPr>
          <w:rFonts w:ascii="Arial" w:hAnsi="Arial" w:cs="Arial"/>
          <w:sz w:val="24"/>
          <w:szCs w:val="24"/>
        </w:rPr>
      </w:pPr>
      <w:r w:rsidRPr="009D2A50">
        <w:rPr>
          <w:rFonts w:ascii="Arial" w:hAnsi="Arial" w:cs="Arial"/>
          <w:sz w:val="24"/>
          <w:szCs w:val="24"/>
        </w:rPr>
        <w:t>Having received the settlement agreement so shortly before the commencement of the hearing, the legal representatives of Ohorongo requested the presiding judge to stand the matter down for a short period of time to allow them an opportunity to consider Ohorongo’s position and to address the Court on the effect of the settlement agreement on Ohorongo. The presiding judge declined the request</w:t>
      </w:r>
      <w:r>
        <w:rPr>
          <w:rFonts w:ascii="Arial" w:hAnsi="Arial" w:cs="Arial"/>
          <w:sz w:val="24"/>
          <w:szCs w:val="24"/>
        </w:rPr>
        <w:t>,</w:t>
      </w:r>
      <w:r w:rsidRPr="009D2A50">
        <w:rPr>
          <w:rFonts w:ascii="Arial" w:hAnsi="Arial" w:cs="Arial"/>
          <w:sz w:val="24"/>
          <w:szCs w:val="24"/>
        </w:rPr>
        <w:t xml:space="preserve"> reasoning that Ohorongo was not a party to the proceedings. Ohorongo </w:t>
      </w:r>
      <w:r>
        <w:rPr>
          <w:rFonts w:ascii="Arial" w:hAnsi="Arial" w:cs="Arial"/>
          <w:sz w:val="24"/>
          <w:szCs w:val="24"/>
        </w:rPr>
        <w:t xml:space="preserve">then </w:t>
      </w:r>
      <w:r w:rsidRPr="009D2A50">
        <w:rPr>
          <w:rFonts w:ascii="Arial" w:hAnsi="Arial" w:cs="Arial"/>
          <w:sz w:val="24"/>
          <w:szCs w:val="24"/>
        </w:rPr>
        <w:t xml:space="preserve">sought to move the application for intervention, with counsel for Ohorongo </w:t>
      </w:r>
      <w:r>
        <w:rPr>
          <w:rFonts w:ascii="Arial" w:hAnsi="Arial" w:cs="Arial"/>
          <w:sz w:val="24"/>
          <w:szCs w:val="24"/>
        </w:rPr>
        <w:t xml:space="preserve">contending that he had been ‘marginalised in the negotiation proceedings’ and that the court could ‘also not marginalise us’. Counsel </w:t>
      </w:r>
      <w:r w:rsidRPr="009D2A50">
        <w:rPr>
          <w:rFonts w:ascii="Arial" w:hAnsi="Arial" w:cs="Arial"/>
          <w:sz w:val="24"/>
          <w:szCs w:val="24"/>
        </w:rPr>
        <w:t>urg</w:t>
      </w:r>
      <w:r>
        <w:rPr>
          <w:rFonts w:ascii="Arial" w:hAnsi="Arial" w:cs="Arial"/>
          <w:sz w:val="24"/>
          <w:szCs w:val="24"/>
        </w:rPr>
        <w:t xml:space="preserve">ed </w:t>
      </w:r>
      <w:r w:rsidRPr="009D2A50">
        <w:rPr>
          <w:rFonts w:ascii="Arial" w:hAnsi="Arial" w:cs="Arial"/>
          <w:sz w:val="24"/>
          <w:szCs w:val="24"/>
        </w:rPr>
        <w:t xml:space="preserve">the court </w:t>
      </w:r>
      <w:r>
        <w:rPr>
          <w:rFonts w:ascii="Arial" w:hAnsi="Arial" w:cs="Arial"/>
          <w:sz w:val="24"/>
          <w:szCs w:val="24"/>
        </w:rPr>
        <w:t>‘</w:t>
      </w:r>
      <w:r w:rsidRPr="009D2A50">
        <w:rPr>
          <w:rFonts w:ascii="Arial" w:hAnsi="Arial" w:cs="Arial"/>
          <w:sz w:val="24"/>
          <w:szCs w:val="24"/>
        </w:rPr>
        <w:t>to stand down for me to collect my papers so that I can argue the intervention application and then we can address this issue’</w:t>
      </w:r>
      <w:r>
        <w:rPr>
          <w:rFonts w:ascii="Arial" w:hAnsi="Arial" w:cs="Arial"/>
          <w:sz w:val="24"/>
          <w:szCs w:val="24"/>
        </w:rPr>
        <w:t>.</w:t>
      </w:r>
      <w:r w:rsidRPr="009D2A50">
        <w:rPr>
          <w:rFonts w:ascii="Arial" w:hAnsi="Arial" w:cs="Arial"/>
          <w:sz w:val="24"/>
          <w:szCs w:val="24"/>
        </w:rPr>
        <w:t xml:space="preserve"> </w:t>
      </w:r>
      <w:r>
        <w:rPr>
          <w:rFonts w:ascii="Arial" w:hAnsi="Arial" w:cs="Arial"/>
          <w:sz w:val="24"/>
          <w:szCs w:val="24"/>
        </w:rPr>
        <w:t>T</w:t>
      </w:r>
      <w:r w:rsidRPr="009D2A50">
        <w:rPr>
          <w:rFonts w:ascii="Arial" w:hAnsi="Arial" w:cs="Arial"/>
          <w:sz w:val="24"/>
          <w:szCs w:val="24"/>
        </w:rPr>
        <w:t xml:space="preserve">he court refused to entertain the request on the basis, it would appear, that the main application </w:t>
      </w:r>
      <w:r>
        <w:rPr>
          <w:rFonts w:ascii="Arial" w:hAnsi="Arial" w:cs="Arial"/>
          <w:sz w:val="24"/>
          <w:szCs w:val="24"/>
        </w:rPr>
        <w:t xml:space="preserve">in which Ohorongo sought to intervene </w:t>
      </w:r>
      <w:r w:rsidRPr="009D2A50">
        <w:rPr>
          <w:rFonts w:ascii="Arial" w:hAnsi="Arial" w:cs="Arial"/>
          <w:sz w:val="24"/>
          <w:szCs w:val="24"/>
        </w:rPr>
        <w:t xml:space="preserve">had been withdrawn following the conclusion of the settlement agreement. </w:t>
      </w:r>
      <w:r>
        <w:rPr>
          <w:rFonts w:ascii="Arial" w:hAnsi="Arial" w:cs="Arial"/>
          <w:sz w:val="24"/>
          <w:szCs w:val="24"/>
        </w:rPr>
        <w:t xml:space="preserve">As to the costs of Ohorongo’s bid for intervention, counsel for Jack’s Trading submitted that the costs of the application should be in the cause of the hearing in the Supreme Court. Agreeing with the position taken by Jack’s Trading on the costs of the would-be intervening party, counsel for the Minister and the Commissioner also submitted that the costs be argued in the Supreme Court. </w:t>
      </w:r>
      <w:r w:rsidRPr="009D2A50">
        <w:rPr>
          <w:rFonts w:ascii="Arial" w:hAnsi="Arial" w:cs="Arial"/>
          <w:sz w:val="24"/>
          <w:szCs w:val="24"/>
        </w:rPr>
        <w:t xml:space="preserve">The High Court proceeded to make the settlement agreement an order of court and ordered that the costs of the </w:t>
      </w:r>
      <w:r>
        <w:rPr>
          <w:rFonts w:ascii="Arial" w:hAnsi="Arial" w:cs="Arial"/>
          <w:sz w:val="24"/>
          <w:szCs w:val="24"/>
        </w:rPr>
        <w:t xml:space="preserve">intended </w:t>
      </w:r>
      <w:r w:rsidRPr="009D2A50">
        <w:rPr>
          <w:rFonts w:ascii="Arial" w:hAnsi="Arial" w:cs="Arial"/>
          <w:sz w:val="24"/>
          <w:szCs w:val="24"/>
        </w:rPr>
        <w:t xml:space="preserve">intervening party </w:t>
      </w:r>
      <w:r>
        <w:rPr>
          <w:rFonts w:ascii="Arial" w:hAnsi="Arial" w:cs="Arial"/>
          <w:sz w:val="24"/>
          <w:szCs w:val="24"/>
        </w:rPr>
        <w:t>be</w:t>
      </w:r>
      <w:r w:rsidRPr="009D2A50">
        <w:rPr>
          <w:rFonts w:ascii="Arial" w:hAnsi="Arial" w:cs="Arial"/>
          <w:sz w:val="24"/>
          <w:szCs w:val="24"/>
        </w:rPr>
        <w:t xml:space="preserve"> determined at the hearing of t</w:t>
      </w:r>
      <w:r w:rsidR="007C483C">
        <w:rPr>
          <w:rFonts w:ascii="Arial" w:hAnsi="Arial" w:cs="Arial"/>
          <w:sz w:val="24"/>
          <w:szCs w:val="24"/>
        </w:rPr>
        <w:t>he matter in the Supreme Court.</w:t>
      </w:r>
    </w:p>
    <w:p w14:paraId="04466EB1" w14:textId="77777777" w:rsidR="00A423AF" w:rsidRPr="005A361A" w:rsidRDefault="00A423AF" w:rsidP="007C483C">
      <w:pPr>
        <w:tabs>
          <w:tab w:val="num" w:pos="0"/>
        </w:tabs>
        <w:spacing w:after="0" w:line="480" w:lineRule="auto"/>
        <w:jc w:val="both"/>
        <w:rPr>
          <w:rFonts w:ascii="Arial" w:hAnsi="Arial" w:cs="Arial"/>
          <w:sz w:val="24"/>
          <w:szCs w:val="24"/>
        </w:rPr>
      </w:pPr>
    </w:p>
    <w:p w14:paraId="1D11321A" w14:textId="77777777" w:rsidR="00A423AF" w:rsidRPr="00AE7464" w:rsidRDefault="00A423AF" w:rsidP="007C483C">
      <w:pPr>
        <w:pStyle w:val="ListParagraph"/>
        <w:numPr>
          <w:ilvl w:val="0"/>
          <w:numId w:val="39"/>
        </w:numPr>
        <w:tabs>
          <w:tab w:val="num" w:pos="0"/>
        </w:tabs>
        <w:spacing w:after="0" w:line="480" w:lineRule="auto"/>
        <w:ind w:left="0" w:firstLine="0"/>
        <w:jc w:val="both"/>
        <w:rPr>
          <w:rFonts w:ascii="Arial" w:hAnsi="Arial" w:cs="Arial"/>
          <w:sz w:val="24"/>
          <w:szCs w:val="24"/>
        </w:rPr>
      </w:pPr>
      <w:r w:rsidRPr="00AE7464">
        <w:rPr>
          <w:rFonts w:ascii="Arial" w:hAnsi="Arial" w:cs="Arial"/>
          <w:sz w:val="24"/>
          <w:szCs w:val="24"/>
        </w:rPr>
        <w:t>It is during these proceedings in the High Court that Ohorongo contend</w:t>
      </w:r>
      <w:r>
        <w:rPr>
          <w:rFonts w:ascii="Arial" w:hAnsi="Arial" w:cs="Arial"/>
          <w:sz w:val="24"/>
          <w:szCs w:val="24"/>
        </w:rPr>
        <w:t>ed</w:t>
      </w:r>
      <w:r w:rsidRPr="00AE7464">
        <w:rPr>
          <w:rFonts w:ascii="Arial" w:hAnsi="Arial" w:cs="Arial"/>
          <w:sz w:val="24"/>
          <w:szCs w:val="24"/>
        </w:rPr>
        <w:t xml:space="preserve"> the </w:t>
      </w:r>
      <w:r>
        <w:rPr>
          <w:rFonts w:ascii="Arial" w:hAnsi="Arial" w:cs="Arial"/>
          <w:sz w:val="24"/>
          <w:szCs w:val="24"/>
        </w:rPr>
        <w:t xml:space="preserve">Presiding Judge committed an irregularity by - </w:t>
      </w:r>
    </w:p>
    <w:p w14:paraId="37BBD2F5" w14:textId="77777777" w:rsidR="00A423AF" w:rsidRPr="0046204E" w:rsidRDefault="00A423AF" w:rsidP="007C483C">
      <w:pPr>
        <w:tabs>
          <w:tab w:val="left" w:pos="0"/>
        </w:tabs>
        <w:spacing w:after="0" w:line="480" w:lineRule="auto"/>
        <w:jc w:val="both"/>
        <w:rPr>
          <w:rFonts w:ascii="Arial" w:hAnsi="Arial" w:cs="Arial"/>
          <w:sz w:val="24"/>
          <w:szCs w:val="24"/>
        </w:rPr>
      </w:pPr>
    </w:p>
    <w:p w14:paraId="3B98CDBB" w14:textId="77777777" w:rsidR="00A423AF" w:rsidRDefault="00A423AF" w:rsidP="00C07BA6">
      <w:pPr>
        <w:pStyle w:val="ListParagraph"/>
        <w:numPr>
          <w:ilvl w:val="0"/>
          <w:numId w:val="41"/>
        </w:numPr>
        <w:tabs>
          <w:tab w:val="left" w:pos="0"/>
        </w:tabs>
        <w:spacing w:after="0" w:line="480" w:lineRule="auto"/>
        <w:jc w:val="both"/>
        <w:rPr>
          <w:rFonts w:ascii="Arial" w:hAnsi="Arial" w:cs="Arial"/>
          <w:sz w:val="24"/>
          <w:szCs w:val="24"/>
        </w:rPr>
      </w:pPr>
      <w:r>
        <w:rPr>
          <w:rFonts w:ascii="Arial" w:hAnsi="Arial" w:cs="Arial"/>
          <w:sz w:val="24"/>
          <w:szCs w:val="24"/>
        </w:rPr>
        <w:t>Not allowing Ohorongo a reasonable time to properly consider the terms and conditions of the settlement agreement and an opportunity to address the court on the legality of certain terms of the agreement and generally as to whether the agreement could lawfully be made an order of court</w:t>
      </w:r>
      <w:r w:rsidRPr="005A361A">
        <w:rPr>
          <w:rFonts w:ascii="Arial" w:hAnsi="Arial" w:cs="Arial"/>
          <w:sz w:val="24"/>
          <w:szCs w:val="24"/>
        </w:rPr>
        <w:t>;</w:t>
      </w:r>
    </w:p>
    <w:p w14:paraId="48ABDE7D" w14:textId="77777777" w:rsidR="003646EE" w:rsidRDefault="003646EE" w:rsidP="003646EE">
      <w:pPr>
        <w:pStyle w:val="ListParagraph"/>
        <w:tabs>
          <w:tab w:val="left" w:pos="0"/>
        </w:tabs>
        <w:spacing w:after="0" w:line="480" w:lineRule="auto"/>
        <w:ind w:left="1069"/>
        <w:jc w:val="both"/>
        <w:rPr>
          <w:rFonts w:ascii="Arial" w:hAnsi="Arial" w:cs="Arial"/>
          <w:sz w:val="24"/>
          <w:szCs w:val="24"/>
        </w:rPr>
      </w:pPr>
    </w:p>
    <w:p w14:paraId="701958C5" w14:textId="05A53013" w:rsidR="00A423AF" w:rsidRDefault="00A423AF" w:rsidP="00C07BA6">
      <w:pPr>
        <w:pStyle w:val="ListParagraph"/>
        <w:numPr>
          <w:ilvl w:val="0"/>
          <w:numId w:val="41"/>
        </w:numPr>
        <w:tabs>
          <w:tab w:val="left" w:pos="0"/>
        </w:tabs>
        <w:spacing w:after="0" w:line="480" w:lineRule="auto"/>
        <w:jc w:val="both"/>
        <w:rPr>
          <w:rFonts w:ascii="Arial" w:hAnsi="Arial" w:cs="Arial"/>
          <w:sz w:val="24"/>
          <w:szCs w:val="24"/>
        </w:rPr>
      </w:pPr>
      <w:r w:rsidRPr="003646EE">
        <w:rPr>
          <w:rFonts w:ascii="Arial" w:hAnsi="Arial" w:cs="Arial"/>
          <w:sz w:val="24"/>
          <w:szCs w:val="24"/>
        </w:rPr>
        <w:t>Not first hearing and adjudicating upon the intervention application before considering whether or not to make the settleme</w:t>
      </w:r>
      <w:r w:rsidR="003646EE">
        <w:rPr>
          <w:rFonts w:ascii="Arial" w:hAnsi="Arial" w:cs="Arial"/>
          <w:sz w:val="24"/>
          <w:szCs w:val="24"/>
        </w:rPr>
        <w:t>nt agreement an order of court;</w:t>
      </w:r>
    </w:p>
    <w:p w14:paraId="2D320ED9" w14:textId="77777777" w:rsidR="003646EE" w:rsidRPr="003646EE" w:rsidRDefault="003646EE" w:rsidP="003646EE">
      <w:pPr>
        <w:pStyle w:val="ListParagraph"/>
        <w:spacing w:after="0" w:line="480" w:lineRule="auto"/>
        <w:jc w:val="both"/>
        <w:rPr>
          <w:rFonts w:ascii="Arial" w:hAnsi="Arial" w:cs="Arial"/>
          <w:sz w:val="24"/>
          <w:szCs w:val="24"/>
        </w:rPr>
      </w:pPr>
    </w:p>
    <w:p w14:paraId="176F759B" w14:textId="77777777" w:rsidR="00A423AF" w:rsidRPr="003646EE" w:rsidRDefault="00A423AF" w:rsidP="003646EE">
      <w:pPr>
        <w:pStyle w:val="ListParagraph"/>
        <w:numPr>
          <w:ilvl w:val="0"/>
          <w:numId w:val="41"/>
        </w:numPr>
        <w:tabs>
          <w:tab w:val="left" w:pos="0"/>
        </w:tabs>
        <w:spacing w:after="0" w:line="480" w:lineRule="auto"/>
        <w:jc w:val="both"/>
        <w:rPr>
          <w:rFonts w:ascii="Arial" w:hAnsi="Arial" w:cs="Arial"/>
          <w:sz w:val="24"/>
          <w:szCs w:val="24"/>
        </w:rPr>
      </w:pPr>
      <w:r w:rsidRPr="003646EE">
        <w:rPr>
          <w:rFonts w:ascii="Arial" w:hAnsi="Arial" w:cs="Arial"/>
          <w:sz w:val="24"/>
          <w:szCs w:val="24"/>
        </w:rPr>
        <w:t>Not granting Ohorongo an opportunity to address the Court on its rights to intervene in the main application.</w:t>
      </w:r>
    </w:p>
    <w:p w14:paraId="29FF6E7C" w14:textId="77777777" w:rsidR="00A423AF" w:rsidRPr="00E43C9E" w:rsidRDefault="00A423AF" w:rsidP="007C483C">
      <w:pPr>
        <w:spacing w:after="0" w:line="480" w:lineRule="auto"/>
        <w:jc w:val="both"/>
        <w:rPr>
          <w:rFonts w:ascii="Arial" w:hAnsi="Arial" w:cs="Arial"/>
          <w:sz w:val="24"/>
          <w:szCs w:val="24"/>
        </w:rPr>
      </w:pPr>
    </w:p>
    <w:p w14:paraId="473E6735" w14:textId="4653E414" w:rsidR="00A423AF" w:rsidRDefault="00A423AF" w:rsidP="007C483C">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Jack’s Trading countered that in light of the settlement agreement and the withdrawal of its application, there was no legal basis for the intervention application. Moreover, so Jack’s Trading contended, there was another order of the High Court made by another judge to the effect that Ohorongo was not a necessary party, which order the presiding judge could not possibly review. As to the content of the settlement agreement, Jack’s Trading argued that as the dispute giving rise to the settlement agreement did not involve Ohorongo, counsel for Ohorongo ‘had no right’ to consider the settlement agreement. Regarding the contention that the settlement agreement was ultra vires the Customs and Excise Act, Jack’s Trading disputed this, arguing that the settlement agreement did not contemplate releasing Jack’s Trading from paying additional tax as the agreement only contemplated deferring the payment thereof pending the determination of the dispute whether the additional du</w:t>
      </w:r>
      <w:r w:rsidR="007C483C">
        <w:rPr>
          <w:rFonts w:ascii="Arial" w:hAnsi="Arial" w:cs="Arial"/>
          <w:sz w:val="24"/>
          <w:szCs w:val="24"/>
        </w:rPr>
        <w:t>ty was imposed lawfully or not.</w:t>
      </w:r>
    </w:p>
    <w:p w14:paraId="400A4621" w14:textId="77777777" w:rsidR="00A423AF" w:rsidRPr="00B10DFC" w:rsidRDefault="00A423AF" w:rsidP="007C483C">
      <w:pPr>
        <w:spacing w:after="0" w:line="480" w:lineRule="auto"/>
        <w:jc w:val="both"/>
        <w:rPr>
          <w:rFonts w:ascii="Arial" w:hAnsi="Arial" w:cs="Arial"/>
          <w:sz w:val="24"/>
          <w:szCs w:val="24"/>
        </w:rPr>
      </w:pPr>
    </w:p>
    <w:p w14:paraId="65312CB7" w14:textId="07C93CFA" w:rsidR="00A423AF" w:rsidRPr="00E43C9E" w:rsidRDefault="00A423AF" w:rsidP="007C483C">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In its supplementary heads of argument, Jack’s Trading argued that Ohorongo was not a party to the process that it complains was unfair to it. Jack’s Trading further submitted that Ohorongo had not established that the irregularity in the proceedings complained of resulted or is likely to result in an injustice or other form of prejudice being suffered by it. Should the Attorney-General’s petition be entertained, Ohorongo’s rights, ‘if any’, would be determined in the petition and as such the application by Ohorongo ‘is misconceived</w:t>
      </w:r>
      <w:r w:rsidR="007C483C">
        <w:rPr>
          <w:rFonts w:ascii="Arial" w:hAnsi="Arial" w:cs="Arial"/>
          <w:sz w:val="24"/>
          <w:szCs w:val="24"/>
        </w:rPr>
        <w:t>’, so Jack’s Trading countered.</w:t>
      </w:r>
    </w:p>
    <w:p w14:paraId="2A8D4252" w14:textId="77777777" w:rsidR="00A423AF" w:rsidRDefault="00A423AF" w:rsidP="007C483C">
      <w:pPr>
        <w:spacing w:after="0" w:line="480" w:lineRule="auto"/>
        <w:jc w:val="both"/>
        <w:rPr>
          <w:rFonts w:ascii="Arial" w:hAnsi="Arial" w:cs="Arial"/>
          <w:sz w:val="24"/>
          <w:szCs w:val="24"/>
          <w:u w:val="single"/>
        </w:rPr>
      </w:pPr>
    </w:p>
    <w:p w14:paraId="08361577" w14:textId="77777777" w:rsidR="00A423AF" w:rsidRPr="0084063C" w:rsidRDefault="00A423AF" w:rsidP="007C483C">
      <w:pPr>
        <w:spacing w:after="0" w:line="480" w:lineRule="auto"/>
        <w:jc w:val="both"/>
        <w:rPr>
          <w:rFonts w:ascii="Arial" w:hAnsi="Arial" w:cs="Arial"/>
          <w:sz w:val="24"/>
          <w:szCs w:val="24"/>
          <w:u w:val="single"/>
        </w:rPr>
      </w:pPr>
      <w:r w:rsidRPr="0084063C">
        <w:rPr>
          <w:rFonts w:ascii="Arial" w:hAnsi="Arial" w:cs="Arial"/>
          <w:sz w:val="24"/>
          <w:szCs w:val="24"/>
          <w:u w:val="single"/>
        </w:rPr>
        <w:t>Anal</w:t>
      </w:r>
      <w:r>
        <w:rPr>
          <w:rFonts w:ascii="Arial" w:hAnsi="Arial" w:cs="Arial"/>
          <w:sz w:val="24"/>
          <w:szCs w:val="24"/>
          <w:u w:val="single"/>
        </w:rPr>
        <w:t>y</w:t>
      </w:r>
      <w:r w:rsidRPr="0084063C">
        <w:rPr>
          <w:rFonts w:ascii="Arial" w:hAnsi="Arial" w:cs="Arial"/>
          <w:sz w:val="24"/>
          <w:szCs w:val="24"/>
          <w:u w:val="single"/>
        </w:rPr>
        <w:t>sis</w:t>
      </w:r>
    </w:p>
    <w:p w14:paraId="1DE22942" w14:textId="77777777" w:rsidR="00A423AF" w:rsidRPr="00922A5F" w:rsidRDefault="00A423AF" w:rsidP="007C483C">
      <w:pPr>
        <w:pStyle w:val="ListParagraph"/>
        <w:numPr>
          <w:ilvl w:val="0"/>
          <w:numId w:val="39"/>
        </w:numPr>
        <w:spacing w:after="0" w:line="480" w:lineRule="auto"/>
        <w:ind w:left="0" w:firstLine="0"/>
        <w:jc w:val="both"/>
        <w:rPr>
          <w:rFonts w:ascii="Arial" w:hAnsi="Arial" w:cs="Arial"/>
          <w:sz w:val="24"/>
          <w:szCs w:val="24"/>
        </w:rPr>
      </w:pPr>
      <w:r w:rsidRPr="00922A5F">
        <w:rPr>
          <w:rFonts w:ascii="Arial" w:hAnsi="Arial" w:cs="Arial"/>
          <w:sz w:val="24"/>
          <w:szCs w:val="24"/>
        </w:rPr>
        <w:t>In deciding th</w:t>
      </w:r>
      <w:r>
        <w:rPr>
          <w:rFonts w:ascii="Arial" w:hAnsi="Arial" w:cs="Arial"/>
          <w:sz w:val="24"/>
          <w:szCs w:val="24"/>
        </w:rPr>
        <w:t xml:space="preserve">e </w:t>
      </w:r>
      <w:r w:rsidRPr="00922A5F">
        <w:rPr>
          <w:rFonts w:ascii="Arial" w:hAnsi="Arial" w:cs="Arial"/>
          <w:sz w:val="24"/>
          <w:szCs w:val="24"/>
        </w:rPr>
        <w:t>issue</w:t>
      </w:r>
      <w:r>
        <w:rPr>
          <w:rFonts w:ascii="Arial" w:hAnsi="Arial" w:cs="Arial"/>
          <w:sz w:val="24"/>
          <w:szCs w:val="24"/>
        </w:rPr>
        <w:t xml:space="preserve"> whether or not Ohorongo’s intervention application should have been decided before the settlement agreement was made an order of court, </w:t>
      </w:r>
      <w:r w:rsidRPr="00922A5F">
        <w:rPr>
          <w:rFonts w:ascii="Arial" w:hAnsi="Arial" w:cs="Arial"/>
          <w:sz w:val="24"/>
          <w:szCs w:val="24"/>
        </w:rPr>
        <w:t xml:space="preserve">this court is guided by its earlier decision in </w:t>
      </w:r>
      <w:r w:rsidRPr="00922A5F">
        <w:rPr>
          <w:rFonts w:ascii="Arial" w:hAnsi="Arial" w:cs="Arial"/>
          <w:i/>
          <w:sz w:val="24"/>
          <w:szCs w:val="24"/>
        </w:rPr>
        <w:t>Trustco Insurance Limited v Deeds Registries Regulation Board</w:t>
      </w:r>
      <w:r w:rsidRPr="001A40C6">
        <w:rPr>
          <w:rStyle w:val="FootnoteReference"/>
          <w:rFonts w:ascii="Arial" w:hAnsi="Arial" w:cs="Arial"/>
          <w:sz w:val="24"/>
          <w:szCs w:val="24"/>
        </w:rPr>
        <w:footnoteReference w:id="1"/>
      </w:r>
      <w:r w:rsidRPr="00922A5F">
        <w:rPr>
          <w:rFonts w:ascii="Arial" w:hAnsi="Arial" w:cs="Arial"/>
          <w:sz w:val="24"/>
          <w:szCs w:val="24"/>
        </w:rPr>
        <w:t xml:space="preserve"> where it was held that;</w:t>
      </w:r>
    </w:p>
    <w:p w14:paraId="08559735" w14:textId="77777777" w:rsidR="00A423AF" w:rsidRDefault="00A423AF" w:rsidP="007C483C">
      <w:pPr>
        <w:tabs>
          <w:tab w:val="left" w:pos="0"/>
        </w:tabs>
        <w:spacing w:after="0" w:line="480" w:lineRule="auto"/>
        <w:ind w:left="720"/>
        <w:jc w:val="both"/>
        <w:rPr>
          <w:rFonts w:ascii="Arial" w:hAnsi="Arial" w:cs="Arial"/>
        </w:rPr>
      </w:pPr>
    </w:p>
    <w:p w14:paraId="569671A4" w14:textId="15BE67D0" w:rsidR="00A423AF" w:rsidRPr="00423BA7" w:rsidRDefault="00A423AF" w:rsidP="007C483C">
      <w:pPr>
        <w:tabs>
          <w:tab w:val="left" w:pos="0"/>
        </w:tabs>
        <w:spacing w:after="0" w:line="360" w:lineRule="auto"/>
        <w:ind w:left="720"/>
        <w:jc w:val="both"/>
        <w:rPr>
          <w:rFonts w:ascii="Arial" w:hAnsi="Arial" w:cs="Arial"/>
        </w:rPr>
      </w:pPr>
      <w:r w:rsidRPr="00423BA7">
        <w:rPr>
          <w:rFonts w:ascii="Arial" w:hAnsi="Arial" w:cs="Arial"/>
        </w:rPr>
        <w:t>‘In a constitutional state, citizens are entitled to exercise their rights and they are entitled to approach courts, where there is uncertainty as to the la</w:t>
      </w:r>
      <w:r w:rsidR="007C483C">
        <w:rPr>
          <w:rFonts w:ascii="Arial" w:hAnsi="Arial" w:cs="Arial"/>
        </w:rPr>
        <w:t>w, to determine their rights….’</w:t>
      </w:r>
    </w:p>
    <w:p w14:paraId="649292EB" w14:textId="77777777" w:rsidR="00A423AF" w:rsidRPr="00C07BA6" w:rsidRDefault="00A423AF" w:rsidP="007C483C">
      <w:pPr>
        <w:spacing w:after="0" w:line="480" w:lineRule="auto"/>
        <w:ind w:left="360"/>
        <w:jc w:val="both"/>
        <w:rPr>
          <w:rFonts w:ascii="Arial" w:hAnsi="Arial" w:cs="Arial"/>
          <w:sz w:val="24"/>
          <w:szCs w:val="24"/>
        </w:rPr>
      </w:pPr>
    </w:p>
    <w:p w14:paraId="661B2240" w14:textId="4F86206D" w:rsidR="00A423AF" w:rsidRPr="00757908" w:rsidRDefault="00A423AF" w:rsidP="007C483C">
      <w:pPr>
        <w:pStyle w:val="ListParagraph"/>
        <w:numPr>
          <w:ilvl w:val="0"/>
          <w:numId w:val="39"/>
        </w:numPr>
        <w:spacing w:after="0" w:line="480" w:lineRule="auto"/>
        <w:ind w:left="0" w:firstLine="0"/>
        <w:jc w:val="both"/>
        <w:rPr>
          <w:rFonts w:ascii="Arial" w:hAnsi="Arial" w:cs="Arial"/>
        </w:rPr>
      </w:pPr>
      <w:r w:rsidRPr="002C2A90">
        <w:rPr>
          <w:rFonts w:ascii="Arial" w:hAnsi="Arial" w:cs="Arial"/>
          <w:sz w:val="24"/>
          <w:szCs w:val="24"/>
        </w:rPr>
        <w:t xml:space="preserve">By launching its application to join the main application, Ohorongo expressed its intention to intervene in those proceedings and to defend its vested rights which it believed were threatened. By converting the settlement agreement into a court order, the </w:t>
      </w:r>
      <w:r>
        <w:rPr>
          <w:rFonts w:ascii="Arial" w:hAnsi="Arial" w:cs="Arial"/>
          <w:sz w:val="24"/>
          <w:szCs w:val="24"/>
        </w:rPr>
        <w:t xml:space="preserve">High Court </w:t>
      </w:r>
      <w:r w:rsidRPr="002C2A90">
        <w:rPr>
          <w:rFonts w:ascii="Arial" w:hAnsi="Arial" w:cs="Arial"/>
          <w:sz w:val="24"/>
          <w:szCs w:val="24"/>
        </w:rPr>
        <w:t xml:space="preserve">irregularly disposed of the main application without determining whether or not Ohorongo had </w:t>
      </w:r>
      <w:r w:rsidRPr="002C2A90">
        <w:rPr>
          <w:rFonts w:ascii="Arial" w:hAnsi="Arial" w:cs="Arial"/>
          <w:i/>
          <w:sz w:val="24"/>
          <w:szCs w:val="24"/>
        </w:rPr>
        <w:t>locus standi</w:t>
      </w:r>
      <w:r w:rsidRPr="002C2A90">
        <w:rPr>
          <w:rFonts w:ascii="Arial" w:hAnsi="Arial" w:cs="Arial"/>
          <w:sz w:val="24"/>
          <w:szCs w:val="24"/>
        </w:rPr>
        <w:t xml:space="preserve"> to join in the main application. </w:t>
      </w:r>
      <w:r>
        <w:rPr>
          <w:rFonts w:ascii="Arial" w:hAnsi="Arial" w:cs="Arial"/>
          <w:sz w:val="24"/>
          <w:szCs w:val="24"/>
        </w:rPr>
        <w:t xml:space="preserve"> As the beneficiary of the relevant infant industry protection, Ohorongo undoubtedly was a necessary an</w:t>
      </w:r>
      <w:r w:rsidR="0018187E">
        <w:rPr>
          <w:rFonts w:ascii="Arial" w:hAnsi="Arial" w:cs="Arial"/>
          <w:sz w:val="24"/>
          <w:szCs w:val="24"/>
        </w:rPr>
        <w:t>d</w:t>
      </w:r>
      <w:r>
        <w:rPr>
          <w:rFonts w:ascii="Arial" w:hAnsi="Arial" w:cs="Arial"/>
          <w:sz w:val="24"/>
          <w:szCs w:val="24"/>
        </w:rPr>
        <w:t xml:space="preserve"> interested party in the proceedings. As such, it should have been cited by </w:t>
      </w:r>
      <w:r w:rsidR="007C483C">
        <w:rPr>
          <w:rFonts w:ascii="Arial" w:hAnsi="Arial" w:cs="Arial"/>
          <w:sz w:val="24"/>
          <w:szCs w:val="24"/>
        </w:rPr>
        <w:t>Jack’s Trading as a respondent.</w:t>
      </w:r>
    </w:p>
    <w:p w14:paraId="39FDEC22" w14:textId="77777777" w:rsidR="00A423AF" w:rsidRPr="00C07BA6" w:rsidRDefault="00A423AF" w:rsidP="007C483C">
      <w:pPr>
        <w:spacing w:after="0" w:line="480" w:lineRule="auto"/>
        <w:ind w:left="360"/>
        <w:jc w:val="both"/>
        <w:rPr>
          <w:rFonts w:ascii="Arial" w:hAnsi="Arial" w:cs="Arial"/>
          <w:sz w:val="24"/>
          <w:szCs w:val="24"/>
        </w:rPr>
      </w:pPr>
    </w:p>
    <w:p w14:paraId="5D58A9FE" w14:textId="58477A35" w:rsidR="00A423AF" w:rsidRPr="00B10DFC" w:rsidRDefault="00A423AF" w:rsidP="007C483C">
      <w:pPr>
        <w:pStyle w:val="ListParagraph"/>
        <w:numPr>
          <w:ilvl w:val="0"/>
          <w:numId w:val="39"/>
        </w:numPr>
        <w:spacing w:after="0" w:line="480" w:lineRule="auto"/>
        <w:ind w:left="0" w:firstLine="0"/>
        <w:jc w:val="both"/>
        <w:rPr>
          <w:rFonts w:ascii="Arial" w:hAnsi="Arial" w:cs="Arial"/>
        </w:rPr>
      </w:pPr>
      <w:r>
        <w:rPr>
          <w:rFonts w:ascii="Arial" w:hAnsi="Arial" w:cs="Arial"/>
          <w:sz w:val="24"/>
          <w:szCs w:val="24"/>
        </w:rPr>
        <w:t>Had the High Court granted Ohorongo the opportunity to consider the effect of the settlement agreement upon it and to address the court thereon, Ohorongo could have endeavoured to persuade the court that its intervention application should be heard prior to the settlement agreement being made an order of court. If Ohorongo had a right to be joined, it is doubtful whether the settlement agreement could be made an order of court without Ohorongo agreeing to it. The relevant consideration is not whether Ohorongo’s application fell away because the main application had been withdrawn. The real questions are in the first place, whether the Minister and the Commissioner could settle the matter in the absence of Ohorongo if the latter had a sufficient interest to be joined in the main proceedings and secondly whether the settlement agreement could be made an order of court if Ohorongo had a sufficient interest in t</w:t>
      </w:r>
      <w:r w:rsidR="007C483C">
        <w:rPr>
          <w:rFonts w:ascii="Arial" w:hAnsi="Arial" w:cs="Arial"/>
          <w:sz w:val="24"/>
          <w:szCs w:val="24"/>
        </w:rPr>
        <w:t>he settlement agreement itself.</w:t>
      </w:r>
    </w:p>
    <w:p w14:paraId="2D7E66B7" w14:textId="77777777" w:rsidR="00A423AF" w:rsidRPr="00B10DFC" w:rsidRDefault="00A423AF" w:rsidP="007C483C">
      <w:pPr>
        <w:pStyle w:val="ListParagraph"/>
        <w:spacing w:after="0" w:line="480" w:lineRule="auto"/>
        <w:jc w:val="both"/>
        <w:rPr>
          <w:rFonts w:ascii="Arial" w:hAnsi="Arial" w:cs="Arial"/>
          <w:sz w:val="24"/>
          <w:szCs w:val="24"/>
        </w:rPr>
      </w:pPr>
    </w:p>
    <w:p w14:paraId="65375478" w14:textId="16E9D0B3" w:rsidR="00A423AF" w:rsidRPr="00B10DFC" w:rsidRDefault="00A423AF" w:rsidP="007C483C">
      <w:pPr>
        <w:pStyle w:val="ListParagraph"/>
        <w:numPr>
          <w:ilvl w:val="0"/>
          <w:numId w:val="39"/>
        </w:numPr>
        <w:spacing w:after="0" w:line="480" w:lineRule="auto"/>
        <w:ind w:left="0" w:firstLine="0"/>
        <w:jc w:val="both"/>
        <w:rPr>
          <w:rFonts w:ascii="Arial" w:hAnsi="Arial" w:cs="Arial"/>
        </w:rPr>
      </w:pPr>
      <w:r>
        <w:rPr>
          <w:rFonts w:ascii="Arial" w:hAnsi="Arial" w:cs="Arial"/>
          <w:sz w:val="24"/>
          <w:szCs w:val="24"/>
        </w:rPr>
        <w:t xml:space="preserve">As to the decision of the Attorney-General to refer the interpretation of the relevant </w:t>
      </w:r>
      <w:r w:rsidR="00564D70">
        <w:rPr>
          <w:rFonts w:ascii="Arial" w:hAnsi="Arial" w:cs="Arial"/>
          <w:sz w:val="24"/>
          <w:szCs w:val="24"/>
        </w:rPr>
        <w:t xml:space="preserve">provisions of the </w:t>
      </w:r>
      <w:r>
        <w:rPr>
          <w:rFonts w:ascii="Arial" w:hAnsi="Arial" w:cs="Arial"/>
          <w:sz w:val="24"/>
          <w:szCs w:val="24"/>
        </w:rPr>
        <w:t xml:space="preserve">Customs and Excise Act to the Supreme Court for interpretation, it was not given that the Supreme Court would accept the referral by </w:t>
      </w:r>
      <w:r w:rsidR="00F334AD">
        <w:rPr>
          <w:rFonts w:ascii="Arial" w:hAnsi="Arial" w:cs="Arial"/>
          <w:sz w:val="24"/>
          <w:szCs w:val="24"/>
        </w:rPr>
        <w:t xml:space="preserve">the </w:t>
      </w:r>
      <w:r>
        <w:rPr>
          <w:rFonts w:ascii="Arial" w:hAnsi="Arial" w:cs="Arial"/>
          <w:sz w:val="24"/>
          <w:szCs w:val="24"/>
        </w:rPr>
        <w:t>Attorney-General – who was not a party to the settlement agreement - to it in terms of Article 79(2) of the Constitution.</w:t>
      </w:r>
      <w:r>
        <w:rPr>
          <w:rStyle w:val="FootnoteReference"/>
          <w:rFonts w:ascii="Arial" w:hAnsi="Arial" w:cs="Arial"/>
          <w:sz w:val="24"/>
          <w:szCs w:val="24"/>
        </w:rPr>
        <w:footnoteReference w:id="2"/>
      </w:r>
      <w:r>
        <w:rPr>
          <w:rFonts w:ascii="Arial" w:hAnsi="Arial" w:cs="Arial"/>
          <w:sz w:val="24"/>
          <w:szCs w:val="24"/>
        </w:rPr>
        <w:t xml:space="preserve"> In light of the factors </w:t>
      </w:r>
      <w:r w:rsidRPr="002C2A90">
        <w:rPr>
          <w:rFonts w:ascii="Arial" w:hAnsi="Arial" w:cs="Arial"/>
          <w:sz w:val="24"/>
          <w:szCs w:val="24"/>
        </w:rPr>
        <w:t>that the application by Jack’s Trading was aimed at declaring the infancy protection legislation null and void</w:t>
      </w:r>
      <w:r>
        <w:rPr>
          <w:rFonts w:ascii="Arial" w:hAnsi="Arial" w:cs="Arial"/>
          <w:sz w:val="24"/>
          <w:szCs w:val="24"/>
        </w:rPr>
        <w:t xml:space="preserve"> and </w:t>
      </w:r>
      <w:r w:rsidRPr="002C2A90">
        <w:rPr>
          <w:rFonts w:ascii="Arial" w:hAnsi="Arial" w:cs="Arial"/>
          <w:sz w:val="24"/>
          <w:szCs w:val="24"/>
        </w:rPr>
        <w:t xml:space="preserve">Ohorongo stood to benefit from the impugned legislation, </w:t>
      </w:r>
      <w:r>
        <w:rPr>
          <w:rFonts w:ascii="Arial" w:hAnsi="Arial" w:cs="Arial"/>
          <w:sz w:val="24"/>
          <w:szCs w:val="24"/>
        </w:rPr>
        <w:t xml:space="preserve">it was </w:t>
      </w:r>
      <w:r w:rsidRPr="002C2A90">
        <w:rPr>
          <w:rFonts w:ascii="Arial" w:hAnsi="Arial" w:cs="Arial"/>
          <w:sz w:val="24"/>
          <w:szCs w:val="24"/>
        </w:rPr>
        <w:t>necessary for the High Court to have heard and determined the application to intervene before the settlement agreement was made an order of court.</w:t>
      </w:r>
    </w:p>
    <w:p w14:paraId="07411F0B" w14:textId="2B00EAD9" w:rsidR="00A423AF" w:rsidRPr="00757908" w:rsidRDefault="00A423AF" w:rsidP="007C483C">
      <w:pPr>
        <w:pStyle w:val="ListParagraph"/>
        <w:numPr>
          <w:ilvl w:val="0"/>
          <w:numId w:val="39"/>
        </w:numPr>
        <w:spacing w:after="0" w:line="480" w:lineRule="auto"/>
        <w:ind w:left="0" w:firstLine="0"/>
        <w:jc w:val="both"/>
        <w:rPr>
          <w:rFonts w:ascii="Arial" w:hAnsi="Arial" w:cs="Arial"/>
        </w:rPr>
      </w:pPr>
      <w:r w:rsidRPr="002C2A90">
        <w:rPr>
          <w:rFonts w:ascii="Arial" w:hAnsi="Arial" w:cs="Arial"/>
          <w:sz w:val="24"/>
          <w:szCs w:val="24"/>
        </w:rPr>
        <w:t>The question of costs in the application to intervene should also have been determined by the High Court</w:t>
      </w:r>
      <w:r>
        <w:rPr>
          <w:rFonts w:ascii="Arial" w:hAnsi="Arial" w:cs="Arial"/>
          <w:sz w:val="24"/>
          <w:szCs w:val="24"/>
        </w:rPr>
        <w:t>. As the decision as to costs is a matter in the discretion of the presiding judge</w:t>
      </w:r>
      <w:r>
        <w:rPr>
          <w:rStyle w:val="FootnoteReference"/>
          <w:rFonts w:ascii="Arial" w:hAnsi="Arial" w:cs="Arial"/>
          <w:sz w:val="24"/>
          <w:szCs w:val="24"/>
        </w:rPr>
        <w:footnoteReference w:id="3"/>
      </w:r>
      <w:r>
        <w:rPr>
          <w:rFonts w:ascii="Arial" w:hAnsi="Arial" w:cs="Arial"/>
          <w:sz w:val="24"/>
          <w:szCs w:val="24"/>
        </w:rPr>
        <w:t>, it was not open to the High Court to defer the exercise of its discretion to the Supreme Court</w:t>
      </w:r>
      <w:r w:rsidRPr="002C2A90">
        <w:rPr>
          <w:rFonts w:ascii="Arial" w:hAnsi="Arial" w:cs="Arial"/>
          <w:sz w:val="24"/>
          <w:szCs w:val="24"/>
        </w:rPr>
        <w:t xml:space="preserve">. </w:t>
      </w:r>
      <w:r>
        <w:rPr>
          <w:rFonts w:ascii="Arial" w:hAnsi="Arial" w:cs="Arial"/>
          <w:sz w:val="24"/>
          <w:szCs w:val="24"/>
        </w:rPr>
        <w:t>It is not apparent from the record why the issue of costs was referred to t</w:t>
      </w:r>
      <w:r w:rsidR="007C483C">
        <w:rPr>
          <w:rFonts w:ascii="Arial" w:hAnsi="Arial" w:cs="Arial"/>
          <w:sz w:val="24"/>
          <w:szCs w:val="24"/>
        </w:rPr>
        <w:t>he Supreme Court for decision.</w:t>
      </w:r>
    </w:p>
    <w:p w14:paraId="6850919B" w14:textId="77777777" w:rsidR="00A423AF" w:rsidRPr="00C07BA6" w:rsidRDefault="00A423AF" w:rsidP="007C483C">
      <w:pPr>
        <w:spacing w:after="0" w:line="480" w:lineRule="auto"/>
        <w:ind w:left="360"/>
        <w:jc w:val="both"/>
        <w:rPr>
          <w:rFonts w:ascii="Arial" w:hAnsi="Arial" w:cs="Arial"/>
          <w:sz w:val="24"/>
          <w:szCs w:val="24"/>
        </w:rPr>
      </w:pPr>
    </w:p>
    <w:p w14:paraId="75EED261" w14:textId="77777777" w:rsidR="00A423AF" w:rsidRPr="00922A5F" w:rsidRDefault="00A423AF" w:rsidP="007C483C">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The irregularity in the proceedings is inextricably linked to the issues raised in the Attorney-General’s petition. Furthermore, as</w:t>
      </w:r>
      <w:r w:rsidRPr="00922A5F">
        <w:rPr>
          <w:rFonts w:ascii="Arial" w:hAnsi="Arial" w:cs="Arial"/>
          <w:sz w:val="24"/>
          <w:szCs w:val="24"/>
        </w:rPr>
        <w:t xml:space="preserve"> Ohorongo </w:t>
      </w:r>
      <w:r>
        <w:rPr>
          <w:rFonts w:ascii="Arial" w:hAnsi="Arial" w:cs="Arial"/>
          <w:sz w:val="24"/>
          <w:szCs w:val="24"/>
        </w:rPr>
        <w:t xml:space="preserve">is </w:t>
      </w:r>
      <w:r w:rsidRPr="00922A5F">
        <w:rPr>
          <w:rFonts w:ascii="Arial" w:hAnsi="Arial" w:cs="Arial"/>
          <w:sz w:val="24"/>
          <w:szCs w:val="24"/>
        </w:rPr>
        <w:t xml:space="preserve">a party </w:t>
      </w:r>
      <w:r>
        <w:rPr>
          <w:rFonts w:ascii="Arial" w:hAnsi="Arial" w:cs="Arial"/>
          <w:sz w:val="24"/>
          <w:szCs w:val="24"/>
        </w:rPr>
        <w:t>in the Attorney-General’s petition</w:t>
      </w:r>
      <w:r w:rsidRPr="00922A5F">
        <w:rPr>
          <w:rFonts w:ascii="Arial" w:hAnsi="Arial" w:cs="Arial"/>
          <w:sz w:val="24"/>
          <w:szCs w:val="24"/>
        </w:rPr>
        <w:t xml:space="preserve">, the irregularity does not warrant the matter </w:t>
      </w:r>
      <w:r>
        <w:rPr>
          <w:rFonts w:ascii="Arial" w:hAnsi="Arial" w:cs="Arial"/>
          <w:sz w:val="24"/>
          <w:szCs w:val="24"/>
        </w:rPr>
        <w:t xml:space="preserve">to be </w:t>
      </w:r>
      <w:r w:rsidRPr="00922A5F">
        <w:rPr>
          <w:rFonts w:ascii="Arial" w:hAnsi="Arial" w:cs="Arial"/>
          <w:sz w:val="24"/>
          <w:szCs w:val="24"/>
        </w:rPr>
        <w:t>refer</w:t>
      </w:r>
      <w:r>
        <w:rPr>
          <w:rFonts w:ascii="Arial" w:hAnsi="Arial" w:cs="Arial"/>
          <w:sz w:val="24"/>
          <w:szCs w:val="24"/>
        </w:rPr>
        <w:t>red</w:t>
      </w:r>
      <w:r w:rsidRPr="00922A5F">
        <w:rPr>
          <w:rFonts w:ascii="Arial" w:hAnsi="Arial" w:cs="Arial"/>
          <w:sz w:val="24"/>
          <w:szCs w:val="24"/>
        </w:rPr>
        <w:t xml:space="preserve"> back to the High Court. This court will proceed to dispose of the matter. I now turn to deal with the lawfulness of the settlement agreement.</w:t>
      </w:r>
    </w:p>
    <w:p w14:paraId="6609C2BB" w14:textId="77777777" w:rsidR="00A423AF" w:rsidRDefault="00A423AF" w:rsidP="007C483C">
      <w:pPr>
        <w:tabs>
          <w:tab w:val="left" w:pos="0"/>
        </w:tabs>
        <w:spacing w:after="0" w:line="480" w:lineRule="auto"/>
        <w:jc w:val="both"/>
        <w:rPr>
          <w:rFonts w:ascii="Arial" w:hAnsi="Arial" w:cs="Arial"/>
          <w:sz w:val="24"/>
          <w:szCs w:val="24"/>
          <w:u w:val="single"/>
        </w:rPr>
      </w:pPr>
    </w:p>
    <w:p w14:paraId="1F806491" w14:textId="77777777" w:rsidR="00A423AF" w:rsidRDefault="00A423AF" w:rsidP="007C483C">
      <w:pPr>
        <w:tabs>
          <w:tab w:val="left" w:pos="0"/>
        </w:tabs>
        <w:spacing w:after="0" w:line="480" w:lineRule="auto"/>
        <w:jc w:val="both"/>
        <w:rPr>
          <w:rFonts w:ascii="Arial" w:hAnsi="Arial" w:cs="Arial"/>
          <w:sz w:val="24"/>
          <w:szCs w:val="24"/>
          <w:u w:val="single"/>
        </w:rPr>
      </w:pPr>
      <w:r w:rsidRPr="009A4E1E">
        <w:rPr>
          <w:rFonts w:ascii="Arial" w:hAnsi="Arial" w:cs="Arial"/>
          <w:sz w:val="24"/>
          <w:szCs w:val="24"/>
          <w:u w:val="single"/>
        </w:rPr>
        <w:t>Is the settlement agreement lawful?</w:t>
      </w:r>
    </w:p>
    <w:p w14:paraId="1B9EBFFB" w14:textId="739DF73A" w:rsidR="00A423AF" w:rsidRPr="007C483C" w:rsidRDefault="00A423AF" w:rsidP="00C07BA6">
      <w:pPr>
        <w:pStyle w:val="ListParagraph"/>
        <w:numPr>
          <w:ilvl w:val="0"/>
          <w:numId w:val="39"/>
        </w:numPr>
        <w:tabs>
          <w:tab w:val="left" w:pos="0"/>
        </w:tabs>
        <w:spacing w:after="0" w:line="480" w:lineRule="auto"/>
        <w:ind w:left="0" w:firstLine="0"/>
        <w:jc w:val="both"/>
        <w:rPr>
          <w:rFonts w:ascii="Arial" w:hAnsi="Arial" w:cs="Arial"/>
          <w:sz w:val="24"/>
          <w:szCs w:val="24"/>
          <w:u w:val="single"/>
        </w:rPr>
      </w:pPr>
      <w:r w:rsidRPr="0065504C">
        <w:rPr>
          <w:rFonts w:ascii="Arial" w:hAnsi="Arial" w:cs="Arial"/>
          <w:sz w:val="24"/>
          <w:szCs w:val="24"/>
        </w:rPr>
        <w:t xml:space="preserve">It has been argued </w:t>
      </w:r>
      <w:r>
        <w:rPr>
          <w:rFonts w:ascii="Arial" w:hAnsi="Arial" w:cs="Arial"/>
          <w:sz w:val="24"/>
          <w:szCs w:val="24"/>
        </w:rPr>
        <w:t xml:space="preserve">by Ohorongo </w:t>
      </w:r>
      <w:r w:rsidRPr="0065504C">
        <w:rPr>
          <w:rFonts w:ascii="Arial" w:hAnsi="Arial" w:cs="Arial"/>
          <w:sz w:val="24"/>
          <w:szCs w:val="24"/>
        </w:rPr>
        <w:t xml:space="preserve">that the settlement agreement concluded by the Minister, the Commissioner and Jack’s Trading is unlawful. </w:t>
      </w:r>
      <w:r>
        <w:rPr>
          <w:rFonts w:ascii="Arial" w:hAnsi="Arial" w:cs="Arial"/>
          <w:sz w:val="24"/>
          <w:szCs w:val="24"/>
        </w:rPr>
        <w:t>As noted above, clause 3 of t</w:t>
      </w:r>
      <w:r w:rsidRPr="0065504C">
        <w:rPr>
          <w:rFonts w:ascii="Arial" w:hAnsi="Arial" w:cs="Arial"/>
          <w:sz w:val="24"/>
          <w:szCs w:val="24"/>
        </w:rPr>
        <w:t>he settlement agreement provide</w:t>
      </w:r>
      <w:r>
        <w:rPr>
          <w:rFonts w:ascii="Arial" w:hAnsi="Arial" w:cs="Arial"/>
          <w:sz w:val="24"/>
          <w:szCs w:val="24"/>
        </w:rPr>
        <w:t xml:space="preserve">d, amongst other things </w:t>
      </w:r>
      <w:r w:rsidRPr="0065504C">
        <w:rPr>
          <w:rFonts w:ascii="Arial" w:hAnsi="Arial" w:cs="Arial"/>
          <w:sz w:val="24"/>
          <w:szCs w:val="24"/>
        </w:rPr>
        <w:t>that although the Government would continue to levy the duties to Portland cement imported by Jack</w:t>
      </w:r>
      <w:r>
        <w:rPr>
          <w:rFonts w:ascii="Arial" w:hAnsi="Arial" w:cs="Arial"/>
          <w:sz w:val="24"/>
          <w:szCs w:val="24"/>
        </w:rPr>
        <w:t>’</w:t>
      </w:r>
      <w:r w:rsidRPr="0065504C">
        <w:rPr>
          <w:rFonts w:ascii="Arial" w:hAnsi="Arial" w:cs="Arial"/>
          <w:sz w:val="24"/>
          <w:szCs w:val="24"/>
        </w:rPr>
        <w:t xml:space="preserve">s </w:t>
      </w:r>
      <w:r>
        <w:rPr>
          <w:rFonts w:ascii="Arial" w:hAnsi="Arial" w:cs="Arial"/>
          <w:sz w:val="24"/>
          <w:szCs w:val="24"/>
        </w:rPr>
        <w:t xml:space="preserve">Trading </w:t>
      </w:r>
      <w:r w:rsidRPr="0065504C">
        <w:rPr>
          <w:rFonts w:ascii="Arial" w:hAnsi="Arial" w:cs="Arial"/>
          <w:sz w:val="24"/>
          <w:szCs w:val="24"/>
        </w:rPr>
        <w:t>at the additional 60% rate prescribed by the infancy protection legislation promulgated in terms of s</w:t>
      </w:r>
      <w:r w:rsidR="00564D70">
        <w:rPr>
          <w:rFonts w:ascii="Arial" w:hAnsi="Arial" w:cs="Arial"/>
          <w:sz w:val="24"/>
          <w:szCs w:val="24"/>
        </w:rPr>
        <w:t>ection</w:t>
      </w:r>
      <w:r w:rsidRPr="0065504C">
        <w:rPr>
          <w:rFonts w:ascii="Arial" w:hAnsi="Arial" w:cs="Arial"/>
          <w:sz w:val="24"/>
          <w:szCs w:val="24"/>
        </w:rPr>
        <w:t xml:space="preserve"> 65(1) of the Customs and Excise Act, such duties would not be collected pending the outcome of the Supreme Court’s determination of the referred issues. The legality of this </w:t>
      </w:r>
      <w:r>
        <w:rPr>
          <w:rFonts w:ascii="Arial" w:hAnsi="Arial" w:cs="Arial"/>
          <w:sz w:val="24"/>
          <w:szCs w:val="24"/>
        </w:rPr>
        <w:t xml:space="preserve">clause </w:t>
      </w:r>
      <w:r w:rsidRPr="0065504C">
        <w:rPr>
          <w:rFonts w:ascii="Arial" w:hAnsi="Arial" w:cs="Arial"/>
          <w:sz w:val="24"/>
          <w:szCs w:val="24"/>
        </w:rPr>
        <w:t>of the agreement should be examined against s</w:t>
      </w:r>
      <w:r w:rsidR="004322BA">
        <w:rPr>
          <w:rFonts w:ascii="Arial" w:hAnsi="Arial" w:cs="Arial"/>
          <w:sz w:val="24"/>
          <w:szCs w:val="24"/>
        </w:rPr>
        <w:t>ection</w:t>
      </w:r>
      <w:r w:rsidRPr="0065504C">
        <w:rPr>
          <w:rFonts w:ascii="Arial" w:hAnsi="Arial" w:cs="Arial"/>
          <w:sz w:val="24"/>
          <w:szCs w:val="24"/>
        </w:rPr>
        <w:t xml:space="preserve"> 51(1) of the Customs and Excise Act which provides that:</w:t>
      </w:r>
    </w:p>
    <w:p w14:paraId="50E29F94" w14:textId="77777777" w:rsidR="007C483C" w:rsidRPr="0065504C" w:rsidRDefault="007C483C" w:rsidP="007C483C">
      <w:pPr>
        <w:pStyle w:val="ListParagraph"/>
        <w:tabs>
          <w:tab w:val="left" w:pos="0"/>
        </w:tabs>
        <w:spacing w:after="0" w:line="360" w:lineRule="auto"/>
        <w:ind w:left="0"/>
        <w:jc w:val="both"/>
        <w:rPr>
          <w:rFonts w:ascii="Arial" w:hAnsi="Arial" w:cs="Arial"/>
          <w:sz w:val="24"/>
          <w:szCs w:val="24"/>
          <w:u w:val="single"/>
        </w:rPr>
      </w:pPr>
    </w:p>
    <w:p w14:paraId="3437C797" w14:textId="04FEC580" w:rsidR="00A423AF" w:rsidRDefault="00A423AF" w:rsidP="007C483C">
      <w:pPr>
        <w:tabs>
          <w:tab w:val="left" w:pos="0"/>
        </w:tabs>
        <w:spacing w:after="0" w:line="360" w:lineRule="auto"/>
        <w:ind w:left="720"/>
        <w:jc w:val="both"/>
        <w:rPr>
          <w:rFonts w:ascii="Arial" w:hAnsi="Arial" w:cs="Arial"/>
        </w:rPr>
      </w:pPr>
      <w:r>
        <w:rPr>
          <w:rFonts w:ascii="Arial" w:hAnsi="Arial" w:cs="Arial"/>
        </w:rPr>
        <w:t>‘</w:t>
      </w:r>
      <w:r w:rsidRPr="00423BA7">
        <w:rPr>
          <w:rFonts w:ascii="Arial" w:hAnsi="Arial" w:cs="Arial"/>
        </w:rPr>
        <w:t xml:space="preserve">Subject to this Act, duty shall be paid for the benefit of the State Revenue Fund on all imported goods, all excisable goods, all surcharge goods and all fuel levy goods in accordance with Schedule 1 </w:t>
      </w:r>
      <w:r w:rsidRPr="004322BA">
        <w:rPr>
          <w:rFonts w:ascii="Arial" w:hAnsi="Arial" w:cs="Arial"/>
          <w:i/>
        </w:rPr>
        <w:t xml:space="preserve">at the time of entry </w:t>
      </w:r>
      <w:r w:rsidRPr="00423BA7">
        <w:rPr>
          <w:rFonts w:ascii="Arial" w:hAnsi="Arial" w:cs="Arial"/>
        </w:rPr>
        <w:t>for home consumption of such goods.</w:t>
      </w:r>
      <w:r>
        <w:rPr>
          <w:rFonts w:ascii="Arial" w:hAnsi="Arial" w:cs="Arial"/>
        </w:rPr>
        <w:t>’</w:t>
      </w:r>
      <w:r w:rsidR="00A27F5E">
        <w:rPr>
          <w:rFonts w:ascii="Arial" w:hAnsi="Arial" w:cs="Arial"/>
        </w:rPr>
        <w:t xml:space="preserve"> (Emphasis supplied)</w:t>
      </w:r>
    </w:p>
    <w:p w14:paraId="164DCB80" w14:textId="77777777" w:rsidR="007C483C" w:rsidRPr="00C07BA6" w:rsidRDefault="007C483C" w:rsidP="006B1C56">
      <w:pPr>
        <w:tabs>
          <w:tab w:val="left" w:pos="0"/>
        </w:tabs>
        <w:spacing w:after="0" w:line="480" w:lineRule="auto"/>
        <w:ind w:left="720"/>
        <w:jc w:val="both"/>
        <w:rPr>
          <w:rFonts w:ascii="Arial" w:hAnsi="Arial" w:cs="Arial"/>
          <w:sz w:val="24"/>
          <w:szCs w:val="24"/>
        </w:rPr>
      </w:pPr>
    </w:p>
    <w:p w14:paraId="5AF0C9AA" w14:textId="2D73595D" w:rsidR="00A423AF" w:rsidRDefault="00A423AF" w:rsidP="00C07BA6">
      <w:pPr>
        <w:pStyle w:val="ListParagraph"/>
        <w:numPr>
          <w:ilvl w:val="0"/>
          <w:numId w:val="39"/>
        </w:numPr>
        <w:tabs>
          <w:tab w:val="left" w:pos="0"/>
        </w:tabs>
        <w:spacing w:after="0" w:line="480" w:lineRule="auto"/>
        <w:ind w:left="0" w:firstLine="0"/>
        <w:jc w:val="both"/>
        <w:rPr>
          <w:rFonts w:ascii="Arial" w:hAnsi="Arial" w:cs="Arial"/>
          <w:sz w:val="24"/>
          <w:szCs w:val="24"/>
        </w:rPr>
      </w:pPr>
      <w:r w:rsidRPr="0065504C">
        <w:rPr>
          <w:rFonts w:ascii="Arial" w:hAnsi="Arial" w:cs="Arial"/>
          <w:sz w:val="24"/>
          <w:szCs w:val="24"/>
        </w:rPr>
        <w:t>Thus the Act prescribes that once duty has been imposed against goods, the duty must be paid at the time the goods enter the country. Section 51(2) (a) to (c) provides circumstances under which the Commissioner may condone underpayment of duty payable on goods being imported into Namibia. It appears none of those provisions authorise</w:t>
      </w:r>
      <w:r>
        <w:rPr>
          <w:rFonts w:ascii="Arial" w:hAnsi="Arial" w:cs="Arial"/>
          <w:sz w:val="24"/>
          <w:szCs w:val="24"/>
        </w:rPr>
        <w:t>s</w:t>
      </w:r>
      <w:r w:rsidRPr="0065504C">
        <w:rPr>
          <w:rFonts w:ascii="Arial" w:hAnsi="Arial" w:cs="Arial"/>
          <w:sz w:val="24"/>
          <w:szCs w:val="24"/>
        </w:rPr>
        <w:t xml:space="preserve"> an arrangement as contemplated in the settlement agreement. </w:t>
      </w:r>
      <w:r>
        <w:rPr>
          <w:rFonts w:ascii="Arial" w:hAnsi="Arial" w:cs="Arial"/>
          <w:sz w:val="24"/>
          <w:szCs w:val="24"/>
        </w:rPr>
        <w:t>Furthermore, section 41(1)(</w:t>
      </w:r>
      <w:r w:rsidRPr="0046204E">
        <w:rPr>
          <w:rFonts w:ascii="Arial" w:hAnsi="Arial" w:cs="Arial"/>
          <w:i/>
          <w:sz w:val="24"/>
          <w:szCs w:val="24"/>
        </w:rPr>
        <w:t>a</w:t>
      </w:r>
      <w:r>
        <w:rPr>
          <w:rFonts w:ascii="Arial" w:hAnsi="Arial" w:cs="Arial"/>
          <w:sz w:val="24"/>
          <w:szCs w:val="24"/>
        </w:rPr>
        <w:t>) of the Customs and Excise Act provides that a person entering any imported goods for any purpose must deliver to the Controller a bill of entry specifying the purpose for which the goods are being entered. Additionally, the person must sign a declaration as to the correctness of the particulars and purpose for which the goods are being entered. Section 41(1)(</w:t>
      </w:r>
      <w:r w:rsidRPr="0046204E">
        <w:rPr>
          <w:rFonts w:ascii="Arial" w:hAnsi="Arial" w:cs="Arial"/>
          <w:i/>
          <w:sz w:val="24"/>
          <w:szCs w:val="24"/>
        </w:rPr>
        <w:t>b</w:t>
      </w:r>
      <w:r>
        <w:rPr>
          <w:rFonts w:ascii="Arial" w:hAnsi="Arial" w:cs="Arial"/>
          <w:sz w:val="24"/>
          <w:szCs w:val="24"/>
        </w:rPr>
        <w:t>) in peremptory terms requires the person referred to in s</w:t>
      </w:r>
      <w:r w:rsidR="00C35888">
        <w:rPr>
          <w:rFonts w:ascii="Arial" w:hAnsi="Arial" w:cs="Arial"/>
          <w:sz w:val="24"/>
          <w:szCs w:val="24"/>
        </w:rPr>
        <w:t>ection</w:t>
      </w:r>
      <w:r>
        <w:rPr>
          <w:rFonts w:ascii="Arial" w:hAnsi="Arial" w:cs="Arial"/>
          <w:sz w:val="24"/>
          <w:szCs w:val="24"/>
        </w:rPr>
        <w:t xml:space="preserve"> 41(1)(</w:t>
      </w:r>
      <w:r w:rsidRPr="0046204E">
        <w:rPr>
          <w:rFonts w:ascii="Arial" w:hAnsi="Arial" w:cs="Arial"/>
          <w:i/>
          <w:sz w:val="24"/>
          <w:szCs w:val="24"/>
        </w:rPr>
        <w:t>a</w:t>
      </w:r>
      <w:r>
        <w:rPr>
          <w:rFonts w:ascii="Arial" w:hAnsi="Arial" w:cs="Arial"/>
          <w:sz w:val="24"/>
          <w:szCs w:val="24"/>
        </w:rPr>
        <w:t>) to pay all du</w:t>
      </w:r>
      <w:r w:rsidR="007C483C">
        <w:rPr>
          <w:rFonts w:ascii="Arial" w:hAnsi="Arial" w:cs="Arial"/>
          <w:sz w:val="24"/>
          <w:szCs w:val="24"/>
        </w:rPr>
        <w:t>ties due on the imported goods.</w:t>
      </w:r>
    </w:p>
    <w:p w14:paraId="6275687B" w14:textId="77777777" w:rsidR="00A423AF" w:rsidRPr="0046204E" w:rsidRDefault="00A423AF" w:rsidP="007C483C">
      <w:pPr>
        <w:tabs>
          <w:tab w:val="left" w:pos="0"/>
        </w:tabs>
        <w:spacing w:after="0" w:line="480" w:lineRule="auto"/>
        <w:jc w:val="both"/>
        <w:rPr>
          <w:rFonts w:ascii="Arial" w:hAnsi="Arial" w:cs="Arial"/>
          <w:sz w:val="24"/>
          <w:szCs w:val="24"/>
        </w:rPr>
      </w:pPr>
    </w:p>
    <w:p w14:paraId="4D361BD6" w14:textId="77777777" w:rsidR="00A423AF" w:rsidRDefault="00A423AF" w:rsidP="00C07BA6">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Section 41(2) of the Customs and Excise Act provides as follows:</w:t>
      </w:r>
    </w:p>
    <w:p w14:paraId="2FD6C2D3" w14:textId="77777777" w:rsidR="00A423AF" w:rsidRPr="00C07BA6" w:rsidRDefault="00A423AF" w:rsidP="00C07BA6">
      <w:pPr>
        <w:tabs>
          <w:tab w:val="left" w:pos="0"/>
        </w:tabs>
        <w:spacing w:after="0" w:line="480" w:lineRule="auto"/>
        <w:ind w:left="720"/>
        <w:jc w:val="both"/>
        <w:rPr>
          <w:rFonts w:ascii="Arial" w:hAnsi="Arial" w:cs="Arial"/>
        </w:rPr>
      </w:pPr>
    </w:p>
    <w:p w14:paraId="5CFCE993" w14:textId="77777777" w:rsidR="00A423AF" w:rsidRDefault="00A423AF" w:rsidP="007C483C">
      <w:pPr>
        <w:tabs>
          <w:tab w:val="left" w:pos="0"/>
        </w:tabs>
        <w:spacing w:after="0" w:line="480" w:lineRule="auto"/>
        <w:ind w:left="720"/>
        <w:jc w:val="both"/>
        <w:rPr>
          <w:rFonts w:ascii="Arial" w:hAnsi="Arial" w:cs="Arial"/>
        </w:rPr>
      </w:pPr>
      <w:r w:rsidRPr="0046204E">
        <w:rPr>
          <w:rFonts w:ascii="Arial" w:hAnsi="Arial" w:cs="Arial"/>
        </w:rPr>
        <w:t>‘(2) Notwithstanding paragraph (b) of subsection (1), the Commissioner may for such period and on such conditions, including conditions relating to security, as he or she may determine, in writing allow the</w:t>
      </w:r>
      <w:r>
        <w:rPr>
          <w:rFonts w:ascii="Arial" w:hAnsi="Arial" w:cs="Arial"/>
        </w:rPr>
        <w:t xml:space="preserve"> </w:t>
      </w:r>
      <w:r w:rsidRPr="0046204E">
        <w:rPr>
          <w:rFonts w:ascii="Arial" w:hAnsi="Arial" w:cs="Arial"/>
        </w:rPr>
        <w:t>deferment of payment of duties in terms of that paragraph in respect of the relevant bills of entry.’</w:t>
      </w:r>
    </w:p>
    <w:p w14:paraId="6D998CD5" w14:textId="77777777" w:rsidR="00A423AF" w:rsidRPr="0046204E" w:rsidRDefault="00A423AF" w:rsidP="007C483C">
      <w:pPr>
        <w:tabs>
          <w:tab w:val="left" w:pos="0"/>
        </w:tabs>
        <w:spacing w:after="0" w:line="480" w:lineRule="auto"/>
        <w:ind w:left="360"/>
        <w:jc w:val="both"/>
        <w:rPr>
          <w:rFonts w:ascii="Arial" w:hAnsi="Arial" w:cs="Arial"/>
          <w:sz w:val="24"/>
          <w:szCs w:val="24"/>
        </w:rPr>
      </w:pPr>
    </w:p>
    <w:p w14:paraId="36BCBED1" w14:textId="284CEE5D" w:rsidR="00A423AF" w:rsidRDefault="00A27F5E" w:rsidP="007C483C">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 xml:space="preserve">As noted above, </w:t>
      </w:r>
      <w:r w:rsidR="00A423AF" w:rsidRPr="0046204E">
        <w:rPr>
          <w:rFonts w:ascii="Arial" w:hAnsi="Arial" w:cs="Arial"/>
          <w:sz w:val="24"/>
          <w:szCs w:val="24"/>
        </w:rPr>
        <w:t xml:space="preserve">Jack’s Trading contended </w:t>
      </w:r>
      <w:r w:rsidR="00A423AF" w:rsidRPr="00FE5450">
        <w:rPr>
          <w:rFonts w:ascii="Arial" w:hAnsi="Arial" w:cs="Arial"/>
          <w:sz w:val="24"/>
          <w:szCs w:val="24"/>
        </w:rPr>
        <w:t>that it was not given an exemption</w:t>
      </w:r>
      <w:r w:rsidR="00A423AF" w:rsidRPr="001A5E43">
        <w:rPr>
          <w:rFonts w:ascii="Arial" w:hAnsi="Arial" w:cs="Arial"/>
          <w:sz w:val="24"/>
          <w:szCs w:val="24"/>
        </w:rPr>
        <w:t xml:space="preserve"> from paying </w:t>
      </w:r>
      <w:r w:rsidR="00A423AF" w:rsidRPr="000933E8">
        <w:rPr>
          <w:rFonts w:ascii="Arial" w:hAnsi="Arial" w:cs="Arial"/>
          <w:sz w:val="24"/>
          <w:szCs w:val="24"/>
        </w:rPr>
        <w:t>the additional tax levied on the importation of its cement in the settlement agreement. According to Jack</w:t>
      </w:r>
      <w:r w:rsidR="00A423AF" w:rsidRPr="00B34816">
        <w:rPr>
          <w:rFonts w:ascii="Arial" w:hAnsi="Arial" w:cs="Arial"/>
          <w:sz w:val="24"/>
          <w:szCs w:val="24"/>
        </w:rPr>
        <w:t>’s</w:t>
      </w:r>
      <w:r w:rsidR="00A423AF" w:rsidRPr="00A611AF">
        <w:rPr>
          <w:rFonts w:ascii="Arial" w:hAnsi="Arial" w:cs="Arial"/>
          <w:sz w:val="24"/>
          <w:szCs w:val="24"/>
        </w:rPr>
        <w:t xml:space="preserve"> Trading, all that the settlement agreement </w:t>
      </w:r>
      <w:r w:rsidR="00A423AF" w:rsidRPr="00A96749">
        <w:rPr>
          <w:rFonts w:ascii="Arial" w:hAnsi="Arial" w:cs="Arial"/>
          <w:sz w:val="24"/>
          <w:szCs w:val="24"/>
        </w:rPr>
        <w:t>contemplated in this respect was t</w:t>
      </w:r>
      <w:r w:rsidR="00A423AF" w:rsidRPr="00FE5450">
        <w:rPr>
          <w:rFonts w:ascii="Arial" w:hAnsi="Arial" w:cs="Arial"/>
          <w:sz w:val="24"/>
          <w:szCs w:val="24"/>
        </w:rPr>
        <w:t>he deferment of the payment of tax until the correctness or otherwise of the judgment of the High Court has been determined in the Supreme Court. It may well be so that the agreement contemplated the deferment of the payment of tax by Jack’s Trading, but that still does not make the agreement lawful, because s</w:t>
      </w:r>
      <w:r w:rsidR="00C35888">
        <w:rPr>
          <w:rFonts w:ascii="Arial" w:hAnsi="Arial" w:cs="Arial"/>
          <w:sz w:val="24"/>
          <w:szCs w:val="24"/>
        </w:rPr>
        <w:t>ection</w:t>
      </w:r>
      <w:r w:rsidR="00A423AF" w:rsidRPr="00FE5450">
        <w:rPr>
          <w:rFonts w:ascii="Arial" w:hAnsi="Arial" w:cs="Arial"/>
          <w:sz w:val="24"/>
          <w:szCs w:val="24"/>
        </w:rPr>
        <w:t xml:space="preserve"> 41(2) of the Customs and Excise Act does not empower the Commissioner </w:t>
      </w:r>
      <w:r w:rsidR="00A423AF" w:rsidRPr="001A5E43">
        <w:rPr>
          <w:rFonts w:ascii="Arial" w:hAnsi="Arial" w:cs="Arial"/>
          <w:sz w:val="24"/>
          <w:szCs w:val="24"/>
        </w:rPr>
        <w:t>to grant a blanket defe</w:t>
      </w:r>
      <w:r w:rsidR="007C483C">
        <w:rPr>
          <w:rFonts w:ascii="Arial" w:hAnsi="Arial" w:cs="Arial"/>
          <w:sz w:val="24"/>
          <w:szCs w:val="24"/>
        </w:rPr>
        <w:t>rment for an indefinite period.</w:t>
      </w:r>
    </w:p>
    <w:p w14:paraId="01F12016" w14:textId="77777777" w:rsidR="00A423AF" w:rsidRPr="00B10DFC" w:rsidRDefault="00A423AF" w:rsidP="007C483C">
      <w:pPr>
        <w:tabs>
          <w:tab w:val="left" w:pos="0"/>
        </w:tabs>
        <w:spacing w:after="0" w:line="480" w:lineRule="auto"/>
        <w:jc w:val="both"/>
        <w:rPr>
          <w:rFonts w:ascii="Arial" w:hAnsi="Arial" w:cs="Arial"/>
          <w:sz w:val="24"/>
          <w:szCs w:val="24"/>
        </w:rPr>
      </w:pPr>
    </w:p>
    <w:p w14:paraId="1A689C66" w14:textId="2CC23463" w:rsidR="00A423AF" w:rsidRPr="00FE5450" w:rsidRDefault="00A423AF" w:rsidP="007C483C">
      <w:pPr>
        <w:pStyle w:val="ListParagraph"/>
        <w:numPr>
          <w:ilvl w:val="0"/>
          <w:numId w:val="39"/>
        </w:numPr>
        <w:tabs>
          <w:tab w:val="left" w:pos="0"/>
        </w:tabs>
        <w:spacing w:after="0" w:line="480" w:lineRule="auto"/>
        <w:ind w:left="0" w:firstLine="0"/>
        <w:jc w:val="both"/>
        <w:rPr>
          <w:rFonts w:ascii="Arial" w:hAnsi="Arial" w:cs="Arial"/>
          <w:sz w:val="24"/>
          <w:szCs w:val="24"/>
        </w:rPr>
      </w:pPr>
      <w:r w:rsidRPr="001A5E43">
        <w:rPr>
          <w:rFonts w:ascii="Arial" w:hAnsi="Arial" w:cs="Arial"/>
          <w:sz w:val="24"/>
          <w:szCs w:val="24"/>
        </w:rPr>
        <w:t xml:space="preserve">The section contemplates deferment in respect of relevant bills of entry and in respect of a definite period. The section also contemplates the imposition of conditions, including those relating to security. </w:t>
      </w:r>
      <w:r w:rsidRPr="000933E8">
        <w:rPr>
          <w:rFonts w:ascii="Arial" w:hAnsi="Arial" w:cs="Arial"/>
          <w:sz w:val="24"/>
          <w:szCs w:val="24"/>
        </w:rPr>
        <w:t>No such conditions have been imposed</w:t>
      </w:r>
      <w:r>
        <w:rPr>
          <w:rFonts w:ascii="Arial" w:hAnsi="Arial" w:cs="Arial"/>
          <w:sz w:val="24"/>
          <w:szCs w:val="24"/>
        </w:rPr>
        <w:t xml:space="preserve"> in the settlement agreement</w:t>
      </w:r>
      <w:r w:rsidRPr="000933E8">
        <w:rPr>
          <w:rFonts w:ascii="Arial" w:hAnsi="Arial" w:cs="Arial"/>
          <w:sz w:val="24"/>
          <w:szCs w:val="24"/>
        </w:rPr>
        <w:t xml:space="preserve">. The </w:t>
      </w:r>
      <w:r>
        <w:rPr>
          <w:rFonts w:ascii="Arial" w:hAnsi="Arial" w:cs="Arial"/>
          <w:sz w:val="24"/>
          <w:szCs w:val="24"/>
        </w:rPr>
        <w:t>Commissioner himself did not rely on or even refer to s</w:t>
      </w:r>
      <w:r w:rsidR="00C35888">
        <w:rPr>
          <w:rFonts w:ascii="Arial" w:hAnsi="Arial" w:cs="Arial"/>
          <w:sz w:val="24"/>
          <w:szCs w:val="24"/>
        </w:rPr>
        <w:t>ection</w:t>
      </w:r>
      <w:r>
        <w:rPr>
          <w:rFonts w:ascii="Arial" w:hAnsi="Arial" w:cs="Arial"/>
          <w:sz w:val="24"/>
          <w:szCs w:val="24"/>
        </w:rPr>
        <w:t xml:space="preserve"> 41(2). To the extent reliance is impliedly placed on that section by Jack’s Trading, the Commissioner acted </w:t>
      </w:r>
      <w:r w:rsidRPr="00FE5450">
        <w:rPr>
          <w:rFonts w:ascii="Arial" w:hAnsi="Arial" w:cs="Arial"/>
          <w:sz w:val="24"/>
          <w:szCs w:val="24"/>
        </w:rPr>
        <w:t xml:space="preserve">ultra vires </w:t>
      </w:r>
      <w:r>
        <w:rPr>
          <w:rFonts w:ascii="Arial" w:hAnsi="Arial" w:cs="Arial"/>
          <w:sz w:val="24"/>
          <w:szCs w:val="24"/>
        </w:rPr>
        <w:t xml:space="preserve">in agreeing to clause 3 of the settlement agreement. The agreement is thus ultra vires the relevant provisions </w:t>
      </w:r>
      <w:r w:rsidRPr="00FE5450">
        <w:rPr>
          <w:rFonts w:ascii="Arial" w:hAnsi="Arial" w:cs="Arial"/>
          <w:sz w:val="24"/>
          <w:szCs w:val="24"/>
        </w:rPr>
        <w:t>of the Customs and Excise Act and is therefore unlawful t</w:t>
      </w:r>
      <w:r w:rsidR="007C483C">
        <w:rPr>
          <w:rFonts w:ascii="Arial" w:hAnsi="Arial" w:cs="Arial"/>
          <w:sz w:val="24"/>
          <w:szCs w:val="24"/>
        </w:rPr>
        <w:t>o that extent.</w:t>
      </w:r>
    </w:p>
    <w:p w14:paraId="3A44B592" w14:textId="77777777" w:rsidR="00A423AF" w:rsidRPr="00DD770F" w:rsidRDefault="00A423AF" w:rsidP="007C483C">
      <w:pPr>
        <w:tabs>
          <w:tab w:val="left" w:pos="0"/>
        </w:tabs>
        <w:spacing w:after="0" w:line="480" w:lineRule="auto"/>
        <w:jc w:val="both"/>
        <w:rPr>
          <w:rFonts w:ascii="Arial" w:hAnsi="Arial" w:cs="Arial"/>
          <w:sz w:val="24"/>
          <w:szCs w:val="24"/>
        </w:rPr>
      </w:pPr>
    </w:p>
    <w:p w14:paraId="78F67B93" w14:textId="17C3BA9A" w:rsidR="00A423AF" w:rsidRDefault="00A423AF" w:rsidP="007C483C">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To sum up on Ohorongo’s application, i</w:t>
      </w:r>
      <w:r w:rsidRPr="00757908">
        <w:rPr>
          <w:rFonts w:ascii="Arial" w:hAnsi="Arial" w:cs="Arial"/>
          <w:sz w:val="24"/>
          <w:szCs w:val="24"/>
        </w:rPr>
        <w:t xml:space="preserve">t was a mistaken action to refuse to decide the application to intervene and not to give Ohorongo an opportunity to be heard </w:t>
      </w:r>
      <w:r>
        <w:rPr>
          <w:rFonts w:ascii="Arial" w:hAnsi="Arial" w:cs="Arial"/>
          <w:sz w:val="24"/>
          <w:szCs w:val="24"/>
        </w:rPr>
        <w:t>and to make representations regarding the terms and conditions of the settlement agreement prior to making the</w:t>
      </w:r>
      <w:r w:rsidRPr="00757908">
        <w:rPr>
          <w:rFonts w:ascii="Arial" w:hAnsi="Arial" w:cs="Arial"/>
          <w:sz w:val="24"/>
          <w:szCs w:val="24"/>
        </w:rPr>
        <w:t xml:space="preserve"> agreement an order of court. This mistaken action prevented Ohorongo from having its case fully and fairly heard.</w:t>
      </w:r>
      <w:r w:rsidRPr="00757908">
        <w:rPr>
          <w:rStyle w:val="FootnoteReference"/>
          <w:rFonts w:ascii="Arial" w:hAnsi="Arial" w:cs="Arial"/>
          <w:sz w:val="24"/>
          <w:szCs w:val="24"/>
        </w:rPr>
        <w:footnoteReference w:id="4"/>
      </w:r>
      <w:r w:rsidRPr="00757908">
        <w:rPr>
          <w:rFonts w:ascii="Arial" w:hAnsi="Arial" w:cs="Arial"/>
          <w:sz w:val="24"/>
          <w:szCs w:val="24"/>
        </w:rPr>
        <w:t xml:space="preserve"> The action thus constitutes an irregularity in the proceedings. </w:t>
      </w:r>
      <w:r>
        <w:rPr>
          <w:rFonts w:ascii="Arial" w:hAnsi="Arial" w:cs="Arial"/>
          <w:sz w:val="24"/>
          <w:szCs w:val="24"/>
        </w:rPr>
        <w:t>Moreover, t</w:t>
      </w:r>
      <w:r w:rsidRPr="0065504C">
        <w:rPr>
          <w:rFonts w:ascii="Arial" w:hAnsi="Arial" w:cs="Arial"/>
          <w:sz w:val="24"/>
          <w:szCs w:val="24"/>
        </w:rPr>
        <w:t xml:space="preserve">he High Court </w:t>
      </w:r>
      <w:r>
        <w:rPr>
          <w:rFonts w:ascii="Arial" w:hAnsi="Arial" w:cs="Arial"/>
          <w:sz w:val="24"/>
          <w:szCs w:val="24"/>
        </w:rPr>
        <w:t xml:space="preserve">committed an irregularity in </w:t>
      </w:r>
      <w:r w:rsidRPr="0065504C">
        <w:rPr>
          <w:rFonts w:ascii="Arial" w:hAnsi="Arial" w:cs="Arial"/>
          <w:sz w:val="24"/>
          <w:szCs w:val="24"/>
        </w:rPr>
        <w:t>mak</w:t>
      </w:r>
      <w:r>
        <w:rPr>
          <w:rFonts w:ascii="Arial" w:hAnsi="Arial" w:cs="Arial"/>
          <w:sz w:val="24"/>
          <w:szCs w:val="24"/>
        </w:rPr>
        <w:t>ing</w:t>
      </w:r>
      <w:r w:rsidRPr="0065504C">
        <w:rPr>
          <w:rFonts w:ascii="Arial" w:hAnsi="Arial" w:cs="Arial"/>
          <w:sz w:val="24"/>
          <w:szCs w:val="24"/>
        </w:rPr>
        <w:t xml:space="preserve"> the settlement agreement its order when the settlement agreement is ultra vires the </w:t>
      </w:r>
      <w:r>
        <w:rPr>
          <w:rFonts w:ascii="Arial" w:hAnsi="Arial" w:cs="Arial"/>
          <w:sz w:val="24"/>
          <w:szCs w:val="24"/>
        </w:rPr>
        <w:t>Customs and Excise Act</w:t>
      </w:r>
      <w:r w:rsidRPr="0065504C">
        <w:rPr>
          <w:rFonts w:ascii="Arial" w:hAnsi="Arial" w:cs="Arial"/>
          <w:sz w:val="24"/>
          <w:szCs w:val="24"/>
        </w:rPr>
        <w:t xml:space="preserve">. </w:t>
      </w:r>
      <w:r>
        <w:rPr>
          <w:rFonts w:ascii="Arial" w:hAnsi="Arial" w:cs="Arial"/>
          <w:sz w:val="24"/>
          <w:szCs w:val="24"/>
        </w:rPr>
        <w:t xml:space="preserve">The proceedings of the High Court of </w:t>
      </w:r>
      <w:r w:rsidRPr="002C2A90">
        <w:rPr>
          <w:rFonts w:ascii="Arial" w:hAnsi="Arial" w:cs="Arial"/>
          <w:sz w:val="24"/>
          <w:szCs w:val="24"/>
        </w:rPr>
        <w:t>23 January 2013</w:t>
      </w:r>
      <w:r>
        <w:rPr>
          <w:rFonts w:ascii="Arial" w:hAnsi="Arial" w:cs="Arial"/>
          <w:sz w:val="24"/>
          <w:szCs w:val="24"/>
        </w:rPr>
        <w:t>,</w:t>
      </w:r>
      <w:r w:rsidRPr="002C2A90">
        <w:rPr>
          <w:rFonts w:ascii="Arial" w:hAnsi="Arial" w:cs="Arial"/>
          <w:sz w:val="24"/>
          <w:szCs w:val="24"/>
        </w:rPr>
        <w:t xml:space="preserve"> </w:t>
      </w:r>
      <w:r>
        <w:rPr>
          <w:rFonts w:ascii="Arial" w:hAnsi="Arial" w:cs="Arial"/>
          <w:sz w:val="24"/>
          <w:szCs w:val="24"/>
        </w:rPr>
        <w:t xml:space="preserve">in case number A316/2012, are accordingly </w:t>
      </w:r>
      <w:r w:rsidRPr="002C2A90">
        <w:rPr>
          <w:rFonts w:ascii="Arial" w:hAnsi="Arial" w:cs="Arial"/>
          <w:sz w:val="24"/>
          <w:szCs w:val="24"/>
        </w:rPr>
        <w:t xml:space="preserve">reviewed and </w:t>
      </w:r>
      <w:r>
        <w:rPr>
          <w:rFonts w:ascii="Arial" w:hAnsi="Arial" w:cs="Arial"/>
          <w:sz w:val="24"/>
          <w:szCs w:val="24"/>
        </w:rPr>
        <w:t xml:space="preserve">are to be </w:t>
      </w:r>
      <w:r w:rsidRPr="00BC7A8F">
        <w:rPr>
          <w:rFonts w:ascii="Arial" w:hAnsi="Arial" w:cs="Arial"/>
          <w:sz w:val="24"/>
          <w:szCs w:val="24"/>
        </w:rPr>
        <w:t>corrected</w:t>
      </w:r>
      <w:r w:rsidRPr="002C2A90">
        <w:rPr>
          <w:rFonts w:ascii="Arial" w:hAnsi="Arial" w:cs="Arial"/>
          <w:sz w:val="24"/>
          <w:szCs w:val="24"/>
        </w:rPr>
        <w:t>.</w:t>
      </w:r>
    </w:p>
    <w:p w14:paraId="22EFB8EE" w14:textId="77777777" w:rsidR="00A423AF" w:rsidRPr="004914F8" w:rsidRDefault="00A423AF" w:rsidP="007C483C">
      <w:pPr>
        <w:pStyle w:val="ListParagraph"/>
        <w:spacing w:after="0" w:line="480" w:lineRule="auto"/>
        <w:ind w:left="0"/>
        <w:jc w:val="both"/>
        <w:rPr>
          <w:rFonts w:ascii="Arial" w:hAnsi="Arial" w:cs="Arial"/>
          <w:sz w:val="24"/>
          <w:szCs w:val="24"/>
        </w:rPr>
      </w:pPr>
    </w:p>
    <w:p w14:paraId="6196461F" w14:textId="77777777" w:rsidR="00A423AF" w:rsidRPr="0065504C" w:rsidRDefault="00A423AF" w:rsidP="007C483C">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Having disposed of Ohorongo’s application, I should turn next to the Attorney-General’s petition, beginning with the</w:t>
      </w:r>
      <w:r w:rsidRPr="0065504C">
        <w:rPr>
          <w:rFonts w:ascii="Arial" w:hAnsi="Arial" w:cs="Arial"/>
          <w:sz w:val="24"/>
          <w:szCs w:val="24"/>
        </w:rPr>
        <w:t xml:space="preserve"> inquir</w:t>
      </w:r>
      <w:r>
        <w:rPr>
          <w:rFonts w:ascii="Arial" w:hAnsi="Arial" w:cs="Arial"/>
          <w:sz w:val="24"/>
          <w:szCs w:val="24"/>
        </w:rPr>
        <w:t>y</w:t>
      </w:r>
      <w:r w:rsidRPr="0065504C">
        <w:rPr>
          <w:rFonts w:ascii="Arial" w:hAnsi="Arial" w:cs="Arial"/>
          <w:sz w:val="24"/>
          <w:szCs w:val="24"/>
        </w:rPr>
        <w:t xml:space="preserve"> into whether this Court has jurisdiction to hear the petition.</w:t>
      </w:r>
    </w:p>
    <w:p w14:paraId="5D0CEDEC" w14:textId="77777777" w:rsidR="00A423AF" w:rsidRDefault="00A423AF" w:rsidP="007C483C">
      <w:pPr>
        <w:tabs>
          <w:tab w:val="left" w:pos="0"/>
        </w:tabs>
        <w:spacing w:after="0" w:line="480" w:lineRule="auto"/>
        <w:jc w:val="both"/>
        <w:rPr>
          <w:rFonts w:ascii="Arial" w:hAnsi="Arial" w:cs="Arial"/>
          <w:sz w:val="24"/>
          <w:szCs w:val="24"/>
          <w:u w:val="single"/>
        </w:rPr>
      </w:pPr>
    </w:p>
    <w:p w14:paraId="54106EB2" w14:textId="77777777" w:rsidR="00A423AF" w:rsidRDefault="00A423AF" w:rsidP="007C483C">
      <w:pPr>
        <w:tabs>
          <w:tab w:val="left" w:pos="0"/>
        </w:tabs>
        <w:spacing w:after="0" w:line="480" w:lineRule="auto"/>
        <w:jc w:val="both"/>
        <w:rPr>
          <w:rFonts w:ascii="Arial" w:hAnsi="Arial" w:cs="Arial"/>
          <w:sz w:val="24"/>
          <w:szCs w:val="24"/>
          <w:u w:val="single"/>
        </w:rPr>
      </w:pPr>
      <w:r>
        <w:rPr>
          <w:rFonts w:ascii="Arial" w:hAnsi="Arial" w:cs="Arial"/>
          <w:sz w:val="24"/>
          <w:szCs w:val="24"/>
          <w:u w:val="single"/>
        </w:rPr>
        <w:t>Attorney-General’s Petition</w:t>
      </w:r>
    </w:p>
    <w:p w14:paraId="15737517" w14:textId="6B626248" w:rsidR="00A423AF" w:rsidRPr="00005CD0" w:rsidRDefault="00A423AF" w:rsidP="007C483C">
      <w:pPr>
        <w:tabs>
          <w:tab w:val="left" w:pos="0"/>
        </w:tabs>
        <w:spacing w:after="0" w:line="480" w:lineRule="auto"/>
        <w:jc w:val="both"/>
        <w:rPr>
          <w:rFonts w:ascii="Arial" w:hAnsi="Arial" w:cs="Arial"/>
          <w:i/>
          <w:sz w:val="24"/>
          <w:szCs w:val="24"/>
        </w:rPr>
      </w:pPr>
      <w:r w:rsidRPr="00005CD0">
        <w:rPr>
          <w:rFonts w:ascii="Arial" w:hAnsi="Arial" w:cs="Arial"/>
          <w:i/>
          <w:sz w:val="24"/>
          <w:szCs w:val="24"/>
        </w:rPr>
        <w:t xml:space="preserve">Jurisdiction of this Court to hear </w:t>
      </w:r>
      <w:r w:rsidR="007C483C">
        <w:rPr>
          <w:rFonts w:ascii="Arial" w:hAnsi="Arial" w:cs="Arial"/>
          <w:i/>
          <w:sz w:val="24"/>
          <w:szCs w:val="24"/>
        </w:rPr>
        <w:t>the Attorney General’s petition</w:t>
      </w:r>
    </w:p>
    <w:p w14:paraId="095F9F58" w14:textId="54F2D3F6" w:rsidR="00A423AF" w:rsidRPr="00DD770F" w:rsidRDefault="00A423AF" w:rsidP="007C483C">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The first issue which falls for determination in the Attorney-General’s petition is whether the matter which the Attorney-General has placed before this Court for determination falls under the category of matters which the Attorney-General may </w:t>
      </w:r>
      <w:r>
        <w:rPr>
          <w:rFonts w:ascii="Arial" w:hAnsi="Arial" w:cs="Arial"/>
          <w:sz w:val="24"/>
          <w:szCs w:val="24"/>
        </w:rPr>
        <w:t xml:space="preserve">properly </w:t>
      </w:r>
      <w:r w:rsidRPr="00DD770F">
        <w:rPr>
          <w:rFonts w:ascii="Arial" w:hAnsi="Arial" w:cs="Arial"/>
          <w:sz w:val="24"/>
          <w:szCs w:val="24"/>
        </w:rPr>
        <w:t xml:space="preserve">bring directly to this Court for decision as a court of first and final instance. We invited all the parties concerned to make submissions on this question and this court has </w:t>
      </w:r>
      <w:r>
        <w:rPr>
          <w:rFonts w:ascii="Arial" w:hAnsi="Arial" w:cs="Arial"/>
          <w:sz w:val="24"/>
          <w:szCs w:val="24"/>
        </w:rPr>
        <w:t xml:space="preserve">greatly benefited from </w:t>
      </w:r>
      <w:r w:rsidRPr="00DD770F">
        <w:rPr>
          <w:rFonts w:ascii="Arial" w:hAnsi="Arial" w:cs="Arial"/>
          <w:sz w:val="24"/>
          <w:szCs w:val="24"/>
        </w:rPr>
        <w:t>those submissions</w:t>
      </w:r>
      <w:r>
        <w:rPr>
          <w:rFonts w:ascii="Arial" w:hAnsi="Arial" w:cs="Arial"/>
          <w:sz w:val="24"/>
          <w:szCs w:val="24"/>
        </w:rPr>
        <w:t xml:space="preserve"> and has duly considered them</w:t>
      </w:r>
      <w:r w:rsidR="007C483C">
        <w:rPr>
          <w:rFonts w:ascii="Arial" w:hAnsi="Arial" w:cs="Arial"/>
          <w:sz w:val="24"/>
          <w:szCs w:val="24"/>
        </w:rPr>
        <w:t>.</w:t>
      </w:r>
    </w:p>
    <w:p w14:paraId="347097FC" w14:textId="77777777" w:rsidR="00A423AF" w:rsidRPr="00DD770F" w:rsidRDefault="00A423AF" w:rsidP="007C483C">
      <w:pPr>
        <w:spacing w:after="0" w:line="480" w:lineRule="auto"/>
        <w:jc w:val="both"/>
        <w:rPr>
          <w:rFonts w:ascii="Arial" w:hAnsi="Arial" w:cs="Arial"/>
          <w:sz w:val="24"/>
          <w:szCs w:val="24"/>
        </w:rPr>
      </w:pPr>
    </w:p>
    <w:p w14:paraId="5E836E0B" w14:textId="316072B0" w:rsidR="00A423AF" w:rsidRDefault="00A423AF" w:rsidP="00A423AF">
      <w:pPr>
        <w:pStyle w:val="ListParagraph"/>
        <w:numPr>
          <w:ilvl w:val="0"/>
          <w:numId w:val="39"/>
        </w:numPr>
        <w:spacing w:after="160" w:line="480" w:lineRule="auto"/>
        <w:ind w:left="0" w:firstLine="0"/>
        <w:jc w:val="both"/>
        <w:rPr>
          <w:rFonts w:ascii="Arial" w:hAnsi="Arial" w:cs="Arial"/>
          <w:sz w:val="24"/>
          <w:szCs w:val="24"/>
        </w:rPr>
      </w:pPr>
      <w:r w:rsidRPr="00DD770F">
        <w:rPr>
          <w:rFonts w:ascii="Arial" w:hAnsi="Arial" w:cs="Arial"/>
          <w:sz w:val="24"/>
          <w:szCs w:val="24"/>
        </w:rPr>
        <w:t>The Attorney</w:t>
      </w:r>
      <w:r>
        <w:rPr>
          <w:rFonts w:ascii="Arial" w:hAnsi="Arial" w:cs="Arial"/>
          <w:sz w:val="24"/>
          <w:szCs w:val="24"/>
        </w:rPr>
        <w:t>-</w:t>
      </w:r>
      <w:r w:rsidRPr="00DD770F">
        <w:rPr>
          <w:rFonts w:ascii="Arial" w:hAnsi="Arial" w:cs="Arial"/>
          <w:sz w:val="24"/>
          <w:szCs w:val="24"/>
        </w:rPr>
        <w:t>General’s right to directly bring a matter for determination by the Supreme Court is provided for in Art</w:t>
      </w:r>
      <w:r w:rsidR="00C35888">
        <w:rPr>
          <w:rFonts w:ascii="Arial" w:hAnsi="Arial" w:cs="Arial"/>
          <w:sz w:val="24"/>
          <w:szCs w:val="24"/>
        </w:rPr>
        <w:t>icle</w:t>
      </w:r>
      <w:r w:rsidRPr="00DD770F">
        <w:rPr>
          <w:rFonts w:ascii="Arial" w:hAnsi="Arial" w:cs="Arial"/>
          <w:sz w:val="24"/>
          <w:szCs w:val="24"/>
        </w:rPr>
        <w:t xml:space="preserve"> 79(2) of the Constitution as follows</w:t>
      </w:r>
      <w:r>
        <w:rPr>
          <w:rFonts w:ascii="Arial" w:hAnsi="Arial" w:cs="Arial"/>
          <w:sz w:val="24"/>
          <w:szCs w:val="24"/>
        </w:rPr>
        <w:t>:</w:t>
      </w:r>
    </w:p>
    <w:p w14:paraId="285D9998" w14:textId="77777777" w:rsidR="007C483C" w:rsidRPr="007C483C" w:rsidRDefault="007C483C" w:rsidP="007C483C">
      <w:pPr>
        <w:pStyle w:val="ListParagraph"/>
        <w:spacing w:after="0" w:line="360" w:lineRule="auto"/>
        <w:jc w:val="both"/>
        <w:rPr>
          <w:rFonts w:ascii="Arial" w:hAnsi="Arial" w:cs="Arial"/>
          <w:sz w:val="24"/>
          <w:szCs w:val="24"/>
        </w:rPr>
      </w:pPr>
    </w:p>
    <w:p w14:paraId="7321917B" w14:textId="3B29061F" w:rsidR="00A423AF" w:rsidRPr="00E30F14" w:rsidRDefault="00A423AF" w:rsidP="007C483C">
      <w:pPr>
        <w:tabs>
          <w:tab w:val="left" w:pos="0"/>
        </w:tabs>
        <w:spacing w:after="0" w:line="360" w:lineRule="auto"/>
        <w:ind w:left="720"/>
        <w:jc w:val="both"/>
        <w:rPr>
          <w:rFonts w:ascii="Arial" w:hAnsi="Arial" w:cs="Arial"/>
        </w:rPr>
      </w:pPr>
      <w:r w:rsidRPr="00E30F14">
        <w:rPr>
          <w:rFonts w:ascii="Arial" w:hAnsi="Arial" w:cs="Arial"/>
        </w:rPr>
        <w:t>‘….The Supreme Court shall also deal with matters referred to it for decision by the Attorney</w:t>
      </w:r>
      <w:r>
        <w:rPr>
          <w:rFonts w:ascii="Arial" w:hAnsi="Arial" w:cs="Arial"/>
        </w:rPr>
        <w:t>-</w:t>
      </w:r>
      <w:r w:rsidRPr="00E30F14">
        <w:rPr>
          <w:rFonts w:ascii="Arial" w:hAnsi="Arial" w:cs="Arial"/>
        </w:rPr>
        <w:t>General under this Constitution, and with such other matters as may be authorised by an Act of Parliament</w:t>
      </w:r>
      <w:r>
        <w:rPr>
          <w:rFonts w:ascii="Arial" w:hAnsi="Arial" w:cs="Arial"/>
        </w:rPr>
        <w:t>.’</w:t>
      </w:r>
    </w:p>
    <w:p w14:paraId="69D714B1" w14:textId="77777777" w:rsidR="00A423AF" w:rsidRPr="00B10DFC" w:rsidRDefault="00A423AF" w:rsidP="007C483C">
      <w:pPr>
        <w:spacing w:after="0" w:line="480" w:lineRule="auto"/>
        <w:ind w:left="360"/>
        <w:jc w:val="both"/>
        <w:rPr>
          <w:rFonts w:ascii="Arial" w:hAnsi="Arial" w:cs="Arial"/>
          <w:sz w:val="24"/>
          <w:szCs w:val="24"/>
        </w:rPr>
      </w:pPr>
    </w:p>
    <w:p w14:paraId="7B41B1A0" w14:textId="5C1C90AB" w:rsidR="00A423AF" w:rsidRDefault="00A423AF" w:rsidP="00C07BA6">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This provision must be read together with s</w:t>
      </w:r>
      <w:r w:rsidR="00C35888">
        <w:rPr>
          <w:rFonts w:ascii="Arial" w:hAnsi="Arial" w:cs="Arial"/>
          <w:sz w:val="24"/>
          <w:szCs w:val="24"/>
        </w:rPr>
        <w:t>ection</w:t>
      </w:r>
      <w:r w:rsidRPr="00DD770F">
        <w:rPr>
          <w:rFonts w:ascii="Arial" w:hAnsi="Arial" w:cs="Arial"/>
          <w:sz w:val="24"/>
          <w:szCs w:val="24"/>
        </w:rPr>
        <w:t xml:space="preserve"> 15(1) of the Supreme Court Act which reads</w:t>
      </w:r>
      <w:r>
        <w:rPr>
          <w:rFonts w:ascii="Arial" w:hAnsi="Arial" w:cs="Arial"/>
          <w:sz w:val="24"/>
          <w:szCs w:val="24"/>
        </w:rPr>
        <w:t>:</w:t>
      </w:r>
    </w:p>
    <w:p w14:paraId="2A82539A" w14:textId="77777777" w:rsidR="006B1C56" w:rsidRDefault="006B1C56" w:rsidP="006B1C56">
      <w:pPr>
        <w:pStyle w:val="ListParagraph"/>
        <w:spacing w:after="0" w:line="480" w:lineRule="auto"/>
        <w:ind w:left="0"/>
        <w:jc w:val="both"/>
        <w:rPr>
          <w:rFonts w:ascii="Arial" w:hAnsi="Arial" w:cs="Arial"/>
          <w:sz w:val="24"/>
          <w:szCs w:val="24"/>
        </w:rPr>
      </w:pPr>
    </w:p>
    <w:p w14:paraId="46EB759C" w14:textId="25F95EEB" w:rsidR="00A423AF" w:rsidRPr="00E30F14" w:rsidRDefault="00A423AF" w:rsidP="007C483C">
      <w:pPr>
        <w:tabs>
          <w:tab w:val="left" w:pos="0"/>
        </w:tabs>
        <w:spacing w:after="0" w:line="360" w:lineRule="auto"/>
        <w:ind w:left="720"/>
        <w:jc w:val="both"/>
        <w:rPr>
          <w:rFonts w:ascii="Arial" w:hAnsi="Arial" w:cs="Arial"/>
        </w:rPr>
      </w:pPr>
      <w:r w:rsidRPr="00E30F14">
        <w:rPr>
          <w:rFonts w:ascii="Arial" w:hAnsi="Arial" w:cs="Arial"/>
        </w:rPr>
        <w:t>‘Whenever any matter may be referred for a decision to the Supreme Court by the Attorney</w:t>
      </w:r>
      <w:r>
        <w:rPr>
          <w:rFonts w:ascii="Arial" w:hAnsi="Arial" w:cs="Arial"/>
        </w:rPr>
        <w:t>-</w:t>
      </w:r>
      <w:r w:rsidRPr="00E30F14">
        <w:rPr>
          <w:rFonts w:ascii="Arial" w:hAnsi="Arial" w:cs="Arial"/>
        </w:rPr>
        <w:t>General under the Namibian Constitution, the Attorney</w:t>
      </w:r>
      <w:r>
        <w:rPr>
          <w:rFonts w:ascii="Arial" w:hAnsi="Arial" w:cs="Arial"/>
        </w:rPr>
        <w:t>-</w:t>
      </w:r>
      <w:r w:rsidRPr="00E30F14">
        <w:rPr>
          <w:rFonts w:ascii="Arial" w:hAnsi="Arial" w:cs="Arial"/>
        </w:rPr>
        <w:t>General shall be entitled to approach the Supreme Court directly on application to it, to hear and det</w:t>
      </w:r>
      <w:r w:rsidR="007C483C">
        <w:rPr>
          <w:rFonts w:ascii="Arial" w:hAnsi="Arial" w:cs="Arial"/>
        </w:rPr>
        <w:t>ermine the matter in question.’</w:t>
      </w:r>
    </w:p>
    <w:p w14:paraId="520BB48B" w14:textId="77777777" w:rsidR="00A423AF" w:rsidRDefault="00A423AF" w:rsidP="007C483C">
      <w:pPr>
        <w:tabs>
          <w:tab w:val="left" w:pos="0"/>
        </w:tabs>
        <w:spacing w:after="0" w:line="480" w:lineRule="auto"/>
        <w:jc w:val="both"/>
        <w:rPr>
          <w:rFonts w:ascii="Arial" w:hAnsi="Arial" w:cs="Arial"/>
          <w:sz w:val="24"/>
          <w:szCs w:val="24"/>
        </w:rPr>
      </w:pPr>
    </w:p>
    <w:p w14:paraId="261A0E4A" w14:textId="09909501" w:rsidR="00A423AF" w:rsidRPr="001A40C6" w:rsidRDefault="00A423AF" w:rsidP="007C483C">
      <w:pPr>
        <w:tabs>
          <w:tab w:val="left" w:pos="0"/>
        </w:tabs>
        <w:spacing w:after="0" w:line="480" w:lineRule="auto"/>
        <w:jc w:val="both"/>
        <w:rPr>
          <w:rFonts w:ascii="Arial" w:hAnsi="Arial" w:cs="Arial"/>
          <w:sz w:val="24"/>
          <w:szCs w:val="24"/>
        </w:rPr>
      </w:pPr>
      <w:r w:rsidRPr="001A40C6">
        <w:rPr>
          <w:rFonts w:ascii="Arial" w:hAnsi="Arial" w:cs="Arial"/>
          <w:sz w:val="24"/>
          <w:szCs w:val="24"/>
        </w:rPr>
        <w:t xml:space="preserve">Thus the import of </w:t>
      </w:r>
      <w:r>
        <w:rPr>
          <w:rFonts w:ascii="Arial" w:hAnsi="Arial" w:cs="Arial"/>
          <w:sz w:val="24"/>
          <w:szCs w:val="24"/>
        </w:rPr>
        <w:t>Art</w:t>
      </w:r>
      <w:r w:rsidR="00C35888">
        <w:rPr>
          <w:rFonts w:ascii="Arial" w:hAnsi="Arial" w:cs="Arial"/>
          <w:sz w:val="24"/>
          <w:szCs w:val="24"/>
        </w:rPr>
        <w:t>icle</w:t>
      </w:r>
      <w:r w:rsidRPr="001A40C6">
        <w:rPr>
          <w:rFonts w:ascii="Arial" w:hAnsi="Arial" w:cs="Arial"/>
          <w:sz w:val="24"/>
          <w:szCs w:val="24"/>
        </w:rPr>
        <w:t xml:space="preserve"> 79(2) and s</w:t>
      </w:r>
      <w:r w:rsidR="00C35888">
        <w:rPr>
          <w:rFonts w:ascii="Arial" w:hAnsi="Arial" w:cs="Arial"/>
          <w:sz w:val="24"/>
          <w:szCs w:val="24"/>
        </w:rPr>
        <w:t>ection</w:t>
      </w:r>
      <w:r w:rsidRPr="001A40C6">
        <w:rPr>
          <w:rFonts w:ascii="Arial" w:hAnsi="Arial" w:cs="Arial"/>
          <w:sz w:val="24"/>
          <w:szCs w:val="24"/>
        </w:rPr>
        <w:t xml:space="preserve"> 15(1) of the Supreme Court Act is to give the Attorney-General the right to directly bring matters before the Supreme Court. This right, as is the case with every other right provided in the Constitution, is subject to lawful and reasonable limitation.</w:t>
      </w:r>
      <w:r w:rsidRPr="001A40C6">
        <w:rPr>
          <w:rStyle w:val="FootnoteReference"/>
          <w:rFonts w:ascii="Arial" w:hAnsi="Arial" w:cs="Arial"/>
          <w:sz w:val="24"/>
          <w:szCs w:val="24"/>
        </w:rPr>
        <w:footnoteReference w:id="5"/>
      </w:r>
    </w:p>
    <w:p w14:paraId="50A305E6" w14:textId="77777777" w:rsidR="00A423AF" w:rsidRPr="00DD770F" w:rsidRDefault="00A423AF" w:rsidP="007C483C">
      <w:pPr>
        <w:tabs>
          <w:tab w:val="left" w:pos="0"/>
        </w:tabs>
        <w:spacing w:after="0" w:line="480" w:lineRule="auto"/>
        <w:jc w:val="both"/>
        <w:rPr>
          <w:rFonts w:ascii="Arial" w:hAnsi="Arial" w:cs="Arial"/>
          <w:sz w:val="24"/>
          <w:szCs w:val="24"/>
        </w:rPr>
      </w:pPr>
    </w:p>
    <w:p w14:paraId="19261A4E" w14:textId="43C48E12" w:rsidR="00A423AF" w:rsidRPr="00DD770F" w:rsidRDefault="00A423AF" w:rsidP="007C483C">
      <w:pPr>
        <w:pStyle w:val="ListParagraph"/>
        <w:numPr>
          <w:ilvl w:val="0"/>
          <w:numId w:val="39"/>
        </w:numPr>
        <w:tabs>
          <w:tab w:val="left" w:pos="0"/>
        </w:tabs>
        <w:spacing w:after="0" w:line="480" w:lineRule="auto"/>
        <w:ind w:left="0" w:firstLine="0"/>
        <w:jc w:val="both"/>
        <w:rPr>
          <w:rFonts w:ascii="Arial" w:hAnsi="Arial" w:cs="Arial"/>
          <w:sz w:val="24"/>
          <w:szCs w:val="24"/>
        </w:rPr>
      </w:pPr>
      <w:r w:rsidRPr="00DD770F">
        <w:rPr>
          <w:rFonts w:ascii="Arial" w:hAnsi="Arial" w:cs="Arial"/>
          <w:sz w:val="24"/>
          <w:szCs w:val="24"/>
        </w:rPr>
        <w:t>The provisions of s</w:t>
      </w:r>
      <w:r w:rsidR="00C35888">
        <w:rPr>
          <w:rFonts w:ascii="Arial" w:hAnsi="Arial" w:cs="Arial"/>
          <w:sz w:val="24"/>
          <w:szCs w:val="24"/>
        </w:rPr>
        <w:t>ection</w:t>
      </w:r>
      <w:r w:rsidRPr="00DD770F">
        <w:rPr>
          <w:rFonts w:ascii="Arial" w:hAnsi="Arial" w:cs="Arial"/>
          <w:sz w:val="24"/>
          <w:szCs w:val="24"/>
        </w:rPr>
        <w:t xml:space="preserve"> 15(2) and (3) of the Supreme Court Act </w:t>
      </w:r>
      <w:r>
        <w:rPr>
          <w:rFonts w:ascii="Arial" w:hAnsi="Arial" w:cs="Arial"/>
          <w:sz w:val="24"/>
          <w:szCs w:val="24"/>
        </w:rPr>
        <w:t xml:space="preserve">appear </w:t>
      </w:r>
      <w:r w:rsidRPr="00DD770F">
        <w:rPr>
          <w:rFonts w:ascii="Arial" w:hAnsi="Arial" w:cs="Arial"/>
          <w:sz w:val="24"/>
          <w:szCs w:val="24"/>
        </w:rPr>
        <w:t>to provide limitations to this right by imposing certain procedural requirements which the Attorney</w:t>
      </w:r>
      <w:r>
        <w:rPr>
          <w:rFonts w:ascii="Arial" w:hAnsi="Arial" w:cs="Arial"/>
          <w:sz w:val="24"/>
          <w:szCs w:val="24"/>
        </w:rPr>
        <w:t>-</w:t>
      </w:r>
      <w:r w:rsidRPr="00DD770F">
        <w:rPr>
          <w:rFonts w:ascii="Arial" w:hAnsi="Arial" w:cs="Arial"/>
          <w:sz w:val="24"/>
          <w:szCs w:val="24"/>
        </w:rPr>
        <w:t>General must comply with when exercising this right. Section 15(2) of the Supreme Court Act requires that, when exercising this right, the Attorney</w:t>
      </w:r>
      <w:r>
        <w:rPr>
          <w:rFonts w:ascii="Arial" w:hAnsi="Arial" w:cs="Arial"/>
          <w:sz w:val="24"/>
          <w:szCs w:val="24"/>
        </w:rPr>
        <w:t>-</w:t>
      </w:r>
      <w:r w:rsidRPr="00DD770F">
        <w:rPr>
          <w:rFonts w:ascii="Arial" w:hAnsi="Arial" w:cs="Arial"/>
          <w:sz w:val="24"/>
          <w:szCs w:val="24"/>
        </w:rPr>
        <w:t xml:space="preserve">General </w:t>
      </w:r>
      <w:r>
        <w:rPr>
          <w:rFonts w:ascii="Arial" w:hAnsi="Arial" w:cs="Arial"/>
          <w:sz w:val="24"/>
          <w:szCs w:val="24"/>
        </w:rPr>
        <w:t>must</w:t>
      </w:r>
      <w:r w:rsidRPr="00DD770F">
        <w:rPr>
          <w:rFonts w:ascii="Arial" w:hAnsi="Arial" w:cs="Arial"/>
          <w:sz w:val="24"/>
          <w:szCs w:val="24"/>
        </w:rPr>
        <w:t xml:space="preserve"> submit the application by petition to the Chief Justice and </w:t>
      </w:r>
      <w:r>
        <w:rPr>
          <w:rFonts w:ascii="Arial" w:hAnsi="Arial" w:cs="Arial"/>
          <w:sz w:val="24"/>
          <w:szCs w:val="24"/>
        </w:rPr>
        <w:t>must</w:t>
      </w:r>
      <w:r w:rsidRPr="00DD770F">
        <w:rPr>
          <w:rFonts w:ascii="Arial" w:hAnsi="Arial" w:cs="Arial"/>
          <w:sz w:val="24"/>
          <w:szCs w:val="24"/>
        </w:rPr>
        <w:t xml:space="preserve"> further comply with procedures set out in the rules of the </w:t>
      </w:r>
      <w:r>
        <w:rPr>
          <w:rFonts w:ascii="Arial" w:hAnsi="Arial" w:cs="Arial"/>
          <w:sz w:val="24"/>
          <w:szCs w:val="24"/>
        </w:rPr>
        <w:t>c</w:t>
      </w:r>
      <w:r w:rsidRPr="00DD770F">
        <w:rPr>
          <w:rFonts w:ascii="Arial" w:hAnsi="Arial" w:cs="Arial"/>
          <w:sz w:val="24"/>
          <w:szCs w:val="24"/>
        </w:rPr>
        <w:t>ourt. In addition, s</w:t>
      </w:r>
      <w:r w:rsidR="00C35888">
        <w:rPr>
          <w:rFonts w:ascii="Arial" w:hAnsi="Arial" w:cs="Arial"/>
          <w:sz w:val="24"/>
          <w:szCs w:val="24"/>
        </w:rPr>
        <w:t>ection</w:t>
      </w:r>
      <w:r w:rsidRPr="00DD770F">
        <w:rPr>
          <w:rFonts w:ascii="Arial" w:hAnsi="Arial" w:cs="Arial"/>
          <w:sz w:val="24"/>
          <w:szCs w:val="24"/>
        </w:rPr>
        <w:t xml:space="preserve"> 15(3) provides as follows</w:t>
      </w:r>
      <w:r>
        <w:rPr>
          <w:rFonts w:ascii="Arial" w:hAnsi="Arial" w:cs="Arial"/>
          <w:sz w:val="24"/>
          <w:szCs w:val="24"/>
        </w:rPr>
        <w:t>:</w:t>
      </w:r>
    </w:p>
    <w:p w14:paraId="65CBDC54" w14:textId="77777777" w:rsidR="00A423AF" w:rsidRPr="006B1C56" w:rsidRDefault="00A423AF" w:rsidP="006B1C56">
      <w:pPr>
        <w:tabs>
          <w:tab w:val="left" w:pos="0"/>
        </w:tabs>
        <w:spacing w:after="0" w:line="480" w:lineRule="auto"/>
        <w:ind w:left="720"/>
        <w:jc w:val="both"/>
        <w:rPr>
          <w:rFonts w:ascii="Arial" w:hAnsi="Arial" w:cs="Arial"/>
          <w:sz w:val="24"/>
          <w:szCs w:val="24"/>
        </w:rPr>
      </w:pPr>
    </w:p>
    <w:p w14:paraId="4FD7F9AC" w14:textId="2A5E61CC" w:rsidR="00A423AF" w:rsidRDefault="00A423AF" w:rsidP="007C483C">
      <w:pPr>
        <w:tabs>
          <w:tab w:val="left" w:pos="0"/>
        </w:tabs>
        <w:spacing w:line="360" w:lineRule="auto"/>
        <w:ind w:left="720"/>
        <w:jc w:val="both"/>
        <w:rPr>
          <w:rFonts w:ascii="Arial" w:hAnsi="Arial" w:cs="Arial"/>
        </w:rPr>
      </w:pPr>
      <w:r w:rsidRPr="00DB1A18">
        <w:rPr>
          <w:rFonts w:ascii="Arial" w:hAnsi="Arial" w:cs="Arial"/>
        </w:rPr>
        <w:t>‘The Chief Justice or any judge designated for that purpose by the Chief Justice shall decide whether such application is, by virtue of its urgency or otherwise, of such a nature as to justify the exercise of the Court’s jurisdiction in terms of this sec</w:t>
      </w:r>
      <w:r w:rsidR="007C483C">
        <w:rPr>
          <w:rFonts w:ascii="Arial" w:hAnsi="Arial" w:cs="Arial"/>
        </w:rPr>
        <w:t>tion.’</w:t>
      </w:r>
    </w:p>
    <w:p w14:paraId="59FF1891" w14:textId="77777777" w:rsidR="007C483C" w:rsidRPr="007C483C" w:rsidRDefault="007C483C" w:rsidP="007C483C">
      <w:pPr>
        <w:tabs>
          <w:tab w:val="left" w:pos="0"/>
        </w:tabs>
        <w:spacing w:after="0" w:line="480" w:lineRule="auto"/>
        <w:ind w:left="720"/>
        <w:jc w:val="both"/>
        <w:rPr>
          <w:rFonts w:ascii="Arial" w:hAnsi="Arial" w:cs="Arial"/>
          <w:sz w:val="24"/>
          <w:szCs w:val="24"/>
        </w:rPr>
      </w:pPr>
    </w:p>
    <w:p w14:paraId="2B922A4E" w14:textId="3CB6C657" w:rsidR="00A423A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Thus s</w:t>
      </w:r>
      <w:r w:rsidR="00C35888">
        <w:rPr>
          <w:rFonts w:ascii="Arial" w:hAnsi="Arial" w:cs="Arial"/>
          <w:sz w:val="24"/>
          <w:szCs w:val="24"/>
        </w:rPr>
        <w:t>ection</w:t>
      </w:r>
      <w:r w:rsidRPr="00DD770F">
        <w:rPr>
          <w:rFonts w:ascii="Arial" w:hAnsi="Arial" w:cs="Arial"/>
          <w:sz w:val="24"/>
          <w:szCs w:val="24"/>
        </w:rPr>
        <w:t xml:space="preserve"> 15(3) of the Supreme Court Act qualifies the Attorney-General’s right to petition the Chief Justice in terms of Art</w:t>
      </w:r>
      <w:r w:rsidR="00C35888">
        <w:rPr>
          <w:rFonts w:ascii="Arial" w:hAnsi="Arial" w:cs="Arial"/>
          <w:sz w:val="24"/>
          <w:szCs w:val="24"/>
        </w:rPr>
        <w:t>icle</w:t>
      </w:r>
      <w:r w:rsidRPr="00DD770F">
        <w:rPr>
          <w:rFonts w:ascii="Arial" w:hAnsi="Arial" w:cs="Arial"/>
          <w:sz w:val="24"/>
          <w:szCs w:val="24"/>
        </w:rPr>
        <w:t xml:space="preserve"> 79 (2) of the Constitution. The qualification is that the matters brought by the Attorney-General must either be of urgent nature or of any nature which justifies the need for the Attorney</w:t>
      </w:r>
      <w:r>
        <w:rPr>
          <w:rFonts w:ascii="Arial" w:hAnsi="Arial" w:cs="Arial"/>
          <w:sz w:val="24"/>
          <w:szCs w:val="24"/>
        </w:rPr>
        <w:t>-</w:t>
      </w:r>
      <w:r w:rsidRPr="00DD770F">
        <w:rPr>
          <w:rFonts w:ascii="Arial" w:hAnsi="Arial" w:cs="Arial"/>
          <w:sz w:val="24"/>
          <w:szCs w:val="24"/>
        </w:rPr>
        <w:t>Ge</w:t>
      </w:r>
      <w:r>
        <w:rPr>
          <w:rFonts w:ascii="Arial" w:hAnsi="Arial" w:cs="Arial"/>
          <w:sz w:val="24"/>
          <w:szCs w:val="24"/>
        </w:rPr>
        <w:t>neral to invoke Art</w:t>
      </w:r>
      <w:r w:rsidR="00C35888">
        <w:rPr>
          <w:rFonts w:ascii="Arial" w:hAnsi="Arial" w:cs="Arial"/>
          <w:sz w:val="24"/>
          <w:szCs w:val="24"/>
        </w:rPr>
        <w:t>icle</w:t>
      </w:r>
      <w:r w:rsidRPr="00DD770F">
        <w:rPr>
          <w:rFonts w:ascii="Arial" w:hAnsi="Arial" w:cs="Arial"/>
          <w:sz w:val="24"/>
          <w:szCs w:val="24"/>
        </w:rPr>
        <w:t xml:space="preserve"> 79(2) of the Constitution and approach this Court directly. The justification provided by the Attorney-General must </w:t>
      </w:r>
      <w:r w:rsidRPr="00381480">
        <w:rPr>
          <w:rFonts w:ascii="Arial" w:hAnsi="Arial" w:cs="Arial"/>
          <w:sz w:val="24"/>
          <w:szCs w:val="24"/>
        </w:rPr>
        <w:t>be reasonable and sound enough</w:t>
      </w:r>
      <w:r w:rsidRPr="00DD770F">
        <w:rPr>
          <w:rFonts w:ascii="Arial" w:hAnsi="Arial" w:cs="Arial"/>
          <w:sz w:val="24"/>
          <w:szCs w:val="24"/>
        </w:rPr>
        <w:t xml:space="preserve"> to persuade this Court to sit as a court of first and final instance.</w:t>
      </w:r>
    </w:p>
    <w:p w14:paraId="216DBE9D" w14:textId="77777777" w:rsidR="00A423AF" w:rsidRPr="00381480" w:rsidRDefault="00A423AF" w:rsidP="00691C83">
      <w:pPr>
        <w:spacing w:after="0" w:line="480" w:lineRule="auto"/>
        <w:jc w:val="both"/>
        <w:rPr>
          <w:rFonts w:ascii="Arial" w:hAnsi="Arial" w:cs="Arial"/>
          <w:sz w:val="24"/>
          <w:szCs w:val="24"/>
        </w:rPr>
      </w:pPr>
    </w:p>
    <w:p w14:paraId="0A36636E" w14:textId="153448FC" w:rsidR="00A423AF" w:rsidRPr="00DD770F"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sidRPr="00DD770F">
        <w:rPr>
          <w:rFonts w:ascii="Arial" w:hAnsi="Arial" w:cs="Arial"/>
          <w:sz w:val="24"/>
          <w:szCs w:val="24"/>
        </w:rPr>
        <w:t xml:space="preserve">Jack’s Trading has made an </w:t>
      </w:r>
      <w:r>
        <w:rPr>
          <w:rFonts w:ascii="Arial" w:hAnsi="Arial" w:cs="Arial"/>
          <w:sz w:val="24"/>
          <w:szCs w:val="24"/>
        </w:rPr>
        <w:t xml:space="preserve">oblique reference to </w:t>
      </w:r>
      <w:r w:rsidRPr="00DD770F">
        <w:rPr>
          <w:rFonts w:ascii="Arial" w:hAnsi="Arial" w:cs="Arial"/>
          <w:sz w:val="24"/>
          <w:szCs w:val="24"/>
        </w:rPr>
        <w:t xml:space="preserve">the restrictions imposed by </w:t>
      </w:r>
      <w:r>
        <w:rPr>
          <w:rFonts w:ascii="Arial" w:hAnsi="Arial" w:cs="Arial"/>
          <w:sz w:val="24"/>
          <w:szCs w:val="24"/>
        </w:rPr>
        <w:t>s</w:t>
      </w:r>
      <w:r w:rsidR="00C35888">
        <w:rPr>
          <w:rFonts w:ascii="Arial" w:hAnsi="Arial" w:cs="Arial"/>
          <w:sz w:val="24"/>
          <w:szCs w:val="24"/>
        </w:rPr>
        <w:t>ection</w:t>
      </w:r>
      <w:r>
        <w:rPr>
          <w:rFonts w:ascii="Arial" w:hAnsi="Arial" w:cs="Arial"/>
          <w:sz w:val="24"/>
          <w:szCs w:val="24"/>
        </w:rPr>
        <w:t xml:space="preserve"> 15(3) of </w:t>
      </w:r>
      <w:r w:rsidRPr="00DD770F">
        <w:rPr>
          <w:rFonts w:ascii="Arial" w:hAnsi="Arial" w:cs="Arial"/>
          <w:sz w:val="24"/>
          <w:szCs w:val="24"/>
        </w:rPr>
        <w:t xml:space="preserve">the </w:t>
      </w:r>
      <w:r>
        <w:rPr>
          <w:rFonts w:ascii="Arial" w:hAnsi="Arial" w:cs="Arial"/>
          <w:sz w:val="24"/>
          <w:szCs w:val="24"/>
        </w:rPr>
        <w:t xml:space="preserve">Supreme Court </w:t>
      </w:r>
      <w:r w:rsidRPr="00DD770F">
        <w:rPr>
          <w:rFonts w:ascii="Arial" w:hAnsi="Arial" w:cs="Arial"/>
          <w:sz w:val="24"/>
          <w:szCs w:val="24"/>
        </w:rPr>
        <w:t xml:space="preserve">Act </w:t>
      </w:r>
      <w:r>
        <w:rPr>
          <w:rFonts w:ascii="Arial" w:hAnsi="Arial" w:cs="Arial"/>
          <w:sz w:val="24"/>
          <w:szCs w:val="24"/>
        </w:rPr>
        <w:t>as being ‘in conflict’ with Art</w:t>
      </w:r>
      <w:r w:rsidR="00C35888">
        <w:rPr>
          <w:rFonts w:ascii="Arial" w:hAnsi="Arial" w:cs="Arial"/>
          <w:sz w:val="24"/>
          <w:szCs w:val="24"/>
        </w:rPr>
        <w:t>icle</w:t>
      </w:r>
      <w:r>
        <w:rPr>
          <w:rFonts w:ascii="Arial" w:hAnsi="Arial" w:cs="Arial"/>
          <w:sz w:val="24"/>
          <w:szCs w:val="24"/>
        </w:rPr>
        <w:t xml:space="preserve"> 79(2) of the C</w:t>
      </w:r>
      <w:r w:rsidRPr="00DD770F">
        <w:rPr>
          <w:rFonts w:ascii="Arial" w:hAnsi="Arial" w:cs="Arial"/>
          <w:sz w:val="24"/>
          <w:szCs w:val="24"/>
        </w:rPr>
        <w:t>onstitution</w:t>
      </w:r>
      <w:r>
        <w:rPr>
          <w:rFonts w:ascii="Arial" w:hAnsi="Arial" w:cs="Arial"/>
          <w:sz w:val="24"/>
          <w:szCs w:val="24"/>
        </w:rPr>
        <w:t>. This Jack’s Trading argued, is</w:t>
      </w:r>
      <w:r w:rsidRPr="00DD770F">
        <w:rPr>
          <w:rFonts w:ascii="Arial" w:hAnsi="Arial" w:cs="Arial"/>
          <w:sz w:val="24"/>
          <w:szCs w:val="24"/>
        </w:rPr>
        <w:t xml:space="preserve"> </w:t>
      </w:r>
      <w:r>
        <w:rPr>
          <w:rFonts w:ascii="Arial" w:hAnsi="Arial" w:cs="Arial"/>
          <w:sz w:val="24"/>
          <w:szCs w:val="24"/>
        </w:rPr>
        <w:t>because despite the Attorney-Gener</w:t>
      </w:r>
      <w:r w:rsidRPr="00DD770F">
        <w:rPr>
          <w:rFonts w:ascii="Arial" w:hAnsi="Arial" w:cs="Arial"/>
          <w:sz w:val="24"/>
          <w:szCs w:val="24"/>
        </w:rPr>
        <w:t>a</w:t>
      </w:r>
      <w:r>
        <w:rPr>
          <w:rFonts w:ascii="Arial" w:hAnsi="Arial" w:cs="Arial"/>
          <w:sz w:val="24"/>
          <w:szCs w:val="24"/>
        </w:rPr>
        <w:t xml:space="preserve">l’s ‘constitutional entitlement’ to refer a matter to the Supreme Court, </w:t>
      </w:r>
      <w:r w:rsidRPr="00DD770F">
        <w:rPr>
          <w:rFonts w:ascii="Arial" w:hAnsi="Arial" w:cs="Arial"/>
          <w:sz w:val="24"/>
          <w:szCs w:val="24"/>
        </w:rPr>
        <w:t>s</w:t>
      </w:r>
      <w:r w:rsidR="00C35888">
        <w:rPr>
          <w:rFonts w:ascii="Arial" w:hAnsi="Arial" w:cs="Arial"/>
          <w:sz w:val="24"/>
          <w:szCs w:val="24"/>
        </w:rPr>
        <w:t>ection</w:t>
      </w:r>
      <w:r w:rsidRPr="00DD770F">
        <w:rPr>
          <w:rFonts w:ascii="Arial" w:hAnsi="Arial" w:cs="Arial"/>
          <w:sz w:val="24"/>
          <w:szCs w:val="24"/>
        </w:rPr>
        <w:t xml:space="preserve"> </w:t>
      </w:r>
      <w:r>
        <w:rPr>
          <w:rFonts w:ascii="Arial" w:hAnsi="Arial" w:cs="Arial"/>
          <w:sz w:val="24"/>
          <w:szCs w:val="24"/>
        </w:rPr>
        <w:t xml:space="preserve">15(3) requires that this alleged entitlement is depended on whether the matter is urgent or not, the determination of which is to be made by the Chief Justice or a judge designated by him or her. This filter process, so Jack’s Trading contended, could not have been intended by the founders of the Constitution. </w:t>
      </w:r>
      <w:r w:rsidRPr="00DD770F">
        <w:rPr>
          <w:rFonts w:ascii="Arial" w:hAnsi="Arial" w:cs="Arial"/>
          <w:sz w:val="24"/>
          <w:szCs w:val="24"/>
        </w:rPr>
        <w:t xml:space="preserve">Unfortunately, Jack’s Trading did not elaborately canvass its argument beyond merely protesting that the restrictions could not have been intended by the framers of the Constitution given the language used in formulating </w:t>
      </w:r>
      <w:r>
        <w:rPr>
          <w:rFonts w:ascii="Arial" w:hAnsi="Arial" w:cs="Arial"/>
          <w:sz w:val="24"/>
          <w:szCs w:val="24"/>
        </w:rPr>
        <w:t>Art</w:t>
      </w:r>
      <w:r w:rsidR="00C35888">
        <w:rPr>
          <w:rFonts w:ascii="Arial" w:hAnsi="Arial" w:cs="Arial"/>
          <w:sz w:val="24"/>
          <w:szCs w:val="24"/>
        </w:rPr>
        <w:t>icle</w:t>
      </w:r>
      <w:r w:rsidRPr="00DD770F">
        <w:rPr>
          <w:rFonts w:ascii="Arial" w:hAnsi="Arial" w:cs="Arial"/>
          <w:sz w:val="24"/>
          <w:szCs w:val="24"/>
        </w:rPr>
        <w:t xml:space="preserve"> 79(2) of the Constitution. </w:t>
      </w:r>
      <w:r>
        <w:rPr>
          <w:rFonts w:ascii="Arial" w:hAnsi="Arial" w:cs="Arial"/>
          <w:sz w:val="24"/>
          <w:szCs w:val="24"/>
        </w:rPr>
        <w:t>As t</w:t>
      </w:r>
      <w:r w:rsidRPr="00DD770F">
        <w:rPr>
          <w:rFonts w:ascii="Arial" w:hAnsi="Arial" w:cs="Arial"/>
          <w:sz w:val="24"/>
          <w:szCs w:val="24"/>
        </w:rPr>
        <w:t>h</w:t>
      </w:r>
      <w:r>
        <w:rPr>
          <w:rFonts w:ascii="Arial" w:hAnsi="Arial" w:cs="Arial"/>
          <w:sz w:val="24"/>
          <w:szCs w:val="24"/>
        </w:rPr>
        <w:t xml:space="preserve">e issue of the alleged unconstitutionality of </w:t>
      </w:r>
      <w:r w:rsidRPr="00DD770F">
        <w:rPr>
          <w:rFonts w:ascii="Arial" w:hAnsi="Arial" w:cs="Arial"/>
          <w:sz w:val="24"/>
          <w:szCs w:val="24"/>
        </w:rPr>
        <w:t>the provisions of s</w:t>
      </w:r>
      <w:r w:rsidR="00C35888">
        <w:rPr>
          <w:rFonts w:ascii="Arial" w:hAnsi="Arial" w:cs="Arial"/>
          <w:sz w:val="24"/>
          <w:szCs w:val="24"/>
        </w:rPr>
        <w:t>ection</w:t>
      </w:r>
      <w:r w:rsidRPr="00DD770F">
        <w:rPr>
          <w:rFonts w:ascii="Arial" w:hAnsi="Arial" w:cs="Arial"/>
          <w:sz w:val="24"/>
          <w:szCs w:val="24"/>
        </w:rPr>
        <w:t xml:space="preserve"> 15(3) of the Supreme Court Act </w:t>
      </w:r>
      <w:r>
        <w:rPr>
          <w:rFonts w:ascii="Arial" w:hAnsi="Arial" w:cs="Arial"/>
          <w:sz w:val="24"/>
          <w:szCs w:val="24"/>
        </w:rPr>
        <w:t>has not been pertinently and squarely raised or argued in these proceedings, it is not necessary to decide it</w:t>
      </w:r>
      <w:r w:rsidRPr="00DD770F">
        <w:rPr>
          <w:rFonts w:ascii="Arial" w:hAnsi="Arial" w:cs="Arial"/>
          <w:sz w:val="24"/>
          <w:szCs w:val="24"/>
        </w:rPr>
        <w:t>.</w:t>
      </w:r>
    </w:p>
    <w:p w14:paraId="639136FE" w14:textId="77777777" w:rsidR="00A423AF" w:rsidRPr="00DD770F" w:rsidRDefault="00A423AF" w:rsidP="00691C83">
      <w:pPr>
        <w:spacing w:after="0" w:line="480" w:lineRule="auto"/>
        <w:ind w:left="360"/>
        <w:jc w:val="both"/>
        <w:rPr>
          <w:rFonts w:ascii="Arial" w:hAnsi="Arial" w:cs="Arial"/>
          <w:sz w:val="24"/>
          <w:szCs w:val="24"/>
        </w:rPr>
      </w:pPr>
    </w:p>
    <w:p w14:paraId="54F7ABC7" w14:textId="4BA1D2F5" w:rsidR="00A423A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It is, however, important </w:t>
      </w:r>
      <w:r>
        <w:rPr>
          <w:rFonts w:ascii="Arial" w:hAnsi="Arial" w:cs="Arial"/>
          <w:sz w:val="24"/>
          <w:szCs w:val="24"/>
        </w:rPr>
        <w:t xml:space="preserve">to emphasise </w:t>
      </w:r>
      <w:r w:rsidRPr="00DD770F">
        <w:rPr>
          <w:rFonts w:ascii="Arial" w:hAnsi="Arial" w:cs="Arial"/>
          <w:sz w:val="24"/>
          <w:szCs w:val="24"/>
        </w:rPr>
        <w:t>that the Attorney-General’s right in terms of Art</w:t>
      </w:r>
      <w:r w:rsidR="00C35888">
        <w:rPr>
          <w:rFonts w:ascii="Arial" w:hAnsi="Arial" w:cs="Arial"/>
          <w:sz w:val="24"/>
          <w:szCs w:val="24"/>
        </w:rPr>
        <w:t>icle</w:t>
      </w:r>
      <w:r w:rsidRPr="00DD770F">
        <w:rPr>
          <w:rFonts w:ascii="Arial" w:hAnsi="Arial" w:cs="Arial"/>
          <w:sz w:val="24"/>
          <w:szCs w:val="24"/>
        </w:rPr>
        <w:t xml:space="preserve"> 79(2) of the Constitution is </w:t>
      </w:r>
      <w:r>
        <w:rPr>
          <w:rFonts w:ascii="Arial" w:hAnsi="Arial" w:cs="Arial"/>
          <w:sz w:val="24"/>
          <w:szCs w:val="24"/>
        </w:rPr>
        <w:t>circumscribed by t</w:t>
      </w:r>
      <w:r w:rsidRPr="00DD770F">
        <w:rPr>
          <w:rFonts w:ascii="Arial" w:hAnsi="Arial" w:cs="Arial"/>
          <w:sz w:val="24"/>
          <w:szCs w:val="24"/>
        </w:rPr>
        <w:t>he</w:t>
      </w:r>
      <w:r>
        <w:rPr>
          <w:rFonts w:ascii="Arial" w:hAnsi="Arial" w:cs="Arial"/>
          <w:sz w:val="24"/>
          <w:szCs w:val="24"/>
        </w:rPr>
        <w:t xml:space="preserve"> </w:t>
      </w:r>
      <w:r w:rsidRPr="00DD770F">
        <w:rPr>
          <w:rFonts w:ascii="Arial" w:hAnsi="Arial" w:cs="Arial"/>
          <w:sz w:val="24"/>
          <w:szCs w:val="24"/>
        </w:rPr>
        <w:t>limitations imposed by s</w:t>
      </w:r>
      <w:r w:rsidR="00C35888">
        <w:rPr>
          <w:rFonts w:ascii="Arial" w:hAnsi="Arial" w:cs="Arial"/>
          <w:sz w:val="24"/>
          <w:szCs w:val="24"/>
        </w:rPr>
        <w:t>ection</w:t>
      </w:r>
      <w:r w:rsidRPr="00DD770F">
        <w:rPr>
          <w:rFonts w:ascii="Arial" w:hAnsi="Arial" w:cs="Arial"/>
          <w:sz w:val="24"/>
          <w:szCs w:val="24"/>
        </w:rPr>
        <w:t xml:space="preserve"> 15 of the Supreme Court Act</w:t>
      </w:r>
      <w:r>
        <w:rPr>
          <w:rFonts w:ascii="Arial" w:hAnsi="Arial" w:cs="Arial"/>
          <w:sz w:val="24"/>
          <w:szCs w:val="24"/>
        </w:rPr>
        <w:t>. Those limitations</w:t>
      </w:r>
      <w:r w:rsidRPr="00DD770F">
        <w:rPr>
          <w:rFonts w:ascii="Arial" w:hAnsi="Arial" w:cs="Arial"/>
          <w:sz w:val="24"/>
          <w:szCs w:val="24"/>
        </w:rPr>
        <w:t xml:space="preserve"> serve the critical purpose of ensuring that the right provided in </w:t>
      </w:r>
      <w:r>
        <w:rPr>
          <w:rFonts w:ascii="Arial" w:hAnsi="Arial" w:cs="Arial"/>
          <w:sz w:val="24"/>
          <w:szCs w:val="24"/>
        </w:rPr>
        <w:t>Art</w:t>
      </w:r>
      <w:r w:rsidR="00C35888">
        <w:rPr>
          <w:rFonts w:ascii="Arial" w:hAnsi="Arial" w:cs="Arial"/>
          <w:sz w:val="24"/>
          <w:szCs w:val="24"/>
        </w:rPr>
        <w:t>icle</w:t>
      </w:r>
      <w:r w:rsidRPr="00DD770F">
        <w:rPr>
          <w:rFonts w:ascii="Arial" w:hAnsi="Arial" w:cs="Arial"/>
          <w:sz w:val="24"/>
          <w:szCs w:val="24"/>
        </w:rPr>
        <w:t xml:space="preserve"> 79(2) is not </w:t>
      </w:r>
      <w:r>
        <w:rPr>
          <w:rFonts w:ascii="Arial" w:hAnsi="Arial" w:cs="Arial"/>
          <w:sz w:val="24"/>
          <w:szCs w:val="24"/>
        </w:rPr>
        <w:t xml:space="preserve">susceptible to possible </w:t>
      </w:r>
      <w:r w:rsidRPr="00DD770F">
        <w:rPr>
          <w:rFonts w:ascii="Arial" w:hAnsi="Arial" w:cs="Arial"/>
          <w:sz w:val="24"/>
          <w:szCs w:val="24"/>
        </w:rPr>
        <w:t xml:space="preserve">abuse. Furthermore, it should never be a usual practice for this Court to hear matters as a court of first and last instance. Such practice </w:t>
      </w:r>
      <w:r>
        <w:rPr>
          <w:rFonts w:ascii="Arial" w:hAnsi="Arial" w:cs="Arial"/>
          <w:sz w:val="24"/>
          <w:szCs w:val="24"/>
        </w:rPr>
        <w:t xml:space="preserve">may be </w:t>
      </w:r>
      <w:r w:rsidRPr="00DD770F">
        <w:rPr>
          <w:rFonts w:ascii="Arial" w:hAnsi="Arial" w:cs="Arial"/>
          <w:sz w:val="24"/>
          <w:szCs w:val="24"/>
        </w:rPr>
        <w:t>detrimental to access to justice because this Court would be making important determinations without the benefit of the views of the High Court, and without the aggrieved party having an opportunity to appeal against the judgment</w:t>
      </w:r>
      <w:r>
        <w:rPr>
          <w:rFonts w:ascii="Arial" w:hAnsi="Arial" w:cs="Arial"/>
          <w:sz w:val="24"/>
          <w:szCs w:val="24"/>
        </w:rPr>
        <w:t xml:space="preserve"> should they be aggrieved by it</w:t>
      </w:r>
      <w:r w:rsidRPr="00DD770F">
        <w:rPr>
          <w:rFonts w:ascii="Arial" w:hAnsi="Arial" w:cs="Arial"/>
          <w:sz w:val="24"/>
          <w:szCs w:val="24"/>
        </w:rPr>
        <w:t>.</w:t>
      </w:r>
      <w:r w:rsidRPr="001A40C6">
        <w:rPr>
          <w:rStyle w:val="FootnoteReference"/>
          <w:rFonts w:ascii="Arial" w:hAnsi="Arial" w:cs="Arial"/>
          <w:sz w:val="24"/>
          <w:szCs w:val="24"/>
        </w:rPr>
        <w:footnoteReference w:id="6"/>
      </w:r>
      <w:r w:rsidRPr="00DD770F">
        <w:rPr>
          <w:rFonts w:ascii="Arial" w:hAnsi="Arial" w:cs="Arial"/>
          <w:sz w:val="24"/>
          <w:szCs w:val="24"/>
        </w:rPr>
        <w:t xml:space="preserve"> Therefore, the qualifications set out in s</w:t>
      </w:r>
      <w:r w:rsidR="00C35888">
        <w:rPr>
          <w:rFonts w:ascii="Arial" w:hAnsi="Arial" w:cs="Arial"/>
          <w:sz w:val="24"/>
          <w:szCs w:val="24"/>
        </w:rPr>
        <w:t>ection</w:t>
      </w:r>
      <w:r w:rsidRPr="00DD770F">
        <w:rPr>
          <w:rFonts w:ascii="Arial" w:hAnsi="Arial" w:cs="Arial"/>
          <w:sz w:val="24"/>
          <w:szCs w:val="24"/>
        </w:rPr>
        <w:t xml:space="preserve"> 15 of the Supreme Court Act are valid and are applicable in determining whether the Attorney-General has, in the present case, fully complied with them.</w:t>
      </w:r>
    </w:p>
    <w:p w14:paraId="3C85D4A6" w14:textId="77777777" w:rsidR="00A423AF" w:rsidRPr="007915C9" w:rsidRDefault="00A423AF" w:rsidP="00691C83">
      <w:pPr>
        <w:spacing w:after="0" w:line="480" w:lineRule="auto"/>
        <w:jc w:val="both"/>
        <w:rPr>
          <w:rFonts w:ascii="Arial" w:hAnsi="Arial" w:cs="Arial"/>
          <w:sz w:val="24"/>
          <w:szCs w:val="24"/>
        </w:rPr>
      </w:pPr>
    </w:p>
    <w:p w14:paraId="753BB899" w14:textId="1A26E69C"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It will be r</w:t>
      </w:r>
      <w:r w:rsidRPr="00DD770F">
        <w:rPr>
          <w:rFonts w:ascii="Arial" w:hAnsi="Arial" w:cs="Arial"/>
          <w:sz w:val="24"/>
          <w:szCs w:val="24"/>
        </w:rPr>
        <w:t>ecall</w:t>
      </w:r>
      <w:r>
        <w:rPr>
          <w:rFonts w:ascii="Arial" w:hAnsi="Arial" w:cs="Arial"/>
          <w:sz w:val="24"/>
          <w:szCs w:val="24"/>
        </w:rPr>
        <w:t>ed</w:t>
      </w:r>
      <w:r w:rsidRPr="00DD770F">
        <w:rPr>
          <w:rFonts w:ascii="Arial" w:hAnsi="Arial" w:cs="Arial"/>
          <w:sz w:val="24"/>
          <w:szCs w:val="24"/>
        </w:rPr>
        <w:t xml:space="preserve"> that s</w:t>
      </w:r>
      <w:r w:rsidR="00C35888">
        <w:rPr>
          <w:rFonts w:ascii="Arial" w:hAnsi="Arial" w:cs="Arial"/>
          <w:sz w:val="24"/>
          <w:szCs w:val="24"/>
        </w:rPr>
        <w:t>ection</w:t>
      </w:r>
      <w:r w:rsidRPr="00DD770F">
        <w:rPr>
          <w:rFonts w:ascii="Arial" w:hAnsi="Arial" w:cs="Arial"/>
          <w:sz w:val="24"/>
          <w:szCs w:val="24"/>
        </w:rPr>
        <w:t xml:space="preserve"> 15(3) of the Supreme Court Act requires that matters brought by the Attorney-General must either be of urgent nature or of any such other nature which justifies the need for the Attorney-General to approach this Court directly</w:t>
      </w:r>
      <w:r>
        <w:rPr>
          <w:rFonts w:ascii="Arial" w:hAnsi="Arial" w:cs="Arial"/>
          <w:sz w:val="24"/>
          <w:szCs w:val="24"/>
        </w:rPr>
        <w:t>.</w:t>
      </w:r>
      <w:r w:rsidRPr="00DD770F">
        <w:rPr>
          <w:rFonts w:ascii="Arial" w:hAnsi="Arial" w:cs="Arial"/>
          <w:sz w:val="24"/>
          <w:szCs w:val="24"/>
        </w:rPr>
        <w:t xml:space="preserve"> I find the matter to be appropriate for this Court to hear it and make a determination on it. In arriving at this conclusion, I have been guided by the </w:t>
      </w:r>
      <w:r>
        <w:rPr>
          <w:rFonts w:ascii="Arial" w:hAnsi="Arial" w:cs="Arial"/>
          <w:sz w:val="24"/>
          <w:szCs w:val="24"/>
        </w:rPr>
        <w:t xml:space="preserve">jurisprudence of this court as set out in a number of decisions including </w:t>
      </w:r>
      <w:r w:rsidRPr="00DD770F">
        <w:rPr>
          <w:rFonts w:ascii="Arial" w:hAnsi="Arial" w:cs="Arial"/>
          <w:i/>
          <w:sz w:val="24"/>
          <w:szCs w:val="24"/>
        </w:rPr>
        <w:t>Attorney-General of Namibia v Minister of Justice and others</w:t>
      </w:r>
      <w:r w:rsidRPr="001A40C6">
        <w:rPr>
          <w:rStyle w:val="FootnoteReference"/>
          <w:rFonts w:ascii="Arial" w:hAnsi="Arial" w:cs="Arial"/>
          <w:sz w:val="24"/>
          <w:szCs w:val="24"/>
        </w:rPr>
        <w:footnoteReference w:id="7"/>
      </w:r>
      <w:r w:rsidRPr="00DD770F">
        <w:rPr>
          <w:rFonts w:ascii="Arial" w:hAnsi="Arial" w:cs="Arial"/>
          <w:sz w:val="24"/>
          <w:szCs w:val="24"/>
        </w:rPr>
        <w:t xml:space="preserve"> </w:t>
      </w:r>
      <w:r>
        <w:rPr>
          <w:rFonts w:ascii="Arial" w:hAnsi="Arial" w:cs="Arial"/>
          <w:sz w:val="24"/>
          <w:szCs w:val="24"/>
        </w:rPr>
        <w:t xml:space="preserve">and </w:t>
      </w:r>
      <w:r w:rsidRPr="001C4113">
        <w:rPr>
          <w:rFonts w:ascii="Arial" w:hAnsi="Arial" w:cs="Arial"/>
          <w:i/>
          <w:sz w:val="24"/>
          <w:szCs w:val="24"/>
        </w:rPr>
        <w:t>Schroeder and another v Solomon and 48 others</w:t>
      </w:r>
      <w:r>
        <w:rPr>
          <w:rStyle w:val="FootnoteReference"/>
          <w:rFonts w:ascii="Arial" w:hAnsi="Arial" w:cs="Arial"/>
          <w:sz w:val="24"/>
          <w:szCs w:val="24"/>
        </w:rPr>
        <w:footnoteReference w:id="8"/>
      </w:r>
      <w:r>
        <w:rPr>
          <w:rFonts w:ascii="Arial" w:hAnsi="Arial" w:cs="Arial"/>
          <w:sz w:val="24"/>
          <w:szCs w:val="24"/>
        </w:rPr>
        <w:t xml:space="preserve"> </w:t>
      </w:r>
      <w:r w:rsidRPr="00DD770F">
        <w:rPr>
          <w:rFonts w:ascii="Arial" w:hAnsi="Arial" w:cs="Arial"/>
          <w:sz w:val="24"/>
          <w:szCs w:val="24"/>
        </w:rPr>
        <w:t>that this Court will accept to hear and determine the matter when petitioned by the Attorney General only if the matter is of constitutional and public importance in terms of the questions raised, to the extent that failure to bring finality to it would seriously unde</w:t>
      </w:r>
      <w:r w:rsidR="00691C83">
        <w:rPr>
          <w:rFonts w:ascii="Arial" w:hAnsi="Arial" w:cs="Arial"/>
          <w:sz w:val="24"/>
          <w:szCs w:val="24"/>
        </w:rPr>
        <w:t>rmine the interests of justice.</w:t>
      </w:r>
    </w:p>
    <w:p w14:paraId="0F25ACB0" w14:textId="77777777" w:rsidR="00A423AF" w:rsidRPr="00DD770F" w:rsidRDefault="00A423AF" w:rsidP="00691C83">
      <w:pPr>
        <w:spacing w:after="0" w:line="480" w:lineRule="auto"/>
        <w:jc w:val="both"/>
        <w:rPr>
          <w:rFonts w:ascii="Arial" w:hAnsi="Arial" w:cs="Arial"/>
          <w:sz w:val="24"/>
          <w:szCs w:val="24"/>
        </w:rPr>
      </w:pPr>
    </w:p>
    <w:p w14:paraId="335E8D04" w14:textId="2E3EC94E" w:rsidR="00A423AF" w:rsidRPr="001A40C6" w:rsidRDefault="00A423AF" w:rsidP="00691C83">
      <w:pPr>
        <w:pStyle w:val="ListParagraph"/>
        <w:numPr>
          <w:ilvl w:val="0"/>
          <w:numId w:val="39"/>
        </w:numPr>
        <w:spacing w:after="0" w:line="480" w:lineRule="auto"/>
        <w:ind w:left="0" w:firstLine="0"/>
        <w:jc w:val="both"/>
        <w:rPr>
          <w:rFonts w:ascii="Arial" w:hAnsi="Arial" w:cs="Arial"/>
          <w:sz w:val="24"/>
          <w:szCs w:val="24"/>
        </w:rPr>
      </w:pPr>
      <w:r w:rsidRPr="001A40C6">
        <w:rPr>
          <w:rFonts w:ascii="Arial" w:hAnsi="Arial" w:cs="Arial"/>
          <w:sz w:val="24"/>
          <w:szCs w:val="24"/>
        </w:rPr>
        <w:t>Thus the test laid down by this Court is that it will only accept to hear a matter brought directly by the Attorney</w:t>
      </w:r>
      <w:r>
        <w:rPr>
          <w:rFonts w:ascii="Arial" w:hAnsi="Arial" w:cs="Arial"/>
          <w:sz w:val="24"/>
          <w:szCs w:val="24"/>
        </w:rPr>
        <w:t>-</w:t>
      </w:r>
      <w:r w:rsidRPr="001A40C6">
        <w:rPr>
          <w:rFonts w:ascii="Arial" w:hAnsi="Arial" w:cs="Arial"/>
          <w:sz w:val="24"/>
          <w:szCs w:val="24"/>
        </w:rPr>
        <w:t>General in terms of Art</w:t>
      </w:r>
      <w:r w:rsidR="00C35888">
        <w:rPr>
          <w:rFonts w:ascii="Arial" w:hAnsi="Arial" w:cs="Arial"/>
          <w:sz w:val="24"/>
          <w:szCs w:val="24"/>
        </w:rPr>
        <w:t>icle</w:t>
      </w:r>
      <w:r w:rsidRPr="001A40C6">
        <w:rPr>
          <w:rFonts w:ascii="Arial" w:hAnsi="Arial" w:cs="Arial"/>
          <w:sz w:val="24"/>
          <w:szCs w:val="24"/>
        </w:rPr>
        <w:t xml:space="preserve"> 79(2) of the Constitution and s</w:t>
      </w:r>
      <w:r w:rsidR="00C35888">
        <w:rPr>
          <w:rFonts w:ascii="Arial" w:hAnsi="Arial" w:cs="Arial"/>
          <w:sz w:val="24"/>
          <w:szCs w:val="24"/>
        </w:rPr>
        <w:t>ection</w:t>
      </w:r>
      <w:r w:rsidRPr="001A40C6">
        <w:rPr>
          <w:rFonts w:ascii="Arial" w:hAnsi="Arial" w:cs="Arial"/>
          <w:sz w:val="24"/>
          <w:szCs w:val="24"/>
        </w:rPr>
        <w:t xml:space="preserve"> 15 of the Supreme Court Act if the matter raises a constitutional question relating to the interpretation, protection and or enforcement of the Constitution. Secondly, the matter must be of significant constitutional importance and thirdly, it must be in the interests of justice for this Court to accept to hear and determine the matter as a court</w:t>
      </w:r>
      <w:r w:rsidR="00691C83">
        <w:rPr>
          <w:rFonts w:ascii="Arial" w:hAnsi="Arial" w:cs="Arial"/>
          <w:sz w:val="24"/>
          <w:szCs w:val="24"/>
        </w:rPr>
        <w:t xml:space="preserve"> of first and final instance.</w:t>
      </w:r>
    </w:p>
    <w:p w14:paraId="4D54AB51" w14:textId="77777777" w:rsidR="00A423AF" w:rsidRPr="00DD770F" w:rsidRDefault="00A423AF" w:rsidP="00691C83">
      <w:pPr>
        <w:spacing w:after="0" w:line="480" w:lineRule="auto"/>
        <w:jc w:val="both"/>
        <w:rPr>
          <w:rFonts w:ascii="Arial" w:hAnsi="Arial" w:cs="Arial"/>
          <w:sz w:val="24"/>
          <w:szCs w:val="24"/>
        </w:rPr>
      </w:pPr>
    </w:p>
    <w:p w14:paraId="443D2C99" w14:textId="77777777"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The matter brought by the Attorney-General raises a </w:t>
      </w:r>
      <w:r>
        <w:rPr>
          <w:rFonts w:ascii="Arial" w:hAnsi="Arial" w:cs="Arial"/>
          <w:sz w:val="24"/>
          <w:szCs w:val="24"/>
        </w:rPr>
        <w:t xml:space="preserve">host </w:t>
      </w:r>
      <w:r w:rsidRPr="00DD770F">
        <w:rPr>
          <w:rFonts w:ascii="Arial" w:hAnsi="Arial" w:cs="Arial"/>
          <w:sz w:val="24"/>
          <w:szCs w:val="24"/>
        </w:rPr>
        <w:t>of questions that have implications on the enforcement of the Constitution. It raises a question relating to the enforcement of the constitutional function of Government to collect revenue. It also raises the question regarding the implementation of the constitutional power to formulate foreign trade policy</w:t>
      </w:r>
      <w:r w:rsidRPr="001A40C6">
        <w:rPr>
          <w:rStyle w:val="FootnoteReference"/>
          <w:rFonts w:ascii="Arial" w:hAnsi="Arial" w:cs="Arial"/>
          <w:sz w:val="24"/>
          <w:szCs w:val="24"/>
        </w:rPr>
        <w:footnoteReference w:id="9"/>
      </w:r>
      <w:r w:rsidRPr="00DD770F">
        <w:rPr>
          <w:rFonts w:ascii="Arial" w:hAnsi="Arial" w:cs="Arial"/>
          <w:sz w:val="24"/>
          <w:szCs w:val="24"/>
        </w:rPr>
        <w:t>-a function that is enforced</w:t>
      </w:r>
      <w:r>
        <w:rPr>
          <w:rFonts w:ascii="Arial" w:hAnsi="Arial" w:cs="Arial"/>
          <w:sz w:val="24"/>
          <w:szCs w:val="24"/>
        </w:rPr>
        <w:t xml:space="preserve">, amongst others, </w:t>
      </w:r>
      <w:r w:rsidRPr="00DD770F">
        <w:rPr>
          <w:rFonts w:ascii="Arial" w:hAnsi="Arial" w:cs="Arial"/>
          <w:sz w:val="24"/>
          <w:szCs w:val="24"/>
        </w:rPr>
        <w:t xml:space="preserve">through the Customs and Excise Act which empowers the Minister to designate certain trade imports as attracting the payment of additional duty. The matter also raises questions regarding the enforcement of the right to practice freedom of trade because the power to levy additional duty on certain imports </w:t>
      </w:r>
      <w:r>
        <w:rPr>
          <w:rFonts w:ascii="Arial" w:hAnsi="Arial" w:cs="Arial"/>
          <w:sz w:val="24"/>
          <w:szCs w:val="24"/>
        </w:rPr>
        <w:t xml:space="preserve">may </w:t>
      </w:r>
      <w:r w:rsidRPr="00DD770F">
        <w:rPr>
          <w:rFonts w:ascii="Arial" w:hAnsi="Arial" w:cs="Arial"/>
          <w:sz w:val="24"/>
          <w:szCs w:val="24"/>
        </w:rPr>
        <w:t xml:space="preserve">interfere with the freedom to trade </w:t>
      </w:r>
      <w:r>
        <w:rPr>
          <w:rFonts w:ascii="Arial" w:hAnsi="Arial" w:cs="Arial"/>
          <w:sz w:val="24"/>
          <w:szCs w:val="24"/>
        </w:rPr>
        <w:t xml:space="preserve">in </w:t>
      </w:r>
      <w:r w:rsidRPr="00DD770F">
        <w:rPr>
          <w:rFonts w:ascii="Arial" w:hAnsi="Arial" w:cs="Arial"/>
          <w:sz w:val="24"/>
          <w:szCs w:val="24"/>
        </w:rPr>
        <w:t xml:space="preserve">certain </w:t>
      </w:r>
      <w:r>
        <w:rPr>
          <w:rFonts w:ascii="Arial" w:hAnsi="Arial" w:cs="Arial"/>
          <w:sz w:val="24"/>
          <w:szCs w:val="24"/>
        </w:rPr>
        <w:t xml:space="preserve">affected </w:t>
      </w:r>
      <w:r w:rsidRPr="00DD770F">
        <w:rPr>
          <w:rFonts w:ascii="Arial" w:hAnsi="Arial" w:cs="Arial"/>
          <w:sz w:val="24"/>
          <w:szCs w:val="24"/>
        </w:rPr>
        <w:t>goods.</w:t>
      </w:r>
    </w:p>
    <w:p w14:paraId="79E4D22E" w14:textId="77777777" w:rsidR="00A423AF" w:rsidRPr="00DD770F" w:rsidRDefault="00A423AF" w:rsidP="00691C83">
      <w:pPr>
        <w:spacing w:after="0" w:line="480" w:lineRule="auto"/>
        <w:jc w:val="both"/>
        <w:rPr>
          <w:rFonts w:ascii="Arial" w:hAnsi="Arial" w:cs="Arial"/>
          <w:sz w:val="24"/>
          <w:szCs w:val="24"/>
        </w:rPr>
      </w:pPr>
    </w:p>
    <w:p w14:paraId="5A601E6E" w14:textId="37554B43"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But as noted earlier, the fact that this matter raises constitutional questions does not, on its own, warrant this court to </w:t>
      </w:r>
      <w:r>
        <w:rPr>
          <w:rFonts w:ascii="Arial" w:hAnsi="Arial" w:cs="Arial"/>
          <w:sz w:val="24"/>
          <w:szCs w:val="24"/>
        </w:rPr>
        <w:t>decide</w:t>
      </w:r>
      <w:r w:rsidRPr="00DD770F">
        <w:rPr>
          <w:rFonts w:ascii="Arial" w:hAnsi="Arial" w:cs="Arial"/>
          <w:sz w:val="24"/>
          <w:szCs w:val="24"/>
        </w:rPr>
        <w:t xml:space="preserve"> to hear the matter. The constitutional questions must be so important and/or urgent to the extent that there is a real need for the Supreme Court to bring finality to the matter in order to avert an impending or ensuing crisis regarding the impl</w:t>
      </w:r>
      <w:r w:rsidR="00691C83">
        <w:rPr>
          <w:rFonts w:ascii="Arial" w:hAnsi="Arial" w:cs="Arial"/>
          <w:sz w:val="24"/>
          <w:szCs w:val="24"/>
        </w:rPr>
        <w:t>ementation of the Constitution.</w:t>
      </w:r>
    </w:p>
    <w:p w14:paraId="347C3535" w14:textId="77777777" w:rsidR="00A423AF" w:rsidRPr="00DD770F" w:rsidRDefault="00A423AF" w:rsidP="00691C83">
      <w:pPr>
        <w:spacing w:after="0" w:line="480" w:lineRule="auto"/>
        <w:jc w:val="both"/>
        <w:rPr>
          <w:rFonts w:ascii="Arial" w:hAnsi="Arial" w:cs="Arial"/>
          <w:sz w:val="24"/>
          <w:szCs w:val="24"/>
        </w:rPr>
      </w:pPr>
    </w:p>
    <w:p w14:paraId="1C120487" w14:textId="15AB7E72"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This matter involves the power of the Minister to levy and collect duty on behalf of the State</w:t>
      </w:r>
      <w:r>
        <w:rPr>
          <w:rFonts w:ascii="Arial" w:hAnsi="Arial" w:cs="Arial"/>
          <w:sz w:val="24"/>
          <w:szCs w:val="24"/>
        </w:rPr>
        <w:t xml:space="preserve"> in the public interest</w:t>
      </w:r>
      <w:r w:rsidRPr="00DD770F">
        <w:rPr>
          <w:rFonts w:ascii="Arial" w:hAnsi="Arial" w:cs="Arial"/>
          <w:sz w:val="24"/>
          <w:szCs w:val="24"/>
        </w:rPr>
        <w:t>. It is trite that Government needs to raise revenue in order to perform its functions. Of course the revenue must be collected lawfully. The uncertainty regarding the interpretation of the relevant provisions of the Customs and Excise Act (as evinced by the multiple applications and counter applications in the High Court) has created a cloud and some confusion around the appropriate steps which the law requires Government to take in order to introduce duty. This uncertainty and confusion has potential to hamstr</w:t>
      </w:r>
      <w:r>
        <w:rPr>
          <w:rFonts w:ascii="Arial" w:hAnsi="Arial" w:cs="Arial"/>
          <w:sz w:val="24"/>
          <w:szCs w:val="24"/>
        </w:rPr>
        <w:t>ing</w:t>
      </w:r>
      <w:r w:rsidRPr="00DD770F">
        <w:rPr>
          <w:rFonts w:ascii="Arial" w:hAnsi="Arial" w:cs="Arial"/>
          <w:sz w:val="24"/>
          <w:szCs w:val="24"/>
        </w:rPr>
        <w:t xml:space="preserve"> Government from collecting public revenue and that will surely attract multiple repercussions on the ability of Government to perform many </w:t>
      </w:r>
      <w:r w:rsidR="00691C83">
        <w:rPr>
          <w:rFonts w:ascii="Arial" w:hAnsi="Arial" w:cs="Arial"/>
          <w:sz w:val="24"/>
          <w:szCs w:val="24"/>
        </w:rPr>
        <w:t>other constitutional functions.</w:t>
      </w:r>
    </w:p>
    <w:p w14:paraId="7A447373" w14:textId="77777777" w:rsidR="00A423AF" w:rsidRPr="0030406E" w:rsidRDefault="00A423AF" w:rsidP="00691C83">
      <w:pPr>
        <w:spacing w:after="0" w:line="480" w:lineRule="auto"/>
        <w:jc w:val="both"/>
        <w:rPr>
          <w:rFonts w:ascii="Arial" w:hAnsi="Arial" w:cs="Arial"/>
          <w:sz w:val="24"/>
          <w:szCs w:val="24"/>
        </w:rPr>
      </w:pPr>
    </w:p>
    <w:p w14:paraId="2F0DFCC3" w14:textId="1639A8A9"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It is also in the interests of justice for this </w:t>
      </w:r>
      <w:r>
        <w:rPr>
          <w:rFonts w:ascii="Arial" w:hAnsi="Arial" w:cs="Arial"/>
          <w:sz w:val="24"/>
          <w:szCs w:val="24"/>
        </w:rPr>
        <w:t>c</w:t>
      </w:r>
      <w:r w:rsidRPr="00DD770F">
        <w:rPr>
          <w:rFonts w:ascii="Arial" w:hAnsi="Arial" w:cs="Arial"/>
          <w:sz w:val="24"/>
          <w:szCs w:val="24"/>
        </w:rPr>
        <w:t>ourt to hear the matter and to determine it so as to avoid the possibility of a multi</w:t>
      </w:r>
      <w:r>
        <w:rPr>
          <w:rFonts w:ascii="Arial" w:hAnsi="Arial" w:cs="Arial"/>
          <w:sz w:val="24"/>
          <w:szCs w:val="24"/>
        </w:rPr>
        <w:t>plication</w:t>
      </w:r>
      <w:r w:rsidRPr="00DD770F">
        <w:rPr>
          <w:rFonts w:ascii="Arial" w:hAnsi="Arial" w:cs="Arial"/>
          <w:sz w:val="24"/>
          <w:szCs w:val="24"/>
        </w:rPr>
        <w:t xml:space="preserve"> of appeals to this </w:t>
      </w:r>
      <w:r>
        <w:rPr>
          <w:rFonts w:ascii="Arial" w:hAnsi="Arial" w:cs="Arial"/>
          <w:sz w:val="24"/>
          <w:szCs w:val="24"/>
        </w:rPr>
        <w:t>c</w:t>
      </w:r>
      <w:r w:rsidRPr="00DD770F">
        <w:rPr>
          <w:rFonts w:ascii="Arial" w:hAnsi="Arial" w:cs="Arial"/>
          <w:sz w:val="24"/>
          <w:szCs w:val="24"/>
        </w:rPr>
        <w:t xml:space="preserve">ourt, which could </w:t>
      </w:r>
      <w:r>
        <w:rPr>
          <w:rFonts w:ascii="Arial" w:hAnsi="Arial" w:cs="Arial"/>
          <w:sz w:val="24"/>
          <w:szCs w:val="24"/>
        </w:rPr>
        <w:t>clog this c</w:t>
      </w:r>
      <w:r w:rsidRPr="00DD770F">
        <w:rPr>
          <w:rFonts w:ascii="Arial" w:hAnsi="Arial" w:cs="Arial"/>
          <w:sz w:val="24"/>
          <w:szCs w:val="24"/>
        </w:rPr>
        <w:t>ourt and divert its attention and scarce resources from other equally important cas</w:t>
      </w:r>
      <w:r w:rsidR="00691C83">
        <w:rPr>
          <w:rFonts w:ascii="Arial" w:hAnsi="Arial" w:cs="Arial"/>
          <w:sz w:val="24"/>
          <w:szCs w:val="24"/>
        </w:rPr>
        <w:t>es where parties await justice.</w:t>
      </w:r>
    </w:p>
    <w:p w14:paraId="46A69397" w14:textId="77777777" w:rsidR="00A423AF" w:rsidRPr="00DD770F" w:rsidRDefault="00A423AF" w:rsidP="00691C83">
      <w:pPr>
        <w:spacing w:after="0" w:line="480" w:lineRule="auto"/>
        <w:jc w:val="both"/>
        <w:rPr>
          <w:rFonts w:ascii="Arial" w:hAnsi="Arial" w:cs="Arial"/>
          <w:sz w:val="24"/>
          <w:szCs w:val="24"/>
        </w:rPr>
      </w:pPr>
    </w:p>
    <w:p w14:paraId="7F78DE05" w14:textId="1992374A" w:rsidR="00A423AF" w:rsidRPr="00DD770F" w:rsidRDefault="00A423AF" w:rsidP="00691C83">
      <w:pPr>
        <w:pStyle w:val="ListParagraph"/>
        <w:numPr>
          <w:ilvl w:val="0"/>
          <w:numId w:val="39"/>
        </w:numPr>
        <w:spacing w:after="0" w:line="480" w:lineRule="auto"/>
        <w:ind w:left="0" w:firstLine="0"/>
        <w:jc w:val="both"/>
        <w:rPr>
          <w:rFonts w:ascii="Arial" w:hAnsi="Arial" w:cs="Arial"/>
          <w:sz w:val="24"/>
          <w:szCs w:val="24"/>
        </w:rPr>
      </w:pPr>
      <w:r w:rsidRPr="00DD770F">
        <w:rPr>
          <w:rFonts w:ascii="Arial" w:hAnsi="Arial" w:cs="Arial"/>
          <w:sz w:val="24"/>
          <w:szCs w:val="24"/>
        </w:rPr>
        <w:t xml:space="preserve">It has been contended by </w:t>
      </w:r>
      <w:r w:rsidRPr="00E16AF7">
        <w:rPr>
          <w:rFonts w:ascii="Arial" w:hAnsi="Arial" w:cs="Arial"/>
          <w:sz w:val="24"/>
          <w:szCs w:val="24"/>
        </w:rPr>
        <w:t>Ohorongo</w:t>
      </w:r>
      <w:r w:rsidRPr="00DD770F">
        <w:rPr>
          <w:rFonts w:ascii="Arial" w:hAnsi="Arial" w:cs="Arial"/>
          <w:sz w:val="24"/>
          <w:szCs w:val="24"/>
        </w:rPr>
        <w:t xml:space="preserve"> that whilst it is desirable to bring this matter to finality, that must be done properly, lawfully and within the remit of the Namibian Constitution</w:t>
      </w:r>
      <w:r>
        <w:rPr>
          <w:rFonts w:ascii="Arial" w:hAnsi="Arial" w:cs="Arial"/>
          <w:sz w:val="24"/>
          <w:szCs w:val="24"/>
        </w:rPr>
        <w:t xml:space="preserve"> and the applicable law, including the Supreme Court Act. </w:t>
      </w:r>
      <w:r w:rsidRPr="00F01E13">
        <w:rPr>
          <w:rFonts w:ascii="Arial" w:hAnsi="Arial" w:cs="Arial"/>
          <w:sz w:val="24"/>
          <w:szCs w:val="24"/>
        </w:rPr>
        <w:t>Ohorongo</w:t>
      </w:r>
      <w:r w:rsidRPr="00DD770F">
        <w:rPr>
          <w:rFonts w:ascii="Arial" w:hAnsi="Arial" w:cs="Arial"/>
          <w:sz w:val="24"/>
          <w:szCs w:val="24"/>
        </w:rPr>
        <w:t xml:space="preserve"> argue</w:t>
      </w:r>
      <w:r>
        <w:rPr>
          <w:rFonts w:ascii="Arial" w:hAnsi="Arial" w:cs="Arial"/>
          <w:sz w:val="24"/>
          <w:szCs w:val="24"/>
        </w:rPr>
        <w:t>d</w:t>
      </w:r>
      <w:r w:rsidRPr="00DD770F">
        <w:rPr>
          <w:rFonts w:ascii="Arial" w:hAnsi="Arial" w:cs="Arial"/>
          <w:sz w:val="24"/>
          <w:szCs w:val="24"/>
        </w:rPr>
        <w:t xml:space="preserve"> </w:t>
      </w:r>
      <w:r>
        <w:rPr>
          <w:rFonts w:ascii="Arial" w:hAnsi="Arial" w:cs="Arial"/>
          <w:sz w:val="24"/>
          <w:szCs w:val="24"/>
        </w:rPr>
        <w:t xml:space="preserve">further </w:t>
      </w:r>
      <w:r w:rsidRPr="00DD770F">
        <w:rPr>
          <w:rFonts w:ascii="Arial" w:hAnsi="Arial" w:cs="Arial"/>
          <w:sz w:val="24"/>
          <w:szCs w:val="24"/>
        </w:rPr>
        <w:t>that the use of the phrase ‘under this Constitution’ in Art</w:t>
      </w:r>
      <w:r w:rsidR="00C35888">
        <w:rPr>
          <w:rFonts w:ascii="Arial" w:hAnsi="Arial" w:cs="Arial"/>
          <w:sz w:val="24"/>
          <w:szCs w:val="24"/>
        </w:rPr>
        <w:t>icle</w:t>
      </w:r>
      <w:r w:rsidRPr="00DD770F">
        <w:rPr>
          <w:rFonts w:ascii="Arial" w:hAnsi="Arial" w:cs="Arial"/>
          <w:sz w:val="24"/>
          <w:szCs w:val="24"/>
        </w:rPr>
        <w:t xml:space="preserve"> 79(2) shows that the Attorney-General may only invoke Art</w:t>
      </w:r>
      <w:r w:rsidR="00C35888">
        <w:rPr>
          <w:rFonts w:ascii="Arial" w:hAnsi="Arial" w:cs="Arial"/>
          <w:sz w:val="24"/>
          <w:szCs w:val="24"/>
        </w:rPr>
        <w:t>icle</w:t>
      </w:r>
      <w:r w:rsidRPr="00DD770F">
        <w:rPr>
          <w:rFonts w:ascii="Arial" w:hAnsi="Arial" w:cs="Arial"/>
          <w:sz w:val="24"/>
          <w:szCs w:val="24"/>
        </w:rPr>
        <w:t xml:space="preserve"> 79(2) powers when the matter concerns the protection and upholding of the Constitution</w:t>
      </w:r>
      <w:r>
        <w:rPr>
          <w:rFonts w:ascii="Arial" w:hAnsi="Arial" w:cs="Arial"/>
          <w:sz w:val="24"/>
          <w:szCs w:val="24"/>
        </w:rPr>
        <w:t xml:space="preserve"> which are the primary powers of the Attorney-General in the context of the petition</w:t>
      </w:r>
      <w:r w:rsidRPr="00DD770F">
        <w:rPr>
          <w:rFonts w:ascii="Arial" w:hAnsi="Arial" w:cs="Arial"/>
          <w:sz w:val="24"/>
          <w:szCs w:val="24"/>
        </w:rPr>
        <w:t>.</w:t>
      </w:r>
      <w:r>
        <w:rPr>
          <w:rFonts w:ascii="Arial" w:hAnsi="Arial" w:cs="Arial"/>
          <w:sz w:val="24"/>
          <w:szCs w:val="24"/>
        </w:rPr>
        <w:t xml:space="preserve"> As </w:t>
      </w:r>
      <w:r w:rsidRPr="00DD770F">
        <w:rPr>
          <w:rFonts w:ascii="Arial" w:hAnsi="Arial" w:cs="Arial"/>
          <w:sz w:val="24"/>
          <w:szCs w:val="24"/>
        </w:rPr>
        <w:t>the present matter concerns the interpretation of legislation</w:t>
      </w:r>
      <w:r>
        <w:rPr>
          <w:rFonts w:ascii="Arial" w:hAnsi="Arial" w:cs="Arial"/>
          <w:sz w:val="24"/>
          <w:szCs w:val="24"/>
        </w:rPr>
        <w:t xml:space="preserve"> and </w:t>
      </w:r>
      <w:r w:rsidRPr="00DD770F">
        <w:rPr>
          <w:rFonts w:ascii="Arial" w:hAnsi="Arial" w:cs="Arial"/>
          <w:sz w:val="24"/>
          <w:szCs w:val="24"/>
        </w:rPr>
        <w:t xml:space="preserve">not </w:t>
      </w:r>
      <w:r>
        <w:rPr>
          <w:rFonts w:ascii="Arial" w:hAnsi="Arial" w:cs="Arial"/>
          <w:sz w:val="24"/>
          <w:szCs w:val="24"/>
        </w:rPr>
        <w:t xml:space="preserve">of </w:t>
      </w:r>
      <w:r w:rsidRPr="00DD770F">
        <w:rPr>
          <w:rFonts w:ascii="Arial" w:hAnsi="Arial" w:cs="Arial"/>
          <w:sz w:val="24"/>
          <w:szCs w:val="24"/>
        </w:rPr>
        <w:t xml:space="preserve">the Constitution, </w:t>
      </w:r>
      <w:r>
        <w:rPr>
          <w:rFonts w:ascii="Arial" w:hAnsi="Arial" w:cs="Arial"/>
          <w:sz w:val="24"/>
          <w:szCs w:val="24"/>
        </w:rPr>
        <w:t xml:space="preserve">so Ohorongo contended, unless the relief sought in the Attorney-General’s petition is or can be linked to the protection and upholding of the Constitution, the Attorney-General acts ultra vires his powers to invoke </w:t>
      </w:r>
      <w:r w:rsidRPr="00DD770F">
        <w:rPr>
          <w:rFonts w:ascii="Arial" w:hAnsi="Arial" w:cs="Arial"/>
          <w:sz w:val="24"/>
          <w:szCs w:val="24"/>
        </w:rPr>
        <w:t>Art</w:t>
      </w:r>
      <w:r w:rsidR="00C35888">
        <w:rPr>
          <w:rFonts w:ascii="Arial" w:hAnsi="Arial" w:cs="Arial"/>
          <w:sz w:val="24"/>
          <w:szCs w:val="24"/>
        </w:rPr>
        <w:t>icle</w:t>
      </w:r>
      <w:r w:rsidRPr="00DD770F">
        <w:rPr>
          <w:rFonts w:ascii="Arial" w:hAnsi="Arial" w:cs="Arial"/>
          <w:sz w:val="24"/>
          <w:szCs w:val="24"/>
        </w:rPr>
        <w:t xml:space="preserve"> 79(2) of the Constitution</w:t>
      </w:r>
      <w:r>
        <w:rPr>
          <w:rFonts w:ascii="Arial" w:hAnsi="Arial" w:cs="Arial"/>
          <w:sz w:val="24"/>
          <w:szCs w:val="24"/>
        </w:rPr>
        <w:t>.</w:t>
      </w:r>
    </w:p>
    <w:p w14:paraId="5AEA61AC" w14:textId="77777777" w:rsidR="00A423AF" w:rsidRPr="00F01E13" w:rsidRDefault="00A423AF" w:rsidP="00691C83">
      <w:pPr>
        <w:spacing w:after="0" w:line="480" w:lineRule="auto"/>
        <w:jc w:val="both"/>
        <w:rPr>
          <w:rFonts w:ascii="Arial" w:hAnsi="Arial" w:cs="Arial"/>
          <w:sz w:val="24"/>
          <w:szCs w:val="24"/>
        </w:rPr>
      </w:pPr>
    </w:p>
    <w:p w14:paraId="6CB1E710" w14:textId="26D9F290" w:rsidR="00A423AF" w:rsidRPr="00727A82" w:rsidRDefault="00A423AF" w:rsidP="00691C83">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In agreeing with the position taken by Ohorongo detailed in the preceding paragraph, I am of view that t</w:t>
      </w:r>
      <w:r w:rsidRPr="00727A82">
        <w:rPr>
          <w:rFonts w:ascii="Arial" w:hAnsi="Arial" w:cs="Arial"/>
          <w:sz w:val="24"/>
          <w:szCs w:val="24"/>
        </w:rPr>
        <w:t xml:space="preserve">here can never be any doubt that the collection of duties and public revenue is a matter that goes to the heart of the proper functioning of government in the </w:t>
      </w:r>
      <w:r>
        <w:rPr>
          <w:rFonts w:ascii="Arial" w:hAnsi="Arial" w:cs="Arial"/>
          <w:sz w:val="24"/>
          <w:szCs w:val="24"/>
        </w:rPr>
        <w:t>country</w:t>
      </w:r>
      <w:r w:rsidRPr="00727A82">
        <w:rPr>
          <w:rFonts w:ascii="Arial" w:hAnsi="Arial" w:cs="Arial"/>
          <w:sz w:val="24"/>
          <w:szCs w:val="24"/>
        </w:rPr>
        <w:t xml:space="preserve">. The uncertainty regarding the interpretation of the Customs </w:t>
      </w:r>
      <w:r>
        <w:rPr>
          <w:rFonts w:ascii="Arial" w:hAnsi="Arial" w:cs="Arial"/>
          <w:sz w:val="24"/>
          <w:szCs w:val="24"/>
        </w:rPr>
        <w:t xml:space="preserve">and Excise </w:t>
      </w:r>
      <w:r w:rsidRPr="00727A82">
        <w:rPr>
          <w:rFonts w:ascii="Arial" w:hAnsi="Arial" w:cs="Arial"/>
          <w:sz w:val="24"/>
          <w:szCs w:val="24"/>
        </w:rPr>
        <w:t>Act and the ensuing multi</w:t>
      </w:r>
      <w:r>
        <w:rPr>
          <w:rFonts w:ascii="Arial" w:hAnsi="Arial" w:cs="Arial"/>
          <w:sz w:val="24"/>
          <w:szCs w:val="24"/>
        </w:rPr>
        <w:t>ple</w:t>
      </w:r>
      <w:r w:rsidRPr="00727A82">
        <w:rPr>
          <w:rFonts w:ascii="Arial" w:hAnsi="Arial" w:cs="Arial"/>
          <w:sz w:val="24"/>
          <w:szCs w:val="24"/>
        </w:rPr>
        <w:t xml:space="preserve"> litigations in the High Court have the potential to tie Government down, preventing it from collecting the intended duties and that could have ramifications on the ability of Government to function. Certainly it is in the interests of the Constitution to have a p</w:t>
      </w:r>
      <w:r w:rsidR="00691C83">
        <w:rPr>
          <w:rFonts w:ascii="Arial" w:hAnsi="Arial" w:cs="Arial"/>
          <w:sz w:val="24"/>
          <w:szCs w:val="24"/>
        </w:rPr>
        <w:t>roperly functioning Government.</w:t>
      </w:r>
    </w:p>
    <w:p w14:paraId="7FFA3A02" w14:textId="77777777" w:rsidR="00A423AF" w:rsidRDefault="00A423AF" w:rsidP="00691C83">
      <w:pPr>
        <w:spacing w:after="0" w:line="480" w:lineRule="auto"/>
        <w:jc w:val="both"/>
        <w:rPr>
          <w:rFonts w:ascii="Arial" w:hAnsi="Arial" w:cs="Arial"/>
          <w:sz w:val="24"/>
          <w:szCs w:val="24"/>
        </w:rPr>
      </w:pPr>
    </w:p>
    <w:p w14:paraId="6796E217" w14:textId="6EFAD402" w:rsidR="0018187E" w:rsidRDefault="00A423AF" w:rsidP="00691C83">
      <w:pPr>
        <w:pStyle w:val="ListParagraph"/>
        <w:numPr>
          <w:ilvl w:val="0"/>
          <w:numId w:val="39"/>
        </w:numPr>
        <w:spacing w:after="0" w:line="480" w:lineRule="auto"/>
        <w:ind w:left="0" w:firstLine="0"/>
        <w:jc w:val="both"/>
        <w:rPr>
          <w:rFonts w:ascii="Arial" w:hAnsi="Arial" w:cs="Arial"/>
          <w:sz w:val="24"/>
          <w:szCs w:val="24"/>
        </w:rPr>
      </w:pPr>
      <w:r w:rsidRPr="00727A82">
        <w:rPr>
          <w:rFonts w:ascii="Arial" w:hAnsi="Arial" w:cs="Arial"/>
          <w:sz w:val="24"/>
          <w:szCs w:val="24"/>
        </w:rPr>
        <w:t xml:space="preserve">In addition, as </w:t>
      </w:r>
      <w:r w:rsidRPr="003E2447">
        <w:rPr>
          <w:rFonts w:ascii="Arial" w:hAnsi="Arial" w:cs="Arial"/>
          <w:sz w:val="24"/>
          <w:szCs w:val="24"/>
        </w:rPr>
        <w:t>I found above</w:t>
      </w:r>
      <w:r w:rsidRPr="00727A82">
        <w:rPr>
          <w:rFonts w:ascii="Arial" w:hAnsi="Arial" w:cs="Arial"/>
          <w:sz w:val="24"/>
          <w:szCs w:val="24"/>
        </w:rPr>
        <w:t>, this matter has potential ramifications on the enjoyment of the freedom to practice any trade</w:t>
      </w:r>
      <w:r>
        <w:rPr>
          <w:rFonts w:ascii="Arial" w:hAnsi="Arial" w:cs="Arial"/>
          <w:sz w:val="24"/>
          <w:szCs w:val="24"/>
        </w:rPr>
        <w:t xml:space="preserve"> or business</w:t>
      </w:r>
      <w:r w:rsidRPr="00727A82">
        <w:rPr>
          <w:rFonts w:ascii="Arial" w:hAnsi="Arial" w:cs="Arial"/>
          <w:sz w:val="24"/>
          <w:szCs w:val="24"/>
        </w:rPr>
        <w:t>, as enunciated in Art</w:t>
      </w:r>
      <w:r w:rsidR="0030241B">
        <w:rPr>
          <w:rFonts w:ascii="Arial" w:hAnsi="Arial" w:cs="Arial"/>
          <w:sz w:val="24"/>
          <w:szCs w:val="24"/>
        </w:rPr>
        <w:t>icle</w:t>
      </w:r>
      <w:r w:rsidRPr="00727A82">
        <w:rPr>
          <w:rFonts w:ascii="Arial" w:hAnsi="Arial" w:cs="Arial"/>
          <w:sz w:val="24"/>
          <w:szCs w:val="24"/>
        </w:rPr>
        <w:t xml:space="preserve"> 21</w:t>
      </w:r>
      <w:r w:rsidR="0030241B">
        <w:rPr>
          <w:rFonts w:ascii="Arial" w:hAnsi="Arial" w:cs="Arial"/>
          <w:sz w:val="24"/>
          <w:szCs w:val="24"/>
        </w:rPr>
        <w:t>(1)</w:t>
      </w:r>
      <w:r w:rsidRPr="00727A82">
        <w:rPr>
          <w:rFonts w:ascii="Arial" w:hAnsi="Arial" w:cs="Arial"/>
          <w:sz w:val="24"/>
          <w:szCs w:val="24"/>
        </w:rPr>
        <w:t>(</w:t>
      </w:r>
      <w:r w:rsidRPr="00AD019F">
        <w:rPr>
          <w:rFonts w:ascii="Arial" w:hAnsi="Arial" w:cs="Arial"/>
          <w:i/>
          <w:sz w:val="24"/>
          <w:szCs w:val="24"/>
        </w:rPr>
        <w:t>j</w:t>
      </w:r>
      <w:r w:rsidRPr="00727A82">
        <w:rPr>
          <w:rFonts w:ascii="Arial" w:hAnsi="Arial" w:cs="Arial"/>
          <w:sz w:val="24"/>
          <w:szCs w:val="24"/>
        </w:rPr>
        <w:t xml:space="preserve">) of the Constitution. The uncertainty regarding the interpretation of the Customs and Excise Act as well as the ensuing </w:t>
      </w:r>
      <w:r>
        <w:rPr>
          <w:rFonts w:ascii="Arial" w:hAnsi="Arial" w:cs="Arial"/>
          <w:sz w:val="24"/>
          <w:szCs w:val="24"/>
        </w:rPr>
        <w:t xml:space="preserve">series of </w:t>
      </w:r>
      <w:r w:rsidRPr="00727A82">
        <w:rPr>
          <w:rFonts w:ascii="Arial" w:hAnsi="Arial" w:cs="Arial"/>
          <w:sz w:val="24"/>
          <w:szCs w:val="24"/>
        </w:rPr>
        <w:t xml:space="preserve">litigation and counter litigations could undermine the freedom to import the </w:t>
      </w:r>
      <w:r>
        <w:rPr>
          <w:rFonts w:ascii="Arial" w:hAnsi="Arial" w:cs="Arial"/>
          <w:sz w:val="24"/>
          <w:szCs w:val="24"/>
        </w:rPr>
        <w:t xml:space="preserve">goods </w:t>
      </w:r>
      <w:r w:rsidRPr="00727A82">
        <w:rPr>
          <w:rFonts w:ascii="Arial" w:hAnsi="Arial" w:cs="Arial"/>
          <w:sz w:val="24"/>
          <w:szCs w:val="24"/>
        </w:rPr>
        <w:t>targeted by the imposed duty. There is</w:t>
      </w:r>
      <w:r>
        <w:rPr>
          <w:rFonts w:ascii="Arial" w:hAnsi="Arial" w:cs="Arial"/>
          <w:sz w:val="24"/>
          <w:szCs w:val="24"/>
        </w:rPr>
        <w:t xml:space="preserve"> </w:t>
      </w:r>
      <w:r w:rsidRPr="00727A82">
        <w:rPr>
          <w:rFonts w:ascii="Arial" w:hAnsi="Arial" w:cs="Arial"/>
          <w:sz w:val="24"/>
          <w:szCs w:val="24"/>
        </w:rPr>
        <w:t>no doubt that this matter may jeopardi</w:t>
      </w:r>
      <w:r w:rsidR="000A0B1A">
        <w:rPr>
          <w:rFonts w:ascii="Arial" w:hAnsi="Arial" w:cs="Arial"/>
          <w:sz w:val="24"/>
          <w:szCs w:val="24"/>
        </w:rPr>
        <w:t>z</w:t>
      </w:r>
      <w:r w:rsidRPr="00727A82">
        <w:rPr>
          <w:rFonts w:ascii="Arial" w:hAnsi="Arial" w:cs="Arial"/>
          <w:sz w:val="24"/>
          <w:szCs w:val="24"/>
        </w:rPr>
        <w:t>e the enjoyment and enforcement of a fundamental constitutional right. This matter</w:t>
      </w:r>
      <w:r>
        <w:rPr>
          <w:rFonts w:ascii="Arial" w:hAnsi="Arial" w:cs="Arial"/>
          <w:sz w:val="24"/>
          <w:szCs w:val="24"/>
        </w:rPr>
        <w:t>,</w:t>
      </w:r>
      <w:r w:rsidRPr="00727A82">
        <w:rPr>
          <w:rFonts w:ascii="Arial" w:hAnsi="Arial" w:cs="Arial"/>
          <w:sz w:val="24"/>
          <w:szCs w:val="24"/>
        </w:rPr>
        <w:t xml:space="preserve"> therefore, raises questions that have a direct and substantial impact on the application and/or e</w:t>
      </w:r>
      <w:r w:rsidR="00505CD6">
        <w:rPr>
          <w:rFonts w:ascii="Arial" w:hAnsi="Arial" w:cs="Arial"/>
          <w:sz w:val="24"/>
          <w:szCs w:val="24"/>
        </w:rPr>
        <w:t>nforcement of the Constitution.</w:t>
      </w:r>
    </w:p>
    <w:p w14:paraId="3D905FD4" w14:textId="6DBC06D9" w:rsidR="00A423AF" w:rsidRPr="00727A82" w:rsidRDefault="00A423AF" w:rsidP="00691C83">
      <w:pPr>
        <w:pStyle w:val="ListParagraph"/>
        <w:numPr>
          <w:ilvl w:val="0"/>
          <w:numId w:val="39"/>
        </w:numPr>
        <w:spacing w:after="0" w:line="480" w:lineRule="auto"/>
        <w:ind w:left="0" w:firstLine="0"/>
        <w:jc w:val="both"/>
        <w:rPr>
          <w:rFonts w:ascii="Arial" w:hAnsi="Arial" w:cs="Arial"/>
          <w:sz w:val="24"/>
          <w:szCs w:val="24"/>
        </w:rPr>
      </w:pPr>
      <w:r w:rsidRPr="00727A82">
        <w:rPr>
          <w:rFonts w:ascii="Arial" w:hAnsi="Arial" w:cs="Arial"/>
          <w:sz w:val="24"/>
          <w:szCs w:val="24"/>
        </w:rPr>
        <w:t xml:space="preserve">But as observed earlier, the matter is of </w:t>
      </w:r>
      <w:r>
        <w:rPr>
          <w:rFonts w:ascii="Arial" w:hAnsi="Arial" w:cs="Arial"/>
          <w:sz w:val="24"/>
          <w:szCs w:val="24"/>
        </w:rPr>
        <w:t xml:space="preserve">such a </w:t>
      </w:r>
      <w:r w:rsidRPr="00727A82">
        <w:rPr>
          <w:rFonts w:ascii="Arial" w:hAnsi="Arial" w:cs="Arial"/>
          <w:sz w:val="24"/>
          <w:szCs w:val="24"/>
        </w:rPr>
        <w:t>nature that it require</w:t>
      </w:r>
      <w:r>
        <w:rPr>
          <w:rFonts w:ascii="Arial" w:hAnsi="Arial" w:cs="Arial"/>
          <w:sz w:val="24"/>
          <w:szCs w:val="24"/>
        </w:rPr>
        <w:t>s</w:t>
      </w:r>
      <w:r w:rsidRPr="00727A82">
        <w:rPr>
          <w:rFonts w:ascii="Arial" w:hAnsi="Arial" w:cs="Arial"/>
          <w:sz w:val="24"/>
          <w:szCs w:val="24"/>
        </w:rPr>
        <w:t xml:space="preserve"> the Supreme Court to hear it and finali</w:t>
      </w:r>
      <w:r w:rsidR="000A0B1A">
        <w:rPr>
          <w:rFonts w:ascii="Arial" w:hAnsi="Arial" w:cs="Arial"/>
          <w:sz w:val="24"/>
          <w:szCs w:val="24"/>
        </w:rPr>
        <w:t>z</w:t>
      </w:r>
      <w:r w:rsidRPr="00727A82">
        <w:rPr>
          <w:rFonts w:ascii="Arial" w:hAnsi="Arial" w:cs="Arial"/>
          <w:sz w:val="24"/>
          <w:szCs w:val="24"/>
        </w:rPr>
        <w:t>e it in order to mitigate a crisis that is already ensuing regar</w:t>
      </w:r>
      <w:r>
        <w:rPr>
          <w:rFonts w:ascii="Arial" w:hAnsi="Arial" w:cs="Arial"/>
          <w:sz w:val="24"/>
          <w:szCs w:val="24"/>
        </w:rPr>
        <w:t>ding the implementation of the c</w:t>
      </w:r>
      <w:r w:rsidRPr="00727A82">
        <w:rPr>
          <w:rFonts w:ascii="Arial" w:hAnsi="Arial" w:cs="Arial"/>
          <w:sz w:val="24"/>
          <w:szCs w:val="24"/>
        </w:rPr>
        <w:t>onstitutional function of Government to collect revenue as well as the exercise of the right to trade by the members of the public. The matter therefore, falls squarely within the ambit of matters contemplated under Art</w:t>
      </w:r>
      <w:r w:rsidR="0030241B">
        <w:rPr>
          <w:rFonts w:ascii="Arial" w:hAnsi="Arial" w:cs="Arial"/>
          <w:sz w:val="24"/>
          <w:szCs w:val="24"/>
        </w:rPr>
        <w:t>icle</w:t>
      </w:r>
      <w:r w:rsidRPr="00727A82">
        <w:rPr>
          <w:rFonts w:ascii="Arial" w:hAnsi="Arial" w:cs="Arial"/>
          <w:sz w:val="24"/>
          <w:szCs w:val="24"/>
        </w:rPr>
        <w:t xml:space="preserve"> 79(2) of the Constitution. </w:t>
      </w:r>
      <w:r>
        <w:rPr>
          <w:rFonts w:ascii="Arial" w:hAnsi="Arial" w:cs="Arial"/>
          <w:sz w:val="24"/>
          <w:szCs w:val="24"/>
        </w:rPr>
        <w:t xml:space="preserve">The court </w:t>
      </w:r>
      <w:r w:rsidRPr="00727A82">
        <w:rPr>
          <w:rFonts w:ascii="Arial" w:hAnsi="Arial" w:cs="Arial"/>
          <w:sz w:val="24"/>
          <w:szCs w:val="24"/>
        </w:rPr>
        <w:t>therefore accept</w:t>
      </w:r>
      <w:r>
        <w:rPr>
          <w:rFonts w:ascii="Arial" w:hAnsi="Arial" w:cs="Arial"/>
          <w:sz w:val="24"/>
          <w:szCs w:val="24"/>
        </w:rPr>
        <w:t>s</w:t>
      </w:r>
      <w:r w:rsidRPr="00727A82">
        <w:rPr>
          <w:rFonts w:ascii="Arial" w:hAnsi="Arial" w:cs="Arial"/>
          <w:sz w:val="24"/>
          <w:szCs w:val="24"/>
        </w:rPr>
        <w:t xml:space="preserve"> to hear the matter and I proceed to deal with the substantive issues raised in th</w:t>
      </w:r>
      <w:r w:rsidR="00691C83">
        <w:rPr>
          <w:rFonts w:ascii="Arial" w:hAnsi="Arial" w:cs="Arial"/>
          <w:sz w:val="24"/>
          <w:szCs w:val="24"/>
        </w:rPr>
        <w:t>e Attorney-General’s petition.</w:t>
      </w:r>
    </w:p>
    <w:p w14:paraId="66B920A7" w14:textId="77777777" w:rsidR="00A423AF" w:rsidRDefault="00A423AF" w:rsidP="00691C83">
      <w:pPr>
        <w:tabs>
          <w:tab w:val="left" w:pos="0"/>
        </w:tabs>
        <w:spacing w:after="0" w:line="480" w:lineRule="auto"/>
        <w:jc w:val="both"/>
        <w:rPr>
          <w:rFonts w:ascii="Arial" w:hAnsi="Arial" w:cs="Arial"/>
          <w:sz w:val="24"/>
          <w:szCs w:val="24"/>
          <w:u w:val="single"/>
        </w:rPr>
      </w:pPr>
    </w:p>
    <w:p w14:paraId="6726A24C" w14:textId="60272BF9" w:rsidR="00A423AF" w:rsidRPr="00AB08D2" w:rsidRDefault="00A423AF" w:rsidP="00691C83">
      <w:pPr>
        <w:tabs>
          <w:tab w:val="left" w:pos="0"/>
        </w:tabs>
        <w:spacing w:after="0" w:line="480" w:lineRule="auto"/>
        <w:jc w:val="both"/>
        <w:rPr>
          <w:rFonts w:ascii="Arial" w:hAnsi="Arial" w:cs="Arial"/>
          <w:sz w:val="24"/>
          <w:szCs w:val="24"/>
          <w:u w:val="single"/>
        </w:rPr>
      </w:pPr>
      <w:r w:rsidRPr="00AB08D2">
        <w:rPr>
          <w:rFonts w:ascii="Arial" w:hAnsi="Arial" w:cs="Arial"/>
          <w:sz w:val="24"/>
          <w:szCs w:val="24"/>
          <w:u w:val="single"/>
        </w:rPr>
        <w:t xml:space="preserve">Interpretation of section 65(1) and (8) of the Customs </w:t>
      </w:r>
      <w:r>
        <w:rPr>
          <w:rFonts w:ascii="Arial" w:hAnsi="Arial" w:cs="Arial"/>
          <w:sz w:val="24"/>
          <w:szCs w:val="24"/>
          <w:u w:val="single"/>
        </w:rPr>
        <w:t xml:space="preserve">and Excise </w:t>
      </w:r>
      <w:r w:rsidR="00691C83">
        <w:rPr>
          <w:rFonts w:ascii="Arial" w:hAnsi="Arial" w:cs="Arial"/>
          <w:sz w:val="24"/>
          <w:szCs w:val="24"/>
          <w:u w:val="single"/>
        </w:rPr>
        <w:t>Act</w:t>
      </w:r>
    </w:p>
    <w:p w14:paraId="502D3292" w14:textId="4168E192" w:rsidR="00A423AF" w:rsidRPr="001A40C6" w:rsidRDefault="00A423AF" w:rsidP="00691C83">
      <w:pPr>
        <w:tabs>
          <w:tab w:val="left" w:pos="0"/>
        </w:tabs>
        <w:spacing w:after="0" w:line="480" w:lineRule="auto"/>
        <w:jc w:val="both"/>
        <w:rPr>
          <w:rFonts w:ascii="Arial" w:hAnsi="Arial" w:cs="Arial"/>
          <w:sz w:val="24"/>
          <w:szCs w:val="24"/>
        </w:rPr>
      </w:pPr>
      <w:r w:rsidRPr="001A40C6">
        <w:rPr>
          <w:rFonts w:ascii="Arial" w:hAnsi="Arial" w:cs="Arial"/>
          <w:i/>
          <w:sz w:val="24"/>
          <w:szCs w:val="24"/>
        </w:rPr>
        <w:t>R</w:t>
      </w:r>
      <w:r w:rsidR="00691C83">
        <w:rPr>
          <w:rFonts w:ascii="Arial" w:hAnsi="Arial" w:cs="Arial"/>
          <w:i/>
          <w:sz w:val="24"/>
          <w:szCs w:val="24"/>
        </w:rPr>
        <w:t>elevant rules of interpretation</w:t>
      </w:r>
    </w:p>
    <w:p w14:paraId="70F9F9A1" w14:textId="615FB1D5" w:rsidR="00A423AF"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sidRPr="00062A06">
        <w:rPr>
          <w:rFonts w:ascii="Arial" w:hAnsi="Arial" w:cs="Arial"/>
          <w:sz w:val="24"/>
          <w:szCs w:val="24"/>
        </w:rPr>
        <w:t>The Attorney-General has requested this Court to provide an interpretation of s</w:t>
      </w:r>
      <w:r w:rsidR="0030241B">
        <w:rPr>
          <w:rFonts w:ascii="Arial" w:hAnsi="Arial" w:cs="Arial"/>
          <w:sz w:val="24"/>
          <w:szCs w:val="24"/>
        </w:rPr>
        <w:t>ection</w:t>
      </w:r>
      <w:r w:rsidRPr="00062A06">
        <w:rPr>
          <w:rFonts w:ascii="Arial" w:hAnsi="Arial" w:cs="Arial"/>
          <w:sz w:val="24"/>
          <w:szCs w:val="24"/>
        </w:rPr>
        <w:t xml:space="preserve"> 65(1) and (8) of the Customs </w:t>
      </w:r>
      <w:r w:rsidR="0030241B">
        <w:rPr>
          <w:rFonts w:ascii="Arial" w:hAnsi="Arial" w:cs="Arial"/>
          <w:sz w:val="24"/>
          <w:szCs w:val="24"/>
        </w:rPr>
        <w:t xml:space="preserve">and Excise </w:t>
      </w:r>
      <w:r w:rsidRPr="00062A06">
        <w:rPr>
          <w:rFonts w:ascii="Arial" w:hAnsi="Arial" w:cs="Arial"/>
          <w:sz w:val="24"/>
          <w:szCs w:val="24"/>
        </w:rPr>
        <w:t xml:space="preserve">Act. </w:t>
      </w:r>
      <w:r w:rsidRPr="00E153D4">
        <w:rPr>
          <w:rFonts w:ascii="Arial" w:hAnsi="Arial" w:cs="Arial"/>
          <w:sz w:val="24"/>
          <w:szCs w:val="24"/>
        </w:rPr>
        <w:t xml:space="preserve">The court </w:t>
      </w:r>
      <w:r w:rsidRPr="0046204E">
        <w:rPr>
          <w:rFonts w:ascii="Arial" w:hAnsi="Arial" w:cs="Arial"/>
          <w:i/>
          <w:sz w:val="24"/>
          <w:szCs w:val="24"/>
        </w:rPr>
        <w:t>a quo</w:t>
      </w:r>
      <w:r>
        <w:rPr>
          <w:rFonts w:ascii="Arial" w:hAnsi="Arial" w:cs="Arial"/>
          <w:sz w:val="24"/>
          <w:szCs w:val="24"/>
        </w:rPr>
        <w:t>’s</w:t>
      </w:r>
      <w:r w:rsidRPr="00E153D4">
        <w:rPr>
          <w:rFonts w:ascii="Arial" w:hAnsi="Arial" w:cs="Arial"/>
          <w:sz w:val="24"/>
          <w:szCs w:val="24"/>
        </w:rPr>
        <w:t xml:space="preserve"> interpret</w:t>
      </w:r>
      <w:r>
        <w:rPr>
          <w:rFonts w:ascii="Arial" w:hAnsi="Arial" w:cs="Arial"/>
          <w:sz w:val="24"/>
          <w:szCs w:val="24"/>
        </w:rPr>
        <w:t>ation of the two subsections may be summari</w:t>
      </w:r>
      <w:r w:rsidR="00C33724">
        <w:rPr>
          <w:rFonts w:ascii="Arial" w:hAnsi="Arial" w:cs="Arial"/>
          <w:sz w:val="24"/>
          <w:szCs w:val="24"/>
        </w:rPr>
        <w:t>z</w:t>
      </w:r>
      <w:r>
        <w:rPr>
          <w:rFonts w:ascii="Arial" w:hAnsi="Arial" w:cs="Arial"/>
          <w:sz w:val="24"/>
          <w:szCs w:val="24"/>
        </w:rPr>
        <w:t>ed as follows: Section 65(1) confers on the Minister the power to amend or impose new duties by tabling taxation proposals. It also provides for the timing as to when such amendment comes into operation. Section 65(2) deals with the consequences of the proposal and its timing as well as its impact upon those holding stock of affected goods. Subsection (8) deals with the procedure to be followed by the Minister when amending a schedule to impose a new duty or incre</w:t>
      </w:r>
      <w:r w:rsidR="00691C83">
        <w:rPr>
          <w:rFonts w:ascii="Arial" w:hAnsi="Arial" w:cs="Arial"/>
          <w:sz w:val="24"/>
          <w:szCs w:val="24"/>
        </w:rPr>
        <w:t>ased duties upon goods.</w:t>
      </w:r>
    </w:p>
    <w:p w14:paraId="21E7D1FE" w14:textId="77777777" w:rsidR="0030241B" w:rsidRDefault="0030241B" w:rsidP="0030241B">
      <w:pPr>
        <w:pStyle w:val="ListParagraph"/>
        <w:tabs>
          <w:tab w:val="left" w:pos="0"/>
        </w:tabs>
        <w:spacing w:after="0" w:line="480" w:lineRule="auto"/>
        <w:ind w:left="0"/>
        <w:jc w:val="both"/>
        <w:rPr>
          <w:rFonts w:ascii="Arial" w:hAnsi="Arial" w:cs="Arial"/>
          <w:sz w:val="24"/>
          <w:szCs w:val="24"/>
        </w:rPr>
      </w:pPr>
    </w:p>
    <w:p w14:paraId="0312F254" w14:textId="3CF5B838" w:rsidR="00A423AF"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The subsection is subject to a notice in the Gazette by means of which the Minister amends a schedule. That would appear to include the power to amend under s</w:t>
      </w:r>
      <w:r w:rsidR="0030241B">
        <w:rPr>
          <w:rFonts w:ascii="Arial" w:hAnsi="Arial" w:cs="Arial"/>
          <w:sz w:val="24"/>
          <w:szCs w:val="24"/>
        </w:rPr>
        <w:t>ection</w:t>
      </w:r>
      <w:r>
        <w:rPr>
          <w:rFonts w:ascii="Arial" w:hAnsi="Arial" w:cs="Arial"/>
          <w:sz w:val="24"/>
          <w:szCs w:val="24"/>
        </w:rPr>
        <w:t xml:space="preserve"> 65(1) even though a notice is not referred to in that subsection. Once the Minister invokes the power to amend a duty by giving notice in the Gazette, the Minister is required to follow the procedure set out in s</w:t>
      </w:r>
      <w:r w:rsidR="0030241B">
        <w:rPr>
          <w:rFonts w:ascii="Arial" w:hAnsi="Arial" w:cs="Arial"/>
          <w:sz w:val="24"/>
          <w:szCs w:val="24"/>
        </w:rPr>
        <w:t>ection</w:t>
      </w:r>
      <w:r>
        <w:rPr>
          <w:rFonts w:ascii="Arial" w:hAnsi="Arial" w:cs="Arial"/>
          <w:sz w:val="24"/>
          <w:szCs w:val="24"/>
        </w:rPr>
        <w:t xml:space="preserve"> 65(8). The procedure set out in the subsection contemplates and requires that the promulgation of the notice is to precede the tabling in the National Assembly. The purpose of such procedure would be to inform those affected by the imminent change in the duty. Publication of legislation is a vital element of enacting any legislation so that those affected by the legislation are informed. The court then concluded </w:t>
      </w:r>
      <w:r w:rsidR="00691C83">
        <w:rPr>
          <w:rFonts w:ascii="Arial" w:hAnsi="Arial" w:cs="Arial"/>
          <w:sz w:val="24"/>
          <w:szCs w:val="24"/>
        </w:rPr>
        <w:t>with the following key finding:</w:t>
      </w:r>
    </w:p>
    <w:p w14:paraId="08E72409" w14:textId="77777777" w:rsidR="00A423AF" w:rsidRPr="006B1C56" w:rsidRDefault="00A423AF" w:rsidP="006B1C56">
      <w:pPr>
        <w:tabs>
          <w:tab w:val="left" w:pos="0"/>
        </w:tabs>
        <w:spacing w:after="0" w:line="480" w:lineRule="auto"/>
        <w:ind w:left="360"/>
        <w:jc w:val="both"/>
        <w:rPr>
          <w:rFonts w:ascii="Arial" w:hAnsi="Arial" w:cs="Arial"/>
          <w:sz w:val="24"/>
          <w:szCs w:val="24"/>
        </w:rPr>
      </w:pPr>
    </w:p>
    <w:p w14:paraId="265E247F" w14:textId="5CDC552E" w:rsidR="00A423AF" w:rsidRPr="00967BD8" w:rsidRDefault="00A423AF" w:rsidP="00691C83">
      <w:pPr>
        <w:tabs>
          <w:tab w:val="left" w:pos="0"/>
        </w:tabs>
        <w:spacing w:after="0" w:line="360" w:lineRule="auto"/>
        <w:ind w:left="360"/>
        <w:jc w:val="both"/>
        <w:rPr>
          <w:rFonts w:ascii="Arial" w:hAnsi="Arial" w:cs="Arial"/>
        </w:rPr>
      </w:pPr>
      <w:r w:rsidRPr="00967BD8">
        <w:rPr>
          <w:rFonts w:ascii="Arial" w:hAnsi="Arial" w:cs="Arial"/>
        </w:rPr>
        <w:t>‘It would accordingly follow that the wording of s</w:t>
      </w:r>
      <w:r w:rsidR="00961211">
        <w:rPr>
          <w:rFonts w:ascii="Arial" w:hAnsi="Arial" w:cs="Arial"/>
        </w:rPr>
        <w:t>ection</w:t>
      </w:r>
      <w:r w:rsidRPr="00967BD8">
        <w:rPr>
          <w:rFonts w:ascii="Arial" w:hAnsi="Arial" w:cs="Arial"/>
        </w:rPr>
        <w:t xml:space="preserve"> 65 construed as a whole requires that the promulgation of the notice is to preced</w:t>
      </w:r>
      <w:r w:rsidR="00691C83">
        <w:rPr>
          <w:rFonts w:ascii="Arial" w:hAnsi="Arial" w:cs="Arial"/>
        </w:rPr>
        <w:t>e the tabling of the proposal.’</w:t>
      </w:r>
    </w:p>
    <w:p w14:paraId="04AAE197" w14:textId="77777777" w:rsidR="00A423AF" w:rsidRPr="006B1C56" w:rsidRDefault="00A423AF" w:rsidP="00691C83">
      <w:pPr>
        <w:tabs>
          <w:tab w:val="left" w:pos="0"/>
        </w:tabs>
        <w:spacing w:after="0" w:line="480" w:lineRule="auto"/>
        <w:jc w:val="both"/>
        <w:rPr>
          <w:rFonts w:ascii="Arial" w:hAnsi="Arial" w:cs="Arial"/>
          <w:sz w:val="24"/>
          <w:szCs w:val="24"/>
        </w:rPr>
      </w:pPr>
    </w:p>
    <w:p w14:paraId="2A9D10B2" w14:textId="2580095D" w:rsidR="00A423AF"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Jack’s Trading supports the interpretation of s</w:t>
      </w:r>
      <w:r w:rsidR="0030241B">
        <w:rPr>
          <w:rFonts w:ascii="Arial" w:hAnsi="Arial" w:cs="Arial"/>
          <w:sz w:val="24"/>
          <w:szCs w:val="24"/>
        </w:rPr>
        <w:t>ection</w:t>
      </w:r>
      <w:r>
        <w:rPr>
          <w:rFonts w:ascii="Arial" w:hAnsi="Arial" w:cs="Arial"/>
          <w:sz w:val="24"/>
          <w:szCs w:val="24"/>
        </w:rPr>
        <w:t xml:space="preserve"> 65 proffered by it and upheld by the court </w:t>
      </w:r>
      <w:r w:rsidRPr="0046204E">
        <w:rPr>
          <w:rFonts w:ascii="Arial" w:hAnsi="Arial" w:cs="Arial"/>
          <w:i/>
          <w:sz w:val="24"/>
          <w:szCs w:val="24"/>
        </w:rPr>
        <w:t>a quo</w:t>
      </w:r>
      <w:r>
        <w:rPr>
          <w:rFonts w:ascii="Arial" w:hAnsi="Arial" w:cs="Arial"/>
          <w:sz w:val="24"/>
          <w:szCs w:val="24"/>
        </w:rPr>
        <w:t>. It argued that s</w:t>
      </w:r>
      <w:r w:rsidR="0030241B">
        <w:rPr>
          <w:rFonts w:ascii="Arial" w:hAnsi="Arial" w:cs="Arial"/>
          <w:sz w:val="24"/>
          <w:szCs w:val="24"/>
        </w:rPr>
        <w:t>ection</w:t>
      </w:r>
      <w:r>
        <w:rPr>
          <w:rFonts w:ascii="Arial" w:hAnsi="Arial" w:cs="Arial"/>
          <w:sz w:val="24"/>
          <w:szCs w:val="24"/>
        </w:rPr>
        <w:t xml:space="preserve"> 65(8) contemplated that the publication of the notice in the Gazette was intended to inform the public and affected parties of the Minister’s intention and must thus precede the tabling of the proposal in the National Assembly. The Attorney-General, the Minister, the Commissioner and Ohorongo all argued for the proposition that the court </w:t>
      </w:r>
      <w:r w:rsidRPr="0046204E">
        <w:rPr>
          <w:rFonts w:ascii="Arial" w:hAnsi="Arial" w:cs="Arial"/>
          <w:i/>
          <w:sz w:val="24"/>
          <w:szCs w:val="24"/>
        </w:rPr>
        <w:t>a quo</w:t>
      </w:r>
      <w:r>
        <w:rPr>
          <w:rFonts w:ascii="Arial" w:hAnsi="Arial" w:cs="Arial"/>
          <w:sz w:val="24"/>
          <w:szCs w:val="24"/>
        </w:rPr>
        <w:t xml:space="preserve">’s interpretation is incorrect. The court is indebted to counsel for their research and submissions that greatly assisted it to decide this intricate matter. I may mention in passing that the legislative provisions in question are not a model for lucid legal </w:t>
      </w:r>
      <w:r w:rsidR="00691C83">
        <w:rPr>
          <w:rFonts w:ascii="Arial" w:hAnsi="Arial" w:cs="Arial"/>
          <w:sz w:val="24"/>
          <w:szCs w:val="24"/>
        </w:rPr>
        <w:t>draftsmanship</w:t>
      </w:r>
      <w:r>
        <w:rPr>
          <w:rFonts w:ascii="Arial" w:hAnsi="Arial" w:cs="Arial"/>
          <w:sz w:val="24"/>
          <w:szCs w:val="24"/>
        </w:rPr>
        <w:t>. The legisla</w:t>
      </w:r>
      <w:r w:rsidR="00691C83">
        <w:rPr>
          <w:rFonts w:ascii="Arial" w:hAnsi="Arial" w:cs="Arial"/>
          <w:sz w:val="24"/>
          <w:szCs w:val="24"/>
        </w:rPr>
        <w:t>ture could certainly do better.</w:t>
      </w:r>
    </w:p>
    <w:p w14:paraId="66964CA6" w14:textId="77777777" w:rsidR="00A423AF" w:rsidRPr="00821B01" w:rsidRDefault="00A423AF" w:rsidP="00691C83">
      <w:pPr>
        <w:tabs>
          <w:tab w:val="left" w:pos="0"/>
        </w:tabs>
        <w:spacing w:after="0" w:line="480" w:lineRule="auto"/>
        <w:jc w:val="both"/>
        <w:rPr>
          <w:rFonts w:ascii="Arial" w:hAnsi="Arial" w:cs="Arial"/>
          <w:sz w:val="24"/>
          <w:szCs w:val="24"/>
        </w:rPr>
      </w:pPr>
    </w:p>
    <w:p w14:paraId="2F07658B" w14:textId="3BF3ED22" w:rsidR="00A423AF" w:rsidRPr="00062A06"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sidRPr="00062A06">
        <w:rPr>
          <w:rFonts w:ascii="Arial" w:hAnsi="Arial" w:cs="Arial"/>
          <w:sz w:val="24"/>
          <w:szCs w:val="24"/>
        </w:rPr>
        <w:t>In interpreting the provisions of s</w:t>
      </w:r>
      <w:r w:rsidR="0030241B">
        <w:rPr>
          <w:rFonts w:ascii="Arial" w:hAnsi="Arial" w:cs="Arial"/>
          <w:sz w:val="24"/>
          <w:szCs w:val="24"/>
        </w:rPr>
        <w:t>ection</w:t>
      </w:r>
      <w:r w:rsidRPr="00062A06">
        <w:rPr>
          <w:rFonts w:ascii="Arial" w:hAnsi="Arial" w:cs="Arial"/>
          <w:sz w:val="24"/>
          <w:szCs w:val="24"/>
        </w:rPr>
        <w:t xml:space="preserve"> 65(1) and (8) of the Customs and Excise Act, this Court is guided by the existing rules and principles of statut</w:t>
      </w:r>
      <w:r>
        <w:rPr>
          <w:rFonts w:ascii="Arial" w:hAnsi="Arial" w:cs="Arial"/>
          <w:sz w:val="24"/>
          <w:szCs w:val="24"/>
        </w:rPr>
        <w:t xml:space="preserve">ory </w:t>
      </w:r>
      <w:r w:rsidRPr="00062A06">
        <w:rPr>
          <w:rFonts w:ascii="Arial" w:hAnsi="Arial" w:cs="Arial"/>
          <w:sz w:val="24"/>
          <w:szCs w:val="24"/>
        </w:rPr>
        <w:t>interpretation. The relevant principles are dis</w:t>
      </w:r>
      <w:r w:rsidR="00691C83">
        <w:rPr>
          <w:rFonts w:ascii="Arial" w:hAnsi="Arial" w:cs="Arial"/>
          <w:sz w:val="24"/>
          <w:szCs w:val="24"/>
        </w:rPr>
        <w:t>cussed in the paragraphs below.</w:t>
      </w:r>
    </w:p>
    <w:p w14:paraId="3152F164" w14:textId="2F363416" w:rsidR="00A423AF" w:rsidRPr="00DF187B" w:rsidRDefault="00A423AF" w:rsidP="00691C83">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The p</w:t>
      </w:r>
      <w:r w:rsidRPr="00DF187B">
        <w:rPr>
          <w:rFonts w:ascii="Arial" w:hAnsi="Arial" w:cs="Arial"/>
          <w:sz w:val="24"/>
          <w:szCs w:val="24"/>
        </w:rPr>
        <w:t xml:space="preserve">rovisions of an Act must be interpreted together. This approach is known as the </w:t>
      </w:r>
      <w:r w:rsidRPr="00DF187B">
        <w:rPr>
          <w:rFonts w:ascii="Arial" w:hAnsi="Arial" w:cs="Arial"/>
          <w:i/>
          <w:sz w:val="24"/>
          <w:szCs w:val="24"/>
        </w:rPr>
        <w:t>ex visceribus actus</w:t>
      </w:r>
      <w:r w:rsidRPr="00DF187B">
        <w:rPr>
          <w:rFonts w:ascii="Arial" w:hAnsi="Arial" w:cs="Arial"/>
          <w:sz w:val="24"/>
          <w:szCs w:val="24"/>
        </w:rPr>
        <w:t xml:space="preserve"> approach, which emphasi</w:t>
      </w:r>
      <w:r w:rsidR="00C33724">
        <w:rPr>
          <w:rFonts w:ascii="Arial" w:hAnsi="Arial" w:cs="Arial"/>
          <w:sz w:val="24"/>
          <w:szCs w:val="24"/>
        </w:rPr>
        <w:t>z</w:t>
      </w:r>
      <w:r w:rsidRPr="00DF187B">
        <w:rPr>
          <w:rFonts w:ascii="Arial" w:hAnsi="Arial" w:cs="Arial"/>
          <w:sz w:val="24"/>
          <w:szCs w:val="24"/>
        </w:rPr>
        <w:t>es that a particular provision of a statute must be understood as part of the more encompassing legislative instrument in which it has been included.</w:t>
      </w:r>
      <w:r w:rsidRPr="001A40C6">
        <w:rPr>
          <w:rStyle w:val="FootnoteReference"/>
          <w:rFonts w:ascii="Arial" w:hAnsi="Arial" w:cs="Arial"/>
          <w:sz w:val="24"/>
          <w:szCs w:val="24"/>
        </w:rPr>
        <w:footnoteReference w:id="10"/>
      </w:r>
      <w:r w:rsidRPr="00DF187B">
        <w:rPr>
          <w:rFonts w:ascii="Arial" w:hAnsi="Arial" w:cs="Arial"/>
          <w:sz w:val="24"/>
          <w:szCs w:val="24"/>
        </w:rPr>
        <w:t xml:space="preserve"> This approach assists the court to harmonise ostensibly conflicting provisions of one and the same statute.</w:t>
      </w:r>
      <w:r>
        <w:rPr>
          <w:rStyle w:val="FootnoteReference"/>
          <w:rFonts w:ascii="Arial" w:hAnsi="Arial" w:cs="Arial"/>
          <w:sz w:val="24"/>
          <w:szCs w:val="24"/>
        </w:rPr>
        <w:footnoteReference w:id="11"/>
      </w:r>
      <w:r w:rsidRPr="00DF187B">
        <w:rPr>
          <w:rFonts w:ascii="Arial" w:hAnsi="Arial" w:cs="Arial"/>
          <w:sz w:val="24"/>
          <w:szCs w:val="24"/>
        </w:rPr>
        <w:t xml:space="preserve"> Therefore</w:t>
      </w:r>
      <w:r>
        <w:rPr>
          <w:rFonts w:ascii="Arial" w:hAnsi="Arial" w:cs="Arial"/>
          <w:sz w:val="24"/>
          <w:szCs w:val="24"/>
        </w:rPr>
        <w:t>,</w:t>
      </w:r>
      <w:r w:rsidRPr="00DF187B">
        <w:rPr>
          <w:rFonts w:ascii="Arial" w:hAnsi="Arial" w:cs="Arial"/>
          <w:sz w:val="24"/>
          <w:szCs w:val="24"/>
        </w:rPr>
        <w:t xml:space="preserve"> s</w:t>
      </w:r>
      <w:r w:rsidR="0030241B">
        <w:rPr>
          <w:rFonts w:ascii="Arial" w:hAnsi="Arial" w:cs="Arial"/>
          <w:sz w:val="24"/>
          <w:szCs w:val="24"/>
        </w:rPr>
        <w:t>ection</w:t>
      </w:r>
      <w:r w:rsidRPr="00DF187B">
        <w:rPr>
          <w:rFonts w:ascii="Arial" w:hAnsi="Arial" w:cs="Arial"/>
          <w:sz w:val="24"/>
          <w:szCs w:val="24"/>
        </w:rPr>
        <w:t xml:space="preserve"> 65(1) and (8) of the </w:t>
      </w:r>
      <w:r>
        <w:rPr>
          <w:rFonts w:ascii="Arial" w:hAnsi="Arial" w:cs="Arial"/>
          <w:sz w:val="24"/>
          <w:szCs w:val="24"/>
        </w:rPr>
        <w:t xml:space="preserve">Customs and Excise </w:t>
      </w:r>
      <w:r w:rsidRPr="00DF187B">
        <w:rPr>
          <w:rFonts w:ascii="Arial" w:hAnsi="Arial" w:cs="Arial"/>
          <w:sz w:val="24"/>
          <w:szCs w:val="24"/>
        </w:rPr>
        <w:t>Act must be interpreted in the context of the entire Act.</w:t>
      </w:r>
    </w:p>
    <w:p w14:paraId="560368F0" w14:textId="77777777" w:rsidR="00A423AF" w:rsidRPr="00727A82" w:rsidRDefault="00A423AF" w:rsidP="00691C83">
      <w:pPr>
        <w:tabs>
          <w:tab w:val="left" w:pos="0"/>
        </w:tabs>
        <w:spacing w:after="0" w:line="480" w:lineRule="auto"/>
        <w:jc w:val="both"/>
        <w:rPr>
          <w:rFonts w:ascii="Arial" w:hAnsi="Arial" w:cs="Arial"/>
          <w:sz w:val="24"/>
          <w:szCs w:val="24"/>
        </w:rPr>
      </w:pPr>
    </w:p>
    <w:p w14:paraId="5BDD9055" w14:textId="77777777" w:rsidR="00A423AF" w:rsidRPr="001A40C6" w:rsidRDefault="00A423AF" w:rsidP="00691C83">
      <w:pPr>
        <w:pStyle w:val="ListParagraph"/>
        <w:numPr>
          <w:ilvl w:val="0"/>
          <w:numId w:val="39"/>
        </w:numPr>
        <w:tabs>
          <w:tab w:val="left" w:pos="0"/>
        </w:tabs>
        <w:spacing w:after="0" w:line="480" w:lineRule="auto"/>
        <w:ind w:left="0" w:firstLine="0"/>
        <w:jc w:val="both"/>
        <w:rPr>
          <w:rFonts w:ascii="Arial" w:hAnsi="Arial" w:cs="Arial"/>
          <w:sz w:val="24"/>
          <w:szCs w:val="24"/>
        </w:rPr>
      </w:pPr>
      <w:r w:rsidRPr="001A40C6">
        <w:rPr>
          <w:rFonts w:ascii="Arial" w:hAnsi="Arial" w:cs="Arial"/>
          <w:sz w:val="24"/>
          <w:szCs w:val="24"/>
        </w:rPr>
        <w:t xml:space="preserve">When interpreting legislation, this </w:t>
      </w:r>
      <w:r>
        <w:rPr>
          <w:rFonts w:ascii="Arial" w:hAnsi="Arial" w:cs="Arial"/>
          <w:sz w:val="24"/>
          <w:szCs w:val="24"/>
        </w:rPr>
        <w:t>c</w:t>
      </w:r>
      <w:r w:rsidRPr="001A40C6">
        <w:rPr>
          <w:rFonts w:ascii="Arial" w:hAnsi="Arial" w:cs="Arial"/>
          <w:sz w:val="24"/>
          <w:szCs w:val="24"/>
        </w:rPr>
        <w:t>ourt must take a different approach than the one it takes when interpreting the Constitution.</w:t>
      </w:r>
      <w:r w:rsidRPr="001A40C6">
        <w:rPr>
          <w:rStyle w:val="FootnoteReference"/>
          <w:rFonts w:ascii="Arial" w:hAnsi="Arial" w:cs="Arial"/>
          <w:sz w:val="24"/>
          <w:szCs w:val="24"/>
        </w:rPr>
        <w:footnoteReference w:id="12"/>
      </w:r>
      <w:r w:rsidRPr="001A40C6">
        <w:rPr>
          <w:rFonts w:ascii="Arial" w:hAnsi="Arial" w:cs="Arial"/>
          <w:sz w:val="24"/>
          <w:szCs w:val="24"/>
        </w:rPr>
        <w:t xml:space="preserve"> </w:t>
      </w:r>
      <w:r>
        <w:rPr>
          <w:rFonts w:ascii="Arial" w:hAnsi="Arial" w:cs="Arial"/>
          <w:sz w:val="24"/>
          <w:szCs w:val="24"/>
        </w:rPr>
        <w:t>In</w:t>
      </w:r>
      <w:r w:rsidRPr="001A40C6">
        <w:rPr>
          <w:rFonts w:ascii="Arial" w:hAnsi="Arial" w:cs="Arial"/>
          <w:sz w:val="24"/>
          <w:szCs w:val="24"/>
        </w:rPr>
        <w:t xml:space="preserve"> interpreting legislation the court must give effect to the ordinary meaning of the words used to formulate the pro</w:t>
      </w:r>
      <w:r>
        <w:rPr>
          <w:rFonts w:ascii="Arial" w:hAnsi="Arial" w:cs="Arial"/>
          <w:sz w:val="24"/>
          <w:szCs w:val="24"/>
        </w:rPr>
        <w:t>visions being interpreted. The c</w:t>
      </w:r>
      <w:r w:rsidRPr="001A40C6">
        <w:rPr>
          <w:rFonts w:ascii="Arial" w:hAnsi="Arial" w:cs="Arial"/>
          <w:sz w:val="24"/>
          <w:szCs w:val="24"/>
        </w:rPr>
        <w:t>ourt will only go beyond the ordinary grammatical meaning of the words in the event that the ordinary meaning of those words generate</w:t>
      </w:r>
      <w:r>
        <w:rPr>
          <w:rFonts w:ascii="Arial" w:hAnsi="Arial" w:cs="Arial"/>
          <w:sz w:val="24"/>
          <w:szCs w:val="24"/>
        </w:rPr>
        <w:t>s</w:t>
      </w:r>
      <w:r w:rsidRPr="001A40C6">
        <w:rPr>
          <w:rFonts w:ascii="Arial" w:hAnsi="Arial" w:cs="Arial"/>
          <w:sz w:val="24"/>
          <w:szCs w:val="24"/>
        </w:rPr>
        <w:t xml:space="preserve"> an absurd or repugnant interpretation which undermines the intention of the legislature or which is unconstitutional. In the event of such absurdity or repugnancy, the </w:t>
      </w:r>
      <w:r>
        <w:rPr>
          <w:rFonts w:ascii="Arial" w:hAnsi="Arial" w:cs="Arial"/>
          <w:sz w:val="24"/>
          <w:szCs w:val="24"/>
        </w:rPr>
        <w:t>c</w:t>
      </w:r>
      <w:r w:rsidRPr="001A40C6">
        <w:rPr>
          <w:rFonts w:ascii="Arial" w:hAnsi="Arial" w:cs="Arial"/>
          <w:sz w:val="24"/>
          <w:szCs w:val="24"/>
        </w:rPr>
        <w:t xml:space="preserve">ourt will then have to consider the purpose of the provision as well as its textual and contextual background. This approach was </w:t>
      </w:r>
      <w:r>
        <w:rPr>
          <w:rFonts w:ascii="Arial" w:hAnsi="Arial" w:cs="Arial"/>
          <w:sz w:val="24"/>
          <w:szCs w:val="24"/>
        </w:rPr>
        <w:t xml:space="preserve">approved </w:t>
      </w:r>
      <w:r w:rsidRPr="001A40C6">
        <w:rPr>
          <w:rFonts w:ascii="Arial" w:hAnsi="Arial" w:cs="Arial"/>
          <w:sz w:val="24"/>
          <w:szCs w:val="24"/>
        </w:rPr>
        <w:t xml:space="preserve">by this </w:t>
      </w:r>
      <w:r>
        <w:rPr>
          <w:rFonts w:ascii="Arial" w:hAnsi="Arial" w:cs="Arial"/>
          <w:sz w:val="24"/>
          <w:szCs w:val="24"/>
        </w:rPr>
        <w:t>c</w:t>
      </w:r>
      <w:r w:rsidRPr="001A40C6">
        <w:rPr>
          <w:rFonts w:ascii="Arial" w:hAnsi="Arial" w:cs="Arial"/>
          <w:sz w:val="24"/>
          <w:szCs w:val="24"/>
        </w:rPr>
        <w:t xml:space="preserve">ourt in </w:t>
      </w:r>
      <w:r w:rsidRPr="001A40C6">
        <w:rPr>
          <w:rFonts w:ascii="Arial" w:hAnsi="Arial" w:cs="Arial"/>
          <w:i/>
          <w:sz w:val="24"/>
          <w:szCs w:val="24"/>
        </w:rPr>
        <w:t>S v Strowitzki</w:t>
      </w:r>
      <w:r>
        <w:rPr>
          <w:rStyle w:val="FootnoteReference"/>
          <w:rFonts w:ascii="Arial" w:hAnsi="Arial" w:cs="Arial"/>
          <w:i/>
          <w:sz w:val="24"/>
          <w:szCs w:val="24"/>
        </w:rPr>
        <w:footnoteReference w:id="13"/>
      </w:r>
      <w:r w:rsidRPr="001A40C6">
        <w:rPr>
          <w:rFonts w:ascii="Arial" w:hAnsi="Arial" w:cs="Arial"/>
          <w:sz w:val="24"/>
          <w:szCs w:val="24"/>
        </w:rPr>
        <w:t xml:space="preserve">, where the </w:t>
      </w:r>
      <w:r>
        <w:rPr>
          <w:rFonts w:ascii="Arial" w:hAnsi="Arial" w:cs="Arial"/>
          <w:sz w:val="24"/>
          <w:szCs w:val="24"/>
        </w:rPr>
        <w:t>c</w:t>
      </w:r>
      <w:r w:rsidRPr="001A40C6">
        <w:rPr>
          <w:rFonts w:ascii="Arial" w:hAnsi="Arial" w:cs="Arial"/>
          <w:sz w:val="24"/>
          <w:szCs w:val="24"/>
        </w:rPr>
        <w:t xml:space="preserve">ourt </w:t>
      </w:r>
      <w:r>
        <w:rPr>
          <w:rFonts w:ascii="Arial" w:hAnsi="Arial" w:cs="Arial"/>
          <w:sz w:val="24"/>
          <w:szCs w:val="24"/>
        </w:rPr>
        <w:t xml:space="preserve">endorsed </w:t>
      </w:r>
      <w:r w:rsidRPr="001A40C6">
        <w:rPr>
          <w:rFonts w:ascii="Arial" w:hAnsi="Arial" w:cs="Arial"/>
          <w:sz w:val="24"/>
          <w:szCs w:val="24"/>
        </w:rPr>
        <w:t xml:space="preserve">the following dictum by Park B in </w:t>
      </w:r>
      <w:r w:rsidRPr="001A40C6">
        <w:rPr>
          <w:rFonts w:ascii="Arial" w:hAnsi="Arial" w:cs="Arial"/>
          <w:i/>
          <w:sz w:val="24"/>
          <w:szCs w:val="24"/>
        </w:rPr>
        <w:t>Beck v Smith</w:t>
      </w:r>
      <w:r w:rsidRPr="001A40C6">
        <w:rPr>
          <w:rFonts w:ascii="Arial" w:hAnsi="Arial" w:cs="Arial"/>
          <w:sz w:val="24"/>
          <w:szCs w:val="24"/>
        </w:rPr>
        <w:t xml:space="preserve"> (1836) 2</w:t>
      </w:r>
      <w:r>
        <w:rPr>
          <w:rFonts w:ascii="Arial" w:hAnsi="Arial" w:cs="Arial"/>
          <w:sz w:val="24"/>
          <w:szCs w:val="24"/>
        </w:rPr>
        <w:t xml:space="preserve"> </w:t>
      </w:r>
      <w:r w:rsidRPr="001A40C6">
        <w:rPr>
          <w:rFonts w:ascii="Arial" w:hAnsi="Arial" w:cs="Arial"/>
          <w:sz w:val="24"/>
          <w:szCs w:val="24"/>
        </w:rPr>
        <w:t xml:space="preserve">M </w:t>
      </w:r>
      <w:r>
        <w:rPr>
          <w:rFonts w:ascii="Arial" w:hAnsi="Arial" w:cs="Arial"/>
          <w:sz w:val="24"/>
          <w:szCs w:val="24"/>
        </w:rPr>
        <w:t>&amp;</w:t>
      </w:r>
      <w:r w:rsidRPr="001A40C6">
        <w:rPr>
          <w:rFonts w:ascii="Arial" w:hAnsi="Arial" w:cs="Arial"/>
          <w:sz w:val="24"/>
          <w:szCs w:val="24"/>
        </w:rPr>
        <w:t xml:space="preserve"> W 191 at 195</w:t>
      </w:r>
      <w:r>
        <w:rPr>
          <w:rFonts w:ascii="Arial" w:hAnsi="Arial" w:cs="Arial"/>
          <w:sz w:val="24"/>
          <w:szCs w:val="24"/>
        </w:rPr>
        <w:t>:</w:t>
      </w:r>
    </w:p>
    <w:p w14:paraId="5DF70237" w14:textId="77777777" w:rsidR="00A423AF" w:rsidRPr="006B1C56" w:rsidRDefault="00A423AF" w:rsidP="006B1C56">
      <w:pPr>
        <w:pStyle w:val="ListParagraph"/>
        <w:tabs>
          <w:tab w:val="left" w:pos="0"/>
        </w:tabs>
        <w:spacing w:after="0" w:line="480" w:lineRule="auto"/>
        <w:jc w:val="both"/>
        <w:rPr>
          <w:rFonts w:ascii="Arial" w:hAnsi="Arial" w:cs="Arial"/>
          <w:sz w:val="24"/>
          <w:szCs w:val="24"/>
        </w:rPr>
      </w:pPr>
    </w:p>
    <w:p w14:paraId="681CE30D" w14:textId="77777777" w:rsidR="00A423AF" w:rsidRPr="008E0830" w:rsidRDefault="00A423AF" w:rsidP="00691C83">
      <w:pPr>
        <w:pStyle w:val="ListParagraph"/>
        <w:tabs>
          <w:tab w:val="left" w:pos="0"/>
        </w:tabs>
        <w:spacing w:after="0" w:line="360" w:lineRule="auto"/>
        <w:jc w:val="both"/>
        <w:rPr>
          <w:rFonts w:ascii="Arial" w:hAnsi="Arial" w:cs="Arial"/>
        </w:rPr>
      </w:pPr>
      <w:r w:rsidRPr="008E0830">
        <w:rPr>
          <w:rFonts w:ascii="Arial" w:hAnsi="Arial" w:cs="Arial"/>
        </w:rPr>
        <w:t xml:space="preserve">‘The rule (ie the golden </w:t>
      </w:r>
      <w:r>
        <w:rPr>
          <w:rFonts w:ascii="Arial" w:hAnsi="Arial" w:cs="Arial"/>
        </w:rPr>
        <w:t>r</w:t>
      </w:r>
      <w:r w:rsidRPr="008E0830">
        <w:rPr>
          <w:rFonts w:ascii="Arial" w:hAnsi="Arial" w:cs="Arial"/>
        </w:rPr>
        <w:t>ule) is a very useful rule in the construction of a statute, to adhere to the ordinary meaning of words used, and to the grammatical construction, unless that is at variance with the intention of the legislature, to be collected from the statute itself, or leads to any manifest absurdity or repugnance in which case the language may be varied or modified, so as to avoid such inconvenience, but no further.’</w:t>
      </w:r>
    </w:p>
    <w:p w14:paraId="373F5938" w14:textId="77777777" w:rsidR="00A423AF" w:rsidRPr="001A40C6" w:rsidRDefault="00A423AF" w:rsidP="00691C83">
      <w:pPr>
        <w:pStyle w:val="ListParagraph"/>
        <w:tabs>
          <w:tab w:val="left" w:pos="0"/>
        </w:tabs>
        <w:spacing w:after="0" w:line="480" w:lineRule="auto"/>
        <w:ind w:left="0"/>
        <w:jc w:val="both"/>
        <w:rPr>
          <w:rFonts w:ascii="Arial" w:hAnsi="Arial" w:cs="Arial"/>
          <w:sz w:val="24"/>
          <w:szCs w:val="24"/>
        </w:rPr>
      </w:pPr>
    </w:p>
    <w:p w14:paraId="144E779D" w14:textId="1ABADAFA" w:rsidR="00A423AF" w:rsidRPr="001A40C6" w:rsidRDefault="00A423AF" w:rsidP="00691C83">
      <w:pPr>
        <w:pStyle w:val="ListParagraph"/>
        <w:numPr>
          <w:ilvl w:val="0"/>
          <w:numId w:val="39"/>
        </w:numPr>
        <w:spacing w:after="0" w:line="480" w:lineRule="auto"/>
        <w:ind w:left="0" w:firstLine="0"/>
        <w:jc w:val="both"/>
        <w:rPr>
          <w:rFonts w:ascii="Arial" w:hAnsi="Arial" w:cs="Arial"/>
          <w:sz w:val="24"/>
          <w:szCs w:val="24"/>
        </w:rPr>
      </w:pPr>
      <w:r w:rsidRPr="001A40C6">
        <w:rPr>
          <w:rFonts w:ascii="Arial" w:hAnsi="Arial" w:cs="Arial"/>
          <w:sz w:val="24"/>
          <w:szCs w:val="24"/>
        </w:rPr>
        <w:t>Furthermore, when interpreting legislation, the court must assume that the legislature is consistent with itself and therefore, the provisions of the same Act are concurrently operational unless there is an irreconcilable conflict between the two provisions.</w:t>
      </w:r>
      <w:r>
        <w:rPr>
          <w:rStyle w:val="FootnoteReference"/>
          <w:rFonts w:ascii="Arial" w:hAnsi="Arial" w:cs="Arial"/>
          <w:sz w:val="24"/>
          <w:szCs w:val="24"/>
        </w:rPr>
        <w:footnoteReference w:id="14"/>
      </w:r>
      <w:r w:rsidRPr="001A40C6">
        <w:rPr>
          <w:rFonts w:ascii="Arial" w:hAnsi="Arial" w:cs="Arial"/>
          <w:sz w:val="24"/>
          <w:szCs w:val="24"/>
        </w:rPr>
        <w:t xml:space="preserve"> An irreconcilable conflict exists when the two provisions prescribe antagonistic requirements which cannot be enforced concurrently without considering the other provision to be invalid. Th</w:t>
      </w:r>
      <w:r>
        <w:rPr>
          <w:rFonts w:ascii="Arial" w:hAnsi="Arial" w:cs="Arial"/>
          <w:sz w:val="24"/>
          <w:szCs w:val="24"/>
        </w:rPr>
        <w:t>us</w:t>
      </w:r>
      <w:r w:rsidRPr="001A40C6">
        <w:rPr>
          <w:rFonts w:ascii="Arial" w:hAnsi="Arial" w:cs="Arial"/>
          <w:sz w:val="24"/>
          <w:szCs w:val="24"/>
        </w:rPr>
        <w:t xml:space="preserve">, after determining the ordinary meaning of the provision, the court must establish if there is an irreconcilable conflict between the two provisions. If the conflict is reconcilable, the </w:t>
      </w:r>
      <w:r>
        <w:rPr>
          <w:rFonts w:ascii="Arial" w:hAnsi="Arial" w:cs="Arial"/>
          <w:sz w:val="24"/>
          <w:szCs w:val="24"/>
        </w:rPr>
        <w:t>c</w:t>
      </w:r>
      <w:r w:rsidRPr="001A40C6">
        <w:rPr>
          <w:rFonts w:ascii="Arial" w:hAnsi="Arial" w:cs="Arial"/>
          <w:sz w:val="24"/>
          <w:szCs w:val="24"/>
        </w:rPr>
        <w:t>ourt must adopt an interpretation which upholds that the two provision</w:t>
      </w:r>
      <w:r w:rsidR="00691C83">
        <w:rPr>
          <w:rFonts w:ascii="Arial" w:hAnsi="Arial" w:cs="Arial"/>
          <w:sz w:val="24"/>
          <w:szCs w:val="24"/>
        </w:rPr>
        <w:t>s are concurrently operational.</w:t>
      </w:r>
    </w:p>
    <w:p w14:paraId="214F7357" w14:textId="77777777" w:rsidR="00A423AF" w:rsidRDefault="00A423AF" w:rsidP="00691C83">
      <w:pPr>
        <w:tabs>
          <w:tab w:val="left" w:pos="0"/>
        </w:tabs>
        <w:spacing w:after="0" w:line="480" w:lineRule="auto"/>
        <w:jc w:val="both"/>
        <w:rPr>
          <w:rFonts w:ascii="Arial" w:hAnsi="Arial" w:cs="Arial"/>
          <w:sz w:val="24"/>
          <w:szCs w:val="24"/>
          <w:u w:val="single"/>
        </w:rPr>
      </w:pPr>
    </w:p>
    <w:p w14:paraId="00089804" w14:textId="77777777" w:rsidR="00A423AF" w:rsidRPr="00B502C3" w:rsidRDefault="00A423AF" w:rsidP="000B7336">
      <w:pPr>
        <w:tabs>
          <w:tab w:val="left" w:pos="0"/>
        </w:tabs>
        <w:spacing w:after="0" w:line="480" w:lineRule="auto"/>
        <w:jc w:val="both"/>
        <w:rPr>
          <w:rFonts w:ascii="Arial" w:hAnsi="Arial" w:cs="Arial"/>
          <w:sz w:val="24"/>
          <w:szCs w:val="24"/>
          <w:u w:val="single"/>
        </w:rPr>
      </w:pPr>
      <w:r w:rsidRPr="00B502C3">
        <w:rPr>
          <w:rFonts w:ascii="Arial" w:hAnsi="Arial" w:cs="Arial"/>
          <w:sz w:val="24"/>
          <w:szCs w:val="24"/>
          <w:u w:val="single"/>
        </w:rPr>
        <w:t xml:space="preserve">Application of rules of statute interpretation to construe section 65(1) and (8) of the Customs </w:t>
      </w:r>
      <w:r>
        <w:rPr>
          <w:rFonts w:ascii="Arial" w:hAnsi="Arial" w:cs="Arial"/>
          <w:sz w:val="24"/>
          <w:szCs w:val="24"/>
          <w:u w:val="single"/>
        </w:rPr>
        <w:t xml:space="preserve">and Excise </w:t>
      </w:r>
      <w:r w:rsidRPr="00B502C3">
        <w:rPr>
          <w:rFonts w:ascii="Arial" w:hAnsi="Arial" w:cs="Arial"/>
          <w:sz w:val="24"/>
          <w:szCs w:val="24"/>
          <w:u w:val="single"/>
        </w:rPr>
        <w:t>Act</w:t>
      </w:r>
    </w:p>
    <w:p w14:paraId="64BC88E6" w14:textId="78FE7A16" w:rsidR="00A423AF" w:rsidRDefault="00A423AF" w:rsidP="000B7336">
      <w:pPr>
        <w:pStyle w:val="ListParagraph"/>
        <w:numPr>
          <w:ilvl w:val="0"/>
          <w:numId w:val="39"/>
        </w:numPr>
        <w:spacing w:after="0" w:line="480" w:lineRule="auto"/>
        <w:ind w:left="0" w:firstLine="0"/>
        <w:jc w:val="both"/>
        <w:rPr>
          <w:rFonts w:ascii="Arial" w:hAnsi="Arial" w:cs="Arial"/>
          <w:sz w:val="24"/>
          <w:szCs w:val="24"/>
        </w:rPr>
      </w:pPr>
      <w:r w:rsidRPr="00727A82">
        <w:rPr>
          <w:rFonts w:ascii="Arial" w:hAnsi="Arial" w:cs="Arial"/>
          <w:sz w:val="24"/>
          <w:szCs w:val="24"/>
        </w:rPr>
        <w:t>The above described rules of statut</w:t>
      </w:r>
      <w:r>
        <w:rPr>
          <w:rFonts w:ascii="Arial" w:hAnsi="Arial" w:cs="Arial"/>
          <w:sz w:val="24"/>
          <w:szCs w:val="24"/>
        </w:rPr>
        <w:t>ory</w:t>
      </w:r>
      <w:r w:rsidRPr="00727A82">
        <w:rPr>
          <w:rFonts w:ascii="Arial" w:hAnsi="Arial" w:cs="Arial"/>
          <w:sz w:val="24"/>
          <w:szCs w:val="24"/>
        </w:rPr>
        <w:t xml:space="preserve"> interpretation </w:t>
      </w:r>
      <w:r>
        <w:rPr>
          <w:rFonts w:ascii="Arial" w:hAnsi="Arial" w:cs="Arial"/>
          <w:sz w:val="24"/>
          <w:szCs w:val="24"/>
        </w:rPr>
        <w:t xml:space="preserve">will now be applied </w:t>
      </w:r>
      <w:r w:rsidRPr="00727A82">
        <w:rPr>
          <w:rFonts w:ascii="Arial" w:hAnsi="Arial" w:cs="Arial"/>
          <w:sz w:val="24"/>
          <w:szCs w:val="24"/>
        </w:rPr>
        <w:t>to determine the meaning of s</w:t>
      </w:r>
      <w:r w:rsidR="0030241B">
        <w:rPr>
          <w:rFonts w:ascii="Arial" w:hAnsi="Arial" w:cs="Arial"/>
          <w:sz w:val="24"/>
          <w:szCs w:val="24"/>
        </w:rPr>
        <w:t>ection</w:t>
      </w:r>
      <w:r w:rsidRPr="00727A82">
        <w:rPr>
          <w:rFonts w:ascii="Arial" w:hAnsi="Arial" w:cs="Arial"/>
          <w:sz w:val="24"/>
          <w:szCs w:val="24"/>
        </w:rPr>
        <w:t xml:space="preserve"> 65(1) and (8) of the Act. I begin with s</w:t>
      </w:r>
      <w:r w:rsidR="0030241B">
        <w:rPr>
          <w:rFonts w:ascii="Arial" w:hAnsi="Arial" w:cs="Arial"/>
          <w:sz w:val="24"/>
          <w:szCs w:val="24"/>
        </w:rPr>
        <w:t>ection</w:t>
      </w:r>
      <w:r w:rsidRPr="00727A82">
        <w:rPr>
          <w:rFonts w:ascii="Arial" w:hAnsi="Arial" w:cs="Arial"/>
          <w:sz w:val="24"/>
          <w:szCs w:val="24"/>
        </w:rPr>
        <w:t xml:space="preserve"> 65(1) which provides as follows:</w:t>
      </w:r>
    </w:p>
    <w:p w14:paraId="4EFBC739" w14:textId="77777777" w:rsidR="00505CD6" w:rsidRPr="00727A82" w:rsidRDefault="00505CD6" w:rsidP="00505CD6">
      <w:pPr>
        <w:pStyle w:val="ListParagraph"/>
        <w:spacing w:after="0" w:line="360" w:lineRule="auto"/>
        <w:ind w:left="0"/>
        <w:jc w:val="both"/>
        <w:rPr>
          <w:rFonts w:ascii="Arial" w:hAnsi="Arial" w:cs="Arial"/>
          <w:sz w:val="24"/>
          <w:szCs w:val="24"/>
        </w:rPr>
      </w:pPr>
    </w:p>
    <w:p w14:paraId="44229B95" w14:textId="77777777" w:rsidR="00A423AF" w:rsidRPr="008E0830" w:rsidRDefault="00A423AF" w:rsidP="000B7336">
      <w:pPr>
        <w:tabs>
          <w:tab w:val="left" w:pos="0"/>
        </w:tabs>
        <w:spacing w:after="0" w:line="360" w:lineRule="auto"/>
        <w:ind w:left="720"/>
        <w:jc w:val="both"/>
        <w:rPr>
          <w:rFonts w:ascii="Arial" w:hAnsi="Arial" w:cs="Arial"/>
        </w:rPr>
      </w:pPr>
      <w:r>
        <w:rPr>
          <w:rFonts w:ascii="Arial" w:hAnsi="Arial" w:cs="Arial"/>
        </w:rPr>
        <w:t>‘</w:t>
      </w:r>
      <w:r w:rsidRPr="008E0830">
        <w:rPr>
          <w:rFonts w:ascii="Arial" w:hAnsi="Arial" w:cs="Arial"/>
        </w:rPr>
        <w:t>Time when new or increased duties become payable</w:t>
      </w:r>
    </w:p>
    <w:p w14:paraId="7EB78774" w14:textId="6EDF5C51" w:rsidR="00A423AF" w:rsidRPr="008E0830" w:rsidRDefault="00A423AF" w:rsidP="000B7336">
      <w:pPr>
        <w:tabs>
          <w:tab w:val="left" w:pos="0"/>
        </w:tabs>
        <w:spacing w:after="0" w:line="360" w:lineRule="auto"/>
        <w:ind w:left="720"/>
        <w:jc w:val="both"/>
        <w:rPr>
          <w:rFonts w:ascii="Arial" w:hAnsi="Arial" w:cs="Arial"/>
        </w:rPr>
      </w:pPr>
      <w:r w:rsidRPr="008E0830">
        <w:rPr>
          <w:rFonts w:ascii="Arial" w:hAnsi="Arial" w:cs="Arial"/>
        </w:rPr>
        <w:t xml:space="preserve">(1) The Minister may at any time in the National Assembly table a taxation proposal </w:t>
      </w:r>
      <w:r w:rsidRPr="006852A5">
        <w:rPr>
          <w:rFonts w:ascii="Arial" w:hAnsi="Arial" w:cs="Arial"/>
          <w:i/>
        </w:rPr>
        <w:t>imposing any new duty</w:t>
      </w:r>
      <w:r w:rsidRPr="008E0830">
        <w:rPr>
          <w:rFonts w:ascii="Arial" w:hAnsi="Arial" w:cs="Arial"/>
        </w:rPr>
        <w:t xml:space="preserve"> under this Act, </w:t>
      </w:r>
      <w:r w:rsidRPr="006852A5">
        <w:rPr>
          <w:rFonts w:ascii="Arial" w:hAnsi="Arial" w:cs="Arial"/>
          <w:i/>
        </w:rPr>
        <w:t>or increasing the rate of duty</w:t>
      </w:r>
      <w:r w:rsidRPr="008E0830">
        <w:rPr>
          <w:rFonts w:ascii="Arial" w:hAnsi="Arial" w:cs="Arial"/>
        </w:rPr>
        <w:t xml:space="preserve"> payable upon any goods specified in the proposal, or any amendment, withdrawal or insertion made under this Act, and such new duty or increased rate of duty shall, subject to subsection (2), from the time when the proposal was so tabled be payable on all goods which have not at such time been entered for home consumption.</w:t>
      </w:r>
      <w:r>
        <w:rPr>
          <w:rFonts w:ascii="Arial" w:hAnsi="Arial" w:cs="Arial"/>
        </w:rPr>
        <w:t>’ (Emphasis added)</w:t>
      </w:r>
      <w:r w:rsidR="000B7336">
        <w:rPr>
          <w:rFonts w:ascii="Arial" w:hAnsi="Arial" w:cs="Arial"/>
        </w:rPr>
        <w:t>.’</w:t>
      </w:r>
    </w:p>
    <w:p w14:paraId="61D475A9" w14:textId="77777777" w:rsidR="00A423AF" w:rsidRPr="00727A82" w:rsidRDefault="00A423AF" w:rsidP="000B7336">
      <w:pPr>
        <w:spacing w:after="0" w:line="480" w:lineRule="auto"/>
        <w:jc w:val="both"/>
        <w:rPr>
          <w:rFonts w:ascii="Arial" w:hAnsi="Arial" w:cs="Arial"/>
          <w:sz w:val="24"/>
          <w:szCs w:val="24"/>
        </w:rPr>
      </w:pPr>
    </w:p>
    <w:p w14:paraId="2EB2AC70" w14:textId="559E9161" w:rsidR="00A423AF" w:rsidRDefault="00A423AF" w:rsidP="000B7336">
      <w:pPr>
        <w:pStyle w:val="ListParagraph"/>
        <w:numPr>
          <w:ilvl w:val="0"/>
          <w:numId w:val="39"/>
        </w:numPr>
        <w:spacing w:after="0" w:line="480" w:lineRule="auto"/>
        <w:ind w:left="0" w:firstLine="0"/>
        <w:jc w:val="both"/>
        <w:rPr>
          <w:rFonts w:ascii="Arial" w:hAnsi="Arial" w:cs="Arial"/>
          <w:sz w:val="24"/>
          <w:szCs w:val="24"/>
        </w:rPr>
      </w:pPr>
      <w:r w:rsidRPr="00727A82">
        <w:rPr>
          <w:rFonts w:ascii="Arial" w:hAnsi="Arial" w:cs="Arial"/>
          <w:sz w:val="24"/>
          <w:szCs w:val="24"/>
        </w:rPr>
        <w:t>The words used in the above provisions must be given their ordinary meaning. Applying this rule, the ordinary meaning of s</w:t>
      </w:r>
      <w:r w:rsidR="0030241B">
        <w:rPr>
          <w:rFonts w:ascii="Arial" w:hAnsi="Arial" w:cs="Arial"/>
          <w:sz w:val="24"/>
          <w:szCs w:val="24"/>
        </w:rPr>
        <w:t>ection</w:t>
      </w:r>
      <w:r w:rsidRPr="00727A82">
        <w:rPr>
          <w:rFonts w:ascii="Arial" w:hAnsi="Arial" w:cs="Arial"/>
          <w:sz w:val="24"/>
          <w:szCs w:val="24"/>
        </w:rPr>
        <w:t xml:space="preserve"> 65(1) is as follows</w:t>
      </w:r>
      <w:r>
        <w:rPr>
          <w:rFonts w:ascii="Arial" w:hAnsi="Arial" w:cs="Arial"/>
          <w:sz w:val="24"/>
          <w:szCs w:val="24"/>
        </w:rPr>
        <w:t>:</w:t>
      </w:r>
    </w:p>
    <w:p w14:paraId="178E0893" w14:textId="77777777" w:rsidR="00A423AF" w:rsidRPr="000469A3" w:rsidRDefault="00A423AF" w:rsidP="000B7336">
      <w:pPr>
        <w:spacing w:after="0" w:line="480" w:lineRule="auto"/>
        <w:ind w:left="360"/>
        <w:jc w:val="both"/>
        <w:rPr>
          <w:rFonts w:ascii="Arial" w:hAnsi="Arial" w:cs="Arial"/>
          <w:sz w:val="24"/>
          <w:szCs w:val="24"/>
        </w:rPr>
      </w:pPr>
    </w:p>
    <w:p w14:paraId="3EEBB89C" w14:textId="1AE635DE" w:rsidR="00A423AF" w:rsidRDefault="00A423AF" w:rsidP="00A423AF">
      <w:pPr>
        <w:pStyle w:val="ListParagraph"/>
        <w:numPr>
          <w:ilvl w:val="0"/>
          <w:numId w:val="40"/>
        </w:numPr>
        <w:tabs>
          <w:tab w:val="left" w:pos="0"/>
        </w:tabs>
        <w:spacing w:after="160" w:line="480" w:lineRule="auto"/>
        <w:ind w:left="1701" w:hanging="425"/>
        <w:jc w:val="both"/>
        <w:rPr>
          <w:rFonts w:ascii="Arial" w:hAnsi="Arial" w:cs="Arial"/>
          <w:sz w:val="24"/>
          <w:szCs w:val="24"/>
        </w:rPr>
      </w:pPr>
      <w:r>
        <w:rPr>
          <w:rFonts w:ascii="Arial" w:hAnsi="Arial" w:cs="Arial"/>
          <w:sz w:val="24"/>
          <w:szCs w:val="24"/>
        </w:rPr>
        <w:t>t</w:t>
      </w:r>
      <w:r w:rsidR="000B7336">
        <w:rPr>
          <w:rFonts w:ascii="Arial" w:hAnsi="Arial" w:cs="Arial"/>
          <w:sz w:val="24"/>
          <w:szCs w:val="24"/>
        </w:rPr>
        <w:t>he Minister may at any time;</w:t>
      </w:r>
    </w:p>
    <w:p w14:paraId="44736B3F" w14:textId="77777777" w:rsidR="000B7336" w:rsidRPr="00727A82" w:rsidRDefault="000B7336" w:rsidP="000B7336">
      <w:pPr>
        <w:pStyle w:val="ListParagraph"/>
        <w:tabs>
          <w:tab w:val="left" w:pos="0"/>
        </w:tabs>
        <w:spacing w:after="0" w:line="480" w:lineRule="auto"/>
        <w:ind w:left="1701"/>
        <w:jc w:val="both"/>
        <w:rPr>
          <w:rFonts w:ascii="Arial" w:hAnsi="Arial" w:cs="Arial"/>
          <w:sz w:val="24"/>
          <w:szCs w:val="24"/>
        </w:rPr>
      </w:pPr>
    </w:p>
    <w:p w14:paraId="7415FDE7" w14:textId="77777777" w:rsidR="00A423AF" w:rsidRDefault="00A423AF" w:rsidP="000B7336">
      <w:pPr>
        <w:pStyle w:val="ListParagraph"/>
        <w:numPr>
          <w:ilvl w:val="0"/>
          <w:numId w:val="40"/>
        </w:numPr>
        <w:tabs>
          <w:tab w:val="left" w:pos="0"/>
        </w:tabs>
        <w:spacing w:after="0" w:line="480" w:lineRule="auto"/>
        <w:ind w:left="1701" w:hanging="425"/>
        <w:jc w:val="both"/>
        <w:rPr>
          <w:rFonts w:ascii="Arial" w:hAnsi="Arial" w:cs="Arial"/>
          <w:sz w:val="24"/>
          <w:szCs w:val="24"/>
        </w:rPr>
      </w:pPr>
      <w:r>
        <w:rPr>
          <w:rFonts w:ascii="Arial" w:hAnsi="Arial" w:cs="Arial"/>
          <w:sz w:val="24"/>
          <w:szCs w:val="24"/>
        </w:rPr>
        <w:t>t</w:t>
      </w:r>
      <w:r w:rsidRPr="001A40C6">
        <w:rPr>
          <w:rFonts w:ascii="Arial" w:hAnsi="Arial" w:cs="Arial"/>
          <w:sz w:val="24"/>
          <w:szCs w:val="24"/>
        </w:rPr>
        <w:t>able before the National Assembly</w:t>
      </w:r>
      <w:r>
        <w:rPr>
          <w:rFonts w:ascii="Arial" w:hAnsi="Arial" w:cs="Arial"/>
          <w:sz w:val="24"/>
          <w:szCs w:val="24"/>
        </w:rPr>
        <w:t>;</w:t>
      </w:r>
    </w:p>
    <w:p w14:paraId="0BB50C64" w14:textId="77777777" w:rsidR="000B7336" w:rsidRPr="000B7336" w:rsidRDefault="000B7336" w:rsidP="000B7336">
      <w:pPr>
        <w:pStyle w:val="ListParagraph"/>
        <w:spacing w:after="0" w:line="480" w:lineRule="auto"/>
        <w:jc w:val="both"/>
        <w:rPr>
          <w:rFonts w:ascii="Arial" w:hAnsi="Arial" w:cs="Arial"/>
          <w:sz w:val="24"/>
          <w:szCs w:val="24"/>
        </w:rPr>
      </w:pPr>
    </w:p>
    <w:p w14:paraId="0ABA80D4" w14:textId="77777777" w:rsidR="00A423AF" w:rsidRDefault="00A423AF" w:rsidP="000B7336">
      <w:pPr>
        <w:pStyle w:val="ListParagraph"/>
        <w:numPr>
          <w:ilvl w:val="0"/>
          <w:numId w:val="40"/>
        </w:numPr>
        <w:tabs>
          <w:tab w:val="left" w:pos="0"/>
        </w:tabs>
        <w:spacing w:after="0" w:line="480" w:lineRule="auto"/>
        <w:ind w:left="1701" w:hanging="425"/>
        <w:jc w:val="both"/>
        <w:rPr>
          <w:rFonts w:ascii="Arial" w:hAnsi="Arial" w:cs="Arial"/>
          <w:sz w:val="24"/>
          <w:szCs w:val="24"/>
        </w:rPr>
      </w:pPr>
      <w:r w:rsidRPr="00727A82">
        <w:rPr>
          <w:rFonts w:ascii="Arial" w:hAnsi="Arial" w:cs="Arial"/>
          <w:sz w:val="24"/>
          <w:szCs w:val="24"/>
        </w:rPr>
        <w:t>a proposal to impose or introduce new duty upon any specified goods, and</w:t>
      </w:r>
    </w:p>
    <w:p w14:paraId="69827919" w14:textId="77777777" w:rsidR="000B7336" w:rsidRPr="000B7336" w:rsidRDefault="000B7336" w:rsidP="000B7336">
      <w:pPr>
        <w:pStyle w:val="ListParagraph"/>
        <w:spacing w:after="0" w:line="480" w:lineRule="auto"/>
        <w:jc w:val="both"/>
        <w:rPr>
          <w:rFonts w:ascii="Arial" w:hAnsi="Arial" w:cs="Arial"/>
          <w:sz w:val="24"/>
          <w:szCs w:val="24"/>
        </w:rPr>
      </w:pPr>
    </w:p>
    <w:p w14:paraId="2FED0CE0" w14:textId="04C36F28" w:rsidR="00A423AF" w:rsidRPr="00727A82" w:rsidRDefault="00A423AF" w:rsidP="000B7336">
      <w:pPr>
        <w:pStyle w:val="ListParagraph"/>
        <w:numPr>
          <w:ilvl w:val="0"/>
          <w:numId w:val="40"/>
        </w:numPr>
        <w:tabs>
          <w:tab w:val="left" w:pos="0"/>
        </w:tabs>
        <w:spacing w:after="0" w:line="480" w:lineRule="auto"/>
        <w:ind w:left="1701" w:hanging="425"/>
        <w:jc w:val="both"/>
        <w:rPr>
          <w:rFonts w:ascii="Arial" w:hAnsi="Arial" w:cs="Arial"/>
          <w:sz w:val="24"/>
          <w:szCs w:val="24"/>
        </w:rPr>
      </w:pPr>
      <w:r w:rsidRPr="00727A82">
        <w:rPr>
          <w:rFonts w:ascii="Arial" w:hAnsi="Arial" w:cs="Arial"/>
          <w:sz w:val="24"/>
          <w:szCs w:val="24"/>
        </w:rPr>
        <w:t>subject to the requirements of section 65(2) of the Customs and Excise Act, the new duty shall become payable from the time the taxation proposal was tabled before the National Assembly, unless the National A</w:t>
      </w:r>
      <w:r w:rsidR="000B7336">
        <w:rPr>
          <w:rFonts w:ascii="Arial" w:hAnsi="Arial" w:cs="Arial"/>
          <w:sz w:val="24"/>
          <w:szCs w:val="24"/>
        </w:rPr>
        <w:t>ssembly rejects the proposal.</w:t>
      </w:r>
    </w:p>
    <w:p w14:paraId="3413A845" w14:textId="77777777" w:rsidR="00A423AF" w:rsidRPr="00727A82" w:rsidRDefault="00A423AF" w:rsidP="000B7336">
      <w:pPr>
        <w:tabs>
          <w:tab w:val="left" w:pos="0"/>
        </w:tabs>
        <w:spacing w:after="0" w:line="480" w:lineRule="auto"/>
        <w:ind w:left="1701" w:hanging="425"/>
        <w:jc w:val="both"/>
        <w:rPr>
          <w:rFonts w:ascii="Arial" w:hAnsi="Arial" w:cs="Arial"/>
          <w:sz w:val="24"/>
          <w:szCs w:val="24"/>
        </w:rPr>
      </w:pPr>
    </w:p>
    <w:p w14:paraId="712B3010" w14:textId="7519CFE7" w:rsidR="00A423AF" w:rsidRDefault="00A423AF" w:rsidP="000B7336">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 xml:space="preserve">Section </w:t>
      </w:r>
      <w:r w:rsidRPr="00727A82">
        <w:rPr>
          <w:rFonts w:ascii="Arial" w:hAnsi="Arial" w:cs="Arial"/>
          <w:sz w:val="24"/>
          <w:szCs w:val="24"/>
        </w:rPr>
        <w:t xml:space="preserve">65(2) </w:t>
      </w:r>
      <w:r>
        <w:rPr>
          <w:rFonts w:ascii="Arial" w:hAnsi="Arial" w:cs="Arial"/>
          <w:sz w:val="24"/>
          <w:szCs w:val="24"/>
        </w:rPr>
        <w:t>provides that goods specified in a taxation proposal tabled under s</w:t>
      </w:r>
      <w:r w:rsidR="0030241B">
        <w:rPr>
          <w:rFonts w:ascii="Arial" w:hAnsi="Arial" w:cs="Arial"/>
          <w:sz w:val="24"/>
          <w:szCs w:val="24"/>
        </w:rPr>
        <w:t>ection</w:t>
      </w:r>
      <w:r>
        <w:rPr>
          <w:rFonts w:ascii="Arial" w:hAnsi="Arial" w:cs="Arial"/>
          <w:sz w:val="24"/>
          <w:szCs w:val="24"/>
        </w:rPr>
        <w:t xml:space="preserve"> 65(1) will become liable to new duty or to the difference between the rate of duty at the time of the tabling of the proposal even though such goods had been entered for home consumption prior to the time of tabling of such proposal and despite such goods having passed out of customs and excise control at the time of the tabling of the proposal</w:t>
      </w:r>
      <w:r w:rsidRPr="00727A82">
        <w:rPr>
          <w:rFonts w:ascii="Arial" w:hAnsi="Arial" w:cs="Arial"/>
          <w:sz w:val="24"/>
          <w:szCs w:val="24"/>
        </w:rPr>
        <w:t xml:space="preserve">. </w:t>
      </w:r>
      <w:r>
        <w:rPr>
          <w:rFonts w:ascii="Arial" w:hAnsi="Arial" w:cs="Arial"/>
          <w:sz w:val="24"/>
          <w:szCs w:val="24"/>
        </w:rPr>
        <w:t>Although subsection (2) is not of much relevance to the interpretation of s</w:t>
      </w:r>
      <w:r w:rsidR="0030241B">
        <w:rPr>
          <w:rFonts w:ascii="Arial" w:hAnsi="Arial" w:cs="Arial"/>
          <w:sz w:val="24"/>
          <w:szCs w:val="24"/>
        </w:rPr>
        <w:t>ection</w:t>
      </w:r>
      <w:r>
        <w:rPr>
          <w:rFonts w:ascii="Arial" w:hAnsi="Arial" w:cs="Arial"/>
          <w:sz w:val="24"/>
          <w:szCs w:val="24"/>
        </w:rPr>
        <w:t xml:space="preserve"> 65(1), for completeness and in light of the consideration that s</w:t>
      </w:r>
      <w:r w:rsidR="0030241B">
        <w:rPr>
          <w:rFonts w:ascii="Arial" w:hAnsi="Arial" w:cs="Arial"/>
          <w:sz w:val="24"/>
          <w:szCs w:val="24"/>
        </w:rPr>
        <w:t>ection</w:t>
      </w:r>
      <w:r>
        <w:rPr>
          <w:rFonts w:ascii="Arial" w:hAnsi="Arial" w:cs="Arial"/>
          <w:sz w:val="24"/>
          <w:szCs w:val="24"/>
        </w:rPr>
        <w:t xml:space="preserve"> 65(1) is ‘subject’ to subsection (2), the subs</w:t>
      </w:r>
      <w:r w:rsidR="000B7336">
        <w:rPr>
          <w:rFonts w:ascii="Arial" w:hAnsi="Arial" w:cs="Arial"/>
          <w:sz w:val="24"/>
          <w:szCs w:val="24"/>
        </w:rPr>
        <w:t>ection is reproduced hereunder:</w:t>
      </w:r>
    </w:p>
    <w:p w14:paraId="20DFBD37" w14:textId="77777777" w:rsidR="00A423AF" w:rsidRPr="000B7336" w:rsidRDefault="00A423AF" w:rsidP="000B7336">
      <w:pPr>
        <w:spacing w:after="0" w:line="360" w:lineRule="auto"/>
        <w:ind w:left="720"/>
        <w:jc w:val="both"/>
        <w:rPr>
          <w:rFonts w:ascii="Arial" w:hAnsi="Arial" w:cs="Arial"/>
          <w:sz w:val="24"/>
          <w:szCs w:val="24"/>
        </w:rPr>
      </w:pPr>
    </w:p>
    <w:p w14:paraId="426AB3EF" w14:textId="77777777" w:rsidR="00A423AF" w:rsidRPr="00ED4D1D" w:rsidRDefault="00A423AF" w:rsidP="000B7336">
      <w:pPr>
        <w:spacing w:after="0" w:line="360" w:lineRule="auto"/>
        <w:ind w:left="720"/>
        <w:jc w:val="both"/>
        <w:rPr>
          <w:rFonts w:ascii="Arial" w:hAnsi="Arial" w:cs="Arial"/>
        </w:rPr>
      </w:pPr>
      <w:r w:rsidRPr="00ED4D1D">
        <w:rPr>
          <w:rFonts w:ascii="Arial" w:hAnsi="Arial" w:cs="Arial"/>
        </w:rPr>
        <w:t xml:space="preserve">‘(2) When the Minister, under subsection (1) tables a taxation proposal relating to imported or exported goods, any goods which the Minister may specify in that proposal for the purpose of </w:t>
      </w:r>
      <w:r>
        <w:rPr>
          <w:rFonts w:ascii="Arial" w:hAnsi="Arial" w:cs="Arial"/>
        </w:rPr>
        <w:t xml:space="preserve">the </w:t>
      </w:r>
      <w:r w:rsidRPr="00ED4D1D">
        <w:rPr>
          <w:rFonts w:ascii="Arial" w:hAnsi="Arial" w:cs="Arial"/>
        </w:rPr>
        <w:t>subsection, shall, though entered for home consumption prior to time of such proposal and notwithstanding that such goods have passed out of customs and excise control, become liable to the new duty imposed or to the difference between the ra</w:t>
      </w:r>
      <w:r>
        <w:rPr>
          <w:rFonts w:ascii="Arial" w:hAnsi="Arial" w:cs="Arial"/>
        </w:rPr>
        <w:t>te</w:t>
      </w:r>
      <w:r w:rsidRPr="00ED4D1D">
        <w:rPr>
          <w:rFonts w:ascii="Arial" w:hAnsi="Arial" w:cs="Arial"/>
        </w:rPr>
        <w:t xml:space="preserve"> of duty </w:t>
      </w:r>
      <w:r>
        <w:rPr>
          <w:rFonts w:ascii="Arial" w:hAnsi="Arial" w:cs="Arial"/>
        </w:rPr>
        <w:t xml:space="preserve">at </w:t>
      </w:r>
      <w:r w:rsidRPr="00ED4D1D">
        <w:rPr>
          <w:rFonts w:ascii="Arial" w:hAnsi="Arial" w:cs="Arial"/>
        </w:rPr>
        <w:t xml:space="preserve">the time of the tabling of, and the increased rate provided for </w:t>
      </w:r>
      <w:r>
        <w:rPr>
          <w:rFonts w:ascii="Arial" w:hAnsi="Arial" w:cs="Arial"/>
        </w:rPr>
        <w:t xml:space="preserve">in </w:t>
      </w:r>
      <w:r w:rsidRPr="00ED4D1D">
        <w:rPr>
          <w:rFonts w:ascii="Arial" w:hAnsi="Arial" w:cs="Arial"/>
        </w:rPr>
        <w:t>such proposal, if such goods have at the time of the tabling of such proposal not being delivered from the stock of an importer, manufacturer or such class of dealer as the Minister may, in such proposal specify.’</w:t>
      </w:r>
      <w:r>
        <w:rPr>
          <w:rFonts w:ascii="Arial" w:hAnsi="Arial" w:cs="Arial"/>
        </w:rPr>
        <w:t>(sic)</w:t>
      </w:r>
    </w:p>
    <w:p w14:paraId="1285A035" w14:textId="77777777" w:rsidR="00A423AF" w:rsidRPr="00A81BEC" w:rsidRDefault="00A423AF" w:rsidP="000B7336">
      <w:pPr>
        <w:spacing w:after="0" w:line="480" w:lineRule="auto"/>
        <w:jc w:val="both"/>
        <w:rPr>
          <w:rFonts w:ascii="Arial" w:hAnsi="Arial" w:cs="Arial"/>
          <w:sz w:val="24"/>
          <w:szCs w:val="24"/>
        </w:rPr>
      </w:pPr>
    </w:p>
    <w:p w14:paraId="2B5FD690" w14:textId="36D7296C" w:rsidR="00A423AF" w:rsidRDefault="00A423AF" w:rsidP="00A45627">
      <w:pPr>
        <w:pStyle w:val="ListParagraph"/>
        <w:numPr>
          <w:ilvl w:val="0"/>
          <w:numId w:val="39"/>
        </w:numPr>
        <w:spacing w:after="0" w:line="480" w:lineRule="auto"/>
        <w:ind w:left="0" w:firstLine="0"/>
        <w:jc w:val="both"/>
        <w:rPr>
          <w:rFonts w:ascii="Arial" w:hAnsi="Arial" w:cs="Arial"/>
          <w:sz w:val="24"/>
          <w:szCs w:val="24"/>
        </w:rPr>
      </w:pPr>
      <w:r w:rsidRPr="00727A82">
        <w:rPr>
          <w:rFonts w:ascii="Arial" w:hAnsi="Arial" w:cs="Arial"/>
          <w:sz w:val="24"/>
          <w:szCs w:val="24"/>
        </w:rPr>
        <w:t xml:space="preserve">The </w:t>
      </w:r>
      <w:r>
        <w:rPr>
          <w:rFonts w:ascii="Arial" w:hAnsi="Arial" w:cs="Arial"/>
          <w:sz w:val="24"/>
          <w:szCs w:val="24"/>
        </w:rPr>
        <w:t xml:space="preserve">real </w:t>
      </w:r>
      <w:r w:rsidRPr="00727A82">
        <w:rPr>
          <w:rFonts w:ascii="Arial" w:hAnsi="Arial" w:cs="Arial"/>
          <w:sz w:val="24"/>
          <w:szCs w:val="24"/>
        </w:rPr>
        <w:t xml:space="preserve">question is whether the ordinary meaning of the words used in s 65(1) </w:t>
      </w:r>
      <w:r>
        <w:rPr>
          <w:rFonts w:ascii="Arial" w:hAnsi="Arial" w:cs="Arial"/>
          <w:sz w:val="24"/>
          <w:szCs w:val="24"/>
        </w:rPr>
        <w:t>and summari</w:t>
      </w:r>
      <w:r w:rsidR="00C33724">
        <w:rPr>
          <w:rFonts w:ascii="Arial" w:hAnsi="Arial" w:cs="Arial"/>
          <w:sz w:val="24"/>
          <w:szCs w:val="24"/>
        </w:rPr>
        <w:t>z</w:t>
      </w:r>
      <w:r>
        <w:rPr>
          <w:rFonts w:ascii="Arial" w:hAnsi="Arial" w:cs="Arial"/>
          <w:sz w:val="24"/>
          <w:szCs w:val="24"/>
        </w:rPr>
        <w:t>ed in para [5</w:t>
      </w:r>
      <w:r w:rsidR="0030241B">
        <w:rPr>
          <w:rFonts w:ascii="Arial" w:hAnsi="Arial" w:cs="Arial"/>
          <w:sz w:val="24"/>
          <w:szCs w:val="24"/>
        </w:rPr>
        <w:t>3</w:t>
      </w:r>
      <w:r>
        <w:rPr>
          <w:rFonts w:ascii="Arial" w:hAnsi="Arial" w:cs="Arial"/>
          <w:sz w:val="24"/>
          <w:szCs w:val="24"/>
        </w:rPr>
        <w:t xml:space="preserve">] above </w:t>
      </w:r>
      <w:r w:rsidRPr="00727A82">
        <w:rPr>
          <w:rFonts w:ascii="Arial" w:hAnsi="Arial" w:cs="Arial"/>
          <w:sz w:val="24"/>
          <w:szCs w:val="24"/>
        </w:rPr>
        <w:t>is absurd and</w:t>
      </w:r>
      <w:r>
        <w:rPr>
          <w:rFonts w:ascii="Arial" w:hAnsi="Arial" w:cs="Arial"/>
          <w:sz w:val="24"/>
          <w:szCs w:val="24"/>
        </w:rPr>
        <w:t>/</w:t>
      </w:r>
      <w:r w:rsidRPr="00727A82">
        <w:rPr>
          <w:rFonts w:ascii="Arial" w:hAnsi="Arial" w:cs="Arial"/>
          <w:sz w:val="24"/>
          <w:szCs w:val="24"/>
        </w:rPr>
        <w:t xml:space="preserve">or undermines the intention of the legislature? This </w:t>
      </w:r>
      <w:r>
        <w:rPr>
          <w:rFonts w:ascii="Arial" w:hAnsi="Arial" w:cs="Arial"/>
          <w:sz w:val="24"/>
          <w:szCs w:val="24"/>
        </w:rPr>
        <w:t xml:space="preserve">question </w:t>
      </w:r>
      <w:r w:rsidRPr="00727A82">
        <w:rPr>
          <w:rFonts w:ascii="Arial" w:hAnsi="Arial" w:cs="Arial"/>
          <w:sz w:val="24"/>
          <w:szCs w:val="24"/>
        </w:rPr>
        <w:t xml:space="preserve">calls for this </w:t>
      </w:r>
      <w:r w:rsidR="00C33724">
        <w:rPr>
          <w:rFonts w:ascii="Arial" w:hAnsi="Arial" w:cs="Arial"/>
          <w:sz w:val="24"/>
          <w:szCs w:val="24"/>
        </w:rPr>
        <w:t>c</w:t>
      </w:r>
      <w:r w:rsidRPr="00727A82">
        <w:rPr>
          <w:rFonts w:ascii="Arial" w:hAnsi="Arial" w:cs="Arial"/>
          <w:sz w:val="24"/>
          <w:szCs w:val="24"/>
        </w:rPr>
        <w:t>ourt to weigh the above ordinary meaning of the words used in s</w:t>
      </w:r>
      <w:r w:rsidR="0030241B">
        <w:rPr>
          <w:rFonts w:ascii="Arial" w:hAnsi="Arial" w:cs="Arial"/>
          <w:sz w:val="24"/>
          <w:szCs w:val="24"/>
        </w:rPr>
        <w:t>ection</w:t>
      </w:r>
      <w:r w:rsidRPr="00727A82">
        <w:rPr>
          <w:rFonts w:ascii="Arial" w:hAnsi="Arial" w:cs="Arial"/>
          <w:sz w:val="24"/>
          <w:szCs w:val="24"/>
        </w:rPr>
        <w:t xml:space="preserve"> 65(1)</w:t>
      </w:r>
      <w:r>
        <w:rPr>
          <w:rFonts w:ascii="Arial" w:hAnsi="Arial" w:cs="Arial"/>
          <w:sz w:val="24"/>
          <w:szCs w:val="24"/>
        </w:rPr>
        <w:t xml:space="preserve"> </w:t>
      </w:r>
      <w:r w:rsidRPr="00727A82">
        <w:rPr>
          <w:rFonts w:ascii="Arial" w:hAnsi="Arial" w:cs="Arial"/>
          <w:sz w:val="24"/>
          <w:szCs w:val="24"/>
        </w:rPr>
        <w:t>against the intention of the legislature. The learned author Christo Botha,</w:t>
      </w:r>
      <w:r w:rsidRPr="001A40C6">
        <w:rPr>
          <w:rStyle w:val="FootnoteReference"/>
          <w:rFonts w:ascii="Arial" w:hAnsi="Arial" w:cs="Arial"/>
          <w:sz w:val="24"/>
          <w:szCs w:val="24"/>
        </w:rPr>
        <w:footnoteReference w:id="15"/>
      </w:r>
      <w:r w:rsidRPr="00727A82">
        <w:rPr>
          <w:rFonts w:ascii="Arial" w:hAnsi="Arial" w:cs="Arial"/>
          <w:sz w:val="24"/>
          <w:szCs w:val="24"/>
        </w:rPr>
        <w:t xml:space="preserve"> correctly points out that the intention of the legislature may be established from the long title to the Act, which explains the purpose of the Act. The long title of the Customs and Excise Act reads as follows</w:t>
      </w:r>
      <w:r>
        <w:rPr>
          <w:rFonts w:ascii="Arial" w:hAnsi="Arial" w:cs="Arial"/>
          <w:sz w:val="24"/>
          <w:szCs w:val="24"/>
        </w:rPr>
        <w:t>:</w:t>
      </w:r>
    </w:p>
    <w:p w14:paraId="512D632B" w14:textId="77777777" w:rsidR="00A45627" w:rsidRPr="00727A82" w:rsidRDefault="00A45627" w:rsidP="00A45627">
      <w:pPr>
        <w:pStyle w:val="ListParagraph"/>
        <w:spacing w:after="0" w:line="360" w:lineRule="auto"/>
        <w:ind w:left="0"/>
        <w:jc w:val="both"/>
        <w:rPr>
          <w:rFonts w:ascii="Arial" w:hAnsi="Arial" w:cs="Arial"/>
          <w:sz w:val="24"/>
          <w:szCs w:val="24"/>
        </w:rPr>
      </w:pPr>
    </w:p>
    <w:p w14:paraId="0C3F84AE" w14:textId="671D854B" w:rsidR="00A423AF" w:rsidRPr="007A5C47" w:rsidRDefault="00A423AF" w:rsidP="000B7336">
      <w:pPr>
        <w:tabs>
          <w:tab w:val="left" w:pos="0"/>
        </w:tabs>
        <w:spacing w:after="0" w:line="480" w:lineRule="auto"/>
        <w:ind w:left="720"/>
        <w:jc w:val="both"/>
        <w:rPr>
          <w:rFonts w:ascii="Arial" w:hAnsi="Arial" w:cs="Arial"/>
        </w:rPr>
      </w:pPr>
      <w:r w:rsidRPr="007A5C47">
        <w:rPr>
          <w:rFonts w:ascii="Arial" w:hAnsi="Arial" w:cs="Arial"/>
        </w:rPr>
        <w:t>‘To provide for the levying, imposition, payment and collection of customs and excise duties, of a surcharge and of a fuel levy; to prohibit and control the import, export or manufacture of certain goods; and to provide fo</w:t>
      </w:r>
      <w:r w:rsidR="000B7336">
        <w:rPr>
          <w:rFonts w:ascii="Arial" w:hAnsi="Arial" w:cs="Arial"/>
        </w:rPr>
        <w:t>r matters incidental thereto.’</w:t>
      </w:r>
    </w:p>
    <w:p w14:paraId="7BD1BB82" w14:textId="77777777" w:rsidR="00A423AF" w:rsidRPr="00ED4D1D" w:rsidRDefault="00A423AF" w:rsidP="000B7336">
      <w:pPr>
        <w:spacing w:after="0" w:line="480" w:lineRule="auto"/>
        <w:ind w:left="360"/>
        <w:jc w:val="both"/>
        <w:rPr>
          <w:rFonts w:ascii="Arial" w:hAnsi="Arial" w:cs="Arial"/>
          <w:sz w:val="24"/>
          <w:szCs w:val="24"/>
        </w:rPr>
      </w:pPr>
    </w:p>
    <w:p w14:paraId="38136230" w14:textId="356985B1" w:rsidR="00A423AF" w:rsidRPr="00225442" w:rsidRDefault="00A423AF" w:rsidP="000B7336">
      <w:pPr>
        <w:pStyle w:val="ListParagraph"/>
        <w:numPr>
          <w:ilvl w:val="0"/>
          <w:numId w:val="39"/>
        </w:numPr>
        <w:spacing w:after="0" w:line="480" w:lineRule="auto"/>
        <w:ind w:left="0" w:firstLine="0"/>
        <w:jc w:val="both"/>
        <w:rPr>
          <w:rFonts w:ascii="Arial" w:hAnsi="Arial" w:cs="Arial"/>
          <w:sz w:val="24"/>
          <w:szCs w:val="24"/>
        </w:rPr>
      </w:pPr>
      <w:r w:rsidRPr="00225442">
        <w:rPr>
          <w:rFonts w:ascii="Arial" w:hAnsi="Arial" w:cs="Arial"/>
          <w:sz w:val="24"/>
          <w:szCs w:val="24"/>
        </w:rPr>
        <w:t xml:space="preserve">It is clear from the long title that the apparent overall intention for enacting the Customs and Excise Act is, amongst other things, to </w:t>
      </w:r>
      <w:r w:rsidRPr="00ED4D1D">
        <w:rPr>
          <w:rFonts w:ascii="Arial" w:hAnsi="Arial" w:cs="Arial"/>
          <w:sz w:val="24"/>
          <w:szCs w:val="24"/>
        </w:rPr>
        <w:t>provide for powers</w:t>
      </w:r>
      <w:r w:rsidRPr="00225442">
        <w:rPr>
          <w:rFonts w:ascii="Arial" w:hAnsi="Arial" w:cs="Arial"/>
          <w:sz w:val="24"/>
          <w:szCs w:val="24"/>
        </w:rPr>
        <w:t xml:space="preserve"> to introduce customs and excise duties and related levies. There seems to be no absurdity with regards to the ordinary meaning of s</w:t>
      </w:r>
      <w:r w:rsidR="0030241B">
        <w:rPr>
          <w:rFonts w:ascii="Arial" w:hAnsi="Arial" w:cs="Arial"/>
          <w:sz w:val="24"/>
          <w:szCs w:val="24"/>
        </w:rPr>
        <w:t>ection</w:t>
      </w:r>
      <w:r w:rsidRPr="00225442">
        <w:rPr>
          <w:rFonts w:ascii="Arial" w:hAnsi="Arial" w:cs="Arial"/>
          <w:sz w:val="24"/>
          <w:szCs w:val="24"/>
        </w:rPr>
        <w:t xml:space="preserve"> 65(1) which I set out above</w:t>
      </w:r>
      <w:r>
        <w:rPr>
          <w:rFonts w:ascii="Arial" w:hAnsi="Arial" w:cs="Arial"/>
          <w:sz w:val="24"/>
          <w:szCs w:val="24"/>
        </w:rPr>
        <w:t>,</w:t>
      </w:r>
      <w:r w:rsidRPr="00225442">
        <w:rPr>
          <w:rFonts w:ascii="Arial" w:hAnsi="Arial" w:cs="Arial"/>
          <w:sz w:val="24"/>
          <w:szCs w:val="24"/>
        </w:rPr>
        <w:t xml:space="preserve"> because it merely describes the process which may be followed </w:t>
      </w:r>
      <w:r>
        <w:rPr>
          <w:rFonts w:ascii="Arial" w:hAnsi="Arial" w:cs="Arial"/>
          <w:sz w:val="24"/>
          <w:szCs w:val="24"/>
        </w:rPr>
        <w:t xml:space="preserve">in </w:t>
      </w:r>
      <w:r w:rsidRPr="00225442">
        <w:rPr>
          <w:rFonts w:ascii="Arial" w:hAnsi="Arial" w:cs="Arial"/>
          <w:sz w:val="24"/>
          <w:szCs w:val="24"/>
        </w:rPr>
        <w:t>t</w:t>
      </w:r>
      <w:r>
        <w:rPr>
          <w:rFonts w:ascii="Arial" w:hAnsi="Arial" w:cs="Arial"/>
          <w:sz w:val="24"/>
          <w:szCs w:val="24"/>
        </w:rPr>
        <w:t xml:space="preserve">he </w:t>
      </w:r>
      <w:r w:rsidRPr="00225442">
        <w:rPr>
          <w:rFonts w:ascii="Arial" w:hAnsi="Arial" w:cs="Arial"/>
          <w:sz w:val="24"/>
          <w:szCs w:val="24"/>
        </w:rPr>
        <w:t>implement</w:t>
      </w:r>
      <w:r>
        <w:rPr>
          <w:rFonts w:ascii="Arial" w:hAnsi="Arial" w:cs="Arial"/>
          <w:sz w:val="24"/>
          <w:szCs w:val="24"/>
        </w:rPr>
        <w:t>ation of</w:t>
      </w:r>
      <w:r w:rsidRPr="00225442">
        <w:rPr>
          <w:rFonts w:ascii="Arial" w:hAnsi="Arial" w:cs="Arial"/>
          <w:sz w:val="24"/>
          <w:szCs w:val="24"/>
        </w:rPr>
        <w:t xml:space="preserve"> the above legislative intention. The ordinary meaning of s</w:t>
      </w:r>
      <w:r w:rsidR="0030241B">
        <w:rPr>
          <w:rFonts w:ascii="Arial" w:hAnsi="Arial" w:cs="Arial"/>
          <w:sz w:val="24"/>
          <w:szCs w:val="24"/>
        </w:rPr>
        <w:t>ection</w:t>
      </w:r>
      <w:r w:rsidRPr="00225442">
        <w:rPr>
          <w:rFonts w:ascii="Arial" w:hAnsi="Arial" w:cs="Arial"/>
          <w:sz w:val="24"/>
          <w:szCs w:val="24"/>
        </w:rPr>
        <w:t xml:space="preserve"> 65(1) suggests that the Minister is mandated to introduce new duty or tax and this power must be exercise</w:t>
      </w:r>
      <w:r>
        <w:rPr>
          <w:rFonts w:ascii="Arial" w:hAnsi="Arial" w:cs="Arial"/>
          <w:sz w:val="24"/>
          <w:szCs w:val="24"/>
        </w:rPr>
        <w:t>d</w:t>
      </w:r>
      <w:r w:rsidRPr="00225442">
        <w:rPr>
          <w:rFonts w:ascii="Arial" w:hAnsi="Arial" w:cs="Arial"/>
          <w:sz w:val="24"/>
          <w:szCs w:val="24"/>
        </w:rPr>
        <w:t xml:space="preserve"> in accordance with a defined process which involves tabling, before the National Assembly, a proposal for the introduction of new duty or levy against specific goods. </w:t>
      </w:r>
      <w:r>
        <w:rPr>
          <w:rFonts w:ascii="Arial" w:hAnsi="Arial" w:cs="Arial"/>
          <w:sz w:val="24"/>
          <w:szCs w:val="24"/>
        </w:rPr>
        <w:t>This c</w:t>
      </w:r>
      <w:r w:rsidRPr="00225442">
        <w:rPr>
          <w:rFonts w:ascii="Arial" w:hAnsi="Arial" w:cs="Arial"/>
          <w:sz w:val="24"/>
          <w:szCs w:val="24"/>
        </w:rPr>
        <w:t xml:space="preserve">ourt accepts the Attorney-General’s </w:t>
      </w:r>
      <w:r>
        <w:rPr>
          <w:rFonts w:ascii="Arial" w:hAnsi="Arial" w:cs="Arial"/>
          <w:sz w:val="24"/>
          <w:szCs w:val="24"/>
        </w:rPr>
        <w:t xml:space="preserve">submission </w:t>
      </w:r>
      <w:r w:rsidRPr="00225442">
        <w:rPr>
          <w:rFonts w:ascii="Arial" w:hAnsi="Arial" w:cs="Arial"/>
          <w:sz w:val="24"/>
          <w:szCs w:val="24"/>
        </w:rPr>
        <w:t>that the provision seeks to give the Minister some degree of flexibility which allows Government to secure the strategic economic and taxation interests of the country as and when it becomes necessary to do so. This is why</w:t>
      </w:r>
      <w:r>
        <w:rPr>
          <w:rFonts w:ascii="Arial" w:hAnsi="Arial" w:cs="Arial"/>
          <w:sz w:val="24"/>
          <w:szCs w:val="24"/>
        </w:rPr>
        <w:t xml:space="preserve"> </w:t>
      </w:r>
      <w:r w:rsidRPr="00225442">
        <w:rPr>
          <w:rFonts w:ascii="Arial" w:hAnsi="Arial" w:cs="Arial"/>
          <w:sz w:val="24"/>
          <w:szCs w:val="24"/>
        </w:rPr>
        <w:t>s</w:t>
      </w:r>
      <w:r w:rsidR="0030241B">
        <w:rPr>
          <w:rFonts w:ascii="Arial" w:hAnsi="Arial" w:cs="Arial"/>
          <w:sz w:val="24"/>
          <w:szCs w:val="24"/>
        </w:rPr>
        <w:t>ection</w:t>
      </w:r>
      <w:r w:rsidRPr="00225442">
        <w:rPr>
          <w:rFonts w:ascii="Arial" w:hAnsi="Arial" w:cs="Arial"/>
          <w:sz w:val="24"/>
          <w:szCs w:val="24"/>
        </w:rPr>
        <w:t xml:space="preserve"> 65(1)</w:t>
      </w:r>
      <w:r>
        <w:rPr>
          <w:rFonts w:ascii="Arial" w:hAnsi="Arial" w:cs="Arial"/>
          <w:sz w:val="24"/>
          <w:szCs w:val="24"/>
        </w:rPr>
        <w:t xml:space="preserve"> provides that</w:t>
      </w:r>
      <w:r w:rsidRPr="00225442">
        <w:rPr>
          <w:rFonts w:ascii="Arial" w:hAnsi="Arial" w:cs="Arial"/>
          <w:sz w:val="24"/>
          <w:szCs w:val="24"/>
        </w:rPr>
        <w:t xml:space="preserve"> the Minister </w:t>
      </w:r>
      <w:r>
        <w:rPr>
          <w:rFonts w:ascii="Arial" w:hAnsi="Arial" w:cs="Arial"/>
          <w:sz w:val="24"/>
          <w:szCs w:val="24"/>
        </w:rPr>
        <w:t xml:space="preserve">may </w:t>
      </w:r>
      <w:r w:rsidRPr="00225442">
        <w:rPr>
          <w:rFonts w:ascii="Arial" w:hAnsi="Arial" w:cs="Arial"/>
          <w:sz w:val="24"/>
          <w:szCs w:val="24"/>
        </w:rPr>
        <w:t xml:space="preserve">exercise this power </w:t>
      </w:r>
      <w:r>
        <w:rPr>
          <w:rFonts w:ascii="Arial" w:hAnsi="Arial" w:cs="Arial"/>
          <w:sz w:val="24"/>
          <w:szCs w:val="24"/>
        </w:rPr>
        <w:t>‘</w:t>
      </w:r>
      <w:r w:rsidRPr="00225442">
        <w:rPr>
          <w:rFonts w:ascii="Arial" w:hAnsi="Arial" w:cs="Arial"/>
          <w:sz w:val="24"/>
          <w:szCs w:val="24"/>
        </w:rPr>
        <w:t>at any time.</w:t>
      </w:r>
      <w:r>
        <w:rPr>
          <w:rFonts w:ascii="Arial" w:hAnsi="Arial" w:cs="Arial"/>
          <w:sz w:val="24"/>
          <w:szCs w:val="24"/>
        </w:rPr>
        <w:t>’</w:t>
      </w:r>
    </w:p>
    <w:p w14:paraId="5AAA9DEF" w14:textId="77777777" w:rsidR="00A423AF" w:rsidRDefault="00A423AF" w:rsidP="000B7336">
      <w:pPr>
        <w:spacing w:after="0" w:line="480" w:lineRule="auto"/>
        <w:jc w:val="both"/>
        <w:rPr>
          <w:rFonts w:ascii="Arial" w:hAnsi="Arial" w:cs="Arial"/>
          <w:sz w:val="24"/>
          <w:szCs w:val="24"/>
        </w:rPr>
      </w:pPr>
    </w:p>
    <w:p w14:paraId="5E79B323" w14:textId="775CF257" w:rsidR="00A423AF"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 xml:space="preserve">There has not been any contention advanced regarding the </w:t>
      </w:r>
      <w:r w:rsidR="001F60F4">
        <w:rPr>
          <w:rFonts w:ascii="Arial" w:hAnsi="Arial" w:cs="Arial"/>
          <w:sz w:val="24"/>
          <w:szCs w:val="24"/>
        </w:rPr>
        <w:t>un</w:t>
      </w:r>
      <w:r w:rsidRPr="00DF7294">
        <w:rPr>
          <w:rFonts w:ascii="Arial" w:hAnsi="Arial" w:cs="Arial"/>
          <w:sz w:val="24"/>
          <w:szCs w:val="24"/>
        </w:rPr>
        <w:t>constitutionality of s</w:t>
      </w:r>
      <w:r w:rsidR="0030241B">
        <w:rPr>
          <w:rFonts w:ascii="Arial" w:hAnsi="Arial" w:cs="Arial"/>
          <w:sz w:val="24"/>
          <w:szCs w:val="24"/>
        </w:rPr>
        <w:t>ection</w:t>
      </w:r>
      <w:r w:rsidRPr="00DF7294">
        <w:rPr>
          <w:rFonts w:ascii="Arial" w:hAnsi="Arial" w:cs="Arial"/>
          <w:sz w:val="24"/>
          <w:szCs w:val="24"/>
        </w:rPr>
        <w:t xml:space="preserve"> 65(1) and therefore, this Court will assume that the ordinary meaning of the provision conforms to the Constitution. In the absence of any absurdity or repugnancy, the ordinary interpretation of s</w:t>
      </w:r>
      <w:r w:rsidR="0030241B">
        <w:rPr>
          <w:rFonts w:ascii="Arial" w:hAnsi="Arial" w:cs="Arial"/>
          <w:sz w:val="24"/>
          <w:szCs w:val="24"/>
        </w:rPr>
        <w:t>ection</w:t>
      </w:r>
      <w:r w:rsidRPr="00DF7294">
        <w:rPr>
          <w:rFonts w:ascii="Arial" w:hAnsi="Arial" w:cs="Arial"/>
          <w:sz w:val="24"/>
          <w:szCs w:val="24"/>
        </w:rPr>
        <w:t xml:space="preserve"> 65(1) must stand and be given effect to. I no</w:t>
      </w:r>
      <w:r w:rsidR="000B7336">
        <w:rPr>
          <w:rFonts w:ascii="Arial" w:hAnsi="Arial" w:cs="Arial"/>
          <w:sz w:val="24"/>
          <w:szCs w:val="24"/>
        </w:rPr>
        <w:t>w turn to interpreting s</w:t>
      </w:r>
      <w:r w:rsidR="0030241B">
        <w:rPr>
          <w:rFonts w:ascii="Arial" w:hAnsi="Arial" w:cs="Arial"/>
          <w:sz w:val="24"/>
          <w:szCs w:val="24"/>
        </w:rPr>
        <w:t>ection</w:t>
      </w:r>
      <w:r w:rsidR="000B7336">
        <w:rPr>
          <w:rFonts w:ascii="Arial" w:hAnsi="Arial" w:cs="Arial"/>
          <w:sz w:val="24"/>
          <w:szCs w:val="24"/>
        </w:rPr>
        <w:t xml:space="preserve"> 65(8).</w:t>
      </w:r>
    </w:p>
    <w:p w14:paraId="0C58A710" w14:textId="77777777" w:rsidR="001F60F4" w:rsidRPr="00AD019F" w:rsidRDefault="001F60F4" w:rsidP="00A45627">
      <w:pPr>
        <w:pStyle w:val="ListParagraph"/>
        <w:spacing w:after="0" w:line="480" w:lineRule="auto"/>
        <w:ind w:left="0"/>
        <w:jc w:val="both"/>
        <w:rPr>
          <w:rFonts w:ascii="Arial" w:hAnsi="Arial" w:cs="Arial"/>
          <w:sz w:val="24"/>
          <w:szCs w:val="24"/>
        </w:rPr>
      </w:pPr>
    </w:p>
    <w:p w14:paraId="36F03A1E" w14:textId="77777777" w:rsidR="00A423AF" w:rsidRPr="00DF7294" w:rsidRDefault="00A423AF" w:rsidP="006B1C5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Section 65(8) of the Customs and Excise Act provides as follows:</w:t>
      </w:r>
    </w:p>
    <w:p w14:paraId="44D93EA5" w14:textId="77777777" w:rsidR="00A423AF" w:rsidRPr="00423BA7" w:rsidRDefault="00A423AF" w:rsidP="000B7336">
      <w:pPr>
        <w:tabs>
          <w:tab w:val="left" w:pos="0"/>
        </w:tabs>
        <w:spacing w:after="0" w:line="360" w:lineRule="auto"/>
        <w:ind w:left="720"/>
        <w:jc w:val="both"/>
        <w:rPr>
          <w:rFonts w:ascii="Arial" w:hAnsi="Arial" w:cs="Arial"/>
        </w:rPr>
      </w:pPr>
      <w:r>
        <w:rPr>
          <w:rFonts w:ascii="Arial" w:hAnsi="Arial" w:cs="Arial"/>
        </w:rPr>
        <w:t>‘(8) A n</w:t>
      </w:r>
      <w:r w:rsidRPr="00423BA7">
        <w:rPr>
          <w:rFonts w:ascii="Arial" w:hAnsi="Arial" w:cs="Arial"/>
        </w:rPr>
        <w:t xml:space="preserve">otice in the Gazette </w:t>
      </w:r>
      <w:r w:rsidRPr="006852A5">
        <w:rPr>
          <w:rFonts w:ascii="Arial" w:hAnsi="Arial" w:cs="Arial"/>
          <w:i/>
        </w:rPr>
        <w:t>by means of which</w:t>
      </w:r>
      <w:r w:rsidRPr="00423BA7">
        <w:rPr>
          <w:rFonts w:ascii="Arial" w:hAnsi="Arial" w:cs="Arial"/>
        </w:rPr>
        <w:t xml:space="preserve"> the Minister under any provision of this Act </w:t>
      </w:r>
      <w:r w:rsidRPr="008515E9">
        <w:rPr>
          <w:rFonts w:ascii="Arial" w:hAnsi="Arial" w:cs="Arial"/>
        </w:rPr>
        <w:t>amends any Schedule</w:t>
      </w:r>
      <w:r w:rsidRPr="00423BA7">
        <w:rPr>
          <w:rFonts w:ascii="Arial" w:hAnsi="Arial" w:cs="Arial"/>
        </w:rPr>
        <w:t xml:space="preserve">, </w:t>
      </w:r>
      <w:r w:rsidRPr="006852A5">
        <w:rPr>
          <w:rFonts w:ascii="Arial" w:hAnsi="Arial" w:cs="Arial"/>
          <w:i/>
        </w:rPr>
        <w:t>imposes any new duty</w:t>
      </w:r>
      <w:r w:rsidRPr="00423BA7">
        <w:rPr>
          <w:rFonts w:ascii="Arial" w:hAnsi="Arial" w:cs="Arial"/>
        </w:rPr>
        <w:t>, or amends or withdraws any existing duty, shall, notwithstanding subsection (1), be tabled by the Minister in the National Assembly within a period of 21 days after the promulgation of such notice, if the National Assembly is then in ordinary session, or if the National Assembly is not then in ordinary session, within a period of 21 days after the commencement of its next ensuing ordinary session, and shall remain on the Table of the National Assembly for a period of not less than 28 consecutive days, and if that session is terminated before such period of 28 days has lapsed, such notice shall again be tabled in the National Assembly within a period of 21 days after the commencement of its next ensuing ordinary session.</w:t>
      </w:r>
      <w:r>
        <w:rPr>
          <w:rFonts w:ascii="Arial" w:hAnsi="Arial" w:cs="Arial"/>
        </w:rPr>
        <w:t>’ (Emphasis is mine)</w:t>
      </w:r>
    </w:p>
    <w:p w14:paraId="5D4520D2" w14:textId="77777777" w:rsidR="00A423AF" w:rsidRPr="00426529" w:rsidRDefault="00A423AF" w:rsidP="000B7336">
      <w:pPr>
        <w:spacing w:after="0" w:line="480" w:lineRule="auto"/>
        <w:ind w:left="360"/>
        <w:jc w:val="both"/>
        <w:rPr>
          <w:rFonts w:ascii="Arial" w:hAnsi="Arial" w:cs="Arial"/>
          <w:sz w:val="24"/>
          <w:szCs w:val="24"/>
        </w:rPr>
      </w:pPr>
    </w:p>
    <w:p w14:paraId="4009132C" w14:textId="0A94774C" w:rsidR="00A423AF"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Applying the same rule that the ordinary grammatical meaning ought to be established and upheld unless it is absurd or repugnant, the ordinary interpretation of s</w:t>
      </w:r>
      <w:r w:rsidR="0030241B">
        <w:rPr>
          <w:rFonts w:ascii="Arial" w:hAnsi="Arial" w:cs="Arial"/>
          <w:sz w:val="24"/>
          <w:szCs w:val="24"/>
        </w:rPr>
        <w:t>ection</w:t>
      </w:r>
      <w:r w:rsidRPr="00DF7294">
        <w:rPr>
          <w:rFonts w:ascii="Arial" w:hAnsi="Arial" w:cs="Arial"/>
          <w:sz w:val="24"/>
          <w:szCs w:val="24"/>
        </w:rPr>
        <w:t xml:space="preserve"> 65(8) is as follows:</w:t>
      </w:r>
    </w:p>
    <w:p w14:paraId="373154A1" w14:textId="77777777" w:rsidR="00A423AF" w:rsidRPr="002F24C4" w:rsidRDefault="00A423AF" w:rsidP="000B7336">
      <w:pPr>
        <w:spacing w:after="0" w:line="480" w:lineRule="auto"/>
        <w:ind w:left="360"/>
        <w:jc w:val="both"/>
        <w:rPr>
          <w:rFonts w:ascii="Arial" w:hAnsi="Arial" w:cs="Arial"/>
          <w:sz w:val="24"/>
          <w:szCs w:val="24"/>
        </w:rPr>
      </w:pPr>
    </w:p>
    <w:p w14:paraId="7A886F90" w14:textId="3FE9DBA1" w:rsidR="00A423AF" w:rsidRDefault="00A423AF" w:rsidP="006B1C56">
      <w:pPr>
        <w:pStyle w:val="ListParagraph"/>
        <w:numPr>
          <w:ilvl w:val="0"/>
          <w:numId w:val="38"/>
        </w:numPr>
        <w:tabs>
          <w:tab w:val="left" w:pos="0"/>
        </w:tabs>
        <w:spacing w:after="0" w:line="480" w:lineRule="auto"/>
        <w:jc w:val="both"/>
        <w:rPr>
          <w:rFonts w:ascii="Arial" w:hAnsi="Arial" w:cs="Arial"/>
          <w:sz w:val="24"/>
          <w:szCs w:val="24"/>
        </w:rPr>
      </w:pPr>
      <w:r w:rsidRPr="00DF7294">
        <w:rPr>
          <w:rFonts w:ascii="Arial" w:hAnsi="Arial" w:cs="Arial"/>
          <w:sz w:val="24"/>
          <w:szCs w:val="24"/>
        </w:rPr>
        <w:t xml:space="preserve">By way of a Government </w:t>
      </w:r>
      <w:r>
        <w:rPr>
          <w:rFonts w:ascii="Arial" w:hAnsi="Arial" w:cs="Arial"/>
          <w:sz w:val="24"/>
          <w:szCs w:val="24"/>
        </w:rPr>
        <w:t>N</w:t>
      </w:r>
      <w:r w:rsidRPr="00DF7294">
        <w:rPr>
          <w:rFonts w:ascii="Arial" w:hAnsi="Arial" w:cs="Arial"/>
          <w:sz w:val="24"/>
          <w:szCs w:val="24"/>
        </w:rPr>
        <w:t>otice, the Minis</w:t>
      </w:r>
      <w:r w:rsidR="000B7336">
        <w:rPr>
          <w:rFonts w:ascii="Arial" w:hAnsi="Arial" w:cs="Arial"/>
          <w:sz w:val="24"/>
          <w:szCs w:val="24"/>
        </w:rPr>
        <w:t>ter may promulgate regulations;</w:t>
      </w:r>
    </w:p>
    <w:p w14:paraId="023B81A9" w14:textId="77777777" w:rsidR="000B7336" w:rsidRPr="00DF7294" w:rsidRDefault="000B7336" w:rsidP="000B7336">
      <w:pPr>
        <w:pStyle w:val="ListParagraph"/>
        <w:tabs>
          <w:tab w:val="left" w:pos="0"/>
        </w:tabs>
        <w:spacing w:after="0" w:line="480" w:lineRule="auto"/>
        <w:ind w:left="1778"/>
        <w:jc w:val="both"/>
        <w:rPr>
          <w:rFonts w:ascii="Arial" w:hAnsi="Arial" w:cs="Arial"/>
          <w:sz w:val="24"/>
          <w:szCs w:val="24"/>
        </w:rPr>
      </w:pPr>
    </w:p>
    <w:p w14:paraId="5F2CE7AA" w14:textId="7DD79E6E" w:rsidR="00A423AF" w:rsidRDefault="00A423AF" w:rsidP="006B1C56">
      <w:pPr>
        <w:pStyle w:val="ListParagraph"/>
        <w:numPr>
          <w:ilvl w:val="0"/>
          <w:numId w:val="38"/>
        </w:numPr>
        <w:tabs>
          <w:tab w:val="left" w:pos="0"/>
        </w:tabs>
        <w:spacing w:after="0" w:line="480" w:lineRule="auto"/>
        <w:jc w:val="both"/>
        <w:rPr>
          <w:rFonts w:ascii="Arial" w:hAnsi="Arial" w:cs="Arial"/>
          <w:sz w:val="24"/>
          <w:szCs w:val="24"/>
        </w:rPr>
      </w:pPr>
      <w:r w:rsidRPr="001A40C6">
        <w:rPr>
          <w:rFonts w:ascii="Arial" w:hAnsi="Arial" w:cs="Arial"/>
          <w:sz w:val="24"/>
          <w:szCs w:val="24"/>
        </w:rPr>
        <w:t xml:space="preserve">To </w:t>
      </w:r>
      <w:r>
        <w:rPr>
          <w:rFonts w:ascii="Arial" w:hAnsi="Arial" w:cs="Arial"/>
          <w:sz w:val="24"/>
          <w:szCs w:val="24"/>
        </w:rPr>
        <w:t xml:space="preserve">amend any Schedule or to impose new </w:t>
      </w:r>
      <w:r w:rsidRPr="001A40C6">
        <w:rPr>
          <w:rFonts w:ascii="Arial" w:hAnsi="Arial" w:cs="Arial"/>
          <w:sz w:val="24"/>
          <w:szCs w:val="24"/>
        </w:rPr>
        <w:t>duty or amend an existing duty on certain goods</w:t>
      </w:r>
      <w:r>
        <w:rPr>
          <w:rFonts w:ascii="Arial" w:hAnsi="Arial" w:cs="Arial"/>
          <w:sz w:val="24"/>
          <w:szCs w:val="24"/>
        </w:rPr>
        <w:t>;</w:t>
      </w:r>
    </w:p>
    <w:p w14:paraId="36CE83A9" w14:textId="77777777" w:rsidR="000B7336" w:rsidRPr="000B7336" w:rsidRDefault="000B7336" w:rsidP="000B7336">
      <w:pPr>
        <w:pStyle w:val="ListParagraph"/>
        <w:spacing w:after="0" w:line="480" w:lineRule="auto"/>
        <w:jc w:val="both"/>
        <w:rPr>
          <w:rFonts w:ascii="Arial" w:hAnsi="Arial" w:cs="Arial"/>
          <w:sz w:val="24"/>
          <w:szCs w:val="24"/>
        </w:rPr>
      </w:pPr>
    </w:p>
    <w:p w14:paraId="58C04471" w14:textId="7CB15767" w:rsidR="00A423AF" w:rsidRDefault="00A423AF" w:rsidP="006B1C56">
      <w:pPr>
        <w:pStyle w:val="ListParagraph"/>
        <w:numPr>
          <w:ilvl w:val="0"/>
          <w:numId w:val="38"/>
        </w:numPr>
        <w:tabs>
          <w:tab w:val="left" w:pos="0"/>
        </w:tabs>
        <w:spacing w:after="0" w:line="480" w:lineRule="auto"/>
        <w:jc w:val="both"/>
        <w:rPr>
          <w:rFonts w:ascii="Arial" w:hAnsi="Arial" w:cs="Arial"/>
          <w:sz w:val="24"/>
          <w:szCs w:val="24"/>
        </w:rPr>
      </w:pPr>
      <w:r>
        <w:rPr>
          <w:rFonts w:ascii="Arial" w:hAnsi="Arial" w:cs="Arial"/>
          <w:sz w:val="24"/>
          <w:szCs w:val="24"/>
        </w:rPr>
        <w:t xml:space="preserve">Notwithstanding </w:t>
      </w:r>
      <w:r w:rsidRPr="001A40C6">
        <w:rPr>
          <w:rFonts w:ascii="Arial" w:hAnsi="Arial" w:cs="Arial"/>
          <w:sz w:val="24"/>
          <w:szCs w:val="24"/>
        </w:rPr>
        <w:t>the process set out in s</w:t>
      </w:r>
      <w:r w:rsidR="0030241B">
        <w:rPr>
          <w:rFonts w:ascii="Arial" w:hAnsi="Arial" w:cs="Arial"/>
          <w:sz w:val="24"/>
          <w:szCs w:val="24"/>
        </w:rPr>
        <w:t>ection</w:t>
      </w:r>
      <w:r w:rsidRPr="001A40C6">
        <w:rPr>
          <w:rFonts w:ascii="Arial" w:hAnsi="Arial" w:cs="Arial"/>
          <w:sz w:val="24"/>
          <w:szCs w:val="24"/>
        </w:rPr>
        <w:t xml:space="preserve"> 65(1), the </w:t>
      </w:r>
      <w:r>
        <w:rPr>
          <w:rFonts w:ascii="Arial" w:hAnsi="Arial" w:cs="Arial"/>
          <w:sz w:val="24"/>
          <w:szCs w:val="24"/>
        </w:rPr>
        <w:t>n</w:t>
      </w:r>
      <w:r w:rsidRPr="001A40C6">
        <w:rPr>
          <w:rFonts w:ascii="Arial" w:hAnsi="Arial" w:cs="Arial"/>
          <w:sz w:val="24"/>
          <w:szCs w:val="24"/>
        </w:rPr>
        <w:t>otice containing the regulations must be tabled before the National Assembly within 21 days after it has been promulgated if the National Assembly is in ordinary session</w:t>
      </w:r>
      <w:r>
        <w:rPr>
          <w:rFonts w:ascii="Arial" w:hAnsi="Arial" w:cs="Arial"/>
          <w:sz w:val="24"/>
          <w:szCs w:val="24"/>
        </w:rPr>
        <w:t>;</w:t>
      </w:r>
      <w:r w:rsidRPr="001A40C6">
        <w:rPr>
          <w:rFonts w:ascii="Arial" w:hAnsi="Arial" w:cs="Arial"/>
          <w:sz w:val="24"/>
          <w:szCs w:val="24"/>
        </w:rPr>
        <w:t xml:space="preserve"> or</w:t>
      </w:r>
    </w:p>
    <w:p w14:paraId="0F102EBE" w14:textId="77777777" w:rsidR="001F60F4" w:rsidRPr="00AD019F" w:rsidRDefault="001F60F4" w:rsidP="00AD019F">
      <w:pPr>
        <w:tabs>
          <w:tab w:val="left" w:pos="0"/>
        </w:tabs>
        <w:spacing w:after="0" w:line="480" w:lineRule="auto"/>
        <w:jc w:val="both"/>
        <w:rPr>
          <w:rFonts w:ascii="Arial" w:hAnsi="Arial" w:cs="Arial"/>
          <w:sz w:val="24"/>
          <w:szCs w:val="24"/>
        </w:rPr>
      </w:pPr>
    </w:p>
    <w:p w14:paraId="630E7B2A" w14:textId="77777777" w:rsidR="00A423AF" w:rsidRDefault="00A423AF" w:rsidP="006B1C56">
      <w:pPr>
        <w:pStyle w:val="ListParagraph"/>
        <w:numPr>
          <w:ilvl w:val="0"/>
          <w:numId w:val="38"/>
        </w:numPr>
        <w:tabs>
          <w:tab w:val="left" w:pos="0"/>
        </w:tabs>
        <w:spacing w:after="0" w:line="480" w:lineRule="auto"/>
        <w:jc w:val="both"/>
        <w:rPr>
          <w:rFonts w:ascii="Arial" w:hAnsi="Arial" w:cs="Arial"/>
          <w:sz w:val="24"/>
          <w:szCs w:val="24"/>
        </w:rPr>
      </w:pPr>
      <w:r w:rsidRPr="001A40C6">
        <w:rPr>
          <w:rFonts w:ascii="Arial" w:hAnsi="Arial" w:cs="Arial"/>
          <w:sz w:val="24"/>
          <w:szCs w:val="24"/>
        </w:rPr>
        <w:t xml:space="preserve">Where the </w:t>
      </w:r>
      <w:r>
        <w:rPr>
          <w:rFonts w:ascii="Arial" w:hAnsi="Arial" w:cs="Arial"/>
          <w:sz w:val="24"/>
          <w:szCs w:val="24"/>
        </w:rPr>
        <w:t>n</w:t>
      </w:r>
      <w:r w:rsidRPr="001A40C6">
        <w:rPr>
          <w:rFonts w:ascii="Arial" w:hAnsi="Arial" w:cs="Arial"/>
          <w:sz w:val="24"/>
          <w:szCs w:val="24"/>
        </w:rPr>
        <w:t>otice has been promulgated at a time when the National Assembly i</w:t>
      </w:r>
      <w:r>
        <w:rPr>
          <w:rFonts w:ascii="Arial" w:hAnsi="Arial" w:cs="Arial"/>
          <w:sz w:val="24"/>
          <w:szCs w:val="24"/>
        </w:rPr>
        <w:t>s not in ordinary session, the n</w:t>
      </w:r>
      <w:r w:rsidRPr="001A40C6">
        <w:rPr>
          <w:rFonts w:ascii="Arial" w:hAnsi="Arial" w:cs="Arial"/>
          <w:sz w:val="24"/>
          <w:szCs w:val="24"/>
        </w:rPr>
        <w:t>otice must be tabled within the first 21 days after the next ordinary session of the National Assembly.</w:t>
      </w:r>
    </w:p>
    <w:p w14:paraId="08316C68" w14:textId="3A72FE7C"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 xml:space="preserve">It is important to note that when </w:t>
      </w:r>
      <w:r>
        <w:rPr>
          <w:rFonts w:ascii="Arial" w:hAnsi="Arial" w:cs="Arial"/>
          <w:sz w:val="24"/>
          <w:szCs w:val="24"/>
        </w:rPr>
        <w:t>tabling the n</w:t>
      </w:r>
      <w:r w:rsidRPr="00DF7294">
        <w:rPr>
          <w:rFonts w:ascii="Arial" w:hAnsi="Arial" w:cs="Arial"/>
          <w:sz w:val="24"/>
          <w:szCs w:val="24"/>
        </w:rPr>
        <w:t xml:space="preserve">otice in the National Assembly, the Minister is not submitting a </w:t>
      </w:r>
      <w:r w:rsidRPr="004D6E72">
        <w:rPr>
          <w:rFonts w:ascii="Arial" w:hAnsi="Arial" w:cs="Arial"/>
          <w:i/>
          <w:sz w:val="24"/>
          <w:szCs w:val="24"/>
        </w:rPr>
        <w:t>proposal</w:t>
      </w:r>
      <w:r w:rsidRPr="00DF7294">
        <w:rPr>
          <w:rFonts w:ascii="Arial" w:hAnsi="Arial" w:cs="Arial"/>
          <w:sz w:val="24"/>
          <w:szCs w:val="24"/>
        </w:rPr>
        <w:t xml:space="preserve"> for the introduction of additional duty.</w:t>
      </w:r>
      <w:r w:rsidR="000B7336">
        <w:rPr>
          <w:rFonts w:ascii="Arial" w:hAnsi="Arial" w:cs="Arial"/>
          <w:sz w:val="24"/>
          <w:szCs w:val="24"/>
        </w:rPr>
        <w:t xml:space="preserve"> </w:t>
      </w:r>
      <w:r w:rsidRPr="00DF7294">
        <w:rPr>
          <w:rFonts w:ascii="Arial" w:hAnsi="Arial" w:cs="Arial"/>
          <w:sz w:val="24"/>
          <w:szCs w:val="24"/>
        </w:rPr>
        <w:t xml:space="preserve">Rather, the Minister is informing the National Assembly of his or her regulations that have been promulgated through the Government Notice. If the National Assembly is unhappy with the regulations, </w:t>
      </w:r>
      <w:r>
        <w:rPr>
          <w:rFonts w:ascii="Arial" w:hAnsi="Arial" w:cs="Arial"/>
          <w:sz w:val="24"/>
          <w:szCs w:val="24"/>
        </w:rPr>
        <w:t>i</w:t>
      </w:r>
      <w:r w:rsidRPr="00DF7294">
        <w:rPr>
          <w:rFonts w:ascii="Arial" w:hAnsi="Arial" w:cs="Arial"/>
          <w:sz w:val="24"/>
          <w:szCs w:val="24"/>
        </w:rPr>
        <w:t>t can pass a resolution within 28 days</w:t>
      </w:r>
      <w:r>
        <w:rPr>
          <w:rFonts w:ascii="Arial" w:hAnsi="Arial" w:cs="Arial"/>
          <w:sz w:val="24"/>
          <w:szCs w:val="24"/>
        </w:rPr>
        <w:t xml:space="preserve"> (after the tabling of the n</w:t>
      </w:r>
      <w:r w:rsidRPr="00DF7294">
        <w:rPr>
          <w:rFonts w:ascii="Arial" w:hAnsi="Arial" w:cs="Arial"/>
          <w:sz w:val="24"/>
          <w:szCs w:val="24"/>
        </w:rPr>
        <w:t>otice) to terminate, vary or suspend the operation of the new duty. This is confirmed in s</w:t>
      </w:r>
      <w:r w:rsidR="0030241B">
        <w:rPr>
          <w:rFonts w:ascii="Arial" w:hAnsi="Arial" w:cs="Arial"/>
          <w:sz w:val="24"/>
          <w:szCs w:val="24"/>
        </w:rPr>
        <w:t>ection</w:t>
      </w:r>
      <w:r w:rsidRPr="00DF7294">
        <w:rPr>
          <w:rFonts w:ascii="Arial" w:hAnsi="Arial" w:cs="Arial"/>
          <w:sz w:val="24"/>
          <w:szCs w:val="24"/>
        </w:rPr>
        <w:t xml:space="preserve"> 65(9) which reads:</w:t>
      </w:r>
    </w:p>
    <w:p w14:paraId="6B189763" w14:textId="77777777" w:rsidR="00A423AF" w:rsidRPr="006B1C56" w:rsidRDefault="00A423AF" w:rsidP="00A45627">
      <w:pPr>
        <w:tabs>
          <w:tab w:val="left" w:pos="0"/>
        </w:tabs>
        <w:spacing w:after="0" w:line="480" w:lineRule="auto"/>
        <w:ind w:left="720"/>
        <w:jc w:val="both"/>
        <w:rPr>
          <w:rFonts w:ascii="Arial" w:hAnsi="Arial" w:cs="Arial"/>
          <w:sz w:val="24"/>
          <w:szCs w:val="24"/>
        </w:rPr>
      </w:pPr>
    </w:p>
    <w:p w14:paraId="2974A75A" w14:textId="77777777" w:rsidR="00A423AF" w:rsidRPr="00DF7294" w:rsidRDefault="00A423AF" w:rsidP="000B7336">
      <w:pPr>
        <w:tabs>
          <w:tab w:val="left" w:pos="0"/>
        </w:tabs>
        <w:spacing w:after="0" w:line="360" w:lineRule="auto"/>
        <w:ind w:left="720"/>
        <w:jc w:val="both"/>
        <w:rPr>
          <w:rFonts w:ascii="Arial" w:hAnsi="Arial" w:cs="Arial"/>
        </w:rPr>
      </w:pPr>
      <w:r w:rsidRPr="00DF7294">
        <w:rPr>
          <w:rFonts w:ascii="Arial" w:hAnsi="Arial" w:cs="Arial"/>
        </w:rPr>
        <w:t>‘(9) If the National Assembly, during the period of 28 days referred to in subsection (8), passes a resolution relating to the notice on the Table as contemplated in that subsection, such resolution shall not affect the validity of anything done in terms of such notice until the date immediately prior to the date upon which such resolution was passed, or to any right, privilege, obligation or liability acquired, accrued or incurred at such date in terms of such notice.’</w:t>
      </w:r>
    </w:p>
    <w:p w14:paraId="7B45013B" w14:textId="77777777" w:rsidR="00A423AF" w:rsidRPr="00DF7294" w:rsidRDefault="00A423AF" w:rsidP="000B7336">
      <w:pPr>
        <w:spacing w:after="0" w:line="480" w:lineRule="auto"/>
        <w:jc w:val="both"/>
        <w:rPr>
          <w:rFonts w:ascii="Arial" w:hAnsi="Arial" w:cs="Arial"/>
          <w:sz w:val="24"/>
          <w:szCs w:val="24"/>
        </w:rPr>
      </w:pPr>
    </w:p>
    <w:p w14:paraId="214D36F6" w14:textId="284A3D78"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Therefore, the Minister may promulgate a regulation through a Government Notice which introduces new duty, payable with imme</w:t>
      </w:r>
      <w:r>
        <w:rPr>
          <w:rFonts w:ascii="Arial" w:hAnsi="Arial" w:cs="Arial"/>
          <w:sz w:val="24"/>
          <w:szCs w:val="24"/>
        </w:rPr>
        <w:t>diate effect. Upon tabling the n</w:t>
      </w:r>
      <w:r w:rsidRPr="00DF7294">
        <w:rPr>
          <w:rFonts w:ascii="Arial" w:hAnsi="Arial" w:cs="Arial"/>
          <w:sz w:val="24"/>
          <w:szCs w:val="24"/>
        </w:rPr>
        <w:t xml:space="preserve">otice, the National Assembly may (if </w:t>
      </w:r>
      <w:r>
        <w:rPr>
          <w:rFonts w:ascii="Arial" w:hAnsi="Arial" w:cs="Arial"/>
          <w:sz w:val="24"/>
          <w:szCs w:val="24"/>
        </w:rPr>
        <w:t xml:space="preserve">it </w:t>
      </w:r>
      <w:r w:rsidRPr="00DF7294">
        <w:rPr>
          <w:rFonts w:ascii="Arial" w:hAnsi="Arial" w:cs="Arial"/>
          <w:sz w:val="24"/>
          <w:szCs w:val="24"/>
        </w:rPr>
        <w:t>so wish</w:t>
      </w:r>
      <w:r>
        <w:rPr>
          <w:rFonts w:ascii="Arial" w:hAnsi="Arial" w:cs="Arial"/>
          <w:sz w:val="24"/>
          <w:szCs w:val="24"/>
        </w:rPr>
        <w:t>es</w:t>
      </w:r>
      <w:r w:rsidRPr="00DF7294">
        <w:rPr>
          <w:rFonts w:ascii="Arial" w:hAnsi="Arial" w:cs="Arial"/>
          <w:sz w:val="24"/>
          <w:szCs w:val="24"/>
        </w:rPr>
        <w:t xml:space="preserve">) suspend, vary or terminate the operation of the new duty but such termination, variation or suspension </w:t>
      </w:r>
      <w:r w:rsidRPr="001C1609">
        <w:rPr>
          <w:rFonts w:ascii="Arial" w:hAnsi="Arial" w:cs="Arial"/>
          <w:sz w:val="24"/>
          <w:szCs w:val="24"/>
        </w:rPr>
        <w:t>will not have a retrospective effect on the obligations and liabilities already accrued or incurred</w:t>
      </w:r>
      <w:r w:rsidRPr="00DF7294">
        <w:rPr>
          <w:rFonts w:ascii="Arial" w:hAnsi="Arial" w:cs="Arial"/>
          <w:sz w:val="24"/>
          <w:szCs w:val="24"/>
        </w:rPr>
        <w:t xml:space="preserve"> in terms of the </w:t>
      </w:r>
      <w:r>
        <w:rPr>
          <w:rFonts w:ascii="Arial" w:hAnsi="Arial" w:cs="Arial"/>
          <w:sz w:val="24"/>
          <w:szCs w:val="24"/>
        </w:rPr>
        <w:t>n</w:t>
      </w:r>
      <w:r w:rsidR="000B7336">
        <w:rPr>
          <w:rFonts w:ascii="Arial" w:hAnsi="Arial" w:cs="Arial"/>
          <w:sz w:val="24"/>
          <w:szCs w:val="24"/>
        </w:rPr>
        <w:t>otice.</w:t>
      </w:r>
    </w:p>
    <w:p w14:paraId="5F806133" w14:textId="77777777" w:rsidR="001F60F4" w:rsidRPr="00AD019F" w:rsidRDefault="001F60F4" w:rsidP="00AD019F">
      <w:pPr>
        <w:spacing w:after="0" w:line="480" w:lineRule="auto"/>
        <w:jc w:val="both"/>
        <w:rPr>
          <w:rFonts w:ascii="Arial" w:hAnsi="Arial" w:cs="Arial"/>
          <w:sz w:val="24"/>
          <w:szCs w:val="24"/>
        </w:rPr>
      </w:pPr>
    </w:p>
    <w:p w14:paraId="4A78CA35" w14:textId="43C9F934"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 xml:space="preserve">The above ordinary meaning must be weighed against the intention of the legislature in order to establish if it causes any absurdity or repugnancy. It seems to me that there is no absurdity or repugnancy which ensues from the above interpretation as it sets out a process through which the legislative intention may be achieved. It does not undermine the legislative intention to empower the Minister with flexible means of introducing additional duty. Rather, it promotes the implementation of this intention by the </w:t>
      </w:r>
      <w:r>
        <w:rPr>
          <w:rFonts w:ascii="Arial" w:hAnsi="Arial" w:cs="Arial"/>
          <w:sz w:val="24"/>
          <w:szCs w:val="24"/>
        </w:rPr>
        <w:t>l</w:t>
      </w:r>
      <w:r w:rsidRPr="00DF7294">
        <w:rPr>
          <w:rFonts w:ascii="Arial" w:hAnsi="Arial" w:cs="Arial"/>
          <w:sz w:val="24"/>
          <w:szCs w:val="24"/>
        </w:rPr>
        <w:t>egislature. There is no constitutional attack that has been launched against it and therefore there is no reason for this Court to doubt its conformity with the Constitution. In the absence of any absurdity or repugnancy, the above ordinary interpretati</w:t>
      </w:r>
      <w:r w:rsidR="000B7336">
        <w:rPr>
          <w:rFonts w:ascii="Arial" w:hAnsi="Arial" w:cs="Arial"/>
          <w:sz w:val="24"/>
          <w:szCs w:val="24"/>
        </w:rPr>
        <w:t>on must be ascribed to s</w:t>
      </w:r>
      <w:r w:rsidR="0030241B">
        <w:rPr>
          <w:rFonts w:ascii="Arial" w:hAnsi="Arial" w:cs="Arial"/>
          <w:sz w:val="24"/>
          <w:szCs w:val="24"/>
        </w:rPr>
        <w:t>ection</w:t>
      </w:r>
      <w:r w:rsidR="000B7336">
        <w:rPr>
          <w:rFonts w:ascii="Arial" w:hAnsi="Arial" w:cs="Arial"/>
          <w:sz w:val="24"/>
          <w:szCs w:val="24"/>
        </w:rPr>
        <w:t xml:space="preserve"> 65(8).</w:t>
      </w:r>
    </w:p>
    <w:p w14:paraId="16F224DB" w14:textId="77777777" w:rsidR="00A423AF" w:rsidRDefault="00A423AF" w:rsidP="000B7336">
      <w:pPr>
        <w:tabs>
          <w:tab w:val="left" w:pos="0"/>
        </w:tabs>
        <w:spacing w:after="0" w:line="480" w:lineRule="auto"/>
        <w:jc w:val="both"/>
        <w:rPr>
          <w:rFonts w:ascii="Arial" w:hAnsi="Arial" w:cs="Arial"/>
          <w:sz w:val="24"/>
          <w:szCs w:val="24"/>
          <w:u w:val="single"/>
        </w:rPr>
      </w:pPr>
    </w:p>
    <w:p w14:paraId="627C919D" w14:textId="77777777" w:rsidR="00A423AF" w:rsidRPr="00EA16A6" w:rsidRDefault="00A423AF" w:rsidP="000B7336">
      <w:pPr>
        <w:tabs>
          <w:tab w:val="left" w:pos="0"/>
        </w:tabs>
        <w:spacing w:after="0" w:line="480" w:lineRule="auto"/>
        <w:jc w:val="both"/>
        <w:rPr>
          <w:rFonts w:ascii="Arial" w:hAnsi="Arial" w:cs="Arial"/>
          <w:sz w:val="24"/>
          <w:szCs w:val="24"/>
          <w:u w:val="single"/>
        </w:rPr>
      </w:pPr>
      <w:r w:rsidRPr="00EA16A6">
        <w:rPr>
          <w:rFonts w:ascii="Arial" w:hAnsi="Arial" w:cs="Arial"/>
          <w:sz w:val="24"/>
          <w:szCs w:val="24"/>
          <w:u w:val="single"/>
        </w:rPr>
        <w:t xml:space="preserve">The relationship between section 65(1) and (8) of the Customs </w:t>
      </w:r>
      <w:r>
        <w:rPr>
          <w:rFonts w:ascii="Arial" w:hAnsi="Arial" w:cs="Arial"/>
          <w:sz w:val="24"/>
          <w:szCs w:val="24"/>
          <w:u w:val="single"/>
        </w:rPr>
        <w:t xml:space="preserve">and Excise </w:t>
      </w:r>
      <w:r w:rsidRPr="00EA16A6">
        <w:rPr>
          <w:rFonts w:ascii="Arial" w:hAnsi="Arial" w:cs="Arial"/>
          <w:sz w:val="24"/>
          <w:szCs w:val="24"/>
          <w:u w:val="single"/>
        </w:rPr>
        <w:t>Act</w:t>
      </w:r>
    </w:p>
    <w:p w14:paraId="5FEB2CBE" w14:textId="67C151BF"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 xml:space="preserve">I have mentioned that as a rule of statutory interpretation, a statute must be interpreted as a whole. </w:t>
      </w:r>
      <w:r>
        <w:rPr>
          <w:rFonts w:ascii="Arial" w:hAnsi="Arial" w:cs="Arial"/>
          <w:sz w:val="24"/>
          <w:szCs w:val="24"/>
        </w:rPr>
        <w:t xml:space="preserve">This means that </w:t>
      </w:r>
      <w:r w:rsidRPr="00DF7294">
        <w:rPr>
          <w:rFonts w:ascii="Arial" w:hAnsi="Arial" w:cs="Arial"/>
          <w:sz w:val="24"/>
          <w:szCs w:val="24"/>
        </w:rPr>
        <w:t xml:space="preserve">the various provisions must be interpreted together or in relation to each other. </w:t>
      </w:r>
      <w:r>
        <w:rPr>
          <w:rFonts w:ascii="Arial" w:hAnsi="Arial" w:cs="Arial"/>
          <w:sz w:val="24"/>
          <w:szCs w:val="24"/>
        </w:rPr>
        <w:t>B</w:t>
      </w:r>
      <w:r w:rsidRPr="00DF7294">
        <w:rPr>
          <w:rFonts w:ascii="Arial" w:hAnsi="Arial" w:cs="Arial"/>
          <w:sz w:val="24"/>
          <w:szCs w:val="24"/>
        </w:rPr>
        <w:t>oth s</w:t>
      </w:r>
      <w:r>
        <w:rPr>
          <w:rFonts w:ascii="Arial" w:hAnsi="Arial" w:cs="Arial"/>
          <w:sz w:val="24"/>
          <w:szCs w:val="24"/>
        </w:rPr>
        <w:t>ub</w:t>
      </w:r>
      <w:r w:rsidRPr="00DF7294">
        <w:rPr>
          <w:rFonts w:ascii="Arial" w:hAnsi="Arial" w:cs="Arial"/>
          <w:sz w:val="24"/>
          <w:szCs w:val="24"/>
        </w:rPr>
        <w:t>s</w:t>
      </w:r>
      <w:r>
        <w:rPr>
          <w:rFonts w:ascii="Arial" w:hAnsi="Arial" w:cs="Arial"/>
          <w:sz w:val="24"/>
          <w:szCs w:val="24"/>
        </w:rPr>
        <w:t xml:space="preserve">ections </w:t>
      </w:r>
      <w:r w:rsidRPr="00DF7294">
        <w:rPr>
          <w:rFonts w:ascii="Arial" w:hAnsi="Arial" w:cs="Arial"/>
          <w:sz w:val="24"/>
          <w:szCs w:val="24"/>
        </w:rPr>
        <w:t>(1) and (8) are obviously part of s</w:t>
      </w:r>
      <w:r w:rsidR="0030241B">
        <w:rPr>
          <w:rFonts w:ascii="Arial" w:hAnsi="Arial" w:cs="Arial"/>
          <w:sz w:val="24"/>
          <w:szCs w:val="24"/>
        </w:rPr>
        <w:t>ection</w:t>
      </w:r>
      <w:r w:rsidRPr="00DF7294">
        <w:rPr>
          <w:rFonts w:ascii="Arial" w:hAnsi="Arial" w:cs="Arial"/>
          <w:sz w:val="24"/>
          <w:szCs w:val="24"/>
        </w:rPr>
        <w:t xml:space="preserve"> 65 of the Act. It appears (from the title and subject matter of the provisions) that the purpose of s</w:t>
      </w:r>
      <w:r w:rsidR="0030241B">
        <w:rPr>
          <w:rFonts w:ascii="Arial" w:hAnsi="Arial" w:cs="Arial"/>
          <w:sz w:val="24"/>
          <w:szCs w:val="24"/>
        </w:rPr>
        <w:t>ection</w:t>
      </w:r>
      <w:r w:rsidRPr="00DF7294">
        <w:rPr>
          <w:rFonts w:ascii="Arial" w:hAnsi="Arial" w:cs="Arial"/>
          <w:sz w:val="24"/>
          <w:szCs w:val="24"/>
        </w:rPr>
        <w:t xml:space="preserve"> 65 as a whole is to provide for steps which the Minister m</w:t>
      </w:r>
      <w:r>
        <w:rPr>
          <w:rFonts w:ascii="Arial" w:hAnsi="Arial" w:cs="Arial"/>
          <w:sz w:val="24"/>
          <w:szCs w:val="24"/>
        </w:rPr>
        <w:t>ay</w:t>
      </w:r>
      <w:r w:rsidRPr="00DF7294">
        <w:rPr>
          <w:rFonts w:ascii="Arial" w:hAnsi="Arial" w:cs="Arial"/>
          <w:sz w:val="24"/>
          <w:szCs w:val="24"/>
        </w:rPr>
        <w:t xml:space="preserve"> take in order to introduce</w:t>
      </w:r>
      <w:r>
        <w:rPr>
          <w:rFonts w:ascii="Arial" w:hAnsi="Arial" w:cs="Arial"/>
          <w:sz w:val="24"/>
          <w:szCs w:val="24"/>
        </w:rPr>
        <w:t>, amongst others,</w:t>
      </w:r>
      <w:r w:rsidRPr="00DF7294">
        <w:rPr>
          <w:rFonts w:ascii="Arial" w:hAnsi="Arial" w:cs="Arial"/>
          <w:sz w:val="24"/>
          <w:szCs w:val="24"/>
        </w:rPr>
        <w:t xml:space="preserve"> new duty and determine when the new duty becomes payable</w:t>
      </w:r>
      <w:r>
        <w:rPr>
          <w:rFonts w:ascii="Arial" w:hAnsi="Arial" w:cs="Arial"/>
          <w:sz w:val="24"/>
          <w:szCs w:val="24"/>
        </w:rPr>
        <w:t xml:space="preserve"> in order to achieve the objective</w:t>
      </w:r>
      <w:r w:rsidR="000B7336">
        <w:rPr>
          <w:rFonts w:ascii="Arial" w:hAnsi="Arial" w:cs="Arial"/>
          <w:sz w:val="24"/>
          <w:szCs w:val="24"/>
        </w:rPr>
        <w:t>s of the Customs and Excise Act.</w:t>
      </w:r>
    </w:p>
    <w:p w14:paraId="5C2066C3" w14:textId="77777777" w:rsidR="00A423AF" w:rsidRPr="00DF7294" w:rsidRDefault="00A423AF" w:rsidP="000B7336">
      <w:pPr>
        <w:spacing w:after="0" w:line="480" w:lineRule="auto"/>
        <w:jc w:val="both"/>
        <w:rPr>
          <w:rFonts w:ascii="Arial" w:hAnsi="Arial" w:cs="Arial"/>
          <w:sz w:val="24"/>
          <w:szCs w:val="24"/>
        </w:rPr>
      </w:pPr>
    </w:p>
    <w:p w14:paraId="62133CB3" w14:textId="42A60EBB"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It will be re</w:t>
      </w:r>
      <w:r w:rsidRPr="00DF7294">
        <w:rPr>
          <w:rFonts w:ascii="Arial" w:hAnsi="Arial" w:cs="Arial"/>
          <w:sz w:val="24"/>
          <w:szCs w:val="24"/>
        </w:rPr>
        <w:t>call</w:t>
      </w:r>
      <w:r>
        <w:rPr>
          <w:rFonts w:ascii="Arial" w:hAnsi="Arial" w:cs="Arial"/>
          <w:sz w:val="24"/>
          <w:szCs w:val="24"/>
        </w:rPr>
        <w:t>ed</w:t>
      </w:r>
      <w:r w:rsidRPr="00DF7294">
        <w:rPr>
          <w:rFonts w:ascii="Arial" w:hAnsi="Arial" w:cs="Arial"/>
          <w:sz w:val="24"/>
          <w:szCs w:val="24"/>
        </w:rPr>
        <w:t xml:space="preserve"> that as a rule of statutory interpretation, this court has to assume (unless established otherwise) that there is no conflict between s</w:t>
      </w:r>
      <w:r w:rsidR="0030241B">
        <w:rPr>
          <w:rFonts w:ascii="Arial" w:hAnsi="Arial" w:cs="Arial"/>
          <w:sz w:val="24"/>
          <w:szCs w:val="24"/>
        </w:rPr>
        <w:t>ection</w:t>
      </w:r>
      <w:r w:rsidRPr="00DF7294">
        <w:rPr>
          <w:rFonts w:ascii="Arial" w:hAnsi="Arial" w:cs="Arial"/>
          <w:sz w:val="24"/>
          <w:szCs w:val="24"/>
        </w:rPr>
        <w:t xml:space="preserve"> 65(1) and (8). If there is a conflict, the court must establish if the conflict is irreconcilable. The conflict would be irreconcilable if s</w:t>
      </w:r>
      <w:r w:rsidR="0030241B">
        <w:rPr>
          <w:rFonts w:ascii="Arial" w:hAnsi="Arial" w:cs="Arial"/>
          <w:sz w:val="24"/>
          <w:szCs w:val="24"/>
        </w:rPr>
        <w:t>ection</w:t>
      </w:r>
      <w:r>
        <w:rPr>
          <w:rFonts w:ascii="Arial" w:hAnsi="Arial" w:cs="Arial"/>
          <w:sz w:val="24"/>
          <w:szCs w:val="24"/>
        </w:rPr>
        <w:t xml:space="preserve"> </w:t>
      </w:r>
      <w:r w:rsidRPr="00DF7294">
        <w:rPr>
          <w:rFonts w:ascii="Arial" w:hAnsi="Arial" w:cs="Arial"/>
          <w:sz w:val="24"/>
          <w:szCs w:val="24"/>
        </w:rPr>
        <w:t xml:space="preserve">65(1) and (8) are antagonistic to each other to the extent that it is impossible to enforce </w:t>
      </w:r>
      <w:r>
        <w:rPr>
          <w:rFonts w:ascii="Arial" w:hAnsi="Arial" w:cs="Arial"/>
          <w:sz w:val="24"/>
          <w:szCs w:val="24"/>
        </w:rPr>
        <w:t xml:space="preserve">one </w:t>
      </w:r>
      <w:r w:rsidRPr="00DF7294">
        <w:rPr>
          <w:rFonts w:ascii="Arial" w:hAnsi="Arial" w:cs="Arial"/>
          <w:sz w:val="24"/>
          <w:szCs w:val="24"/>
        </w:rPr>
        <w:t>of them without the other being deemed invalid or re</w:t>
      </w:r>
      <w:r w:rsidR="000B7336">
        <w:rPr>
          <w:rFonts w:ascii="Arial" w:hAnsi="Arial" w:cs="Arial"/>
          <w:sz w:val="24"/>
          <w:szCs w:val="24"/>
        </w:rPr>
        <w:t>pealed.</w:t>
      </w:r>
    </w:p>
    <w:p w14:paraId="170C9485" w14:textId="77777777" w:rsidR="00A423AF" w:rsidRPr="00DF7294" w:rsidRDefault="00A423AF" w:rsidP="000B7336">
      <w:pPr>
        <w:spacing w:after="0" w:line="480" w:lineRule="auto"/>
        <w:jc w:val="both"/>
        <w:rPr>
          <w:rFonts w:ascii="Arial" w:hAnsi="Arial" w:cs="Arial"/>
          <w:sz w:val="24"/>
          <w:szCs w:val="24"/>
        </w:rPr>
      </w:pPr>
    </w:p>
    <w:p w14:paraId="58AA5E99" w14:textId="366A14A3"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The</w:t>
      </w:r>
      <w:r w:rsidRPr="00DF7294">
        <w:rPr>
          <w:rFonts w:ascii="Arial" w:hAnsi="Arial" w:cs="Arial"/>
          <w:sz w:val="24"/>
          <w:szCs w:val="24"/>
        </w:rPr>
        <w:t xml:space="preserve"> court has to adopt an interpretation which harmoni</w:t>
      </w:r>
      <w:r w:rsidR="001F60F4">
        <w:rPr>
          <w:rFonts w:ascii="Arial" w:hAnsi="Arial" w:cs="Arial"/>
          <w:sz w:val="24"/>
          <w:szCs w:val="24"/>
        </w:rPr>
        <w:t>z</w:t>
      </w:r>
      <w:r w:rsidRPr="00DF7294">
        <w:rPr>
          <w:rFonts w:ascii="Arial" w:hAnsi="Arial" w:cs="Arial"/>
          <w:sz w:val="24"/>
          <w:szCs w:val="24"/>
        </w:rPr>
        <w:t xml:space="preserve">es the two provisions, to the extent permitted by their grammatical construction and in a manner which promotes the legislative intention. Put differently, the preferred harmonious interpretation must be one that is guided by the grammar used to formulate </w:t>
      </w:r>
      <w:r>
        <w:rPr>
          <w:rFonts w:ascii="Arial" w:hAnsi="Arial" w:cs="Arial"/>
          <w:sz w:val="24"/>
          <w:szCs w:val="24"/>
        </w:rPr>
        <w:t xml:space="preserve">the two </w:t>
      </w:r>
      <w:r w:rsidRPr="00DF7294">
        <w:rPr>
          <w:rFonts w:ascii="Arial" w:hAnsi="Arial" w:cs="Arial"/>
          <w:sz w:val="24"/>
          <w:szCs w:val="24"/>
        </w:rPr>
        <w:t>s</w:t>
      </w:r>
      <w:r>
        <w:rPr>
          <w:rFonts w:ascii="Arial" w:hAnsi="Arial" w:cs="Arial"/>
          <w:sz w:val="24"/>
          <w:szCs w:val="24"/>
        </w:rPr>
        <w:t xml:space="preserve">ubsections </w:t>
      </w:r>
      <w:r w:rsidRPr="00DF7294">
        <w:rPr>
          <w:rFonts w:ascii="Arial" w:hAnsi="Arial" w:cs="Arial"/>
          <w:sz w:val="24"/>
          <w:szCs w:val="24"/>
        </w:rPr>
        <w:t>a</w:t>
      </w:r>
      <w:r>
        <w:rPr>
          <w:rFonts w:ascii="Arial" w:hAnsi="Arial" w:cs="Arial"/>
          <w:sz w:val="24"/>
          <w:szCs w:val="24"/>
        </w:rPr>
        <w:t>nd</w:t>
      </w:r>
      <w:r w:rsidRPr="00DF7294">
        <w:rPr>
          <w:rFonts w:ascii="Arial" w:hAnsi="Arial" w:cs="Arial"/>
          <w:sz w:val="24"/>
          <w:szCs w:val="24"/>
        </w:rPr>
        <w:t xml:space="preserve"> the legislative intention state</w:t>
      </w:r>
      <w:r w:rsidR="000B7336">
        <w:rPr>
          <w:rFonts w:ascii="Arial" w:hAnsi="Arial" w:cs="Arial"/>
          <w:sz w:val="24"/>
          <w:szCs w:val="24"/>
        </w:rPr>
        <w:t>d in the long title of the Act.</w:t>
      </w:r>
    </w:p>
    <w:p w14:paraId="1AFBFAD6" w14:textId="77777777" w:rsidR="00A423AF" w:rsidRPr="007028E1" w:rsidRDefault="00A423AF" w:rsidP="000B7336">
      <w:pPr>
        <w:spacing w:after="0" w:line="480" w:lineRule="auto"/>
        <w:jc w:val="both"/>
        <w:rPr>
          <w:rFonts w:ascii="Arial" w:hAnsi="Arial" w:cs="Arial"/>
          <w:sz w:val="24"/>
          <w:szCs w:val="24"/>
        </w:rPr>
      </w:pPr>
    </w:p>
    <w:p w14:paraId="4FD2A2C2" w14:textId="69D24BBD" w:rsidR="00A423AF" w:rsidRPr="00DF7294" w:rsidRDefault="00A423AF" w:rsidP="000B7336">
      <w:pPr>
        <w:pStyle w:val="ListParagraph"/>
        <w:numPr>
          <w:ilvl w:val="0"/>
          <w:numId w:val="39"/>
        </w:numPr>
        <w:spacing w:after="0" w:line="480" w:lineRule="auto"/>
        <w:ind w:left="0" w:firstLine="0"/>
        <w:jc w:val="both"/>
        <w:rPr>
          <w:rFonts w:ascii="Arial" w:hAnsi="Arial" w:cs="Arial"/>
          <w:sz w:val="24"/>
          <w:szCs w:val="24"/>
        </w:rPr>
      </w:pPr>
      <w:r w:rsidRPr="00DF7294">
        <w:rPr>
          <w:rFonts w:ascii="Arial" w:hAnsi="Arial" w:cs="Arial"/>
          <w:sz w:val="24"/>
          <w:szCs w:val="24"/>
        </w:rPr>
        <w:t>It seems to me that s</w:t>
      </w:r>
      <w:r>
        <w:rPr>
          <w:rFonts w:ascii="Arial" w:hAnsi="Arial" w:cs="Arial"/>
          <w:sz w:val="24"/>
          <w:szCs w:val="24"/>
        </w:rPr>
        <w:t>ubsection</w:t>
      </w:r>
      <w:r w:rsidRPr="00DF7294">
        <w:rPr>
          <w:rFonts w:ascii="Arial" w:hAnsi="Arial" w:cs="Arial"/>
          <w:sz w:val="24"/>
          <w:szCs w:val="24"/>
        </w:rPr>
        <w:t xml:space="preserve">s </w:t>
      </w:r>
      <w:r>
        <w:rPr>
          <w:rFonts w:ascii="Arial" w:hAnsi="Arial" w:cs="Arial"/>
          <w:sz w:val="24"/>
          <w:szCs w:val="24"/>
        </w:rPr>
        <w:t>(1) and (8) of s</w:t>
      </w:r>
      <w:r w:rsidR="001F60F4">
        <w:rPr>
          <w:rFonts w:ascii="Arial" w:hAnsi="Arial" w:cs="Arial"/>
          <w:sz w:val="24"/>
          <w:szCs w:val="24"/>
        </w:rPr>
        <w:t>ection</w:t>
      </w:r>
      <w:r>
        <w:rPr>
          <w:rFonts w:ascii="Arial" w:hAnsi="Arial" w:cs="Arial"/>
          <w:sz w:val="24"/>
          <w:szCs w:val="24"/>
        </w:rPr>
        <w:t xml:space="preserve"> </w:t>
      </w:r>
      <w:r w:rsidRPr="00DF7294">
        <w:rPr>
          <w:rFonts w:ascii="Arial" w:hAnsi="Arial" w:cs="Arial"/>
          <w:sz w:val="24"/>
          <w:szCs w:val="24"/>
        </w:rPr>
        <w:t xml:space="preserve">65 seek to provide the Minister with two different processes or mechanisms through which he or she may introduce new duty or levy. </w:t>
      </w:r>
      <w:r>
        <w:rPr>
          <w:rFonts w:ascii="Arial" w:hAnsi="Arial" w:cs="Arial"/>
          <w:sz w:val="24"/>
          <w:szCs w:val="24"/>
        </w:rPr>
        <w:t>D</w:t>
      </w:r>
      <w:r w:rsidRPr="00DF7294">
        <w:rPr>
          <w:rFonts w:ascii="Arial" w:hAnsi="Arial" w:cs="Arial"/>
          <w:sz w:val="24"/>
          <w:szCs w:val="24"/>
        </w:rPr>
        <w:t>epending on the prevailing circumstances, the Minister has discretion to act either in terms of s</w:t>
      </w:r>
      <w:r>
        <w:rPr>
          <w:rFonts w:ascii="Arial" w:hAnsi="Arial" w:cs="Arial"/>
          <w:sz w:val="24"/>
          <w:szCs w:val="24"/>
        </w:rPr>
        <w:t xml:space="preserve">ubsection (1) </w:t>
      </w:r>
      <w:r w:rsidRPr="00DF7294">
        <w:rPr>
          <w:rFonts w:ascii="Arial" w:hAnsi="Arial" w:cs="Arial"/>
          <w:sz w:val="24"/>
          <w:szCs w:val="24"/>
        </w:rPr>
        <w:t>or (8). The Minister may decide to introduce new duty or increase duty in terms of s</w:t>
      </w:r>
      <w:r w:rsidR="0030241B">
        <w:rPr>
          <w:rFonts w:ascii="Arial" w:hAnsi="Arial" w:cs="Arial"/>
          <w:sz w:val="24"/>
          <w:szCs w:val="24"/>
        </w:rPr>
        <w:t>ection</w:t>
      </w:r>
      <w:r w:rsidRPr="00DF7294">
        <w:rPr>
          <w:rFonts w:ascii="Arial" w:hAnsi="Arial" w:cs="Arial"/>
          <w:sz w:val="24"/>
          <w:szCs w:val="24"/>
        </w:rPr>
        <w:t xml:space="preserve"> 65(1), in which case he or she will be required to table, before the National Assembly, a taxation proposal and the new duty shall become payable from the date the proposal is so tabled. Alternatively, the Minister may act in terms of s</w:t>
      </w:r>
      <w:r w:rsidR="0030241B">
        <w:rPr>
          <w:rFonts w:ascii="Arial" w:hAnsi="Arial" w:cs="Arial"/>
          <w:sz w:val="24"/>
          <w:szCs w:val="24"/>
        </w:rPr>
        <w:t>ection</w:t>
      </w:r>
      <w:r w:rsidRPr="00DF7294">
        <w:rPr>
          <w:rFonts w:ascii="Arial" w:hAnsi="Arial" w:cs="Arial"/>
          <w:sz w:val="24"/>
          <w:szCs w:val="24"/>
        </w:rPr>
        <w:t xml:space="preserve"> 65(8) in which case he or she will be required to promulgate a regulation through a Government Notice and follow the process outlined </w:t>
      </w:r>
      <w:r>
        <w:rPr>
          <w:rFonts w:ascii="Arial" w:hAnsi="Arial" w:cs="Arial"/>
          <w:sz w:val="24"/>
          <w:szCs w:val="24"/>
        </w:rPr>
        <w:t>in the subsection</w:t>
      </w:r>
      <w:r w:rsidR="000B7336">
        <w:rPr>
          <w:rFonts w:ascii="Arial" w:hAnsi="Arial" w:cs="Arial"/>
          <w:sz w:val="24"/>
          <w:szCs w:val="24"/>
        </w:rPr>
        <w:t>.</w:t>
      </w:r>
    </w:p>
    <w:p w14:paraId="5EBABD19" w14:textId="77777777" w:rsidR="00A423AF" w:rsidRPr="00DF7294" w:rsidRDefault="00A423AF" w:rsidP="000B7336">
      <w:pPr>
        <w:spacing w:after="0" w:line="480" w:lineRule="auto"/>
        <w:jc w:val="both"/>
        <w:rPr>
          <w:rFonts w:ascii="Arial" w:hAnsi="Arial" w:cs="Arial"/>
          <w:sz w:val="24"/>
          <w:szCs w:val="24"/>
        </w:rPr>
      </w:pPr>
    </w:p>
    <w:p w14:paraId="3CF55301" w14:textId="443FBD4C" w:rsidR="00A423AF" w:rsidRPr="00A55A4F" w:rsidRDefault="00A423AF" w:rsidP="00CE4FF8">
      <w:pPr>
        <w:pStyle w:val="ListParagraph"/>
        <w:numPr>
          <w:ilvl w:val="0"/>
          <w:numId w:val="39"/>
        </w:numPr>
        <w:spacing w:after="0" w:line="480" w:lineRule="auto"/>
        <w:ind w:left="0" w:firstLine="0"/>
        <w:jc w:val="both"/>
        <w:rPr>
          <w:rFonts w:ascii="Arial" w:hAnsi="Arial" w:cs="Arial"/>
          <w:sz w:val="24"/>
          <w:szCs w:val="24"/>
        </w:rPr>
      </w:pPr>
      <w:r w:rsidRPr="00A55A4F">
        <w:rPr>
          <w:rFonts w:ascii="Arial" w:hAnsi="Arial" w:cs="Arial"/>
          <w:sz w:val="24"/>
          <w:szCs w:val="24"/>
        </w:rPr>
        <w:t xml:space="preserve">In arriving at this interpretation, </w:t>
      </w:r>
      <w:r>
        <w:rPr>
          <w:rFonts w:ascii="Arial" w:hAnsi="Arial" w:cs="Arial"/>
          <w:sz w:val="24"/>
          <w:szCs w:val="24"/>
        </w:rPr>
        <w:t xml:space="preserve">I </w:t>
      </w:r>
      <w:r w:rsidRPr="00A55A4F">
        <w:rPr>
          <w:rFonts w:ascii="Arial" w:hAnsi="Arial" w:cs="Arial"/>
          <w:sz w:val="24"/>
          <w:szCs w:val="24"/>
        </w:rPr>
        <w:t>ha</w:t>
      </w:r>
      <w:r>
        <w:rPr>
          <w:rFonts w:ascii="Arial" w:hAnsi="Arial" w:cs="Arial"/>
          <w:sz w:val="24"/>
          <w:szCs w:val="24"/>
        </w:rPr>
        <w:t>ve</w:t>
      </w:r>
      <w:r w:rsidRPr="00A55A4F">
        <w:rPr>
          <w:rFonts w:ascii="Arial" w:hAnsi="Arial" w:cs="Arial"/>
          <w:sz w:val="24"/>
          <w:szCs w:val="24"/>
        </w:rPr>
        <w:t xml:space="preserve"> taken the following inherent features and differences between s</w:t>
      </w:r>
      <w:r w:rsidR="0030241B">
        <w:rPr>
          <w:rFonts w:ascii="Arial" w:hAnsi="Arial" w:cs="Arial"/>
          <w:sz w:val="24"/>
          <w:szCs w:val="24"/>
        </w:rPr>
        <w:t>ubsections</w:t>
      </w:r>
      <w:r w:rsidRPr="00A55A4F">
        <w:rPr>
          <w:rFonts w:ascii="Arial" w:hAnsi="Arial" w:cs="Arial"/>
          <w:sz w:val="24"/>
          <w:szCs w:val="24"/>
        </w:rPr>
        <w:t xml:space="preserve"> 65(1) and (8) into consideration. Section 65(8) of the Customs and Excise Act provides in part</w:t>
      </w:r>
      <w:r>
        <w:rPr>
          <w:rFonts w:ascii="Arial" w:hAnsi="Arial" w:cs="Arial"/>
          <w:sz w:val="24"/>
          <w:szCs w:val="24"/>
        </w:rPr>
        <w:t xml:space="preserve"> </w:t>
      </w:r>
      <w:r w:rsidRPr="00A55A4F">
        <w:rPr>
          <w:rFonts w:ascii="Arial" w:hAnsi="Arial" w:cs="Arial"/>
          <w:sz w:val="24"/>
          <w:szCs w:val="24"/>
        </w:rPr>
        <w:t>that</w:t>
      </w:r>
      <w:r>
        <w:rPr>
          <w:rFonts w:ascii="Arial" w:hAnsi="Arial" w:cs="Arial"/>
          <w:sz w:val="24"/>
          <w:szCs w:val="24"/>
        </w:rPr>
        <w:t>:</w:t>
      </w:r>
    </w:p>
    <w:p w14:paraId="2A7E2EEC" w14:textId="77777777" w:rsidR="00A423AF" w:rsidRPr="00A55A4F" w:rsidRDefault="00A423AF" w:rsidP="00A45627">
      <w:pPr>
        <w:pStyle w:val="ListParagraph"/>
        <w:spacing w:after="0" w:line="480" w:lineRule="auto"/>
        <w:jc w:val="both"/>
        <w:rPr>
          <w:rFonts w:ascii="Arial" w:hAnsi="Arial" w:cs="Arial"/>
          <w:sz w:val="24"/>
          <w:szCs w:val="24"/>
        </w:rPr>
      </w:pPr>
    </w:p>
    <w:p w14:paraId="45DADA3E" w14:textId="55E04E74" w:rsidR="00A423AF" w:rsidRPr="00A55A4F" w:rsidRDefault="00A423AF" w:rsidP="00CE4FF8">
      <w:pPr>
        <w:spacing w:after="0" w:line="360" w:lineRule="auto"/>
        <w:ind w:left="360"/>
        <w:jc w:val="both"/>
        <w:rPr>
          <w:rFonts w:ascii="Arial" w:hAnsi="Arial" w:cs="Arial"/>
          <w:sz w:val="20"/>
          <w:szCs w:val="20"/>
        </w:rPr>
      </w:pPr>
      <w:r w:rsidRPr="00A55A4F">
        <w:rPr>
          <w:rFonts w:ascii="Arial" w:hAnsi="Arial" w:cs="Arial"/>
          <w:sz w:val="20"/>
          <w:szCs w:val="20"/>
        </w:rPr>
        <w:t>‘A notice in the Gazette by means of which the Minister…</w:t>
      </w:r>
      <w:r>
        <w:rPr>
          <w:rFonts w:ascii="Arial" w:hAnsi="Arial" w:cs="Arial"/>
          <w:sz w:val="20"/>
          <w:szCs w:val="20"/>
        </w:rPr>
        <w:t xml:space="preserve">amends any Schedule, </w:t>
      </w:r>
      <w:r w:rsidRPr="00A55A4F">
        <w:rPr>
          <w:rFonts w:ascii="Arial" w:hAnsi="Arial" w:cs="Arial"/>
          <w:sz w:val="20"/>
          <w:szCs w:val="20"/>
        </w:rPr>
        <w:t xml:space="preserve">imposes any new duty, </w:t>
      </w:r>
      <w:r>
        <w:rPr>
          <w:rFonts w:ascii="Arial" w:hAnsi="Arial" w:cs="Arial"/>
          <w:sz w:val="20"/>
          <w:szCs w:val="20"/>
        </w:rPr>
        <w:t xml:space="preserve">or amends or withdraws any existing duty </w:t>
      </w:r>
      <w:r w:rsidRPr="00A55A4F">
        <w:rPr>
          <w:rFonts w:ascii="Arial" w:hAnsi="Arial" w:cs="Arial"/>
          <w:sz w:val="20"/>
          <w:szCs w:val="20"/>
        </w:rPr>
        <w:t xml:space="preserve">shall </w:t>
      </w:r>
      <w:r w:rsidRPr="00975847">
        <w:rPr>
          <w:rFonts w:ascii="Arial" w:hAnsi="Arial" w:cs="Arial"/>
          <w:i/>
          <w:sz w:val="20"/>
          <w:szCs w:val="20"/>
        </w:rPr>
        <w:t>notwithstanding</w:t>
      </w:r>
      <w:r w:rsidRPr="00A55A4F">
        <w:rPr>
          <w:rFonts w:ascii="Arial" w:hAnsi="Arial" w:cs="Arial"/>
          <w:sz w:val="20"/>
          <w:szCs w:val="20"/>
        </w:rPr>
        <w:t xml:space="preserve"> subsection (1), be tabled by the Minister in the National Assembly</w:t>
      </w:r>
      <w:r w:rsidR="00CE4FF8">
        <w:rPr>
          <w:rFonts w:ascii="Arial" w:hAnsi="Arial" w:cs="Arial"/>
          <w:sz w:val="20"/>
          <w:szCs w:val="20"/>
        </w:rPr>
        <w:t>.</w:t>
      </w:r>
      <w:r w:rsidRPr="00A55A4F">
        <w:rPr>
          <w:rFonts w:ascii="Arial" w:hAnsi="Arial" w:cs="Arial"/>
          <w:sz w:val="20"/>
          <w:szCs w:val="20"/>
        </w:rPr>
        <w:t xml:space="preserve">’ </w:t>
      </w:r>
      <w:r>
        <w:rPr>
          <w:rFonts w:ascii="Arial" w:hAnsi="Arial" w:cs="Arial"/>
          <w:sz w:val="20"/>
          <w:szCs w:val="20"/>
        </w:rPr>
        <w:t>(Emphasis supplied)</w:t>
      </w:r>
    </w:p>
    <w:p w14:paraId="77F35370" w14:textId="77777777" w:rsidR="00A423AF" w:rsidRPr="00A55A4F" w:rsidRDefault="00A423AF" w:rsidP="00CE4FF8">
      <w:pPr>
        <w:pStyle w:val="ListParagraph"/>
        <w:spacing w:after="0" w:line="480" w:lineRule="auto"/>
        <w:ind w:left="0"/>
        <w:jc w:val="both"/>
        <w:rPr>
          <w:rFonts w:ascii="Arial" w:hAnsi="Arial" w:cs="Arial"/>
          <w:sz w:val="24"/>
          <w:szCs w:val="24"/>
        </w:rPr>
      </w:pPr>
    </w:p>
    <w:p w14:paraId="4CD4E480" w14:textId="007D943B" w:rsidR="00A423AF" w:rsidRPr="00BE2423" w:rsidRDefault="00A423AF" w:rsidP="00CE4FF8">
      <w:pPr>
        <w:pStyle w:val="ListParagraph"/>
        <w:numPr>
          <w:ilvl w:val="0"/>
          <w:numId w:val="39"/>
        </w:numPr>
        <w:spacing w:after="0" w:line="480" w:lineRule="auto"/>
        <w:ind w:left="0" w:firstLine="0"/>
        <w:jc w:val="both"/>
        <w:rPr>
          <w:rFonts w:ascii="Arial" w:hAnsi="Arial" w:cs="Arial"/>
          <w:sz w:val="24"/>
          <w:szCs w:val="24"/>
        </w:rPr>
      </w:pPr>
      <w:r w:rsidRPr="00BE2423">
        <w:rPr>
          <w:rFonts w:ascii="Arial" w:hAnsi="Arial" w:cs="Arial"/>
          <w:sz w:val="24"/>
          <w:szCs w:val="24"/>
        </w:rPr>
        <w:t>The dictionary meaning of ‘notwithstanding’ in this context is ‘in spite of’</w:t>
      </w:r>
      <w:r>
        <w:rPr>
          <w:rStyle w:val="FootnoteReference"/>
          <w:rFonts w:ascii="Arial" w:hAnsi="Arial" w:cs="Arial"/>
          <w:sz w:val="24"/>
          <w:szCs w:val="24"/>
        </w:rPr>
        <w:footnoteReference w:id="16"/>
      </w:r>
      <w:r w:rsidRPr="00BE2423">
        <w:rPr>
          <w:rFonts w:ascii="Arial" w:hAnsi="Arial" w:cs="Arial"/>
          <w:sz w:val="24"/>
          <w:szCs w:val="24"/>
        </w:rPr>
        <w:t xml:space="preserve"> or its equivalent ‘despite’</w:t>
      </w:r>
      <w:r>
        <w:rPr>
          <w:rStyle w:val="FootnoteReference"/>
          <w:rFonts w:ascii="Arial" w:hAnsi="Arial" w:cs="Arial"/>
          <w:sz w:val="24"/>
          <w:szCs w:val="24"/>
        </w:rPr>
        <w:footnoteReference w:id="17"/>
      </w:r>
      <w:r w:rsidRPr="00BE2423">
        <w:rPr>
          <w:rFonts w:ascii="Arial" w:hAnsi="Arial" w:cs="Arial"/>
          <w:sz w:val="24"/>
          <w:szCs w:val="24"/>
        </w:rPr>
        <w:t>. The use of the word ‘notwithstanding’ therefore suggests that the process set out in s</w:t>
      </w:r>
      <w:r w:rsidR="00595969">
        <w:rPr>
          <w:rFonts w:ascii="Arial" w:hAnsi="Arial" w:cs="Arial"/>
          <w:sz w:val="24"/>
          <w:szCs w:val="24"/>
        </w:rPr>
        <w:t>ection</w:t>
      </w:r>
      <w:r w:rsidRPr="00BE2423">
        <w:rPr>
          <w:rFonts w:ascii="Arial" w:hAnsi="Arial" w:cs="Arial"/>
          <w:sz w:val="24"/>
          <w:szCs w:val="24"/>
        </w:rPr>
        <w:t xml:space="preserve"> 65(8) may be invoked despite the fact that s</w:t>
      </w:r>
      <w:r w:rsidR="00595969">
        <w:rPr>
          <w:rFonts w:ascii="Arial" w:hAnsi="Arial" w:cs="Arial"/>
          <w:sz w:val="24"/>
          <w:szCs w:val="24"/>
        </w:rPr>
        <w:t>ection</w:t>
      </w:r>
      <w:r w:rsidRPr="00BE2423">
        <w:rPr>
          <w:rFonts w:ascii="Arial" w:hAnsi="Arial" w:cs="Arial"/>
          <w:sz w:val="24"/>
          <w:szCs w:val="24"/>
        </w:rPr>
        <w:t xml:space="preserve"> 65(1) exists as another avenue through which the Minister may introduce new duty. </w:t>
      </w:r>
      <w:r>
        <w:rPr>
          <w:rFonts w:ascii="Arial" w:hAnsi="Arial" w:cs="Arial"/>
          <w:sz w:val="24"/>
          <w:szCs w:val="24"/>
        </w:rPr>
        <w:t xml:space="preserve">It means that </w:t>
      </w:r>
      <w:r w:rsidRPr="00BE2423">
        <w:rPr>
          <w:rFonts w:ascii="Arial" w:hAnsi="Arial" w:cs="Arial"/>
          <w:sz w:val="24"/>
          <w:szCs w:val="24"/>
        </w:rPr>
        <w:t>the process set out in s</w:t>
      </w:r>
      <w:r w:rsidR="00595969">
        <w:rPr>
          <w:rFonts w:ascii="Arial" w:hAnsi="Arial" w:cs="Arial"/>
          <w:sz w:val="24"/>
          <w:szCs w:val="24"/>
        </w:rPr>
        <w:t>ection</w:t>
      </w:r>
      <w:r w:rsidRPr="00BE2423">
        <w:rPr>
          <w:rFonts w:ascii="Arial" w:hAnsi="Arial" w:cs="Arial"/>
          <w:sz w:val="24"/>
          <w:szCs w:val="24"/>
        </w:rPr>
        <w:t xml:space="preserve"> 65(8) is introduced as a separate mechanism through which the legislative intention (of introducing</w:t>
      </w:r>
      <w:r w:rsidR="00CE4FF8">
        <w:rPr>
          <w:rFonts w:ascii="Arial" w:hAnsi="Arial" w:cs="Arial"/>
          <w:sz w:val="24"/>
          <w:szCs w:val="24"/>
        </w:rPr>
        <w:t xml:space="preserve"> new duty) may be carried out.</w:t>
      </w:r>
    </w:p>
    <w:p w14:paraId="1E4EE33C" w14:textId="77777777" w:rsidR="00A423AF" w:rsidRPr="004A765F" w:rsidRDefault="00A423AF" w:rsidP="00CE4FF8">
      <w:pPr>
        <w:spacing w:after="0" w:line="480" w:lineRule="auto"/>
        <w:jc w:val="both"/>
        <w:rPr>
          <w:rFonts w:ascii="Arial" w:hAnsi="Arial" w:cs="Arial"/>
          <w:sz w:val="24"/>
          <w:szCs w:val="24"/>
        </w:rPr>
      </w:pPr>
    </w:p>
    <w:p w14:paraId="53703B61" w14:textId="43B08413" w:rsidR="00A423AF" w:rsidRDefault="00A423AF" w:rsidP="00CE4FF8">
      <w:pPr>
        <w:pStyle w:val="ListParagraph"/>
        <w:numPr>
          <w:ilvl w:val="0"/>
          <w:numId w:val="39"/>
        </w:numPr>
        <w:tabs>
          <w:tab w:val="left" w:pos="0"/>
        </w:tabs>
        <w:spacing w:after="0" w:line="480" w:lineRule="auto"/>
        <w:ind w:left="0" w:firstLine="0"/>
        <w:jc w:val="both"/>
        <w:rPr>
          <w:rFonts w:ascii="Arial" w:hAnsi="Arial" w:cs="Arial"/>
          <w:sz w:val="24"/>
          <w:szCs w:val="24"/>
        </w:rPr>
      </w:pPr>
      <w:r w:rsidRPr="00BE2423">
        <w:rPr>
          <w:rFonts w:ascii="Arial" w:hAnsi="Arial" w:cs="Arial"/>
          <w:sz w:val="24"/>
          <w:szCs w:val="24"/>
        </w:rPr>
        <w:t>Furthermore, s</w:t>
      </w:r>
      <w:r w:rsidR="00595969">
        <w:rPr>
          <w:rFonts w:ascii="Arial" w:hAnsi="Arial" w:cs="Arial"/>
          <w:sz w:val="24"/>
          <w:szCs w:val="24"/>
        </w:rPr>
        <w:t>ection</w:t>
      </w:r>
      <w:r w:rsidRPr="00BE2423">
        <w:rPr>
          <w:rFonts w:ascii="Arial" w:hAnsi="Arial" w:cs="Arial"/>
          <w:sz w:val="24"/>
          <w:szCs w:val="24"/>
        </w:rPr>
        <w:t xml:space="preserve"> 65(1) and (8) prescribe different stages which the Minister must follow when introducing new duty. When acting in terms of s</w:t>
      </w:r>
      <w:r w:rsidR="00595969">
        <w:rPr>
          <w:rFonts w:ascii="Arial" w:hAnsi="Arial" w:cs="Arial"/>
          <w:sz w:val="24"/>
          <w:szCs w:val="24"/>
        </w:rPr>
        <w:t>ection</w:t>
      </w:r>
      <w:r w:rsidRPr="00BE2423">
        <w:rPr>
          <w:rFonts w:ascii="Arial" w:hAnsi="Arial" w:cs="Arial"/>
          <w:sz w:val="24"/>
          <w:szCs w:val="24"/>
        </w:rPr>
        <w:t xml:space="preserve"> 65(1), the Minister only tables a proposal before the National Assembly, whereas if he or she decides to act in terms of s</w:t>
      </w:r>
      <w:r w:rsidR="00595969">
        <w:rPr>
          <w:rFonts w:ascii="Arial" w:hAnsi="Arial" w:cs="Arial"/>
          <w:sz w:val="24"/>
          <w:szCs w:val="24"/>
        </w:rPr>
        <w:t>ection</w:t>
      </w:r>
      <w:r w:rsidRPr="00BE2423">
        <w:rPr>
          <w:rFonts w:ascii="Arial" w:hAnsi="Arial" w:cs="Arial"/>
          <w:sz w:val="24"/>
          <w:szCs w:val="24"/>
        </w:rPr>
        <w:t xml:space="preserve"> 65(8), he or she has to promulgate the </w:t>
      </w:r>
      <w:r>
        <w:rPr>
          <w:rFonts w:ascii="Arial" w:hAnsi="Arial" w:cs="Arial"/>
          <w:sz w:val="24"/>
          <w:szCs w:val="24"/>
        </w:rPr>
        <w:t>n</w:t>
      </w:r>
      <w:r w:rsidRPr="00BE2423">
        <w:rPr>
          <w:rFonts w:ascii="Arial" w:hAnsi="Arial" w:cs="Arial"/>
          <w:sz w:val="24"/>
          <w:szCs w:val="24"/>
        </w:rPr>
        <w:t xml:space="preserve">otice in the </w:t>
      </w:r>
      <w:r w:rsidRPr="005C1C1A">
        <w:rPr>
          <w:rFonts w:ascii="Arial" w:hAnsi="Arial" w:cs="Arial"/>
          <w:i/>
          <w:sz w:val="24"/>
          <w:szCs w:val="24"/>
        </w:rPr>
        <w:t>Government Gazette</w:t>
      </w:r>
      <w:r w:rsidRPr="00BE2423">
        <w:rPr>
          <w:rFonts w:ascii="Arial" w:hAnsi="Arial" w:cs="Arial"/>
          <w:sz w:val="24"/>
          <w:szCs w:val="24"/>
        </w:rPr>
        <w:t xml:space="preserve"> and then table the </w:t>
      </w:r>
      <w:r>
        <w:rPr>
          <w:rFonts w:ascii="Arial" w:hAnsi="Arial" w:cs="Arial"/>
          <w:sz w:val="24"/>
          <w:szCs w:val="24"/>
        </w:rPr>
        <w:t>same n</w:t>
      </w:r>
      <w:r w:rsidRPr="00BE2423">
        <w:rPr>
          <w:rFonts w:ascii="Arial" w:hAnsi="Arial" w:cs="Arial"/>
          <w:sz w:val="24"/>
          <w:szCs w:val="24"/>
        </w:rPr>
        <w:t>otice in the National Assembly within the prescribed timeframes. It is important to note that whereas s</w:t>
      </w:r>
      <w:r w:rsidR="001F60F4">
        <w:rPr>
          <w:rFonts w:ascii="Arial" w:hAnsi="Arial" w:cs="Arial"/>
          <w:sz w:val="24"/>
          <w:szCs w:val="24"/>
        </w:rPr>
        <w:t>ection</w:t>
      </w:r>
      <w:r w:rsidRPr="00BE2423">
        <w:rPr>
          <w:rFonts w:ascii="Arial" w:hAnsi="Arial" w:cs="Arial"/>
          <w:sz w:val="24"/>
          <w:szCs w:val="24"/>
        </w:rPr>
        <w:t xml:space="preserve"> 65(8) specifically stipulates that the Minister must table, before the National Assembly, </w:t>
      </w:r>
      <w:r w:rsidRPr="004A765F">
        <w:rPr>
          <w:rFonts w:ascii="Arial" w:hAnsi="Arial" w:cs="Arial"/>
          <w:i/>
          <w:sz w:val="24"/>
          <w:szCs w:val="24"/>
        </w:rPr>
        <w:t>the promulgated notice</w:t>
      </w:r>
      <w:r w:rsidRPr="00BE2423">
        <w:rPr>
          <w:rFonts w:ascii="Arial" w:hAnsi="Arial" w:cs="Arial"/>
          <w:sz w:val="24"/>
          <w:szCs w:val="24"/>
        </w:rPr>
        <w:t>; s</w:t>
      </w:r>
      <w:r w:rsidR="00595969">
        <w:rPr>
          <w:rFonts w:ascii="Arial" w:hAnsi="Arial" w:cs="Arial"/>
          <w:sz w:val="24"/>
          <w:szCs w:val="24"/>
        </w:rPr>
        <w:t>ection</w:t>
      </w:r>
      <w:r w:rsidRPr="00BE2423">
        <w:rPr>
          <w:rFonts w:ascii="Arial" w:hAnsi="Arial" w:cs="Arial"/>
          <w:sz w:val="24"/>
          <w:szCs w:val="24"/>
        </w:rPr>
        <w:t xml:space="preserve"> 65(1) </w:t>
      </w:r>
      <w:r w:rsidR="00595969">
        <w:rPr>
          <w:rFonts w:ascii="Arial" w:hAnsi="Arial" w:cs="Arial"/>
          <w:sz w:val="24"/>
          <w:szCs w:val="24"/>
        </w:rPr>
        <w:t xml:space="preserve">expressly </w:t>
      </w:r>
      <w:r w:rsidRPr="00BE2423">
        <w:rPr>
          <w:rFonts w:ascii="Arial" w:hAnsi="Arial" w:cs="Arial"/>
          <w:sz w:val="24"/>
          <w:szCs w:val="24"/>
        </w:rPr>
        <w:t xml:space="preserve">stipulates that the Minister must table a </w:t>
      </w:r>
      <w:r w:rsidRPr="004A765F">
        <w:rPr>
          <w:rFonts w:ascii="Arial" w:hAnsi="Arial" w:cs="Arial"/>
          <w:i/>
          <w:sz w:val="24"/>
          <w:szCs w:val="24"/>
        </w:rPr>
        <w:t>taxation proposal</w:t>
      </w:r>
      <w:r w:rsidRPr="00BE2423">
        <w:rPr>
          <w:rFonts w:ascii="Arial" w:hAnsi="Arial" w:cs="Arial"/>
          <w:sz w:val="24"/>
          <w:szCs w:val="24"/>
        </w:rPr>
        <w:t xml:space="preserve"> before the National Assembly. A </w:t>
      </w:r>
      <w:r>
        <w:rPr>
          <w:rFonts w:ascii="Arial" w:hAnsi="Arial" w:cs="Arial"/>
          <w:sz w:val="24"/>
          <w:szCs w:val="24"/>
        </w:rPr>
        <w:t>n</w:t>
      </w:r>
      <w:r w:rsidRPr="00BE2423">
        <w:rPr>
          <w:rFonts w:ascii="Arial" w:hAnsi="Arial" w:cs="Arial"/>
          <w:sz w:val="24"/>
          <w:szCs w:val="24"/>
        </w:rPr>
        <w:t xml:space="preserve">otice and a taxation proposal are two different </w:t>
      </w:r>
      <w:r>
        <w:rPr>
          <w:rFonts w:ascii="Arial" w:hAnsi="Arial" w:cs="Arial"/>
          <w:sz w:val="24"/>
          <w:szCs w:val="24"/>
        </w:rPr>
        <w:t>things</w:t>
      </w:r>
      <w:r w:rsidRPr="00BE2423">
        <w:rPr>
          <w:rFonts w:ascii="Arial" w:hAnsi="Arial" w:cs="Arial"/>
          <w:sz w:val="24"/>
          <w:szCs w:val="24"/>
        </w:rPr>
        <w:t>.</w:t>
      </w:r>
      <w:r>
        <w:rPr>
          <w:rFonts w:ascii="Arial" w:hAnsi="Arial" w:cs="Arial"/>
          <w:sz w:val="24"/>
          <w:szCs w:val="24"/>
        </w:rPr>
        <w:t xml:space="preserve"> As I will endeavour to explain </w:t>
      </w:r>
      <w:r w:rsidRPr="001C1609">
        <w:rPr>
          <w:rFonts w:ascii="Arial" w:hAnsi="Arial" w:cs="Arial"/>
          <w:sz w:val="24"/>
          <w:szCs w:val="24"/>
        </w:rPr>
        <w:t>later on</w:t>
      </w:r>
      <w:r>
        <w:rPr>
          <w:rFonts w:ascii="Arial" w:hAnsi="Arial" w:cs="Arial"/>
          <w:sz w:val="24"/>
          <w:szCs w:val="24"/>
        </w:rPr>
        <w:t>, a n</w:t>
      </w:r>
      <w:r w:rsidRPr="00BE2423">
        <w:rPr>
          <w:rFonts w:ascii="Arial" w:hAnsi="Arial" w:cs="Arial"/>
          <w:sz w:val="24"/>
          <w:szCs w:val="24"/>
        </w:rPr>
        <w:t xml:space="preserve">otice is a formal </w:t>
      </w:r>
      <w:r>
        <w:rPr>
          <w:rFonts w:ascii="Arial" w:hAnsi="Arial" w:cs="Arial"/>
          <w:sz w:val="24"/>
          <w:szCs w:val="24"/>
        </w:rPr>
        <w:t>public notification</w:t>
      </w:r>
      <w:r w:rsidRPr="00BE2423">
        <w:rPr>
          <w:rFonts w:ascii="Arial" w:hAnsi="Arial" w:cs="Arial"/>
          <w:sz w:val="24"/>
          <w:szCs w:val="24"/>
        </w:rPr>
        <w:t xml:space="preserve"> made by the Minister of the regulation which introduces new duty; wh</w:t>
      </w:r>
      <w:r>
        <w:rPr>
          <w:rFonts w:ascii="Arial" w:hAnsi="Arial" w:cs="Arial"/>
          <w:sz w:val="24"/>
          <w:szCs w:val="24"/>
        </w:rPr>
        <w:t>ile</w:t>
      </w:r>
      <w:r w:rsidRPr="00BE2423">
        <w:rPr>
          <w:rFonts w:ascii="Arial" w:hAnsi="Arial" w:cs="Arial"/>
          <w:sz w:val="24"/>
          <w:szCs w:val="24"/>
        </w:rPr>
        <w:t xml:space="preserve"> a taxation proposal is a proposal by the Minister to the National Assembly, to approve his or her proposed or recommended introduction of new duty or increase of taxation on certain g</w:t>
      </w:r>
      <w:r w:rsidR="00CE4FF8">
        <w:rPr>
          <w:rFonts w:ascii="Arial" w:hAnsi="Arial" w:cs="Arial"/>
          <w:sz w:val="24"/>
          <w:szCs w:val="24"/>
        </w:rPr>
        <w:t>oods.</w:t>
      </w:r>
    </w:p>
    <w:p w14:paraId="13A2D620" w14:textId="77777777" w:rsidR="00A423AF" w:rsidRPr="00833A75" w:rsidRDefault="00A423AF" w:rsidP="00CE4FF8">
      <w:pPr>
        <w:tabs>
          <w:tab w:val="left" w:pos="0"/>
        </w:tabs>
        <w:spacing w:after="0" w:line="480" w:lineRule="auto"/>
        <w:jc w:val="both"/>
        <w:rPr>
          <w:rFonts w:ascii="Arial" w:hAnsi="Arial" w:cs="Arial"/>
          <w:sz w:val="24"/>
          <w:szCs w:val="24"/>
        </w:rPr>
      </w:pPr>
    </w:p>
    <w:p w14:paraId="68FD53F4" w14:textId="6FAF80E0" w:rsidR="00A423AF" w:rsidRPr="00BE2423" w:rsidRDefault="00A423AF" w:rsidP="00CE4FF8">
      <w:pPr>
        <w:pStyle w:val="ListParagraph"/>
        <w:numPr>
          <w:ilvl w:val="0"/>
          <w:numId w:val="39"/>
        </w:numPr>
        <w:tabs>
          <w:tab w:val="left" w:pos="0"/>
        </w:tabs>
        <w:spacing w:after="0" w:line="480" w:lineRule="auto"/>
        <w:ind w:left="0" w:firstLine="0"/>
        <w:jc w:val="both"/>
        <w:rPr>
          <w:rFonts w:ascii="Arial" w:hAnsi="Arial" w:cs="Arial"/>
          <w:sz w:val="24"/>
          <w:szCs w:val="24"/>
        </w:rPr>
      </w:pPr>
      <w:r>
        <w:rPr>
          <w:rFonts w:ascii="Arial" w:hAnsi="Arial" w:cs="Arial"/>
          <w:sz w:val="24"/>
          <w:szCs w:val="24"/>
        </w:rPr>
        <w:t>Moreover</w:t>
      </w:r>
      <w:r w:rsidRPr="00BE2423">
        <w:rPr>
          <w:rFonts w:ascii="Arial" w:hAnsi="Arial" w:cs="Arial"/>
          <w:sz w:val="24"/>
          <w:szCs w:val="24"/>
        </w:rPr>
        <w:t>, whereas s</w:t>
      </w:r>
      <w:r w:rsidR="00595969">
        <w:rPr>
          <w:rFonts w:ascii="Arial" w:hAnsi="Arial" w:cs="Arial"/>
          <w:sz w:val="24"/>
          <w:szCs w:val="24"/>
        </w:rPr>
        <w:t>ection</w:t>
      </w:r>
      <w:r w:rsidRPr="00BE2423">
        <w:rPr>
          <w:rFonts w:ascii="Arial" w:hAnsi="Arial" w:cs="Arial"/>
          <w:sz w:val="24"/>
          <w:szCs w:val="24"/>
        </w:rPr>
        <w:t xml:space="preserve"> 65(8) requires the </w:t>
      </w:r>
      <w:r>
        <w:rPr>
          <w:rFonts w:ascii="Arial" w:hAnsi="Arial" w:cs="Arial"/>
          <w:sz w:val="24"/>
          <w:szCs w:val="24"/>
        </w:rPr>
        <w:t>n</w:t>
      </w:r>
      <w:r w:rsidRPr="00BE2423">
        <w:rPr>
          <w:rFonts w:ascii="Arial" w:hAnsi="Arial" w:cs="Arial"/>
          <w:sz w:val="24"/>
          <w:szCs w:val="24"/>
        </w:rPr>
        <w:t>otice tabled in the National Assembly to remain on the Table of the National Assembly for a minimum of 28 consecutive days, there is no such requirement for a taxation proposal tabled in terms of s</w:t>
      </w:r>
      <w:r w:rsidR="00595969">
        <w:rPr>
          <w:rFonts w:ascii="Arial" w:hAnsi="Arial" w:cs="Arial"/>
          <w:sz w:val="24"/>
          <w:szCs w:val="24"/>
        </w:rPr>
        <w:t>ection</w:t>
      </w:r>
      <w:r w:rsidRPr="00BE2423">
        <w:rPr>
          <w:rFonts w:ascii="Arial" w:hAnsi="Arial" w:cs="Arial"/>
          <w:sz w:val="24"/>
          <w:szCs w:val="24"/>
        </w:rPr>
        <w:t xml:space="preserve"> 65(1). </w:t>
      </w:r>
      <w:r w:rsidRPr="004A765F">
        <w:rPr>
          <w:rFonts w:ascii="Arial" w:hAnsi="Arial" w:cs="Arial"/>
          <w:sz w:val="24"/>
          <w:szCs w:val="24"/>
        </w:rPr>
        <w:t xml:space="preserve">This </w:t>
      </w:r>
      <w:r>
        <w:rPr>
          <w:rFonts w:ascii="Arial" w:hAnsi="Arial" w:cs="Arial"/>
          <w:sz w:val="24"/>
          <w:szCs w:val="24"/>
        </w:rPr>
        <w:t xml:space="preserve">distinction </w:t>
      </w:r>
      <w:r w:rsidRPr="004A765F">
        <w:rPr>
          <w:rFonts w:ascii="Arial" w:hAnsi="Arial" w:cs="Arial"/>
          <w:sz w:val="24"/>
          <w:szCs w:val="24"/>
        </w:rPr>
        <w:t>additionally shows that the two sections impose different requirements and set out two different processes or mechanisms which the Minister may invoke in order to introduce new duty.</w:t>
      </w:r>
    </w:p>
    <w:p w14:paraId="598A98AC" w14:textId="77777777" w:rsidR="00A423AF" w:rsidRPr="00833A75" w:rsidRDefault="00A423AF" w:rsidP="00CE4FF8">
      <w:pPr>
        <w:tabs>
          <w:tab w:val="left" w:pos="0"/>
        </w:tabs>
        <w:spacing w:after="0" w:line="480" w:lineRule="auto"/>
        <w:jc w:val="both"/>
        <w:rPr>
          <w:rFonts w:ascii="Arial" w:hAnsi="Arial" w:cs="Arial"/>
          <w:sz w:val="24"/>
          <w:szCs w:val="24"/>
        </w:rPr>
      </w:pPr>
    </w:p>
    <w:p w14:paraId="350FE0F1" w14:textId="2F90843D" w:rsidR="00A423AF" w:rsidRPr="00873FDE" w:rsidRDefault="00A423AF" w:rsidP="00CE4FF8">
      <w:pPr>
        <w:pStyle w:val="ListParagraph"/>
        <w:numPr>
          <w:ilvl w:val="0"/>
          <w:numId w:val="39"/>
        </w:numPr>
        <w:tabs>
          <w:tab w:val="left" w:pos="0"/>
        </w:tabs>
        <w:spacing w:after="0" w:line="480" w:lineRule="auto"/>
        <w:ind w:left="0" w:firstLine="0"/>
        <w:jc w:val="both"/>
        <w:rPr>
          <w:rFonts w:ascii="Arial" w:hAnsi="Arial" w:cs="Arial"/>
        </w:rPr>
      </w:pPr>
      <w:r w:rsidRPr="00873FDE">
        <w:rPr>
          <w:rFonts w:ascii="Arial" w:hAnsi="Arial" w:cs="Arial"/>
          <w:sz w:val="24"/>
          <w:szCs w:val="24"/>
        </w:rPr>
        <w:t>Section 65(1) and (8) prescribe different times at which the new duty becomes payable. Once the taxation proposal has been tabled in the National Assembly, it activates any new duty or increased rate immediately upon tabling. As noted earlier, this is stated in s</w:t>
      </w:r>
      <w:r w:rsidR="00595969">
        <w:rPr>
          <w:rFonts w:ascii="Arial" w:hAnsi="Arial" w:cs="Arial"/>
          <w:sz w:val="24"/>
          <w:szCs w:val="24"/>
        </w:rPr>
        <w:t>ection</w:t>
      </w:r>
      <w:r w:rsidRPr="00873FDE">
        <w:rPr>
          <w:rFonts w:ascii="Arial" w:hAnsi="Arial" w:cs="Arial"/>
          <w:sz w:val="24"/>
          <w:szCs w:val="24"/>
        </w:rPr>
        <w:t xml:space="preserve"> 65(1) itself. On the other hand, the duty imposed via a notice contemplated in s</w:t>
      </w:r>
      <w:r w:rsidR="00595969">
        <w:rPr>
          <w:rFonts w:ascii="Arial" w:hAnsi="Arial" w:cs="Arial"/>
          <w:sz w:val="24"/>
          <w:szCs w:val="24"/>
        </w:rPr>
        <w:t>ection</w:t>
      </w:r>
      <w:r w:rsidRPr="00873FDE">
        <w:rPr>
          <w:rFonts w:ascii="Arial" w:hAnsi="Arial" w:cs="Arial"/>
          <w:sz w:val="24"/>
          <w:szCs w:val="24"/>
        </w:rPr>
        <w:t xml:space="preserve"> 65(8) of the Act is payable from the date fixed by the Minister through that notice. This is evident in s</w:t>
      </w:r>
      <w:r w:rsidR="00595969">
        <w:rPr>
          <w:rFonts w:ascii="Arial" w:hAnsi="Arial" w:cs="Arial"/>
          <w:sz w:val="24"/>
          <w:szCs w:val="24"/>
        </w:rPr>
        <w:t>ection</w:t>
      </w:r>
      <w:r w:rsidRPr="00873FDE">
        <w:rPr>
          <w:rFonts w:ascii="Arial" w:hAnsi="Arial" w:cs="Arial"/>
          <w:sz w:val="24"/>
          <w:szCs w:val="24"/>
        </w:rPr>
        <w:t xml:space="preserve"> 65(9) of the Customs and Excise Act which </w:t>
      </w:r>
      <w:r w:rsidR="00CE4FF8">
        <w:rPr>
          <w:rFonts w:ascii="Arial" w:hAnsi="Arial" w:cs="Arial"/>
          <w:sz w:val="24"/>
          <w:szCs w:val="24"/>
        </w:rPr>
        <w:t>reads:</w:t>
      </w:r>
    </w:p>
    <w:p w14:paraId="3D354AF4" w14:textId="77777777" w:rsidR="00A423AF" w:rsidRPr="006B1C56" w:rsidRDefault="00A423AF" w:rsidP="006B1C56">
      <w:pPr>
        <w:pStyle w:val="ListParagraph"/>
        <w:spacing w:after="0" w:line="480" w:lineRule="auto"/>
        <w:jc w:val="both"/>
        <w:rPr>
          <w:rFonts w:ascii="Arial" w:hAnsi="Arial" w:cs="Arial"/>
          <w:sz w:val="24"/>
          <w:szCs w:val="24"/>
        </w:rPr>
      </w:pPr>
    </w:p>
    <w:p w14:paraId="40893E78" w14:textId="07CF9307" w:rsidR="00A423AF" w:rsidRPr="00873FDE" w:rsidRDefault="00A423AF" w:rsidP="006B1C56">
      <w:pPr>
        <w:tabs>
          <w:tab w:val="left" w:pos="0"/>
        </w:tabs>
        <w:spacing w:after="0" w:line="360" w:lineRule="auto"/>
        <w:ind w:left="720"/>
        <w:jc w:val="both"/>
        <w:rPr>
          <w:rFonts w:ascii="Arial" w:hAnsi="Arial" w:cs="Arial"/>
        </w:rPr>
      </w:pPr>
      <w:r w:rsidRPr="00873FDE">
        <w:rPr>
          <w:rFonts w:ascii="Arial" w:hAnsi="Arial" w:cs="Arial"/>
        </w:rPr>
        <w:t>‘(9) If the National Assembly, during the period of 28 days referred to in subsection (8), passes a resolution relating to the notice on the Table as contemplated in that subsection, such resolution shall not affect the validity of anything done in terms of such notice until the date immediately prior to the date upon which such resolution was passed, or to any right, privilege, obligation or liability acquired, accrued or incurred at such</w:t>
      </w:r>
      <w:r w:rsidR="00CE4FF8">
        <w:rPr>
          <w:rFonts w:ascii="Arial" w:hAnsi="Arial" w:cs="Arial"/>
        </w:rPr>
        <w:t xml:space="preserve"> date in terms of such notice.’</w:t>
      </w:r>
    </w:p>
    <w:p w14:paraId="6C2E5489" w14:textId="77777777" w:rsidR="00A423AF" w:rsidRPr="00833A75" w:rsidRDefault="00A423AF" w:rsidP="00A45627">
      <w:pPr>
        <w:spacing w:after="0" w:line="480" w:lineRule="auto"/>
        <w:ind w:left="360"/>
        <w:jc w:val="both"/>
        <w:rPr>
          <w:rFonts w:ascii="Arial" w:hAnsi="Arial" w:cs="Arial"/>
          <w:sz w:val="24"/>
          <w:szCs w:val="24"/>
        </w:rPr>
      </w:pPr>
    </w:p>
    <w:p w14:paraId="486E0EE5" w14:textId="3A1D0D85" w:rsidR="00A423AF" w:rsidRPr="00833A75" w:rsidRDefault="00A423AF" w:rsidP="00CE4FF8">
      <w:pPr>
        <w:pStyle w:val="ListParagraph"/>
        <w:numPr>
          <w:ilvl w:val="0"/>
          <w:numId w:val="39"/>
        </w:numPr>
        <w:spacing w:after="0" w:line="480" w:lineRule="auto"/>
        <w:ind w:left="0" w:firstLine="0"/>
        <w:jc w:val="both"/>
        <w:rPr>
          <w:rFonts w:ascii="Arial" w:hAnsi="Arial" w:cs="Arial"/>
          <w:sz w:val="24"/>
          <w:szCs w:val="24"/>
        </w:rPr>
      </w:pPr>
      <w:r w:rsidRPr="00833A75">
        <w:rPr>
          <w:rFonts w:ascii="Arial" w:hAnsi="Arial" w:cs="Arial"/>
          <w:sz w:val="24"/>
          <w:szCs w:val="24"/>
        </w:rPr>
        <w:t>Thus in terms of s</w:t>
      </w:r>
      <w:r w:rsidR="00595969">
        <w:rPr>
          <w:rFonts w:ascii="Arial" w:hAnsi="Arial" w:cs="Arial"/>
          <w:sz w:val="24"/>
          <w:szCs w:val="24"/>
        </w:rPr>
        <w:t>ection</w:t>
      </w:r>
      <w:r w:rsidRPr="00833A75">
        <w:rPr>
          <w:rFonts w:ascii="Arial" w:hAnsi="Arial" w:cs="Arial"/>
          <w:sz w:val="24"/>
          <w:szCs w:val="24"/>
        </w:rPr>
        <w:t xml:space="preserve"> 65(9), if the National Assembly passes a resolution which is adverse to the tabled notice, such a resolution will not affect the obligations or liabilities already acquired as a result of that </w:t>
      </w:r>
      <w:r>
        <w:rPr>
          <w:rFonts w:ascii="Arial" w:hAnsi="Arial" w:cs="Arial"/>
          <w:sz w:val="24"/>
          <w:szCs w:val="24"/>
        </w:rPr>
        <w:t>n</w:t>
      </w:r>
      <w:r w:rsidRPr="00833A75">
        <w:rPr>
          <w:rFonts w:ascii="Arial" w:hAnsi="Arial" w:cs="Arial"/>
          <w:sz w:val="24"/>
          <w:szCs w:val="24"/>
        </w:rPr>
        <w:t>otice. Put differently, the resolution of the National Assembly will not have a retrospective effect on the ob</w:t>
      </w:r>
      <w:r>
        <w:rPr>
          <w:rFonts w:ascii="Arial" w:hAnsi="Arial" w:cs="Arial"/>
          <w:sz w:val="24"/>
          <w:szCs w:val="24"/>
        </w:rPr>
        <w:t>ligations or liabilities which arise from the n</w:t>
      </w:r>
      <w:r w:rsidRPr="00833A75">
        <w:rPr>
          <w:rFonts w:ascii="Arial" w:hAnsi="Arial" w:cs="Arial"/>
          <w:sz w:val="24"/>
          <w:szCs w:val="24"/>
        </w:rPr>
        <w:t xml:space="preserve">otice. It seems therefore that, the </w:t>
      </w:r>
      <w:r>
        <w:rPr>
          <w:rFonts w:ascii="Arial" w:hAnsi="Arial" w:cs="Arial"/>
          <w:sz w:val="24"/>
          <w:szCs w:val="24"/>
        </w:rPr>
        <w:t>n</w:t>
      </w:r>
      <w:r w:rsidRPr="00833A75">
        <w:rPr>
          <w:rFonts w:ascii="Arial" w:hAnsi="Arial" w:cs="Arial"/>
          <w:sz w:val="24"/>
          <w:szCs w:val="24"/>
        </w:rPr>
        <w:t xml:space="preserve">otice is not a proposal, to the National Assembly, by the Minister to introduce new duty. It </w:t>
      </w:r>
      <w:r>
        <w:rPr>
          <w:rFonts w:ascii="Arial" w:hAnsi="Arial" w:cs="Arial"/>
          <w:sz w:val="24"/>
          <w:szCs w:val="24"/>
        </w:rPr>
        <w:t xml:space="preserve">would appear </w:t>
      </w:r>
      <w:r w:rsidRPr="00833A75">
        <w:rPr>
          <w:rFonts w:ascii="Arial" w:hAnsi="Arial" w:cs="Arial"/>
          <w:sz w:val="24"/>
          <w:szCs w:val="24"/>
        </w:rPr>
        <w:t xml:space="preserve">that the purpose of tabling this </w:t>
      </w:r>
      <w:r>
        <w:rPr>
          <w:rFonts w:ascii="Arial" w:hAnsi="Arial" w:cs="Arial"/>
          <w:sz w:val="24"/>
          <w:szCs w:val="24"/>
        </w:rPr>
        <w:t>n</w:t>
      </w:r>
      <w:r w:rsidRPr="00833A75">
        <w:rPr>
          <w:rFonts w:ascii="Arial" w:hAnsi="Arial" w:cs="Arial"/>
          <w:sz w:val="24"/>
          <w:szCs w:val="24"/>
        </w:rPr>
        <w:t xml:space="preserve">otice is to allow the National Assembly </w:t>
      </w:r>
      <w:r>
        <w:rPr>
          <w:rFonts w:ascii="Arial" w:hAnsi="Arial" w:cs="Arial"/>
          <w:sz w:val="24"/>
          <w:szCs w:val="24"/>
        </w:rPr>
        <w:t xml:space="preserve">the opportunity </w:t>
      </w:r>
      <w:r w:rsidRPr="00833A75">
        <w:rPr>
          <w:rFonts w:ascii="Arial" w:hAnsi="Arial" w:cs="Arial"/>
          <w:sz w:val="24"/>
          <w:szCs w:val="24"/>
        </w:rPr>
        <w:t xml:space="preserve">to exercise its oversight to confirm or terminate or suspend the regulations. This would be entirely </w:t>
      </w:r>
      <w:r>
        <w:rPr>
          <w:rFonts w:ascii="Arial" w:hAnsi="Arial" w:cs="Arial"/>
          <w:sz w:val="24"/>
          <w:szCs w:val="24"/>
        </w:rPr>
        <w:t xml:space="preserve">consistent </w:t>
      </w:r>
      <w:r w:rsidRPr="00833A75">
        <w:rPr>
          <w:rFonts w:ascii="Arial" w:hAnsi="Arial" w:cs="Arial"/>
          <w:sz w:val="24"/>
          <w:szCs w:val="24"/>
        </w:rPr>
        <w:t>with Art</w:t>
      </w:r>
      <w:r w:rsidR="00595969">
        <w:rPr>
          <w:rFonts w:ascii="Arial" w:hAnsi="Arial" w:cs="Arial"/>
          <w:sz w:val="24"/>
          <w:szCs w:val="24"/>
        </w:rPr>
        <w:t>icle</w:t>
      </w:r>
      <w:r w:rsidRPr="00833A75">
        <w:rPr>
          <w:rFonts w:ascii="Arial" w:hAnsi="Arial" w:cs="Arial"/>
          <w:sz w:val="24"/>
          <w:szCs w:val="24"/>
        </w:rPr>
        <w:t xml:space="preserve"> 63(2)(</w:t>
      </w:r>
      <w:r w:rsidRPr="00873FDE">
        <w:rPr>
          <w:rFonts w:ascii="Arial" w:hAnsi="Arial" w:cs="Arial"/>
          <w:i/>
          <w:sz w:val="24"/>
          <w:szCs w:val="24"/>
        </w:rPr>
        <w:t>b</w:t>
      </w:r>
      <w:r w:rsidRPr="00833A75">
        <w:rPr>
          <w:rFonts w:ascii="Arial" w:hAnsi="Arial" w:cs="Arial"/>
          <w:sz w:val="24"/>
          <w:szCs w:val="24"/>
        </w:rPr>
        <w:t>) of the Constitution</w:t>
      </w:r>
      <w:r>
        <w:rPr>
          <w:rFonts w:ascii="Arial" w:hAnsi="Arial" w:cs="Arial"/>
          <w:sz w:val="24"/>
          <w:szCs w:val="24"/>
        </w:rPr>
        <w:t>.</w:t>
      </w:r>
      <w:r>
        <w:rPr>
          <w:rStyle w:val="FootnoteReference"/>
          <w:rFonts w:ascii="Arial" w:hAnsi="Arial" w:cs="Arial"/>
          <w:sz w:val="24"/>
          <w:szCs w:val="24"/>
        </w:rPr>
        <w:footnoteReference w:id="18"/>
      </w:r>
    </w:p>
    <w:p w14:paraId="413E3C3C" w14:textId="77777777" w:rsidR="00A423AF" w:rsidRPr="004A20B5" w:rsidRDefault="00A423AF" w:rsidP="00CE4FF8">
      <w:pPr>
        <w:tabs>
          <w:tab w:val="num" w:pos="0"/>
        </w:tabs>
        <w:spacing w:after="0" w:line="480" w:lineRule="auto"/>
        <w:jc w:val="both"/>
        <w:rPr>
          <w:rFonts w:ascii="Arial" w:hAnsi="Arial" w:cs="Arial"/>
          <w:sz w:val="24"/>
          <w:szCs w:val="24"/>
        </w:rPr>
      </w:pPr>
    </w:p>
    <w:p w14:paraId="0B99A9DC" w14:textId="079C79F7" w:rsidR="00A423AF" w:rsidRDefault="00A423AF" w:rsidP="00CE4FF8">
      <w:pPr>
        <w:pStyle w:val="ListParagraph"/>
        <w:numPr>
          <w:ilvl w:val="0"/>
          <w:numId w:val="39"/>
        </w:numPr>
        <w:spacing w:after="0" w:line="480" w:lineRule="auto"/>
        <w:ind w:left="0" w:firstLine="0"/>
        <w:jc w:val="both"/>
        <w:rPr>
          <w:rFonts w:ascii="Arial" w:hAnsi="Arial" w:cs="Arial"/>
          <w:sz w:val="24"/>
          <w:szCs w:val="24"/>
        </w:rPr>
      </w:pPr>
      <w:r w:rsidRPr="008D6FB0">
        <w:rPr>
          <w:rFonts w:ascii="Arial" w:hAnsi="Arial" w:cs="Arial"/>
          <w:sz w:val="24"/>
          <w:szCs w:val="24"/>
        </w:rPr>
        <w:t xml:space="preserve">That the legislature contemplated two distinct procedures in terms of which a rate of duty may be imposed, namely one by tabling a taxation proposal and the other by publication in the </w:t>
      </w:r>
      <w:r w:rsidRPr="000E1055">
        <w:rPr>
          <w:rFonts w:ascii="Arial" w:hAnsi="Arial" w:cs="Arial"/>
          <w:i/>
          <w:sz w:val="24"/>
          <w:szCs w:val="24"/>
        </w:rPr>
        <w:t>Government Gazette</w:t>
      </w:r>
      <w:r w:rsidRPr="008D6FB0">
        <w:rPr>
          <w:rFonts w:ascii="Arial" w:hAnsi="Arial" w:cs="Arial"/>
          <w:sz w:val="24"/>
          <w:szCs w:val="24"/>
        </w:rPr>
        <w:t>, is eviden</w:t>
      </w:r>
      <w:r w:rsidR="00CE4FF8">
        <w:rPr>
          <w:rFonts w:ascii="Arial" w:hAnsi="Arial" w:cs="Arial"/>
          <w:sz w:val="24"/>
          <w:szCs w:val="24"/>
        </w:rPr>
        <w:t>t from s</w:t>
      </w:r>
      <w:r w:rsidR="00595969">
        <w:rPr>
          <w:rFonts w:ascii="Arial" w:hAnsi="Arial" w:cs="Arial"/>
          <w:sz w:val="24"/>
          <w:szCs w:val="24"/>
        </w:rPr>
        <w:t>ection</w:t>
      </w:r>
      <w:r w:rsidR="00CE4FF8">
        <w:rPr>
          <w:rFonts w:ascii="Arial" w:hAnsi="Arial" w:cs="Arial"/>
          <w:sz w:val="24"/>
          <w:szCs w:val="24"/>
        </w:rPr>
        <w:t xml:space="preserve"> 65(10) which provides:</w:t>
      </w:r>
    </w:p>
    <w:p w14:paraId="21160B28" w14:textId="77777777" w:rsidR="00A423AF" w:rsidRPr="008D6FB0" w:rsidRDefault="00A423AF" w:rsidP="00505CD6">
      <w:pPr>
        <w:pStyle w:val="ListParagraph"/>
        <w:spacing w:after="0" w:line="360" w:lineRule="auto"/>
        <w:ind w:left="0"/>
        <w:jc w:val="both"/>
        <w:rPr>
          <w:rFonts w:ascii="Arial" w:hAnsi="Arial" w:cs="Arial"/>
          <w:sz w:val="24"/>
          <w:szCs w:val="24"/>
        </w:rPr>
      </w:pPr>
    </w:p>
    <w:p w14:paraId="65B6B3C7" w14:textId="77777777" w:rsidR="00A423AF" w:rsidRPr="0077233C" w:rsidRDefault="00A423AF" w:rsidP="00CE4FF8">
      <w:pPr>
        <w:spacing w:after="0" w:line="360" w:lineRule="auto"/>
        <w:ind w:left="720"/>
        <w:jc w:val="both"/>
        <w:rPr>
          <w:rFonts w:ascii="Arial" w:hAnsi="Arial" w:cs="Arial"/>
        </w:rPr>
      </w:pPr>
      <w:r w:rsidRPr="0077233C">
        <w:rPr>
          <w:rFonts w:ascii="Arial" w:hAnsi="Arial" w:cs="Arial"/>
        </w:rPr>
        <w:t xml:space="preserve">‘If in any legal proceedings any question arises as to whether the Minister has in fact </w:t>
      </w:r>
      <w:r w:rsidRPr="0077233C">
        <w:rPr>
          <w:rFonts w:ascii="Arial" w:hAnsi="Arial" w:cs="Arial"/>
          <w:i/>
        </w:rPr>
        <w:t>tabled</w:t>
      </w:r>
      <w:r w:rsidRPr="0077233C">
        <w:rPr>
          <w:rFonts w:ascii="Arial" w:hAnsi="Arial" w:cs="Arial"/>
        </w:rPr>
        <w:t xml:space="preserve"> a </w:t>
      </w:r>
      <w:r w:rsidRPr="000E1055">
        <w:rPr>
          <w:rFonts w:ascii="Arial" w:hAnsi="Arial" w:cs="Arial"/>
          <w:i/>
        </w:rPr>
        <w:t>taxation proposal</w:t>
      </w:r>
      <w:r w:rsidRPr="0077233C">
        <w:rPr>
          <w:rFonts w:ascii="Arial" w:hAnsi="Arial" w:cs="Arial"/>
        </w:rPr>
        <w:t xml:space="preserve"> or </w:t>
      </w:r>
      <w:r w:rsidRPr="000E1055">
        <w:rPr>
          <w:rFonts w:ascii="Arial" w:hAnsi="Arial" w:cs="Arial"/>
        </w:rPr>
        <w:t>a</w:t>
      </w:r>
      <w:r w:rsidRPr="0077233C">
        <w:rPr>
          <w:rFonts w:ascii="Arial" w:hAnsi="Arial" w:cs="Arial"/>
          <w:i/>
        </w:rPr>
        <w:t xml:space="preserve"> copy of a notice</w:t>
      </w:r>
      <w:r w:rsidRPr="0077233C">
        <w:rPr>
          <w:rFonts w:ascii="Arial" w:hAnsi="Arial" w:cs="Arial"/>
        </w:rPr>
        <w:t xml:space="preserve"> as described in this section, or as to the time when </w:t>
      </w:r>
      <w:r w:rsidRPr="0077233C">
        <w:rPr>
          <w:rFonts w:ascii="Arial" w:hAnsi="Arial" w:cs="Arial"/>
          <w:i/>
        </w:rPr>
        <w:t>such proposal or notice</w:t>
      </w:r>
      <w:r w:rsidRPr="0077233C">
        <w:rPr>
          <w:rFonts w:ascii="Arial" w:hAnsi="Arial" w:cs="Arial"/>
        </w:rPr>
        <w:t xml:space="preserve"> was tabled, or as to the particulars contained in </w:t>
      </w:r>
      <w:r w:rsidRPr="0077233C">
        <w:rPr>
          <w:rFonts w:ascii="Arial" w:hAnsi="Arial" w:cs="Arial"/>
          <w:i/>
        </w:rPr>
        <w:t>such proposal or notice</w:t>
      </w:r>
      <w:r w:rsidRPr="0077233C">
        <w:rPr>
          <w:rFonts w:ascii="Arial" w:hAnsi="Arial" w:cs="Arial"/>
        </w:rPr>
        <w:t xml:space="preserve">, a copy of such proposal or notice, certified by the Secretary of the National Assembly to be a true copy, shall be prima facie evidence that such proposal or notice was tabled, of the date upon which it was tabled and of the particulars contained therein.’ </w:t>
      </w:r>
      <w:r>
        <w:rPr>
          <w:rFonts w:ascii="Arial" w:hAnsi="Arial" w:cs="Arial"/>
        </w:rPr>
        <w:t>(Emphasis is mine)</w:t>
      </w:r>
    </w:p>
    <w:p w14:paraId="2D1BC69D" w14:textId="77777777" w:rsidR="00A423AF" w:rsidRPr="00B51684" w:rsidRDefault="00A423AF" w:rsidP="00CE4FF8">
      <w:pPr>
        <w:spacing w:after="0" w:line="480" w:lineRule="auto"/>
        <w:ind w:left="360"/>
        <w:jc w:val="both"/>
        <w:rPr>
          <w:rFonts w:ascii="Arial" w:hAnsi="Arial" w:cs="Arial"/>
          <w:sz w:val="24"/>
          <w:szCs w:val="24"/>
        </w:rPr>
      </w:pPr>
    </w:p>
    <w:p w14:paraId="1D9F4F67" w14:textId="2003DC0B" w:rsidR="00A423AF" w:rsidRDefault="00A423AF" w:rsidP="00CE4FF8">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On the facts of the Attorney-General’s petition, w</w:t>
      </w:r>
      <w:r w:rsidRPr="00F4594A">
        <w:rPr>
          <w:rFonts w:ascii="Arial" w:hAnsi="Arial" w:cs="Arial"/>
          <w:sz w:val="24"/>
          <w:szCs w:val="24"/>
        </w:rPr>
        <w:t>hen the Minister employed the s</w:t>
      </w:r>
      <w:r w:rsidR="00595969">
        <w:rPr>
          <w:rFonts w:ascii="Arial" w:hAnsi="Arial" w:cs="Arial"/>
          <w:sz w:val="24"/>
          <w:szCs w:val="24"/>
        </w:rPr>
        <w:t>ection</w:t>
      </w:r>
      <w:r w:rsidRPr="00F4594A">
        <w:rPr>
          <w:rFonts w:ascii="Arial" w:hAnsi="Arial" w:cs="Arial"/>
          <w:sz w:val="24"/>
          <w:szCs w:val="24"/>
        </w:rPr>
        <w:t xml:space="preserve"> 65(1) procedure, she was not obliged to publish the tabling of the proposal by the Customs and Excise Act in the </w:t>
      </w:r>
      <w:r w:rsidRPr="00F4594A">
        <w:rPr>
          <w:rFonts w:ascii="Arial" w:hAnsi="Arial" w:cs="Arial"/>
          <w:i/>
          <w:sz w:val="24"/>
          <w:szCs w:val="24"/>
        </w:rPr>
        <w:t>Government Gazette</w:t>
      </w:r>
      <w:r w:rsidRPr="00F4594A">
        <w:rPr>
          <w:rFonts w:ascii="Arial" w:hAnsi="Arial" w:cs="Arial"/>
          <w:sz w:val="24"/>
          <w:szCs w:val="24"/>
        </w:rPr>
        <w:t xml:space="preserve">. She however gave notice to the public at large that she had tabled a taxation proposal. She did this in the </w:t>
      </w:r>
      <w:r w:rsidRPr="00F4594A">
        <w:rPr>
          <w:rFonts w:ascii="Arial" w:hAnsi="Arial" w:cs="Arial"/>
          <w:i/>
          <w:sz w:val="24"/>
          <w:szCs w:val="24"/>
        </w:rPr>
        <w:t>Government Gazette</w:t>
      </w:r>
      <w:r w:rsidRPr="00F4594A">
        <w:rPr>
          <w:rFonts w:ascii="Arial" w:hAnsi="Arial" w:cs="Arial"/>
          <w:sz w:val="24"/>
          <w:szCs w:val="24"/>
        </w:rPr>
        <w:t xml:space="preserve"> dated 15 August</w:t>
      </w:r>
      <w:r w:rsidR="00595969">
        <w:rPr>
          <w:rFonts w:ascii="Arial" w:hAnsi="Arial" w:cs="Arial"/>
          <w:sz w:val="24"/>
          <w:szCs w:val="24"/>
        </w:rPr>
        <w:t xml:space="preserve"> </w:t>
      </w:r>
      <w:r w:rsidRPr="00F4594A">
        <w:rPr>
          <w:rFonts w:ascii="Arial" w:hAnsi="Arial" w:cs="Arial"/>
          <w:sz w:val="24"/>
          <w:szCs w:val="24"/>
        </w:rPr>
        <w:t>2012. This was evidently done to give effect to Article 22</w:t>
      </w:r>
      <w:r>
        <w:rPr>
          <w:rFonts w:ascii="Arial" w:hAnsi="Arial" w:cs="Arial"/>
          <w:sz w:val="24"/>
          <w:szCs w:val="24"/>
        </w:rPr>
        <w:t xml:space="preserve">(a) </w:t>
      </w:r>
      <w:r w:rsidRPr="00F4594A">
        <w:rPr>
          <w:rFonts w:ascii="Arial" w:hAnsi="Arial" w:cs="Arial"/>
          <w:sz w:val="24"/>
          <w:szCs w:val="24"/>
        </w:rPr>
        <w:t>of the Constitution</w:t>
      </w:r>
      <w:r>
        <w:rPr>
          <w:rStyle w:val="FootnoteReference"/>
          <w:rFonts w:ascii="Arial" w:hAnsi="Arial" w:cs="Arial"/>
          <w:sz w:val="24"/>
          <w:szCs w:val="24"/>
        </w:rPr>
        <w:footnoteReference w:id="19"/>
      </w:r>
      <w:r w:rsidRPr="00F4594A">
        <w:rPr>
          <w:rFonts w:ascii="Arial" w:hAnsi="Arial" w:cs="Arial"/>
          <w:sz w:val="24"/>
          <w:szCs w:val="24"/>
        </w:rPr>
        <w:t>, read with s</w:t>
      </w:r>
      <w:r w:rsidR="00EF650B">
        <w:rPr>
          <w:rFonts w:ascii="Arial" w:hAnsi="Arial" w:cs="Arial"/>
          <w:sz w:val="24"/>
          <w:szCs w:val="24"/>
        </w:rPr>
        <w:t>ection</w:t>
      </w:r>
      <w:r w:rsidRPr="00F4594A">
        <w:rPr>
          <w:rFonts w:ascii="Arial" w:hAnsi="Arial" w:cs="Arial"/>
          <w:sz w:val="24"/>
          <w:szCs w:val="24"/>
        </w:rPr>
        <w:t xml:space="preserve"> 13 of the Interpretation of Laws Proclamation</w:t>
      </w:r>
      <w:r>
        <w:rPr>
          <w:rFonts w:ascii="Arial" w:hAnsi="Arial" w:cs="Arial"/>
          <w:sz w:val="24"/>
          <w:szCs w:val="24"/>
        </w:rPr>
        <w:t xml:space="preserve"> 37 of</w:t>
      </w:r>
      <w:r w:rsidRPr="00F4594A">
        <w:rPr>
          <w:rFonts w:ascii="Arial" w:hAnsi="Arial" w:cs="Arial"/>
          <w:sz w:val="24"/>
          <w:szCs w:val="24"/>
        </w:rPr>
        <w:t xml:space="preserve"> 1920.</w:t>
      </w:r>
      <w:r>
        <w:rPr>
          <w:rStyle w:val="FootnoteReference"/>
          <w:rFonts w:ascii="Arial" w:hAnsi="Arial" w:cs="Arial"/>
          <w:sz w:val="24"/>
          <w:szCs w:val="24"/>
        </w:rPr>
        <w:footnoteReference w:id="20"/>
      </w:r>
      <w:r w:rsidRPr="00F4594A">
        <w:rPr>
          <w:rFonts w:ascii="Arial" w:hAnsi="Arial" w:cs="Arial"/>
          <w:sz w:val="24"/>
          <w:szCs w:val="24"/>
        </w:rPr>
        <w:t xml:space="preserve"> </w:t>
      </w:r>
      <w:r>
        <w:rPr>
          <w:rFonts w:ascii="Arial" w:hAnsi="Arial" w:cs="Arial"/>
          <w:sz w:val="24"/>
          <w:szCs w:val="24"/>
        </w:rPr>
        <w:t>The notice specifically says it was published pursuant to s</w:t>
      </w:r>
      <w:r w:rsidR="00A87BE4">
        <w:rPr>
          <w:rFonts w:ascii="Arial" w:hAnsi="Arial" w:cs="Arial"/>
          <w:sz w:val="24"/>
          <w:szCs w:val="24"/>
        </w:rPr>
        <w:t>ection</w:t>
      </w:r>
      <w:r>
        <w:rPr>
          <w:rFonts w:ascii="Arial" w:hAnsi="Arial" w:cs="Arial"/>
          <w:sz w:val="24"/>
          <w:szCs w:val="24"/>
        </w:rPr>
        <w:t xml:space="preserve"> 13 of the Interpretation of Laws Proclamation. The notice also informed the public that the Minister exercised her powers by tabling a taxation proposal on 18 April 2012 in terms of s</w:t>
      </w:r>
      <w:r w:rsidR="00EF650B">
        <w:rPr>
          <w:rFonts w:ascii="Arial" w:hAnsi="Arial" w:cs="Arial"/>
          <w:sz w:val="24"/>
          <w:szCs w:val="24"/>
        </w:rPr>
        <w:t>ection</w:t>
      </w:r>
      <w:r>
        <w:rPr>
          <w:rFonts w:ascii="Arial" w:hAnsi="Arial" w:cs="Arial"/>
          <w:sz w:val="24"/>
          <w:szCs w:val="24"/>
        </w:rPr>
        <w:t xml:space="preserve"> 65(1); not s</w:t>
      </w:r>
      <w:r w:rsidR="00EF650B">
        <w:rPr>
          <w:rFonts w:ascii="Arial" w:hAnsi="Arial" w:cs="Arial"/>
          <w:sz w:val="24"/>
          <w:szCs w:val="24"/>
        </w:rPr>
        <w:t>ection</w:t>
      </w:r>
      <w:r>
        <w:rPr>
          <w:rFonts w:ascii="Arial" w:hAnsi="Arial" w:cs="Arial"/>
          <w:sz w:val="24"/>
          <w:szCs w:val="24"/>
        </w:rPr>
        <w:t xml:space="preserve"> 65(8). The notice did not impose the duty retrospectively. The validity of the taxation proposal is not dependent on the promulgation and tabling of the notice in terms of s</w:t>
      </w:r>
      <w:r w:rsidR="00EF650B">
        <w:rPr>
          <w:rFonts w:ascii="Arial" w:hAnsi="Arial" w:cs="Arial"/>
          <w:sz w:val="24"/>
          <w:szCs w:val="24"/>
        </w:rPr>
        <w:t>ection</w:t>
      </w:r>
      <w:r>
        <w:rPr>
          <w:rFonts w:ascii="Arial" w:hAnsi="Arial" w:cs="Arial"/>
          <w:sz w:val="24"/>
          <w:szCs w:val="24"/>
        </w:rPr>
        <w:t xml:space="preserve"> 65(8). On the </w:t>
      </w:r>
      <w:r w:rsidRPr="00AB0270">
        <w:rPr>
          <w:rFonts w:ascii="Arial" w:hAnsi="Arial" w:cs="Arial"/>
          <w:sz w:val="24"/>
          <w:szCs w:val="24"/>
        </w:rPr>
        <w:t>contrary, the taxation proposal once tabled in the National Assembly becomes law</w:t>
      </w:r>
      <w:r>
        <w:rPr>
          <w:rFonts w:ascii="Arial" w:hAnsi="Arial" w:cs="Arial"/>
          <w:sz w:val="24"/>
          <w:szCs w:val="24"/>
        </w:rPr>
        <w:t xml:space="preserve"> and part of the Customs and Excise Act by virtue of the definition of the phrase ‘this Act’ in s</w:t>
      </w:r>
      <w:r w:rsidR="00C02450">
        <w:rPr>
          <w:rFonts w:ascii="Arial" w:hAnsi="Arial" w:cs="Arial"/>
          <w:sz w:val="24"/>
          <w:szCs w:val="24"/>
        </w:rPr>
        <w:t>ection</w:t>
      </w:r>
      <w:r>
        <w:rPr>
          <w:rFonts w:ascii="Arial" w:hAnsi="Arial" w:cs="Arial"/>
          <w:sz w:val="24"/>
          <w:szCs w:val="24"/>
        </w:rPr>
        <w:t xml:space="preserve"> 1 of that Act.</w:t>
      </w:r>
      <w:r>
        <w:rPr>
          <w:rStyle w:val="FootnoteReference"/>
          <w:rFonts w:ascii="Arial" w:hAnsi="Arial" w:cs="Arial"/>
          <w:sz w:val="24"/>
          <w:szCs w:val="24"/>
        </w:rPr>
        <w:footnoteReference w:id="21"/>
      </w:r>
    </w:p>
    <w:p w14:paraId="7CC2D533" w14:textId="77777777" w:rsidR="00F04B85" w:rsidRDefault="00F04B85" w:rsidP="00F04B85">
      <w:pPr>
        <w:pStyle w:val="ListParagraph"/>
        <w:spacing w:after="0" w:line="480" w:lineRule="auto"/>
        <w:ind w:left="0"/>
        <w:jc w:val="both"/>
        <w:rPr>
          <w:rFonts w:ascii="Arial" w:hAnsi="Arial" w:cs="Arial"/>
          <w:sz w:val="24"/>
          <w:szCs w:val="24"/>
        </w:rPr>
      </w:pPr>
    </w:p>
    <w:p w14:paraId="7231BFFB" w14:textId="237C6BA0" w:rsidR="00A423AF" w:rsidRPr="00F04B85" w:rsidRDefault="00A423AF" w:rsidP="00F04B85">
      <w:pPr>
        <w:pStyle w:val="ListParagraph"/>
        <w:numPr>
          <w:ilvl w:val="0"/>
          <w:numId w:val="39"/>
        </w:numPr>
        <w:spacing w:after="0" w:line="480" w:lineRule="auto"/>
        <w:ind w:left="0" w:firstLine="0"/>
        <w:jc w:val="both"/>
        <w:rPr>
          <w:rFonts w:ascii="Arial" w:hAnsi="Arial" w:cs="Arial"/>
          <w:sz w:val="24"/>
          <w:szCs w:val="24"/>
        </w:rPr>
      </w:pPr>
      <w:r w:rsidRPr="00F04B85">
        <w:rPr>
          <w:rFonts w:ascii="Arial" w:hAnsi="Arial" w:cs="Arial"/>
          <w:sz w:val="24"/>
          <w:szCs w:val="24"/>
        </w:rPr>
        <w:t>Therefore, subsections (1) and (8) of s</w:t>
      </w:r>
      <w:r w:rsidR="00BF31EA">
        <w:rPr>
          <w:rFonts w:ascii="Arial" w:hAnsi="Arial" w:cs="Arial"/>
          <w:sz w:val="24"/>
          <w:szCs w:val="24"/>
        </w:rPr>
        <w:t>ection</w:t>
      </w:r>
      <w:r w:rsidRPr="00F04B85">
        <w:rPr>
          <w:rFonts w:ascii="Arial" w:hAnsi="Arial" w:cs="Arial"/>
          <w:sz w:val="24"/>
          <w:szCs w:val="24"/>
        </w:rPr>
        <w:t xml:space="preserve"> 65 should be seen as setting out two different processes which the Minister may engage in order to introduce new duty or increase the rate of duty payable upon any goods specified in the proposal or notice</w:t>
      </w:r>
      <w:r w:rsidR="00F04B85">
        <w:rPr>
          <w:rFonts w:ascii="Arial" w:hAnsi="Arial" w:cs="Arial"/>
          <w:sz w:val="24"/>
          <w:szCs w:val="24"/>
        </w:rPr>
        <w:t>.</w:t>
      </w:r>
    </w:p>
    <w:p w14:paraId="799EF764" w14:textId="77777777" w:rsidR="00A423AF" w:rsidRPr="00833A75" w:rsidRDefault="00A423AF" w:rsidP="00F04B85">
      <w:pPr>
        <w:spacing w:after="0" w:line="480" w:lineRule="auto"/>
        <w:jc w:val="both"/>
        <w:rPr>
          <w:rFonts w:ascii="Arial" w:hAnsi="Arial" w:cs="Arial"/>
          <w:sz w:val="24"/>
          <w:szCs w:val="24"/>
        </w:rPr>
      </w:pPr>
    </w:p>
    <w:p w14:paraId="6285B73B" w14:textId="595677AC" w:rsidR="00A423AF" w:rsidRDefault="00A423AF" w:rsidP="00F04B85">
      <w:pPr>
        <w:pStyle w:val="ListParagraph"/>
        <w:numPr>
          <w:ilvl w:val="0"/>
          <w:numId w:val="39"/>
        </w:numPr>
        <w:spacing w:after="0" w:line="480" w:lineRule="auto"/>
        <w:ind w:left="0" w:firstLine="0"/>
        <w:jc w:val="both"/>
        <w:rPr>
          <w:rFonts w:ascii="Arial" w:hAnsi="Arial" w:cs="Arial"/>
          <w:sz w:val="24"/>
          <w:szCs w:val="24"/>
        </w:rPr>
      </w:pPr>
      <w:r w:rsidRPr="009059E0">
        <w:rPr>
          <w:rFonts w:ascii="Arial" w:hAnsi="Arial" w:cs="Arial"/>
          <w:sz w:val="24"/>
          <w:szCs w:val="24"/>
        </w:rPr>
        <w:t>The above interpretation is consistent with the legislative intention of giving the Minister flexibility to introduce new duty whenever the need arises</w:t>
      </w:r>
      <w:r>
        <w:rPr>
          <w:rFonts w:ascii="Arial" w:hAnsi="Arial" w:cs="Arial"/>
          <w:sz w:val="24"/>
          <w:szCs w:val="24"/>
        </w:rPr>
        <w:t xml:space="preserve"> in order to achieve the objectives of the Customs and Excise Act</w:t>
      </w:r>
      <w:r w:rsidRPr="009059E0">
        <w:rPr>
          <w:rFonts w:ascii="Arial" w:hAnsi="Arial" w:cs="Arial"/>
          <w:sz w:val="24"/>
          <w:szCs w:val="24"/>
        </w:rPr>
        <w:t>. It is also consistent with Art</w:t>
      </w:r>
      <w:r w:rsidR="00EF650B">
        <w:rPr>
          <w:rFonts w:ascii="Arial" w:hAnsi="Arial" w:cs="Arial"/>
          <w:sz w:val="24"/>
          <w:szCs w:val="24"/>
        </w:rPr>
        <w:t>icle</w:t>
      </w:r>
      <w:r w:rsidRPr="009059E0">
        <w:rPr>
          <w:rFonts w:ascii="Arial" w:hAnsi="Arial" w:cs="Arial"/>
          <w:sz w:val="24"/>
          <w:szCs w:val="24"/>
        </w:rPr>
        <w:t xml:space="preserve"> 63(2) of the Constitution which inspires the National Assembly to ensure that it has the last say on taxation laws. It would appear that the legislature was mindful of the need to ensure that the Minister is given options which he or she may choose </w:t>
      </w:r>
      <w:r w:rsidR="00F04B85">
        <w:rPr>
          <w:rFonts w:ascii="Arial" w:hAnsi="Arial" w:cs="Arial"/>
          <w:sz w:val="24"/>
          <w:szCs w:val="24"/>
        </w:rPr>
        <w:t>depending on the circumstances.</w:t>
      </w:r>
    </w:p>
    <w:p w14:paraId="1E445143" w14:textId="77777777" w:rsidR="006B1C56" w:rsidRPr="006B1C56" w:rsidRDefault="006B1C56" w:rsidP="006B1C56">
      <w:pPr>
        <w:pStyle w:val="ListParagraph"/>
        <w:spacing w:after="0" w:line="480" w:lineRule="auto"/>
        <w:jc w:val="both"/>
        <w:rPr>
          <w:rFonts w:ascii="Arial" w:hAnsi="Arial" w:cs="Arial"/>
          <w:sz w:val="24"/>
          <w:szCs w:val="24"/>
        </w:rPr>
      </w:pPr>
    </w:p>
    <w:p w14:paraId="46B246F7" w14:textId="7AFE2A06" w:rsidR="00A423AF" w:rsidRPr="00833A75" w:rsidRDefault="00A423AF" w:rsidP="00F04B85">
      <w:pPr>
        <w:pStyle w:val="ListParagraph"/>
        <w:numPr>
          <w:ilvl w:val="0"/>
          <w:numId w:val="39"/>
        </w:numPr>
        <w:spacing w:after="0" w:line="480" w:lineRule="auto"/>
        <w:ind w:left="0" w:firstLine="0"/>
        <w:jc w:val="both"/>
        <w:rPr>
          <w:rFonts w:ascii="Arial" w:hAnsi="Arial" w:cs="Arial"/>
          <w:sz w:val="24"/>
          <w:szCs w:val="24"/>
        </w:rPr>
      </w:pPr>
      <w:r w:rsidRPr="00833A75">
        <w:rPr>
          <w:rFonts w:ascii="Arial" w:hAnsi="Arial" w:cs="Arial"/>
          <w:sz w:val="24"/>
          <w:szCs w:val="24"/>
        </w:rPr>
        <w:t xml:space="preserve">The Court </w:t>
      </w:r>
      <w:r w:rsidRPr="00833A75">
        <w:rPr>
          <w:rFonts w:ascii="Arial" w:hAnsi="Arial" w:cs="Arial"/>
          <w:i/>
          <w:sz w:val="24"/>
          <w:szCs w:val="24"/>
        </w:rPr>
        <w:t>a quo</w:t>
      </w:r>
      <w:r w:rsidRPr="00833A75">
        <w:rPr>
          <w:rFonts w:ascii="Arial" w:hAnsi="Arial" w:cs="Arial"/>
          <w:sz w:val="24"/>
          <w:szCs w:val="24"/>
        </w:rPr>
        <w:t xml:space="preserve"> erred by reading </w:t>
      </w:r>
      <w:r>
        <w:rPr>
          <w:rFonts w:ascii="Arial" w:hAnsi="Arial" w:cs="Arial"/>
          <w:sz w:val="24"/>
          <w:szCs w:val="24"/>
        </w:rPr>
        <w:t xml:space="preserve">the </w:t>
      </w:r>
      <w:r w:rsidRPr="00833A75">
        <w:rPr>
          <w:rFonts w:ascii="Arial" w:hAnsi="Arial" w:cs="Arial"/>
          <w:sz w:val="24"/>
          <w:szCs w:val="24"/>
        </w:rPr>
        <w:t>provisions of s</w:t>
      </w:r>
      <w:r>
        <w:rPr>
          <w:rFonts w:ascii="Arial" w:hAnsi="Arial" w:cs="Arial"/>
          <w:sz w:val="24"/>
          <w:szCs w:val="24"/>
        </w:rPr>
        <w:t>ubsection (1) into subsection 8 of s</w:t>
      </w:r>
      <w:r w:rsidR="00EF650B">
        <w:rPr>
          <w:rFonts w:ascii="Arial" w:hAnsi="Arial" w:cs="Arial"/>
          <w:sz w:val="24"/>
          <w:szCs w:val="24"/>
        </w:rPr>
        <w:t>ection</w:t>
      </w:r>
      <w:r>
        <w:rPr>
          <w:rFonts w:ascii="Arial" w:hAnsi="Arial" w:cs="Arial"/>
          <w:sz w:val="24"/>
          <w:szCs w:val="24"/>
        </w:rPr>
        <w:t xml:space="preserve"> 65 </w:t>
      </w:r>
      <w:r w:rsidRPr="00833A75">
        <w:rPr>
          <w:rFonts w:ascii="Arial" w:hAnsi="Arial" w:cs="Arial"/>
          <w:sz w:val="24"/>
          <w:szCs w:val="24"/>
        </w:rPr>
        <w:t>to imply that subsection 8 prescribes procedures which must be followed when introducing duty in terms of s</w:t>
      </w:r>
      <w:r w:rsidR="00EF650B">
        <w:rPr>
          <w:rFonts w:ascii="Arial" w:hAnsi="Arial" w:cs="Arial"/>
          <w:sz w:val="24"/>
          <w:szCs w:val="24"/>
        </w:rPr>
        <w:t>ection</w:t>
      </w:r>
      <w:r w:rsidRPr="00833A75">
        <w:rPr>
          <w:rFonts w:ascii="Arial" w:hAnsi="Arial" w:cs="Arial"/>
          <w:sz w:val="24"/>
          <w:szCs w:val="24"/>
        </w:rPr>
        <w:t xml:space="preserve"> 65(1). In the absence of a conflict, the two provisions operate concurrently in pursuit of the legislative intention.</w:t>
      </w:r>
    </w:p>
    <w:p w14:paraId="40593A56" w14:textId="77777777" w:rsidR="00A423AF" w:rsidRPr="00833A75" w:rsidRDefault="00A423AF" w:rsidP="00F04B85">
      <w:pPr>
        <w:spacing w:after="0" w:line="480" w:lineRule="auto"/>
        <w:jc w:val="both"/>
        <w:rPr>
          <w:rFonts w:ascii="Arial" w:hAnsi="Arial" w:cs="Arial"/>
          <w:sz w:val="24"/>
          <w:szCs w:val="24"/>
        </w:rPr>
      </w:pPr>
    </w:p>
    <w:p w14:paraId="3A1FCF75" w14:textId="16B9A8A8" w:rsidR="00A423AF" w:rsidRPr="009059E0" w:rsidRDefault="00A423AF" w:rsidP="00F04B85">
      <w:pPr>
        <w:pStyle w:val="ListParagraph"/>
        <w:numPr>
          <w:ilvl w:val="0"/>
          <w:numId w:val="39"/>
        </w:numPr>
        <w:tabs>
          <w:tab w:val="left" w:pos="0"/>
        </w:tabs>
        <w:spacing w:after="0" w:line="480" w:lineRule="auto"/>
        <w:ind w:left="0" w:firstLine="0"/>
        <w:jc w:val="both"/>
        <w:rPr>
          <w:rFonts w:ascii="Arial" w:hAnsi="Arial" w:cs="Arial"/>
          <w:sz w:val="24"/>
          <w:szCs w:val="24"/>
          <w:u w:val="single"/>
        </w:rPr>
      </w:pPr>
      <w:r w:rsidRPr="009059E0">
        <w:rPr>
          <w:rFonts w:ascii="Arial" w:hAnsi="Arial" w:cs="Arial"/>
          <w:sz w:val="24"/>
          <w:szCs w:val="24"/>
        </w:rPr>
        <w:t>I hasten to point out, however, that the existence of two options through which the Minister may act does not and should not be taken as a license for the Minister to cherry pick how he or she wants to act. That is not the intention of the legislature. The discretion to choose between the two options must still be exercised in a manner which respects and upholds the constitutional values and the rule of law and a culture of justification, which underpins the Namibian constitutional democratic system. It also goes without saying that once the Minister has taken a decision to invoke a particular section as the preferred means of introducing the new duty, he or she must strictly follow the due process pres</w:t>
      </w:r>
      <w:r w:rsidR="00F04B85">
        <w:rPr>
          <w:rFonts w:ascii="Arial" w:hAnsi="Arial" w:cs="Arial"/>
          <w:sz w:val="24"/>
          <w:szCs w:val="24"/>
        </w:rPr>
        <w:t>cribed in the relevant section.</w:t>
      </w:r>
    </w:p>
    <w:p w14:paraId="716689A7" w14:textId="77777777" w:rsidR="00A423AF" w:rsidRPr="009059E0" w:rsidRDefault="00A423AF" w:rsidP="00F04B85">
      <w:pPr>
        <w:tabs>
          <w:tab w:val="left" w:pos="0"/>
        </w:tabs>
        <w:spacing w:after="0" w:line="480" w:lineRule="auto"/>
        <w:jc w:val="both"/>
        <w:rPr>
          <w:rFonts w:ascii="Arial" w:hAnsi="Arial" w:cs="Arial"/>
          <w:sz w:val="24"/>
          <w:szCs w:val="24"/>
          <w:u w:val="single"/>
        </w:rPr>
      </w:pPr>
    </w:p>
    <w:p w14:paraId="05BBB6D2" w14:textId="4524BE06" w:rsidR="00A423AF" w:rsidRPr="00C015BC" w:rsidRDefault="00A423AF" w:rsidP="00F04B85">
      <w:pPr>
        <w:tabs>
          <w:tab w:val="left" w:pos="0"/>
        </w:tabs>
        <w:spacing w:after="0" w:line="480" w:lineRule="auto"/>
        <w:jc w:val="both"/>
        <w:rPr>
          <w:rFonts w:ascii="Arial" w:hAnsi="Arial" w:cs="Arial"/>
          <w:sz w:val="24"/>
          <w:szCs w:val="24"/>
          <w:u w:val="single"/>
        </w:rPr>
      </w:pPr>
      <w:r w:rsidRPr="00C015BC">
        <w:rPr>
          <w:rFonts w:ascii="Arial" w:hAnsi="Arial" w:cs="Arial"/>
          <w:sz w:val="24"/>
          <w:szCs w:val="24"/>
          <w:u w:val="single"/>
        </w:rPr>
        <w:t xml:space="preserve">Costs in Ohorongo’s application to intervene in the High </w:t>
      </w:r>
      <w:r>
        <w:rPr>
          <w:rFonts w:ascii="Arial" w:hAnsi="Arial" w:cs="Arial"/>
          <w:sz w:val="24"/>
          <w:szCs w:val="24"/>
          <w:u w:val="single"/>
        </w:rPr>
        <w:t>C</w:t>
      </w:r>
      <w:r w:rsidR="00F04B85">
        <w:rPr>
          <w:rFonts w:ascii="Arial" w:hAnsi="Arial" w:cs="Arial"/>
          <w:sz w:val="24"/>
          <w:szCs w:val="24"/>
          <w:u w:val="single"/>
        </w:rPr>
        <w:t>ourt</w:t>
      </w:r>
    </w:p>
    <w:p w14:paraId="0D61402D" w14:textId="69BC6E9A" w:rsidR="00A423AF" w:rsidRDefault="00A423AF" w:rsidP="00F04B85">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 xml:space="preserve">It will be recalled that </w:t>
      </w:r>
      <w:r w:rsidRPr="00C015BC">
        <w:rPr>
          <w:rFonts w:ascii="Arial" w:hAnsi="Arial" w:cs="Arial"/>
          <w:sz w:val="24"/>
          <w:szCs w:val="24"/>
        </w:rPr>
        <w:t xml:space="preserve">Ohorongo, in its </w:t>
      </w:r>
      <w:r>
        <w:rPr>
          <w:rFonts w:ascii="Arial" w:hAnsi="Arial" w:cs="Arial"/>
          <w:sz w:val="24"/>
          <w:szCs w:val="24"/>
        </w:rPr>
        <w:t>application for review</w:t>
      </w:r>
      <w:r w:rsidRPr="00C015BC">
        <w:rPr>
          <w:rFonts w:ascii="Arial" w:hAnsi="Arial" w:cs="Arial"/>
          <w:sz w:val="24"/>
          <w:szCs w:val="24"/>
        </w:rPr>
        <w:t xml:space="preserve">, indicated that the presiding judge did not make an order of costs in its application to intervene in the main proceedings. </w:t>
      </w:r>
      <w:r>
        <w:rPr>
          <w:rFonts w:ascii="Arial" w:hAnsi="Arial" w:cs="Arial"/>
          <w:sz w:val="24"/>
          <w:szCs w:val="24"/>
        </w:rPr>
        <w:t>It has been noted that t</w:t>
      </w:r>
      <w:r w:rsidRPr="00C015BC">
        <w:rPr>
          <w:rFonts w:ascii="Arial" w:hAnsi="Arial" w:cs="Arial"/>
          <w:sz w:val="24"/>
          <w:szCs w:val="24"/>
        </w:rPr>
        <w:t>he presiding judge ruled that the costs would be determined by this court. I have already indicated that this was an irregularity. It is</w:t>
      </w:r>
      <w:r>
        <w:rPr>
          <w:rFonts w:ascii="Arial" w:hAnsi="Arial" w:cs="Arial"/>
          <w:sz w:val="24"/>
          <w:szCs w:val="24"/>
        </w:rPr>
        <w:t xml:space="preserve"> expedient and </w:t>
      </w:r>
      <w:r w:rsidRPr="00C015BC">
        <w:rPr>
          <w:rFonts w:ascii="Arial" w:hAnsi="Arial" w:cs="Arial"/>
          <w:sz w:val="24"/>
          <w:szCs w:val="24"/>
        </w:rPr>
        <w:t xml:space="preserve">in the interests of justice that in the circumstances where Ohorongo’s </w:t>
      </w:r>
      <w:r>
        <w:rPr>
          <w:rFonts w:ascii="Arial" w:hAnsi="Arial" w:cs="Arial"/>
          <w:sz w:val="24"/>
          <w:szCs w:val="24"/>
        </w:rPr>
        <w:t>application</w:t>
      </w:r>
      <w:r w:rsidRPr="00C015BC">
        <w:rPr>
          <w:rFonts w:ascii="Arial" w:hAnsi="Arial" w:cs="Arial"/>
          <w:sz w:val="24"/>
          <w:szCs w:val="24"/>
        </w:rPr>
        <w:t xml:space="preserve"> has been consolidated with the Attorney-General’s</w:t>
      </w:r>
      <w:r>
        <w:rPr>
          <w:rFonts w:ascii="Arial" w:hAnsi="Arial" w:cs="Arial"/>
          <w:sz w:val="24"/>
          <w:szCs w:val="24"/>
        </w:rPr>
        <w:t xml:space="preserve"> petition</w:t>
      </w:r>
      <w:r w:rsidRPr="00C015BC">
        <w:rPr>
          <w:rFonts w:ascii="Arial" w:hAnsi="Arial" w:cs="Arial"/>
          <w:sz w:val="24"/>
          <w:szCs w:val="24"/>
        </w:rPr>
        <w:t xml:space="preserve">, this Court </w:t>
      </w:r>
      <w:r>
        <w:rPr>
          <w:rFonts w:ascii="Arial" w:hAnsi="Arial" w:cs="Arial"/>
          <w:sz w:val="24"/>
          <w:szCs w:val="24"/>
        </w:rPr>
        <w:t xml:space="preserve">should </w:t>
      </w:r>
      <w:r w:rsidRPr="00C015BC">
        <w:rPr>
          <w:rFonts w:ascii="Arial" w:hAnsi="Arial" w:cs="Arial"/>
          <w:sz w:val="24"/>
          <w:szCs w:val="24"/>
        </w:rPr>
        <w:t xml:space="preserve">make an order regarding </w:t>
      </w:r>
      <w:r>
        <w:rPr>
          <w:rFonts w:ascii="Arial" w:hAnsi="Arial" w:cs="Arial"/>
          <w:sz w:val="24"/>
          <w:szCs w:val="24"/>
        </w:rPr>
        <w:t xml:space="preserve">the </w:t>
      </w:r>
      <w:r w:rsidRPr="00C015BC">
        <w:rPr>
          <w:rFonts w:ascii="Arial" w:hAnsi="Arial" w:cs="Arial"/>
          <w:sz w:val="24"/>
          <w:szCs w:val="24"/>
        </w:rPr>
        <w:t>costs for Ohorongo’s application to intervene</w:t>
      </w:r>
      <w:r w:rsidR="00F04B85">
        <w:rPr>
          <w:rFonts w:ascii="Arial" w:hAnsi="Arial" w:cs="Arial"/>
          <w:sz w:val="24"/>
          <w:szCs w:val="24"/>
        </w:rPr>
        <w:t xml:space="preserve"> in the High Court proceedings.</w:t>
      </w:r>
    </w:p>
    <w:p w14:paraId="4FF7F8A3" w14:textId="77777777" w:rsidR="006135A9" w:rsidRPr="00C015BC" w:rsidRDefault="006135A9" w:rsidP="006135A9">
      <w:pPr>
        <w:pStyle w:val="ListParagraph"/>
        <w:spacing w:after="0" w:line="480" w:lineRule="auto"/>
        <w:ind w:left="0"/>
        <w:jc w:val="both"/>
        <w:rPr>
          <w:rFonts w:ascii="Arial" w:hAnsi="Arial" w:cs="Arial"/>
          <w:sz w:val="24"/>
          <w:szCs w:val="24"/>
        </w:rPr>
      </w:pPr>
    </w:p>
    <w:p w14:paraId="64B439C2" w14:textId="77777777" w:rsidR="00A423AF" w:rsidRPr="00780A42" w:rsidRDefault="00A423AF" w:rsidP="00F04B85">
      <w:pPr>
        <w:pStyle w:val="ListParagraph"/>
        <w:numPr>
          <w:ilvl w:val="0"/>
          <w:numId w:val="39"/>
        </w:numPr>
        <w:spacing w:after="0" w:line="480" w:lineRule="auto"/>
        <w:ind w:left="0" w:firstLine="0"/>
        <w:jc w:val="both"/>
        <w:rPr>
          <w:rFonts w:ascii="Arial" w:hAnsi="Arial" w:cs="Arial"/>
          <w:sz w:val="24"/>
          <w:szCs w:val="24"/>
          <w:u w:val="single"/>
        </w:rPr>
      </w:pPr>
      <w:r w:rsidRPr="00C015BC">
        <w:rPr>
          <w:rFonts w:ascii="Arial" w:hAnsi="Arial" w:cs="Arial"/>
          <w:sz w:val="24"/>
          <w:szCs w:val="24"/>
          <w:lang w:val="en-ZA"/>
        </w:rPr>
        <w:t xml:space="preserve">The general rule concerning costs is that costs follow the event, subject to the overriding principle that a court has discretion in awarding costs. </w:t>
      </w:r>
      <w:r>
        <w:rPr>
          <w:rFonts w:ascii="Arial" w:hAnsi="Arial" w:cs="Arial"/>
          <w:sz w:val="24"/>
          <w:szCs w:val="24"/>
          <w:lang w:val="en-ZA"/>
        </w:rPr>
        <w:t xml:space="preserve">It will be recollected </w:t>
      </w:r>
      <w:r w:rsidRPr="00C015BC">
        <w:rPr>
          <w:rFonts w:ascii="Arial" w:hAnsi="Arial" w:cs="Arial"/>
          <w:sz w:val="24"/>
          <w:szCs w:val="24"/>
        </w:rPr>
        <w:t>that Ohorongo made an application to intervene as a respondent in the main proceedings in the High Court which were due to be heard on 14 January 2013. Both the main proceedings and Ohorongo’s application for intervention were postponed by agreement to 23 January 2013. On 23 January 2013, the date when the two applications were to be heard, the main application was withdrawn as the parties in that application had reached a settlement. The presiding judge then refused to hear Ohorongo’s application for intervention on the basis that the main application had been withdrawn. Ohorongo</w:t>
      </w:r>
      <w:r>
        <w:rPr>
          <w:rFonts w:ascii="Arial" w:hAnsi="Arial" w:cs="Arial"/>
          <w:sz w:val="24"/>
          <w:szCs w:val="24"/>
        </w:rPr>
        <w:t xml:space="preserve"> obviously had to incur costs to assert its rights. As it has</w:t>
      </w:r>
      <w:r w:rsidRPr="00C015BC">
        <w:rPr>
          <w:rFonts w:ascii="Arial" w:hAnsi="Arial" w:cs="Arial"/>
          <w:sz w:val="24"/>
          <w:szCs w:val="24"/>
          <w:lang w:val="en-ZA"/>
        </w:rPr>
        <w:t xml:space="preserve"> succeeded </w:t>
      </w:r>
      <w:r>
        <w:rPr>
          <w:rFonts w:ascii="Arial" w:hAnsi="Arial" w:cs="Arial"/>
          <w:sz w:val="24"/>
          <w:szCs w:val="24"/>
          <w:lang w:val="en-ZA"/>
        </w:rPr>
        <w:t xml:space="preserve">in showing </w:t>
      </w:r>
      <w:r w:rsidRPr="00C015BC">
        <w:rPr>
          <w:rFonts w:ascii="Arial" w:hAnsi="Arial" w:cs="Arial"/>
          <w:sz w:val="24"/>
          <w:szCs w:val="24"/>
          <w:lang w:val="en-ZA"/>
        </w:rPr>
        <w:t>that an irregularity indeed occurred</w:t>
      </w:r>
      <w:r>
        <w:rPr>
          <w:rFonts w:ascii="Arial" w:hAnsi="Arial" w:cs="Arial"/>
          <w:sz w:val="24"/>
          <w:szCs w:val="24"/>
          <w:lang w:val="en-ZA"/>
        </w:rPr>
        <w:t xml:space="preserve"> in the proceedings in which it had sought leave to intervene, it</w:t>
      </w:r>
      <w:r w:rsidRPr="00C015BC">
        <w:rPr>
          <w:rFonts w:ascii="Arial" w:hAnsi="Arial" w:cs="Arial"/>
          <w:sz w:val="24"/>
          <w:szCs w:val="24"/>
          <w:lang w:val="en-ZA"/>
        </w:rPr>
        <w:t xml:space="preserve"> is just and fair that Ohorongo be awarded </w:t>
      </w:r>
      <w:r>
        <w:rPr>
          <w:rFonts w:ascii="Arial" w:hAnsi="Arial" w:cs="Arial"/>
          <w:sz w:val="24"/>
          <w:szCs w:val="24"/>
          <w:lang w:val="en-ZA"/>
        </w:rPr>
        <w:t xml:space="preserve">its </w:t>
      </w:r>
      <w:r w:rsidRPr="00C015BC">
        <w:rPr>
          <w:rFonts w:ascii="Arial" w:hAnsi="Arial" w:cs="Arial"/>
          <w:sz w:val="24"/>
          <w:szCs w:val="24"/>
          <w:lang w:val="en-ZA"/>
        </w:rPr>
        <w:t>costs</w:t>
      </w:r>
      <w:r>
        <w:rPr>
          <w:rFonts w:ascii="Arial" w:hAnsi="Arial" w:cs="Arial"/>
          <w:sz w:val="24"/>
          <w:szCs w:val="24"/>
          <w:lang w:val="en-ZA"/>
        </w:rPr>
        <w:t xml:space="preserve"> in respect of its intervention application.</w:t>
      </w:r>
      <w:r>
        <w:rPr>
          <w:rFonts w:ascii="Arial" w:hAnsi="Arial" w:cs="Arial"/>
          <w:sz w:val="24"/>
          <w:szCs w:val="24"/>
        </w:rPr>
        <w:t xml:space="preserve"> It is also fair that the parties to the settlement agreement should pay Ohorongo’s costs in the High Court jointly and severally.</w:t>
      </w:r>
    </w:p>
    <w:p w14:paraId="7118B279" w14:textId="77777777" w:rsidR="00A423AF" w:rsidRDefault="00A423AF" w:rsidP="00F04B85">
      <w:pPr>
        <w:spacing w:after="0" w:line="480" w:lineRule="auto"/>
        <w:jc w:val="both"/>
        <w:rPr>
          <w:rFonts w:ascii="Arial" w:hAnsi="Arial" w:cs="Arial"/>
          <w:sz w:val="24"/>
          <w:szCs w:val="24"/>
          <w:u w:val="single"/>
        </w:rPr>
      </w:pPr>
    </w:p>
    <w:p w14:paraId="2D065368" w14:textId="77777777" w:rsidR="006E628B" w:rsidRDefault="006E628B" w:rsidP="00F04B85">
      <w:pPr>
        <w:spacing w:after="0" w:line="480" w:lineRule="auto"/>
        <w:jc w:val="both"/>
        <w:rPr>
          <w:rFonts w:ascii="Arial" w:hAnsi="Arial" w:cs="Arial"/>
          <w:sz w:val="24"/>
          <w:szCs w:val="24"/>
          <w:u w:val="single"/>
        </w:rPr>
      </w:pPr>
    </w:p>
    <w:p w14:paraId="66BA7C2B" w14:textId="77777777" w:rsidR="006E628B" w:rsidRDefault="006E628B" w:rsidP="00F04B85">
      <w:pPr>
        <w:spacing w:after="0" w:line="480" w:lineRule="auto"/>
        <w:jc w:val="both"/>
        <w:rPr>
          <w:rFonts w:ascii="Arial" w:hAnsi="Arial" w:cs="Arial"/>
          <w:sz w:val="24"/>
          <w:szCs w:val="24"/>
          <w:u w:val="single"/>
        </w:rPr>
      </w:pPr>
    </w:p>
    <w:p w14:paraId="5B83B47B" w14:textId="77777777" w:rsidR="00A423AF" w:rsidRPr="00780A42" w:rsidRDefault="00A423AF" w:rsidP="00F04B85">
      <w:pPr>
        <w:spacing w:after="0" w:line="480" w:lineRule="auto"/>
        <w:jc w:val="both"/>
        <w:rPr>
          <w:rFonts w:ascii="Arial" w:hAnsi="Arial" w:cs="Arial"/>
          <w:sz w:val="24"/>
          <w:szCs w:val="24"/>
          <w:u w:val="single"/>
        </w:rPr>
      </w:pPr>
      <w:r w:rsidRPr="00780A42">
        <w:rPr>
          <w:rFonts w:ascii="Arial" w:hAnsi="Arial" w:cs="Arial"/>
          <w:sz w:val="24"/>
          <w:szCs w:val="24"/>
          <w:u w:val="single"/>
        </w:rPr>
        <w:t>Costs in Ohorongo’s</w:t>
      </w:r>
      <w:r>
        <w:rPr>
          <w:rFonts w:ascii="Arial" w:hAnsi="Arial" w:cs="Arial"/>
          <w:sz w:val="24"/>
          <w:szCs w:val="24"/>
          <w:u w:val="single"/>
        </w:rPr>
        <w:t xml:space="preserve"> ap</w:t>
      </w:r>
      <w:r w:rsidRPr="00780A42">
        <w:rPr>
          <w:rFonts w:ascii="Arial" w:hAnsi="Arial" w:cs="Arial"/>
          <w:sz w:val="24"/>
          <w:szCs w:val="24"/>
          <w:u w:val="single"/>
        </w:rPr>
        <w:t>p</w:t>
      </w:r>
      <w:r>
        <w:rPr>
          <w:rFonts w:ascii="Arial" w:hAnsi="Arial" w:cs="Arial"/>
          <w:sz w:val="24"/>
          <w:szCs w:val="24"/>
          <w:u w:val="single"/>
        </w:rPr>
        <w:t>l</w:t>
      </w:r>
      <w:r w:rsidRPr="00780A42">
        <w:rPr>
          <w:rFonts w:ascii="Arial" w:hAnsi="Arial" w:cs="Arial"/>
          <w:sz w:val="24"/>
          <w:szCs w:val="24"/>
          <w:u w:val="single"/>
        </w:rPr>
        <w:t>i</w:t>
      </w:r>
      <w:r>
        <w:rPr>
          <w:rFonts w:ascii="Arial" w:hAnsi="Arial" w:cs="Arial"/>
          <w:sz w:val="24"/>
          <w:szCs w:val="24"/>
          <w:u w:val="single"/>
        </w:rPr>
        <w:t>ca</w:t>
      </w:r>
      <w:r w:rsidRPr="00780A42">
        <w:rPr>
          <w:rFonts w:ascii="Arial" w:hAnsi="Arial" w:cs="Arial"/>
          <w:sz w:val="24"/>
          <w:szCs w:val="24"/>
          <w:u w:val="single"/>
        </w:rPr>
        <w:t>tion</w:t>
      </w:r>
    </w:p>
    <w:p w14:paraId="66AFBB82" w14:textId="1646B92B" w:rsidR="00A423AF" w:rsidRPr="00C015BC" w:rsidRDefault="00A423AF" w:rsidP="00F04B85">
      <w:pPr>
        <w:pStyle w:val="ListParagraph"/>
        <w:numPr>
          <w:ilvl w:val="0"/>
          <w:numId w:val="39"/>
        </w:numPr>
        <w:spacing w:after="0" w:line="480" w:lineRule="auto"/>
        <w:ind w:left="0" w:firstLine="0"/>
        <w:jc w:val="both"/>
        <w:rPr>
          <w:rFonts w:ascii="Arial" w:hAnsi="Arial" w:cs="Arial"/>
          <w:sz w:val="24"/>
          <w:szCs w:val="24"/>
        </w:rPr>
      </w:pPr>
      <w:r>
        <w:rPr>
          <w:rFonts w:ascii="Arial" w:hAnsi="Arial" w:cs="Arial"/>
          <w:sz w:val="24"/>
          <w:szCs w:val="24"/>
        </w:rPr>
        <w:t>Ohorongo has also sought a</w:t>
      </w:r>
      <w:r w:rsidRPr="00C015BC">
        <w:rPr>
          <w:rFonts w:ascii="Arial" w:hAnsi="Arial" w:cs="Arial"/>
          <w:sz w:val="24"/>
          <w:szCs w:val="24"/>
        </w:rPr>
        <w:t xml:space="preserve"> costs </w:t>
      </w:r>
      <w:r>
        <w:rPr>
          <w:rFonts w:ascii="Arial" w:hAnsi="Arial" w:cs="Arial"/>
          <w:sz w:val="24"/>
          <w:szCs w:val="24"/>
        </w:rPr>
        <w:t>order in its application in this court</w:t>
      </w:r>
      <w:r w:rsidRPr="00C015BC">
        <w:rPr>
          <w:rFonts w:ascii="Arial" w:hAnsi="Arial" w:cs="Arial"/>
          <w:sz w:val="24"/>
          <w:szCs w:val="24"/>
        </w:rPr>
        <w:t xml:space="preserve">. </w:t>
      </w:r>
      <w:r>
        <w:rPr>
          <w:rFonts w:ascii="Arial" w:hAnsi="Arial" w:cs="Arial"/>
          <w:sz w:val="24"/>
          <w:szCs w:val="24"/>
        </w:rPr>
        <w:t xml:space="preserve">As noted earlier, the application </w:t>
      </w:r>
      <w:r w:rsidRPr="00A326DD">
        <w:rPr>
          <w:rFonts w:ascii="Arial" w:hAnsi="Arial" w:cs="Arial"/>
          <w:sz w:val="24"/>
          <w:szCs w:val="24"/>
          <w:lang w:val="en-ZA"/>
        </w:rPr>
        <w:t xml:space="preserve">was opposed by </w:t>
      </w:r>
      <w:r>
        <w:rPr>
          <w:rFonts w:ascii="Arial" w:hAnsi="Arial" w:cs="Arial"/>
          <w:sz w:val="24"/>
          <w:szCs w:val="24"/>
          <w:lang w:val="en-ZA"/>
        </w:rPr>
        <w:t>Jack’s Trading</w:t>
      </w:r>
      <w:r w:rsidRPr="00C015BC">
        <w:rPr>
          <w:rFonts w:ascii="Arial" w:hAnsi="Arial" w:cs="Arial"/>
          <w:sz w:val="24"/>
          <w:szCs w:val="24"/>
          <w:lang w:val="en-ZA"/>
        </w:rPr>
        <w:t xml:space="preserve">. </w:t>
      </w:r>
      <w:r>
        <w:rPr>
          <w:rFonts w:ascii="Arial" w:hAnsi="Arial" w:cs="Arial"/>
          <w:sz w:val="24"/>
          <w:szCs w:val="24"/>
          <w:lang w:val="en-ZA"/>
        </w:rPr>
        <w:t>As Ohorongo has succeeded in its application, i</w:t>
      </w:r>
      <w:r w:rsidRPr="00C015BC">
        <w:rPr>
          <w:rFonts w:ascii="Arial" w:hAnsi="Arial" w:cs="Arial"/>
          <w:sz w:val="24"/>
          <w:szCs w:val="24"/>
          <w:lang w:val="en-ZA"/>
        </w:rPr>
        <w:t xml:space="preserve">t is </w:t>
      </w:r>
      <w:r w:rsidR="00A87BE4">
        <w:rPr>
          <w:rFonts w:ascii="Arial" w:hAnsi="Arial" w:cs="Arial"/>
          <w:sz w:val="24"/>
          <w:szCs w:val="24"/>
          <w:lang w:val="en-ZA"/>
        </w:rPr>
        <w:t xml:space="preserve">equally </w:t>
      </w:r>
      <w:r w:rsidRPr="00C015BC">
        <w:rPr>
          <w:rFonts w:ascii="Arial" w:hAnsi="Arial" w:cs="Arial"/>
          <w:sz w:val="24"/>
          <w:szCs w:val="24"/>
          <w:lang w:val="en-ZA"/>
        </w:rPr>
        <w:t xml:space="preserve">just and fair that </w:t>
      </w:r>
      <w:r>
        <w:rPr>
          <w:rFonts w:ascii="Arial" w:hAnsi="Arial" w:cs="Arial"/>
          <w:sz w:val="24"/>
          <w:szCs w:val="24"/>
          <w:lang w:val="en-ZA"/>
        </w:rPr>
        <w:t xml:space="preserve">it </w:t>
      </w:r>
      <w:r w:rsidR="00F04B85">
        <w:rPr>
          <w:rFonts w:ascii="Arial" w:hAnsi="Arial" w:cs="Arial"/>
          <w:sz w:val="24"/>
          <w:szCs w:val="24"/>
          <w:lang w:val="en-ZA"/>
        </w:rPr>
        <w:t>be awarded the costs.</w:t>
      </w:r>
    </w:p>
    <w:p w14:paraId="7EB9487C" w14:textId="77777777" w:rsidR="00A423AF" w:rsidRDefault="00A423AF" w:rsidP="00A423AF">
      <w:pPr>
        <w:pStyle w:val="NoSpacing"/>
        <w:tabs>
          <w:tab w:val="left" w:pos="0"/>
        </w:tabs>
        <w:spacing w:line="480" w:lineRule="auto"/>
        <w:jc w:val="both"/>
        <w:rPr>
          <w:rFonts w:ascii="Arial" w:hAnsi="Arial" w:cs="Arial"/>
          <w:sz w:val="24"/>
          <w:szCs w:val="24"/>
          <w:u w:val="single"/>
        </w:rPr>
      </w:pPr>
    </w:p>
    <w:p w14:paraId="251EAA38" w14:textId="77777777" w:rsidR="00A423AF" w:rsidRDefault="00A423AF" w:rsidP="00A423AF">
      <w:pPr>
        <w:pStyle w:val="NoSpacing"/>
        <w:tabs>
          <w:tab w:val="left" w:pos="0"/>
        </w:tabs>
        <w:spacing w:line="480" w:lineRule="auto"/>
        <w:jc w:val="both"/>
        <w:rPr>
          <w:rFonts w:ascii="Arial" w:hAnsi="Arial" w:cs="Arial"/>
          <w:sz w:val="24"/>
          <w:szCs w:val="24"/>
          <w:u w:val="single"/>
        </w:rPr>
      </w:pPr>
      <w:r w:rsidRPr="000C616C">
        <w:rPr>
          <w:rFonts w:ascii="Arial" w:hAnsi="Arial" w:cs="Arial"/>
          <w:sz w:val="24"/>
          <w:szCs w:val="24"/>
          <w:u w:val="single"/>
        </w:rPr>
        <w:t>Order</w:t>
      </w:r>
    </w:p>
    <w:p w14:paraId="2474F2D9" w14:textId="77777777" w:rsidR="00A423AF" w:rsidRDefault="00A423AF" w:rsidP="00A423AF">
      <w:pPr>
        <w:pStyle w:val="NoSpacing"/>
        <w:numPr>
          <w:ilvl w:val="0"/>
          <w:numId w:val="39"/>
        </w:numPr>
        <w:tabs>
          <w:tab w:val="left" w:pos="0"/>
        </w:tabs>
        <w:spacing w:line="480" w:lineRule="auto"/>
        <w:ind w:left="0" w:firstLine="0"/>
        <w:jc w:val="both"/>
        <w:rPr>
          <w:rFonts w:ascii="Arial" w:hAnsi="Arial" w:cs="Arial"/>
          <w:sz w:val="24"/>
          <w:szCs w:val="24"/>
        </w:rPr>
      </w:pPr>
      <w:r w:rsidRPr="00181A0C">
        <w:rPr>
          <w:rFonts w:ascii="Arial" w:hAnsi="Arial" w:cs="Arial"/>
          <w:sz w:val="24"/>
          <w:szCs w:val="24"/>
        </w:rPr>
        <w:t>In respect of Ohorongo’s application, the following order is made</w:t>
      </w:r>
      <w:r>
        <w:rPr>
          <w:rFonts w:ascii="Arial" w:hAnsi="Arial" w:cs="Arial"/>
          <w:sz w:val="24"/>
          <w:szCs w:val="24"/>
        </w:rPr>
        <w:t>:</w:t>
      </w:r>
    </w:p>
    <w:p w14:paraId="770A5695" w14:textId="77777777" w:rsidR="006135A9" w:rsidRDefault="006135A9" w:rsidP="00A45627">
      <w:pPr>
        <w:pStyle w:val="NoSpacing"/>
        <w:tabs>
          <w:tab w:val="left" w:pos="0"/>
        </w:tabs>
        <w:spacing w:line="480" w:lineRule="auto"/>
        <w:jc w:val="both"/>
        <w:rPr>
          <w:rFonts w:ascii="Arial" w:hAnsi="Arial" w:cs="Arial"/>
          <w:sz w:val="24"/>
          <w:szCs w:val="24"/>
        </w:rPr>
      </w:pPr>
    </w:p>
    <w:p w14:paraId="359533C4" w14:textId="77777777" w:rsidR="00A423AF" w:rsidRDefault="00A423AF" w:rsidP="006135A9">
      <w:pPr>
        <w:pStyle w:val="NoSpacing"/>
        <w:numPr>
          <w:ilvl w:val="0"/>
          <w:numId w:val="47"/>
        </w:numPr>
        <w:tabs>
          <w:tab w:val="left" w:pos="0"/>
        </w:tabs>
        <w:spacing w:line="480" w:lineRule="auto"/>
        <w:jc w:val="both"/>
        <w:rPr>
          <w:rFonts w:ascii="Arial" w:hAnsi="Arial" w:cs="Arial"/>
          <w:sz w:val="24"/>
          <w:szCs w:val="24"/>
        </w:rPr>
      </w:pPr>
      <w:r w:rsidRPr="006135A9">
        <w:rPr>
          <w:rFonts w:ascii="Arial" w:hAnsi="Arial" w:cs="Arial"/>
          <w:sz w:val="24"/>
          <w:szCs w:val="24"/>
        </w:rPr>
        <w:t>The High Court proceedings of 23 January 2013 conducted under Case Number A316/2012, including the order bearing the same date are reviewed and set aside.</w:t>
      </w:r>
    </w:p>
    <w:p w14:paraId="519E2DAF" w14:textId="77777777" w:rsidR="006135A9" w:rsidRDefault="006135A9" w:rsidP="006135A9">
      <w:pPr>
        <w:pStyle w:val="NoSpacing"/>
        <w:tabs>
          <w:tab w:val="left" w:pos="0"/>
        </w:tabs>
        <w:spacing w:line="360" w:lineRule="auto"/>
        <w:ind w:left="1287"/>
        <w:jc w:val="both"/>
        <w:rPr>
          <w:rFonts w:ascii="Arial" w:hAnsi="Arial" w:cs="Arial"/>
          <w:sz w:val="24"/>
          <w:szCs w:val="24"/>
        </w:rPr>
      </w:pPr>
    </w:p>
    <w:p w14:paraId="37EFC43D" w14:textId="2BF6B62B" w:rsidR="00A423AF" w:rsidRDefault="00A423AF" w:rsidP="006135A9">
      <w:pPr>
        <w:pStyle w:val="NoSpacing"/>
        <w:numPr>
          <w:ilvl w:val="0"/>
          <w:numId w:val="47"/>
        </w:numPr>
        <w:tabs>
          <w:tab w:val="left" w:pos="0"/>
        </w:tabs>
        <w:spacing w:line="480" w:lineRule="auto"/>
        <w:jc w:val="both"/>
        <w:rPr>
          <w:rFonts w:ascii="Arial" w:hAnsi="Arial" w:cs="Arial"/>
          <w:sz w:val="24"/>
          <w:szCs w:val="24"/>
        </w:rPr>
      </w:pPr>
      <w:r w:rsidRPr="006135A9">
        <w:rPr>
          <w:rFonts w:ascii="Arial" w:hAnsi="Arial" w:cs="Arial"/>
          <w:sz w:val="24"/>
          <w:szCs w:val="24"/>
        </w:rPr>
        <w:t>The litigants in Jack’s Trading’s application under Case No A316/2012 are ordered to pay the costs of Ohorongo occasioned by Ohorongo in its application to intervene as a respondent in Jack’s Trading’s application referred to above, jointly and severally, the one paying the other to be absolved. Such costs are to include the costs of one instru</w:t>
      </w:r>
      <w:r w:rsidR="00EF650B">
        <w:rPr>
          <w:rFonts w:ascii="Arial" w:hAnsi="Arial" w:cs="Arial"/>
          <w:sz w:val="24"/>
          <w:szCs w:val="24"/>
        </w:rPr>
        <w:t xml:space="preserve">cting </w:t>
      </w:r>
      <w:r w:rsidR="00A87BE4">
        <w:rPr>
          <w:rFonts w:ascii="Arial" w:hAnsi="Arial" w:cs="Arial"/>
          <w:sz w:val="24"/>
          <w:szCs w:val="24"/>
        </w:rPr>
        <w:t xml:space="preserve">legal practitioner </w:t>
      </w:r>
      <w:r w:rsidR="00EF650B">
        <w:rPr>
          <w:rFonts w:ascii="Arial" w:hAnsi="Arial" w:cs="Arial"/>
          <w:sz w:val="24"/>
          <w:szCs w:val="24"/>
        </w:rPr>
        <w:t>and two instructed legal practitioners</w:t>
      </w:r>
      <w:r w:rsidRPr="006135A9">
        <w:rPr>
          <w:rFonts w:ascii="Arial" w:hAnsi="Arial" w:cs="Arial"/>
          <w:sz w:val="24"/>
          <w:szCs w:val="24"/>
        </w:rPr>
        <w:t>.</w:t>
      </w:r>
    </w:p>
    <w:p w14:paraId="37ACEC19" w14:textId="77777777" w:rsidR="006135A9" w:rsidRDefault="006135A9" w:rsidP="00A45627">
      <w:pPr>
        <w:pStyle w:val="ListParagraph"/>
        <w:spacing w:after="0" w:line="480" w:lineRule="auto"/>
        <w:jc w:val="both"/>
        <w:rPr>
          <w:rFonts w:ascii="Arial" w:hAnsi="Arial" w:cs="Arial"/>
          <w:sz w:val="24"/>
          <w:szCs w:val="24"/>
        </w:rPr>
      </w:pPr>
    </w:p>
    <w:p w14:paraId="0448306E" w14:textId="32B7675D" w:rsidR="00A423AF" w:rsidRPr="006135A9" w:rsidRDefault="00A423AF" w:rsidP="006135A9">
      <w:pPr>
        <w:pStyle w:val="NoSpacing"/>
        <w:numPr>
          <w:ilvl w:val="0"/>
          <w:numId w:val="47"/>
        </w:numPr>
        <w:tabs>
          <w:tab w:val="left" w:pos="0"/>
        </w:tabs>
        <w:spacing w:line="480" w:lineRule="auto"/>
        <w:jc w:val="both"/>
        <w:rPr>
          <w:rFonts w:ascii="Arial" w:hAnsi="Arial" w:cs="Arial"/>
          <w:sz w:val="24"/>
          <w:szCs w:val="24"/>
        </w:rPr>
      </w:pPr>
      <w:r w:rsidRPr="006135A9">
        <w:rPr>
          <w:rFonts w:ascii="Arial" w:hAnsi="Arial" w:cs="Arial"/>
          <w:sz w:val="24"/>
          <w:szCs w:val="24"/>
        </w:rPr>
        <w:t xml:space="preserve">Jack’s Trading is ordered to pay the costs occasioned by Ohorongo in its review application in this Court, such costs to include the costs of one instructing </w:t>
      </w:r>
      <w:r w:rsidR="00A87BE4">
        <w:rPr>
          <w:rFonts w:ascii="Arial" w:hAnsi="Arial" w:cs="Arial"/>
          <w:sz w:val="24"/>
          <w:szCs w:val="24"/>
        </w:rPr>
        <w:t xml:space="preserve">legal practitioner </w:t>
      </w:r>
      <w:r w:rsidRPr="006135A9">
        <w:rPr>
          <w:rFonts w:ascii="Arial" w:hAnsi="Arial" w:cs="Arial"/>
          <w:sz w:val="24"/>
          <w:szCs w:val="24"/>
        </w:rPr>
        <w:t xml:space="preserve">and two instructed </w:t>
      </w:r>
      <w:r w:rsidR="00EF650B">
        <w:rPr>
          <w:rFonts w:ascii="Arial" w:hAnsi="Arial" w:cs="Arial"/>
          <w:sz w:val="24"/>
          <w:szCs w:val="24"/>
        </w:rPr>
        <w:t>legal practitioners</w:t>
      </w:r>
      <w:r w:rsidRPr="006135A9">
        <w:rPr>
          <w:rFonts w:ascii="Arial" w:hAnsi="Arial" w:cs="Arial"/>
          <w:sz w:val="24"/>
          <w:szCs w:val="24"/>
        </w:rPr>
        <w:t>.</w:t>
      </w:r>
    </w:p>
    <w:p w14:paraId="41052929" w14:textId="77777777" w:rsidR="00A87BE4" w:rsidRPr="00E3736A" w:rsidRDefault="00A87BE4" w:rsidP="00E3736A">
      <w:pPr>
        <w:spacing w:after="0" w:line="480" w:lineRule="auto"/>
        <w:jc w:val="both"/>
        <w:rPr>
          <w:rFonts w:ascii="Arial" w:hAnsi="Arial" w:cs="Arial"/>
          <w:sz w:val="24"/>
          <w:szCs w:val="24"/>
        </w:rPr>
      </w:pPr>
    </w:p>
    <w:p w14:paraId="41A71F2C" w14:textId="77777777" w:rsidR="00A423AF" w:rsidRDefault="00A423AF" w:rsidP="00F04B85">
      <w:pPr>
        <w:pStyle w:val="ListParagraph"/>
        <w:numPr>
          <w:ilvl w:val="0"/>
          <w:numId w:val="39"/>
        </w:numPr>
        <w:spacing w:after="0" w:line="480" w:lineRule="auto"/>
        <w:ind w:left="0" w:firstLine="0"/>
        <w:jc w:val="both"/>
        <w:rPr>
          <w:rFonts w:ascii="Arial" w:hAnsi="Arial" w:cs="Arial"/>
          <w:sz w:val="24"/>
          <w:szCs w:val="24"/>
        </w:rPr>
      </w:pPr>
      <w:r w:rsidRPr="00833A75">
        <w:rPr>
          <w:rFonts w:ascii="Arial" w:hAnsi="Arial" w:cs="Arial"/>
          <w:sz w:val="24"/>
          <w:szCs w:val="24"/>
        </w:rPr>
        <w:t>I</w:t>
      </w:r>
      <w:r>
        <w:rPr>
          <w:rFonts w:ascii="Arial" w:hAnsi="Arial" w:cs="Arial"/>
          <w:sz w:val="24"/>
          <w:szCs w:val="24"/>
        </w:rPr>
        <w:t xml:space="preserve">n respect of the Attorney-General’s petition, the court makes the </w:t>
      </w:r>
      <w:r w:rsidRPr="00833A75">
        <w:rPr>
          <w:rFonts w:ascii="Arial" w:hAnsi="Arial" w:cs="Arial"/>
          <w:sz w:val="24"/>
          <w:szCs w:val="24"/>
        </w:rPr>
        <w:t xml:space="preserve">following </w:t>
      </w:r>
      <w:r>
        <w:rPr>
          <w:rFonts w:ascii="Arial" w:hAnsi="Arial" w:cs="Arial"/>
          <w:sz w:val="24"/>
          <w:szCs w:val="24"/>
        </w:rPr>
        <w:t>decl</w:t>
      </w:r>
      <w:r w:rsidRPr="004563EB">
        <w:rPr>
          <w:rFonts w:ascii="Arial" w:hAnsi="Arial" w:cs="Arial"/>
          <w:sz w:val="24"/>
          <w:szCs w:val="24"/>
        </w:rPr>
        <w:t>a</w:t>
      </w:r>
      <w:r>
        <w:rPr>
          <w:rFonts w:ascii="Arial" w:hAnsi="Arial" w:cs="Arial"/>
          <w:sz w:val="24"/>
          <w:szCs w:val="24"/>
        </w:rPr>
        <w:t>ratory orders</w:t>
      </w:r>
      <w:r w:rsidRPr="00833A75">
        <w:rPr>
          <w:rFonts w:ascii="Arial" w:hAnsi="Arial" w:cs="Arial"/>
          <w:sz w:val="24"/>
          <w:szCs w:val="24"/>
        </w:rPr>
        <w:t>:</w:t>
      </w:r>
    </w:p>
    <w:p w14:paraId="308E6D9A" w14:textId="77777777" w:rsidR="006135A9" w:rsidRDefault="006135A9" w:rsidP="006135A9">
      <w:pPr>
        <w:pStyle w:val="ListParagraph"/>
        <w:spacing w:after="0" w:line="480" w:lineRule="auto"/>
        <w:ind w:left="0"/>
        <w:jc w:val="both"/>
        <w:rPr>
          <w:rFonts w:ascii="Arial" w:hAnsi="Arial" w:cs="Arial"/>
          <w:sz w:val="24"/>
          <w:szCs w:val="24"/>
        </w:rPr>
      </w:pPr>
    </w:p>
    <w:p w14:paraId="7F39CB9E" w14:textId="77777777" w:rsidR="0022416C" w:rsidRDefault="00A423AF" w:rsidP="0022416C">
      <w:pPr>
        <w:pStyle w:val="ListParagraph"/>
        <w:numPr>
          <w:ilvl w:val="0"/>
          <w:numId w:val="46"/>
        </w:numPr>
        <w:spacing w:after="0" w:line="480" w:lineRule="auto"/>
        <w:ind w:left="1276" w:hanging="425"/>
        <w:jc w:val="both"/>
        <w:rPr>
          <w:rFonts w:ascii="Arial" w:hAnsi="Arial" w:cs="Arial"/>
          <w:sz w:val="24"/>
          <w:szCs w:val="24"/>
        </w:rPr>
      </w:pPr>
      <w:r w:rsidRPr="00F04B85">
        <w:rPr>
          <w:rFonts w:ascii="Arial" w:hAnsi="Arial" w:cs="Arial"/>
          <w:sz w:val="24"/>
          <w:szCs w:val="24"/>
        </w:rPr>
        <w:t>It is declared that the interpretation given by the High Court under Case No. A172/2012 delivered on 31 August 2012 that the wording of s</w:t>
      </w:r>
      <w:r w:rsidR="00200475">
        <w:rPr>
          <w:rFonts w:ascii="Arial" w:hAnsi="Arial" w:cs="Arial"/>
          <w:sz w:val="24"/>
          <w:szCs w:val="24"/>
        </w:rPr>
        <w:t>ection</w:t>
      </w:r>
      <w:r w:rsidRPr="00F04B85">
        <w:rPr>
          <w:rFonts w:ascii="Arial" w:hAnsi="Arial" w:cs="Arial"/>
          <w:sz w:val="24"/>
          <w:szCs w:val="24"/>
        </w:rPr>
        <w:t xml:space="preserve"> 65 of the Customs and Excise Act required that the promulgation of the notice in the </w:t>
      </w:r>
      <w:r w:rsidRPr="00F04B85">
        <w:rPr>
          <w:rFonts w:ascii="Arial" w:hAnsi="Arial" w:cs="Arial"/>
          <w:i/>
          <w:sz w:val="24"/>
          <w:szCs w:val="24"/>
        </w:rPr>
        <w:t>Government Gazette</w:t>
      </w:r>
      <w:r w:rsidRPr="00F04B85">
        <w:rPr>
          <w:rFonts w:ascii="Arial" w:hAnsi="Arial" w:cs="Arial"/>
          <w:sz w:val="24"/>
          <w:szCs w:val="24"/>
        </w:rPr>
        <w:t xml:space="preserve"> was to precede the tabling of a taxation proposal contemplated in s</w:t>
      </w:r>
      <w:r w:rsidR="00200475">
        <w:rPr>
          <w:rFonts w:ascii="Arial" w:hAnsi="Arial" w:cs="Arial"/>
          <w:sz w:val="24"/>
          <w:szCs w:val="24"/>
        </w:rPr>
        <w:t>ection</w:t>
      </w:r>
      <w:r w:rsidRPr="00F04B85">
        <w:rPr>
          <w:rFonts w:ascii="Arial" w:hAnsi="Arial" w:cs="Arial"/>
          <w:sz w:val="24"/>
          <w:szCs w:val="24"/>
        </w:rPr>
        <w:t xml:space="preserve"> 65(1) of the Act is erroneous.</w:t>
      </w:r>
    </w:p>
    <w:p w14:paraId="6B3C3A85" w14:textId="77777777" w:rsidR="0022416C" w:rsidRDefault="0022416C" w:rsidP="0022416C">
      <w:pPr>
        <w:pStyle w:val="ListParagraph"/>
        <w:spacing w:after="0" w:line="480" w:lineRule="auto"/>
        <w:ind w:left="1276"/>
        <w:jc w:val="both"/>
        <w:rPr>
          <w:rFonts w:ascii="Arial" w:hAnsi="Arial" w:cs="Arial"/>
          <w:sz w:val="24"/>
          <w:szCs w:val="24"/>
        </w:rPr>
      </w:pPr>
    </w:p>
    <w:p w14:paraId="0CECA480" w14:textId="77777777" w:rsidR="0022416C" w:rsidRDefault="00A423AF" w:rsidP="0022416C">
      <w:pPr>
        <w:pStyle w:val="ListParagraph"/>
        <w:numPr>
          <w:ilvl w:val="0"/>
          <w:numId w:val="46"/>
        </w:numPr>
        <w:spacing w:after="0" w:line="480" w:lineRule="auto"/>
        <w:ind w:left="1276" w:hanging="425"/>
        <w:jc w:val="both"/>
        <w:rPr>
          <w:rFonts w:ascii="Arial" w:hAnsi="Arial" w:cs="Arial"/>
          <w:sz w:val="24"/>
          <w:szCs w:val="24"/>
        </w:rPr>
      </w:pPr>
      <w:r w:rsidRPr="0022416C">
        <w:rPr>
          <w:rFonts w:ascii="Arial" w:hAnsi="Arial" w:cs="Arial"/>
          <w:sz w:val="24"/>
          <w:szCs w:val="24"/>
        </w:rPr>
        <w:t>It is further declared that subsections (1) and (8) of s</w:t>
      </w:r>
      <w:r w:rsidR="00200475" w:rsidRPr="0022416C">
        <w:rPr>
          <w:rFonts w:ascii="Arial" w:hAnsi="Arial" w:cs="Arial"/>
          <w:sz w:val="24"/>
          <w:szCs w:val="24"/>
        </w:rPr>
        <w:t>ection</w:t>
      </w:r>
      <w:r w:rsidRPr="0022416C">
        <w:rPr>
          <w:rFonts w:ascii="Arial" w:hAnsi="Arial" w:cs="Arial"/>
          <w:sz w:val="24"/>
          <w:szCs w:val="24"/>
        </w:rPr>
        <w:t xml:space="preserve"> 65 of the Customs and Excise Act contemplate two distinct procedures in terms of which a rate of duty may be imposed by the Minister of Finance, namely the tabling of a taxation proposal envisaged in section 65(1) and the process of promulgation by notice in the </w:t>
      </w:r>
      <w:r w:rsidRPr="0022416C">
        <w:rPr>
          <w:rFonts w:ascii="Arial" w:hAnsi="Arial" w:cs="Arial"/>
          <w:i/>
          <w:sz w:val="24"/>
          <w:szCs w:val="24"/>
        </w:rPr>
        <w:t>Government Gazette</w:t>
      </w:r>
      <w:r w:rsidRPr="0022416C">
        <w:rPr>
          <w:rFonts w:ascii="Arial" w:hAnsi="Arial" w:cs="Arial"/>
          <w:sz w:val="24"/>
          <w:szCs w:val="24"/>
        </w:rPr>
        <w:t xml:space="preserve"> envisaged in section</w:t>
      </w:r>
      <w:r w:rsidR="00F04B85" w:rsidRPr="0022416C">
        <w:rPr>
          <w:rFonts w:ascii="Arial" w:hAnsi="Arial" w:cs="Arial"/>
          <w:sz w:val="24"/>
          <w:szCs w:val="24"/>
        </w:rPr>
        <w:t xml:space="preserve"> 65(8).</w:t>
      </w:r>
    </w:p>
    <w:p w14:paraId="65FA016A" w14:textId="77777777" w:rsidR="0022416C" w:rsidRPr="0022416C" w:rsidRDefault="0022416C" w:rsidP="0022416C">
      <w:pPr>
        <w:pStyle w:val="ListParagraph"/>
        <w:rPr>
          <w:rFonts w:ascii="Arial" w:hAnsi="Arial" w:cs="Arial"/>
          <w:sz w:val="24"/>
          <w:szCs w:val="24"/>
        </w:rPr>
      </w:pPr>
    </w:p>
    <w:p w14:paraId="6486C1F8" w14:textId="6D6F681D" w:rsidR="00A423AF" w:rsidRPr="0022416C" w:rsidRDefault="00A423AF" w:rsidP="0022416C">
      <w:pPr>
        <w:pStyle w:val="ListParagraph"/>
        <w:numPr>
          <w:ilvl w:val="0"/>
          <w:numId w:val="46"/>
        </w:numPr>
        <w:spacing w:after="0" w:line="480" w:lineRule="auto"/>
        <w:ind w:left="1276" w:hanging="425"/>
        <w:jc w:val="both"/>
        <w:rPr>
          <w:rFonts w:ascii="Arial" w:hAnsi="Arial" w:cs="Arial"/>
          <w:sz w:val="24"/>
          <w:szCs w:val="24"/>
        </w:rPr>
      </w:pPr>
      <w:r w:rsidRPr="0022416C">
        <w:rPr>
          <w:rFonts w:ascii="Arial" w:hAnsi="Arial" w:cs="Arial"/>
          <w:sz w:val="24"/>
          <w:szCs w:val="24"/>
        </w:rPr>
        <w:t>No order as to costs is made.</w:t>
      </w:r>
    </w:p>
    <w:p w14:paraId="43023A6D" w14:textId="77777777" w:rsidR="00F04B85" w:rsidRDefault="00F04B85" w:rsidP="00505CD6">
      <w:pPr>
        <w:pStyle w:val="NoSpacing"/>
        <w:tabs>
          <w:tab w:val="left" w:pos="0"/>
        </w:tabs>
        <w:spacing w:line="360" w:lineRule="auto"/>
        <w:jc w:val="both"/>
        <w:rPr>
          <w:rFonts w:ascii="Arial" w:hAnsi="Arial" w:cs="Arial"/>
          <w:sz w:val="24"/>
          <w:szCs w:val="24"/>
        </w:rPr>
      </w:pPr>
    </w:p>
    <w:p w14:paraId="14F8B86F" w14:textId="77777777" w:rsidR="00505CD6" w:rsidRDefault="00505CD6" w:rsidP="00505CD6">
      <w:pPr>
        <w:pStyle w:val="NoSpacing"/>
        <w:tabs>
          <w:tab w:val="left" w:pos="0"/>
        </w:tabs>
        <w:spacing w:line="360" w:lineRule="auto"/>
        <w:jc w:val="both"/>
        <w:rPr>
          <w:rFonts w:ascii="Arial" w:hAnsi="Arial" w:cs="Arial"/>
          <w:sz w:val="24"/>
          <w:szCs w:val="24"/>
        </w:rPr>
      </w:pPr>
    </w:p>
    <w:p w14:paraId="30179D42" w14:textId="77777777" w:rsidR="00505CD6" w:rsidRDefault="00505CD6" w:rsidP="00A423AF">
      <w:pPr>
        <w:pStyle w:val="NoSpacing"/>
        <w:tabs>
          <w:tab w:val="left" w:pos="0"/>
        </w:tabs>
        <w:spacing w:line="480" w:lineRule="auto"/>
        <w:jc w:val="both"/>
        <w:rPr>
          <w:rFonts w:ascii="Arial" w:hAnsi="Arial" w:cs="Arial"/>
          <w:sz w:val="24"/>
          <w:szCs w:val="24"/>
        </w:rPr>
      </w:pPr>
    </w:p>
    <w:p w14:paraId="537104EE" w14:textId="77777777" w:rsidR="00FE24A4" w:rsidRDefault="00FE24A4" w:rsidP="00A423AF">
      <w:pPr>
        <w:pStyle w:val="NoSpacing"/>
        <w:tabs>
          <w:tab w:val="left" w:pos="0"/>
        </w:tabs>
        <w:spacing w:line="480" w:lineRule="auto"/>
        <w:jc w:val="both"/>
        <w:rPr>
          <w:rFonts w:ascii="Arial" w:hAnsi="Arial" w:cs="Arial"/>
          <w:sz w:val="24"/>
          <w:szCs w:val="24"/>
        </w:rPr>
      </w:pPr>
    </w:p>
    <w:p w14:paraId="50129088" w14:textId="65874E02" w:rsidR="00F04B85" w:rsidRPr="00781500" w:rsidRDefault="00781500" w:rsidP="00781500">
      <w:pPr>
        <w:pStyle w:val="NoSpacing"/>
        <w:tabs>
          <w:tab w:val="left" w:pos="0"/>
        </w:tabs>
        <w:jc w:val="both"/>
        <w:rPr>
          <w:rFonts w:ascii="Arial" w:hAnsi="Arial" w:cs="Arial"/>
          <w:b/>
          <w:sz w:val="24"/>
          <w:szCs w:val="24"/>
        </w:rPr>
      </w:pPr>
      <w:r w:rsidRPr="00781500">
        <w:rPr>
          <w:rFonts w:ascii="Arial" w:hAnsi="Arial" w:cs="Arial"/>
          <w:b/>
          <w:sz w:val="24"/>
          <w:szCs w:val="24"/>
        </w:rPr>
        <w:t>____________________</w:t>
      </w:r>
    </w:p>
    <w:p w14:paraId="12C87E38" w14:textId="53E99E94" w:rsidR="00781500" w:rsidRPr="00781500" w:rsidRDefault="00781500" w:rsidP="00781500">
      <w:pPr>
        <w:pStyle w:val="NoSpacing"/>
        <w:tabs>
          <w:tab w:val="left" w:pos="0"/>
        </w:tabs>
        <w:jc w:val="both"/>
        <w:rPr>
          <w:rFonts w:ascii="Arial" w:hAnsi="Arial" w:cs="Arial"/>
          <w:b/>
          <w:sz w:val="24"/>
          <w:szCs w:val="24"/>
        </w:rPr>
      </w:pPr>
      <w:r w:rsidRPr="00781500">
        <w:rPr>
          <w:rFonts w:ascii="Arial" w:hAnsi="Arial" w:cs="Arial"/>
          <w:b/>
          <w:sz w:val="24"/>
          <w:szCs w:val="24"/>
        </w:rPr>
        <w:t>SHIVUTE CJ</w:t>
      </w:r>
    </w:p>
    <w:p w14:paraId="733F919D" w14:textId="77777777" w:rsidR="00F04B85" w:rsidRDefault="00F04B85" w:rsidP="00505CD6">
      <w:pPr>
        <w:pStyle w:val="NoSpacing"/>
        <w:tabs>
          <w:tab w:val="left" w:pos="0"/>
        </w:tabs>
        <w:spacing w:line="360" w:lineRule="auto"/>
        <w:jc w:val="both"/>
        <w:rPr>
          <w:rFonts w:ascii="Arial" w:hAnsi="Arial" w:cs="Arial"/>
          <w:sz w:val="24"/>
          <w:szCs w:val="24"/>
        </w:rPr>
      </w:pPr>
    </w:p>
    <w:p w14:paraId="20F49D25" w14:textId="77777777" w:rsidR="00FE24A4" w:rsidRDefault="00FE24A4" w:rsidP="00505CD6">
      <w:pPr>
        <w:pStyle w:val="NoSpacing"/>
        <w:tabs>
          <w:tab w:val="left" w:pos="0"/>
        </w:tabs>
        <w:spacing w:line="360" w:lineRule="auto"/>
        <w:jc w:val="both"/>
        <w:rPr>
          <w:rFonts w:ascii="Arial" w:hAnsi="Arial" w:cs="Arial"/>
          <w:sz w:val="24"/>
          <w:szCs w:val="24"/>
        </w:rPr>
      </w:pPr>
    </w:p>
    <w:p w14:paraId="633D534E" w14:textId="77777777" w:rsidR="00FE24A4" w:rsidRDefault="00FE24A4" w:rsidP="00505CD6">
      <w:pPr>
        <w:pStyle w:val="NoSpacing"/>
        <w:tabs>
          <w:tab w:val="left" w:pos="0"/>
        </w:tabs>
        <w:spacing w:line="360" w:lineRule="auto"/>
        <w:jc w:val="both"/>
        <w:rPr>
          <w:rFonts w:ascii="Arial" w:hAnsi="Arial" w:cs="Arial"/>
          <w:sz w:val="24"/>
          <w:szCs w:val="24"/>
        </w:rPr>
      </w:pPr>
    </w:p>
    <w:p w14:paraId="6DF14AA3" w14:textId="77777777" w:rsidR="00505CD6" w:rsidRDefault="00505CD6" w:rsidP="00505CD6">
      <w:pPr>
        <w:pStyle w:val="NoSpacing"/>
        <w:tabs>
          <w:tab w:val="left" w:pos="0"/>
        </w:tabs>
        <w:spacing w:line="360" w:lineRule="auto"/>
        <w:jc w:val="both"/>
        <w:rPr>
          <w:rFonts w:ascii="Arial" w:hAnsi="Arial" w:cs="Arial"/>
          <w:sz w:val="24"/>
          <w:szCs w:val="24"/>
        </w:rPr>
      </w:pPr>
    </w:p>
    <w:p w14:paraId="0C3C659B" w14:textId="77777777" w:rsidR="00781500" w:rsidRPr="00781500" w:rsidRDefault="00781500" w:rsidP="00781500">
      <w:pPr>
        <w:pStyle w:val="NoSpacing"/>
        <w:tabs>
          <w:tab w:val="left" w:pos="0"/>
        </w:tabs>
        <w:jc w:val="both"/>
        <w:rPr>
          <w:rFonts w:ascii="Arial" w:hAnsi="Arial" w:cs="Arial"/>
          <w:b/>
          <w:sz w:val="24"/>
          <w:szCs w:val="24"/>
        </w:rPr>
      </w:pPr>
      <w:r w:rsidRPr="00781500">
        <w:rPr>
          <w:rFonts w:ascii="Arial" w:hAnsi="Arial" w:cs="Arial"/>
          <w:b/>
          <w:sz w:val="24"/>
          <w:szCs w:val="24"/>
        </w:rPr>
        <w:t>____________________</w:t>
      </w:r>
    </w:p>
    <w:p w14:paraId="041299B1" w14:textId="203AA0DE" w:rsidR="00781500" w:rsidRPr="00781500" w:rsidRDefault="00781500" w:rsidP="00781500">
      <w:pPr>
        <w:pStyle w:val="NoSpacing"/>
        <w:tabs>
          <w:tab w:val="left" w:pos="0"/>
        </w:tabs>
        <w:jc w:val="both"/>
        <w:rPr>
          <w:rFonts w:ascii="Arial" w:hAnsi="Arial" w:cs="Arial"/>
          <w:b/>
          <w:sz w:val="24"/>
          <w:szCs w:val="24"/>
        </w:rPr>
      </w:pPr>
      <w:r>
        <w:rPr>
          <w:rFonts w:ascii="Arial" w:hAnsi="Arial" w:cs="Arial"/>
          <w:b/>
          <w:sz w:val="24"/>
          <w:szCs w:val="24"/>
        </w:rPr>
        <w:t>MAINGA JA</w:t>
      </w:r>
    </w:p>
    <w:p w14:paraId="589EDF7C" w14:textId="77777777" w:rsidR="00781500" w:rsidRDefault="00781500" w:rsidP="00781500">
      <w:pPr>
        <w:pStyle w:val="NoSpacing"/>
        <w:tabs>
          <w:tab w:val="left" w:pos="0"/>
        </w:tabs>
        <w:spacing w:line="480" w:lineRule="auto"/>
        <w:jc w:val="both"/>
        <w:rPr>
          <w:rFonts w:ascii="Arial" w:hAnsi="Arial" w:cs="Arial"/>
          <w:sz w:val="24"/>
          <w:szCs w:val="24"/>
        </w:rPr>
      </w:pPr>
    </w:p>
    <w:p w14:paraId="596DFE58" w14:textId="77777777" w:rsidR="00A45627" w:rsidRDefault="00A45627" w:rsidP="00781500">
      <w:pPr>
        <w:pStyle w:val="NoSpacing"/>
        <w:tabs>
          <w:tab w:val="left" w:pos="0"/>
        </w:tabs>
        <w:spacing w:line="480" w:lineRule="auto"/>
        <w:jc w:val="both"/>
        <w:rPr>
          <w:rFonts w:ascii="Arial" w:hAnsi="Arial" w:cs="Arial"/>
          <w:sz w:val="24"/>
          <w:szCs w:val="24"/>
        </w:rPr>
      </w:pPr>
    </w:p>
    <w:tbl>
      <w:tblPr>
        <w:tblW w:w="9072" w:type="dxa"/>
        <w:tblLook w:val="04A0" w:firstRow="1" w:lastRow="0" w:firstColumn="1" w:lastColumn="0" w:noHBand="0" w:noVBand="1"/>
      </w:tblPr>
      <w:tblGrid>
        <w:gridCol w:w="4701"/>
        <w:gridCol w:w="4371"/>
      </w:tblGrid>
      <w:tr w:rsidR="00E42ADC" w:rsidRPr="00500CF6" w14:paraId="66C0EB93" w14:textId="77777777" w:rsidTr="0014131C">
        <w:tc>
          <w:tcPr>
            <w:tcW w:w="4701" w:type="dxa"/>
            <w:shd w:val="clear" w:color="auto" w:fill="auto"/>
          </w:tcPr>
          <w:p w14:paraId="05E1F55E" w14:textId="77777777" w:rsidR="00E42ADC" w:rsidRPr="00500CF6" w:rsidRDefault="00E42ADC" w:rsidP="0014131C">
            <w:pPr>
              <w:spacing w:after="0" w:line="480" w:lineRule="auto"/>
              <w:ind w:right="-146"/>
              <w:rPr>
                <w:rFonts w:ascii="Arial" w:hAnsi="Arial" w:cs="Arial"/>
                <w:sz w:val="24"/>
                <w:szCs w:val="24"/>
              </w:rPr>
            </w:pPr>
            <w:r w:rsidRPr="00500CF6">
              <w:rPr>
                <w:rFonts w:ascii="Arial" w:hAnsi="Arial" w:cs="Arial"/>
                <w:sz w:val="24"/>
                <w:szCs w:val="24"/>
              </w:rPr>
              <w:t>APPEARANCES:</w:t>
            </w:r>
          </w:p>
          <w:p w14:paraId="488ECEBF" w14:textId="77777777" w:rsidR="00E42ADC" w:rsidRPr="00500CF6" w:rsidRDefault="00E42ADC" w:rsidP="0014131C">
            <w:pPr>
              <w:spacing w:after="0" w:line="480" w:lineRule="auto"/>
              <w:ind w:right="-146"/>
              <w:rPr>
                <w:rFonts w:ascii="Arial" w:hAnsi="Arial" w:cs="Arial"/>
                <w:sz w:val="24"/>
                <w:szCs w:val="24"/>
              </w:rPr>
            </w:pPr>
          </w:p>
          <w:p w14:paraId="299E46B0" w14:textId="77777777" w:rsidR="00E42ADC" w:rsidRPr="00500CF6" w:rsidRDefault="00E42ADC" w:rsidP="0014131C">
            <w:pPr>
              <w:spacing w:after="0" w:line="480" w:lineRule="auto"/>
              <w:ind w:right="-146"/>
              <w:rPr>
                <w:rFonts w:ascii="Arial" w:hAnsi="Arial" w:cs="Arial"/>
                <w:sz w:val="24"/>
                <w:szCs w:val="24"/>
              </w:rPr>
            </w:pPr>
            <w:r>
              <w:rPr>
                <w:rFonts w:ascii="Arial" w:hAnsi="Arial" w:cs="Arial"/>
                <w:sz w:val="24"/>
                <w:szCs w:val="24"/>
              </w:rPr>
              <w:t xml:space="preserve">For </w:t>
            </w:r>
            <w:r w:rsidRPr="00500CF6">
              <w:rPr>
                <w:rFonts w:ascii="Arial" w:hAnsi="Arial" w:cs="Arial"/>
                <w:sz w:val="24"/>
                <w:szCs w:val="24"/>
              </w:rPr>
              <w:t>t</w:t>
            </w:r>
            <w:r>
              <w:rPr>
                <w:rFonts w:ascii="Arial" w:hAnsi="Arial" w:cs="Arial"/>
                <w:sz w:val="24"/>
                <w:szCs w:val="24"/>
              </w:rPr>
              <w:t>he Attorney-General</w:t>
            </w:r>
            <w:r w:rsidRPr="00500CF6">
              <w:rPr>
                <w:rFonts w:ascii="Arial" w:hAnsi="Arial" w:cs="Arial"/>
                <w:sz w:val="24"/>
                <w:szCs w:val="24"/>
              </w:rPr>
              <w:t>:</w:t>
            </w:r>
          </w:p>
        </w:tc>
        <w:tc>
          <w:tcPr>
            <w:tcW w:w="4371" w:type="dxa"/>
            <w:shd w:val="clear" w:color="auto" w:fill="auto"/>
          </w:tcPr>
          <w:p w14:paraId="380A847C" w14:textId="77777777" w:rsidR="00E42ADC" w:rsidRPr="00500CF6" w:rsidRDefault="00E42ADC" w:rsidP="0014131C">
            <w:pPr>
              <w:spacing w:after="0" w:line="480" w:lineRule="auto"/>
              <w:rPr>
                <w:rFonts w:ascii="Arial" w:hAnsi="Arial" w:cs="Arial"/>
                <w:sz w:val="24"/>
                <w:szCs w:val="24"/>
              </w:rPr>
            </w:pPr>
          </w:p>
          <w:p w14:paraId="3AF92B90" w14:textId="77777777" w:rsidR="00E42ADC" w:rsidRDefault="00E42ADC" w:rsidP="0014131C">
            <w:pPr>
              <w:spacing w:after="0" w:line="480" w:lineRule="auto"/>
              <w:rPr>
                <w:rFonts w:ascii="Arial" w:hAnsi="Arial" w:cs="Arial"/>
                <w:sz w:val="24"/>
                <w:szCs w:val="24"/>
              </w:rPr>
            </w:pPr>
          </w:p>
          <w:p w14:paraId="0408F58E" w14:textId="77777777" w:rsidR="00E42ADC" w:rsidRPr="00500CF6" w:rsidRDefault="00E42ADC" w:rsidP="0014131C">
            <w:pPr>
              <w:spacing w:after="0" w:line="480" w:lineRule="auto"/>
              <w:rPr>
                <w:rFonts w:ascii="Arial" w:hAnsi="Arial" w:cs="Arial"/>
                <w:sz w:val="24"/>
                <w:szCs w:val="24"/>
              </w:rPr>
            </w:pPr>
            <w:r>
              <w:rPr>
                <w:rFonts w:ascii="Arial" w:hAnsi="Arial" w:cs="Arial"/>
                <w:sz w:val="24"/>
                <w:szCs w:val="24"/>
              </w:rPr>
              <w:t>L Nkosi-Thomas SC (with him T Chibwana)</w:t>
            </w:r>
          </w:p>
        </w:tc>
      </w:tr>
      <w:tr w:rsidR="00E42ADC" w:rsidRPr="00500CF6" w14:paraId="4879BB4E" w14:textId="77777777" w:rsidTr="0014131C">
        <w:tc>
          <w:tcPr>
            <w:tcW w:w="4701" w:type="dxa"/>
            <w:shd w:val="clear" w:color="auto" w:fill="auto"/>
          </w:tcPr>
          <w:p w14:paraId="121A5FF0" w14:textId="77777777" w:rsidR="00E42ADC" w:rsidRPr="00500CF6" w:rsidRDefault="00E42ADC" w:rsidP="0014131C">
            <w:pPr>
              <w:spacing w:after="0" w:line="480" w:lineRule="auto"/>
              <w:rPr>
                <w:rFonts w:ascii="Arial" w:hAnsi="Arial" w:cs="Arial"/>
                <w:sz w:val="24"/>
                <w:szCs w:val="24"/>
              </w:rPr>
            </w:pPr>
          </w:p>
        </w:tc>
        <w:tc>
          <w:tcPr>
            <w:tcW w:w="4371" w:type="dxa"/>
            <w:shd w:val="clear" w:color="auto" w:fill="auto"/>
          </w:tcPr>
          <w:p w14:paraId="18DF457E" w14:textId="77777777" w:rsidR="00E42ADC" w:rsidRPr="00500CF6" w:rsidRDefault="00E42ADC" w:rsidP="0014131C">
            <w:pPr>
              <w:spacing w:after="0" w:line="480" w:lineRule="auto"/>
              <w:ind w:right="-818"/>
              <w:rPr>
                <w:rFonts w:ascii="Arial" w:hAnsi="Arial" w:cs="Arial"/>
                <w:sz w:val="24"/>
                <w:szCs w:val="24"/>
              </w:rPr>
            </w:pPr>
            <w:r>
              <w:rPr>
                <w:rFonts w:ascii="Arial" w:hAnsi="Arial" w:cs="Arial"/>
                <w:sz w:val="24"/>
                <w:szCs w:val="24"/>
              </w:rPr>
              <w:t>Instructed by Government Attorney</w:t>
            </w:r>
          </w:p>
        </w:tc>
      </w:tr>
      <w:tr w:rsidR="00E42ADC" w:rsidRPr="00500CF6" w14:paraId="58BE016A" w14:textId="77777777" w:rsidTr="0014131C">
        <w:tc>
          <w:tcPr>
            <w:tcW w:w="4701" w:type="dxa"/>
            <w:shd w:val="clear" w:color="auto" w:fill="auto"/>
          </w:tcPr>
          <w:p w14:paraId="01137296" w14:textId="77777777" w:rsidR="00E42ADC" w:rsidRPr="00500CF6" w:rsidRDefault="00E42ADC" w:rsidP="0014131C">
            <w:pPr>
              <w:spacing w:after="0" w:line="480" w:lineRule="auto"/>
              <w:rPr>
                <w:rFonts w:ascii="Arial" w:hAnsi="Arial" w:cs="Arial"/>
                <w:sz w:val="24"/>
                <w:szCs w:val="24"/>
              </w:rPr>
            </w:pPr>
          </w:p>
          <w:p w14:paraId="621F9066" w14:textId="77777777" w:rsidR="00E42ADC" w:rsidRDefault="00E42ADC" w:rsidP="0014131C">
            <w:pPr>
              <w:spacing w:after="0" w:line="480" w:lineRule="auto"/>
              <w:rPr>
                <w:rFonts w:ascii="Arial" w:hAnsi="Arial" w:cs="Arial"/>
                <w:sz w:val="24"/>
                <w:szCs w:val="24"/>
              </w:rPr>
            </w:pPr>
            <w:r>
              <w:rPr>
                <w:rFonts w:ascii="Arial" w:hAnsi="Arial" w:cs="Arial"/>
                <w:sz w:val="24"/>
                <w:szCs w:val="24"/>
              </w:rPr>
              <w:t>For the Minister of Finance and the Commissioner</w:t>
            </w:r>
            <w:r w:rsidRPr="00500CF6">
              <w:rPr>
                <w:rFonts w:ascii="Arial" w:hAnsi="Arial" w:cs="Arial"/>
                <w:sz w:val="24"/>
                <w:szCs w:val="24"/>
              </w:rPr>
              <w:t>:</w:t>
            </w:r>
          </w:p>
          <w:p w14:paraId="6FF383D3" w14:textId="77777777" w:rsidR="00E42ADC" w:rsidRPr="00500CF6" w:rsidRDefault="00E42ADC" w:rsidP="0014131C">
            <w:pPr>
              <w:spacing w:after="0" w:line="480" w:lineRule="auto"/>
              <w:rPr>
                <w:rFonts w:ascii="Arial" w:hAnsi="Arial" w:cs="Arial"/>
                <w:sz w:val="24"/>
                <w:szCs w:val="24"/>
              </w:rPr>
            </w:pPr>
          </w:p>
        </w:tc>
        <w:tc>
          <w:tcPr>
            <w:tcW w:w="4371" w:type="dxa"/>
            <w:shd w:val="clear" w:color="auto" w:fill="auto"/>
          </w:tcPr>
          <w:p w14:paraId="6C153B19" w14:textId="77777777" w:rsidR="00E42ADC" w:rsidRPr="00500CF6" w:rsidRDefault="00E42ADC" w:rsidP="0014131C">
            <w:pPr>
              <w:spacing w:after="0" w:line="480" w:lineRule="auto"/>
              <w:rPr>
                <w:rFonts w:ascii="Arial" w:hAnsi="Arial" w:cs="Arial"/>
                <w:sz w:val="24"/>
                <w:szCs w:val="24"/>
              </w:rPr>
            </w:pPr>
          </w:p>
          <w:p w14:paraId="05891B42" w14:textId="77777777" w:rsidR="00E42ADC" w:rsidRDefault="00E42ADC" w:rsidP="0014131C">
            <w:pPr>
              <w:spacing w:after="0" w:line="480" w:lineRule="auto"/>
              <w:rPr>
                <w:rFonts w:ascii="Arial" w:hAnsi="Arial" w:cs="Arial"/>
                <w:sz w:val="24"/>
                <w:szCs w:val="24"/>
              </w:rPr>
            </w:pPr>
            <w:r>
              <w:rPr>
                <w:rFonts w:ascii="Arial" w:hAnsi="Arial" w:cs="Arial"/>
                <w:sz w:val="24"/>
                <w:szCs w:val="24"/>
              </w:rPr>
              <w:t>TJ Bokaba SC (with him AW Boesak and H Rajah)</w:t>
            </w:r>
          </w:p>
          <w:p w14:paraId="77E7591D" w14:textId="77777777" w:rsidR="00E42ADC" w:rsidRDefault="00E42ADC" w:rsidP="0014131C">
            <w:pPr>
              <w:spacing w:after="0" w:line="480" w:lineRule="auto"/>
              <w:rPr>
                <w:rFonts w:ascii="Arial" w:hAnsi="Arial" w:cs="Arial"/>
                <w:sz w:val="24"/>
                <w:szCs w:val="24"/>
              </w:rPr>
            </w:pPr>
            <w:r>
              <w:rPr>
                <w:rFonts w:ascii="Arial" w:hAnsi="Arial" w:cs="Arial"/>
                <w:sz w:val="24"/>
                <w:szCs w:val="24"/>
              </w:rPr>
              <w:t>Instructed by Government Attorney</w:t>
            </w:r>
          </w:p>
          <w:p w14:paraId="015298D6" w14:textId="77777777" w:rsidR="00E42ADC" w:rsidRPr="00500CF6" w:rsidRDefault="00E42ADC" w:rsidP="0014131C">
            <w:pPr>
              <w:spacing w:after="0" w:line="480" w:lineRule="auto"/>
              <w:rPr>
                <w:rFonts w:ascii="Arial" w:hAnsi="Arial" w:cs="Arial"/>
                <w:sz w:val="24"/>
                <w:szCs w:val="24"/>
              </w:rPr>
            </w:pPr>
          </w:p>
        </w:tc>
      </w:tr>
      <w:tr w:rsidR="00E42ADC" w:rsidRPr="00500CF6" w14:paraId="2E41F381" w14:textId="77777777" w:rsidTr="0014131C">
        <w:trPr>
          <w:trHeight w:val="328"/>
        </w:trPr>
        <w:tc>
          <w:tcPr>
            <w:tcW w:w="4701" w:type="dxa"/>
            <w:shd w:val="clear" w:color="auto" w:fill="auto"/>
          </w:tcPr>
          <w:p w14:paraId="0C4917C7" w14:textId="77777777" w:rsidR="00E42ADC" w:rsidRPr="00500CF6" w:rsidRDefault="00E42ADC" w:rsidP="0014131C">
            <w:pPr>
              <w:spacing w:after="0" w:line="480" w:lineRule="auto"/>
              <w:rPr>
                <w:rFonts w:ascii="Arial" w:hAnsi="Arial" w:cs="Arial"/>
                <w:sz w:val="24"/>
                <w:szCs w:val="24"/>
              </w:rPr>
            </w:pPr>
            <w:r>
              <w:rPr>
                <w:rFonts w:ascii="Arial" w:hAnsi="Arial" w:cs="Arial"/>
                <w:sz w:val="24"/>
                <w:szCs w:val="24"/>
              </w:rPr>
              <w:t xml:space="preserve">For </w:t>
            </w:r>
            <w:r w:rsidRPr="000031E5">
              <w:rPr>
                <w:rFonts w:ascii="Arial" w:hAnsi="Arial" w:cs="Arial"/>
                <w:sz w:val="24"/>
                <w:szCs w:val="24"/>
              </w:rPr>
              <w:t>Ohorongo Cement (Pty) Lt</w:t>
            </w:r>
            <w:r>
              <w:rPr>
                <w:rFonts w:ascii="Arial" w:hAnsi="Arial" w:cs="Arial"/>
                <w:sz w:val="24"/>
                <w:szCs w:val="24"/>
              </w:rPr>
              <w:t>d</w:t>
            </w:r>
          </w:p>
        </w:tc>
        <w:tc>
          <w:tcPr>
            <w:tcW w:w="4371" w:type="dxa"/>
            <w:shd w:val="clear" w:color="auto" w:fill="auto"/>
          </w:tcPr>
          <w:p w14:paraId="6B21EB2E" w14:textId="77777777" w:rsidR="00E42ADC" w:rsidRDefault="00E42ADC" w:rsidP="0014131C">
            <w:pPr>
              <w:spacing w:after="0" w:line="480" w:lineRule="auto"/>
              <w:rPr>
                <w:rFonts w:ascii="Arial" w:hAnsi="Arial" w:cs="Arial"/>
                <w:sz w:val="24"/>
                <w:szCs w:val="24"/>
              </w:rPr>
            </w:pPr>
            <w:r>
              <w:rPr>
                <w:rFonts w:ascii="Arial" w:hAnsi="Arial" w:cs="Arial"/>
                <w:sz w:val="24"/>
                <w:szCs w:val="24"/>
              </w:rPr>
              <w:t>R Heathcote (with him D Obbes)</w:t>
            </w:r>
          </w:p>
          <w:p w14:paraId="0F484544" w14:textId="77777777" w:rsidR="00E42ADC" w:rsidRDefault="00E42ADC" w:rsidP="0014131C">
            <w:pPr>
              <w:spacing w:after="0" w:line="480" w:lineRule="auto"/>
              <w:rPr>
                <w:rFonts w:ascii="Arial" w:hAnsi="Arial" w:cs="Arial"/>
                <w:sz w:val="24"/>
                <w:szCs w:val="24"/>
              </w:rPr>
            </w:pPr>
            <w:r>
              <w:rPr>
                <w:rFonts w:ascii="Arial" w:hAnsi="Arial" w:cs="Arial"/>
                <w:sz w:val="24"/>
                <w:szCs w:val="24"/>
              </w:rPr>
              <w:t xml:space="preserve">Instructed by Koep &amp; Partners  </w:t>
            </w:r>
          </w:p>
          <w:p w14:paraId="6295F76D" w14:textId="77777777" w:rsidR="00E42ADC" w:rsidRPr="00500CF6" w:rsidRDefault="00E42ADC" w:rsidP="0014131C">
            <w:pPr>
              <w:spacing w:after="0" w:line="480" w:lineRule="auto"/>
              <w:rPr>
                <w:rFonts w:ascii="Arial" w:hAnsi="Arial" w:cs="Arial"/>
                <w:sz w:val="24"/>
                <w:szCs w:val="24"/>
              </w:rPr>
            </w:pPr>
          </w:p>
        </w:tc>
      </w:tr>
      <w:tr w:rsidR="00E42ADC" w:rsidRPr="00500CF6" w14:paraId="117D8FC9" w14:textId="77777777" w:rsidTr="0014131C">
        <w:trPr>
          <w:trHeight w:val="328"/>
        </w:trPr>
        <w:tc>
          <w:tcPr>
            <w:tcW w:w="4701" w:type="dxa"/>
            <w:shd w:val="clear" w:color="auto" w:fill="auto"/>
          </w:tcPr>
          <w:p w14:paraId="33276CB6" w14:textId="77777777" w:rsidR="00E42ADC" w:rsidRPr="00500CF6" w:rsidRDefault="00E42ADC" w:rsidP="0014131C">
            <w:pPr>
              <w:spacing w:after="0" w:line="480" w:lineRule="auto"/>
              <w:rPr>
                <w:rFonts w:ascii="Arial" w:hAnsi="Arial" w:cs="Arial"/>
                <w:sz w:val="24"/>
                <w:szCs w:val="24"/>
              </w:rPr>
            </w:pPr>
            <w:r>
              <w:rPr>
                <w:rFonts w:ascii="Arial" w:hAnsi="Arial" w:cs="Arial"/>
                <w:sz w:val="24"/>
                <w:szCs w:val="24"/>
              </w:rPr>
              <w:t>For Jack’s Trading CC</w:t>
            </w:r>
          </w:p>
        </w:tc>
        <w:tc>
          <w:tcPr>
            <w:tcW w:w="4371" w:type="dxa"/>
            <w:shd w:val="clear" w:color="auto" w:fill="auto"/>
          </w:tcPr>
          <w:p w14:paraId="0A825B96" w14:textId="77777777" w:rsidR="00E42ADC" w:rsidRDefault="00E42ADC" w:rsidP="0014131C">
            <w:pPr>
              <w:spacing w:after="0" w:line="480" w:lineRule="auto"/>
              <w:rPr>
                <w:rFonts w:ascii="Arial" w:hAnsi="Arial" w:cs="Arial"/>
                <w:sz w:val="24"/>
                <w:szCs w:val="24"/>
              </w:rPr>
            </w:pPr>
            <w:r>
              <w:rPr>
                <w:rFonts w:ascii="Arial" w:hAnsi="Arial" w:cs="Arial"/>
                <w:sz w:val="24"/>
                <w:szCs w:val="24"/>
              </w:rPr>
              <w:t>A Cassim SC (with him GS Hinda and S Namandje)</w:t>
            </w:r>
          </w:p>
          <w:p w14:paraId="46003853" w14:textId="11B74B6A" w:rsidR="00E42ADC" w:rsidRPr="00500CF6" w:rsidRDefault="00E42ADC" w:rsidP="00505CD6">
            <w:pPr>
              <w:spacing w:after="0" w:line="480" w:lineRule="auto"/>
              <w:rPr>
                <w:rFonts w:ascii="Arial" w:hAnsi="Arial" w:cs="Arial"/>
                <w:sz w:val="24"/>
                <w:szCs w:val="24"/>
              </w:rPr>
            </w:pPr>
            <w:r>
              <w:rPr>
                <w:rFonts w:ascii="Arial" w:hAnsi="Arial" w:cs="Arial"/>
                <w:sz w:val="24"/>
                <w:szCs w:val="24"/>
              </w:rPr>
              <w:t>Instructed by Sisa Namandje &amp; Co. Inc</w:t>
            </w:r>
          </w:p>
        </w:tc>
      </w:tr>
    </w:tbl>
    <w:p w14:paraId="1901DE60" w14:textId="77777777" w:rsidR="00E42ADC" w:rsidRDefault="00E42ADC" w:rsidP="00E42ADC">
      <w:pPr>
        <w:spacing w:after="0" w:line="480" w:lineRule="auto"/>
        <w:jc w:val="both"/>
      </w:pPr>
    </w:p>
    <w:p w14:paraId="61E9DE26" w14:textId="77777777" w:rsidR="00E42ADC" w:rsidRDefault="00E42ADC" w:rsidP="00781500">
      <w:pPr>
        <w:pStyle w:val="NoSpacing"/>
        <w:tabs>
          <w:tab w:val="left" w:pos="0"/>
        </w:tabs>
        <w:spacing w:line="480" w:lineRule="auto"/>
        <w:jc w:val="both"/>
        <w:rPr>
          <w:rFonts w:ascii="Arial" w:hAnsi="Arial" w:cs="Arial"/>
          <w:sz w:val="24"/>
          <w:szCs w:val="24"/>
        </w:rPr>
      </w:pPr>
    </w:p>
    <w:sectPr w:rsidR="00E42AD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A93D" w14:textId="77777777" w:rsidR="00903B45" w:rsidRDefault="00903B45" w:rsidP="00F74879">
      <w:pPr>
        <w:spacing w:after="0" w:line="240" w:lineRule="auto"/>
      </w:pPr>
      <w:r>
        <w:separator/>
      </w:r>
    </w:p>
  </w:endnote>
  <w:endnote w:type="continuationSeparator" w:id="0">
    <w:p w14:paraId="54F93BCB" w14:textId="77777777" w:rsidR="00903B45" w:rsidRDefault="00903B45"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7FD7" w14:textId="77777777" w:rsidR="00903B45" w:rsidRDefault="00903B45" w:rsidP="00F74879">
      <w:pPr>
        <w:spacing w:after="0" w:line="240" w:lineRule="auto"/>
      </w:pPr>
      <w:r>
        <w:separator/>
      </w:r>
    </w:p>
  </w:footnote>
  <w:footnote w:type="continuationSeparator" w:id="0">
    <w:p w14:paraId="3DF489D0" w14:textId="77777777" w:rsidR="00903B45" w:rsidRDefault="00903B45" w:rsidP="00F74879">
      <w:pPr>
        <w:spacing w:after="0" w:line="240" w:lineRule="auto"/>
      </w:pPr>
      <w:r>
        <w:continuationSeparator/>
      </w:r>
    </w:p>
  </w:footnote>
  <w:footnote w:id="1">
    <w:p w14:paraId="53011805" w14:textId="7250DEF5" w:rsidR="00A423AF" w:rsidRPr="00A76F59" w:rsidRDefault="00A423AF" w:rsidP="007C483C">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2011 (2) NR 726 para 18</w:t>
      </w:r>
    </w:p>
    <w:p w14:paraId="6C035CAB" w14:textId="77777777" w:rsidR="00A423AF" w:rsidRPr="00A76F59" w:rsidRDefault="00A423AF" w:rsidP="007C483C">
      <w:pPr>
        <w:pStyle w:val="FootnoteText"/>
        <w:jc w:val="both"/>
        <w:rPr>
          <w:rFonts w:ascii="Arial" w:hAnsi="Arial" w:cs="Arial"/>
        </w:rPr>
      </w:pPr>
    </w:p>
  </w:footnote>
  <w:footnote w:id="2">
    <w:p w14:paraId="5806F8B1" w14:textId="38F5728C" w:rsidR="00A423AF" w:rsidRPr="00A76F59" w:rsidRDefault="00A423AF" w:rsidP="007C483C">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The parties could not have been certain that the interpretation of the Customs and Exercise Act is a matter contemplated in Art</w:t>
      </w:r>
      <w:r w:rsidR="004C7779" w:rsidRPr="00A76F59">
        <w:rPr>
          <w:rFonts w:ascii="Arial" w:hAnsi="Arial" w:cs="Arial"/>
        </w:rPr>
        <w:t>icle</w:t>
      </w:r>
      <w:r w:rsidRPr="00A76F59">
        <w:rPr>
          <w:rFonts w:ascii="Arial" w:hAnsi="Arial" w:cs="Arial"/>
        </w:rPr>
        <w:t xml:space="preserve"> 79(2) of the Constitution. Moreover, it is for the Chief Justice or a judge designated by the Chief Justice to decide whether the referral meets the threshold set for admission in line with the Supreme Court’s jurisprudence as set out; amongst others, in </w:t>
      </w:r>
      <w:r w:rsidRPr="00A76F59">
        <w:rPr>
          <w:rFonts w:ascii="Arial" w:hAnsi="Arial" w:cs="Arial"/>
          <w:i/>
        </w:rPr>
        <w:t>S v Bushebi</w:t>
      </w:r>
      <w:r w:rsidRPr="00A76F59">
        <w:rPr>
          <w:rFonts w:ascii="Arial" w:hAnsi="Arial" w:cs="Arial"/>
        </w:rPr>
        <w:t xml:space="preserve"> 1998 NR 239 (SC) and </w:t>
      </w:r>
      <w:r w:rsidRPr="00A76F59">
        <w:rPr>
          <w:rFonts w:ascii="Arial" w:hAnsi="Arial" w:cs="Arial"/>
          <w:i/>
        </w:rPr>
        <w:t>Schroeder and another v Solomon and others</w:t>
      </w:r>
      <w:r w:rsidRPr="00A76F59">
        <w:rPr>
          <w:rFonts w:ascii="Arial" w:hAnsi="Arial" w:cs="Arial"/>
        </w:rPr>
        <w:t xml:space="preserve"> 2009 (1) NR 1 (SC). </w:t>
      </w:r>
    </w:p>
  </w:footnote>
  <w:footnote w:id="3">
    <w:p w14:paraId="1E7F7FC9" w14:textId="25451F9F" w:rsidR="00A423AF" w:rsidRPr="00A76F59" w:rsidRDefault="00A423AF" w:rsidP="007C483C">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w:t>
      </w:r>
      <w:r w:rsidRPr="00A76F59">
        <w:rPr>
          <w:rFonts w:ascii="Arial" w:hAnsi="Arial" w:cs="Arial"/>
          <w:i/>
        </w:rPr>
        <w:t>Kruger Bros &amp;</w:t>
      </w:r>
      <w:r w:rsidR="00564D70" w:rsidRPr="00A76F59">
        <w:rPr>
          <w:rFonts w:ascii="Arial" w:hAnsi="Arial" w:cs="Arial"/>
          <w:i/>
        </w:rPr>
        <w:t xml:space="preserve"> </w:t>
      </w:r>
      <w:r w:rsidRPr="00A76F59">
        <w:rPr>
          <w:rFonts w:ascii="Arial" w:hAnsi="Arial" w:cs="Arial"/>
          <w:i/>
        </w:rPr>
        <w:t>Wasserman v Ruskin</w:t>
      </w:r>
      <w:r w:rsidRPr="00A76F59">
        <w:rPr>
          <w:rFonts w:ascii="Arial" w:hAnsi="Arial" w:cs="Arial"/>
        </w:rPr>
        <w:t xml:space="preserve"> 1918 AD 63 at 69</w:t>
      </w:r>
    </w:p>
  </w:footnote>
  <w:footnote w:id="4">
    <w:p w14:paraId="1C560190" w14:textId="77777777"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Cf. </w:t>
      </w:r>
      <w:r w:rsidRPr="00A76F59">
        <w:rPr>
          <w:rFonts w:ascii="Arial" w:hAnsi="Arial" w:cs="Arial"/>
          <w:i/>
        </w:rPr>
        <w:t>S v Bushebi</w:t>
      </w:r>
      <w:r w:rsidRPr="00A76F59">
        <w:rPr>
          <w:rFonts w:ascii="Arial" w:hAnsi="Arial" w:cs="Arial"/>
        </w:rPr>
        <w:t xml:space="preserve">; </w:t>
      </w:r>
      <w:r w:rsidRPr="00A76F59">
        <w:rPr>
          <w:rFonts w:ascii="Arial" w:hAnsi="Arial" w:cs="Arial"/>
          <w:i/>
        </w:rPr>
        <w:t>Ellis v Morgan, Ellis v Dessai</w:t>
      </w:r>
      <w:r w:rsidRPr="00A76F59">
        <w:rPr>
          <w:rFonts w:ascii="Arial" w:hAnsi="Arial" w:cs="Arial"/>
        </w:rPr>
        <w:t xml:space="preserve"> 1909 TS 576 at 581</w:t>
      </w:r>
    </w:p>
  </w:footnote>
  <w:footnote w:id="5">
    <w:p w14:paraId="2A86A5FD"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w:t>
      </w:r>
      <w:r w:rsidRPr="00A76F59">
        <w:rPr>
          <w:rFonts w:ascii="Arial" w:hAnsi="Arial" w:cs="Arial"/>
          <w:i/>
        </w:rPr>
        <w:t>Kauesa v Minister of Home Affairs and others</w:t>
      </w:r>
      <w:r w:rsidRPr="00A76F59">
        <w:rPr>
          <w:rFonts w:ascii="Arial" w:hAnsi="Arial" w:cs="Arial"/>
        </w:rPr>
        <w:t xml:space="preserve"> 1995 NR 175 at 185H.</w:t>
      </w:r>
    </w:p>
  </w:footnote>
  <w:footnote w:id="6">
    <w:p w14:paraId="0A9AA8FD"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Cf. </w:t>
      </w:r>
      <w:r w:rsidRPr="00A76F59">
        <w:rPr>
          <w:rFonts w:ascii="Arial" w:hAnsi="Arial" w:cs="Arial"/>
          <w:i/>
        </w:rPr>
        <w:t xml:space="preserve">Bruce v Fleecytex Johannesburg </w:t>
      </w:r>
      <w:r w:rsidRPr="00A76F59">
        <w:rPr>
          <w:rFonts w:ascii="Arial" w:hAnsi="Arial" w:cs="Arial"/>
        </w:rPr>
        <w:t>CC 1998 (2) SA 1143 (CC), para 8</w:t>
      </w:r>
    </w:p>
  </w:footnote>
  <w:footnote w:id="7">
    <w:p w14:paraId="6A51AFB9" w14:textId="77777777"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2013 (3) NR 806 (SC), paras 1 and 2 </w:t>
      </w:r>
    </w:p>
  </w:footnote>
  <w:footnote w:id="8">
    <w:p w14:paraId="5ACF46CA" w14:textId="77777777"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Cited in fn. 2 above, para 22</w:t>
      </w:r>
    </w:p>
  </w:footnote>
  <w:footnote w:id="9">
    <w:p w14:paraId="5CDB9384" w14:textId="598E51DB"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As contemplated in Art</w:t>
      </w:r>
      <w:r w:rsidR="001C059F" w:rsidRPr="00A76F59">
        <w:rPr>
          <w:rFonts w:ascii="Arial" w:hAnsi="Arial" w:cs="Arial"/>
        </w:rPr>
        <w:t>icle</w:t>
      </w:r>
      <w:r w:rsidRPr="00A76F59">
        <w:rPr>
          <w:rFonts w:ascii="Arial" w:hAnsi="Arial" w:cs="Arial"/>
        </w:rPr>
        <w:t xml:space="preserve"> 40(h) of the Constitution</w:t>
      </w:r>
    </w:p>
  </w:footnote>
  <w:footnote w:id="10">
    <w:p w14:paraId="6EB70A83" w14:textId="77777777" w:rsidR="00A423AF" w:rsidRPr="00A76F59" w:rsidRDefault="00A423AF" w:rsidP="00691C83">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Du Plessis. Re-Interpretation of Statutes (2002) at 112.</w:t>
      </w:r>
    </w:p>
  </w:footnote>
  <w:footnote w:id="11">
    <w:p w14:paraId="7F1B4271" w14:textId="77777777" w:rsidR="00A423AF" w:rsidRPr="00A76F59" w:rsidRDefault="00A423AF" w:rsidP="00691C83">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w:t>
      </w:r>
      <w:r w:rsidRPr="00A76F59">
        <w:rPr>
          <w:rFonts w:ascii="Arial" w:hAnsi="Arial" w:cs="Arial"/>
          <w:i/>
        </w:rPr>
        <w:t>Principal Immigration Officer v Bhula</w:t>
      </w:r>
      <w:r w:rsidRPr="00A76F59">
        <w:rPr>
          <w:rFonts w:ascii="Arial" w:hAnsi="Arial" w:cs="Arial"/>
        </w:rPr>
        <w:t xml:space="preserve"> 1931 AD 323 at 335; </w:t>
      </w:r>
      <w:r w:rsidRPr="00A76F59">
        <w:rPr>
          <w:rFonts w:ascii="Arial" w:hAnsi="Arial" w:cs="Arial"/>
          <w:i/>
        </w:rPr>
        <w:t>S v Dlamini, S v Dladla and others, S v Joubert, S v Schietekat</w:t>
      </w:r>
      <w:r w:rsidRPr="00A76F59">
        <w:rPr>
          <w:rFonts w:ascii="Arial" w:hAnsi="Arial" w:cs="Arial"/>
        </w:rPr>
        <w:t xml:space="preserve"> 1999 (4) SA 623 para 84.</w:t>
      </w:r>
    </w:p>
  </w:footnote>
  <w:footnote w:id="12">
    <w:p w14:paraId="0DCE142D" w14:textId="26888B4D" w:rsidR="00A423AF" w:rsidRPr="00A76F59" w:rsidRDefault="00A423AF" w:rsidP="00691C83">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w:t>
      </w:r>
      <w:r w:rsidRPr="00A76F59">
        <w:rPr>
          <w:rFonts w:ascii="Arial" w:hAnsi="Arial" w:cs="Arial"/>
          <w:i/>
        </w:rPr>
        <w:t>Attorney-General of Namibia v Minister of Justice and others</w:t>
      </w:r>
      <w:r w:rsidRPr="00A76F59">
        <w:rPr>
          <w:rFonts w:ascii="Arial" w:hAnsi="Arial" w:cs="Arial"/>
        </w:rPr>
        <w:t>, cited fn. 7 above, para 7.</w:t>
      </w:r>
    </w:p>
  </w:footnote>
  <w:footnote w:id="13">
    <w:p w14:paraId="35E8CCAD" w14:textId="5F54D074" w:rsidR="00A423AF" w:rsidRPr="00A76F59" w:rsidRDefault="00A423AF" w:rsidP="00691C83">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2003 NR 145 (SC) at 157</w:t>
      </w:r>
      <w:r w:rsidR="00691C83" w:rsidRPr="00A76F59">
        <w:rPr>
          <w:rFonts w:ascii="Arial" w:hAnsi="Arial" w:cs="Arial"/>
        </w:rPr>
        <w:t>.</w:t>
      </w:r>
    </w:p>
  </w:footnote>
  <w:footnote w:id="14">
    <w:p w14:paraId="3F00E9E1"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w:t>
      </w:r>
      <w:r w:rsidRPr="00A76F59">
        <w:rPr>
          <w:rFonts w:ascii="Arial" w:hAnsi="Arial" w:cs="Arial"/>
          <w:i/>
        </w:rPr>
        <w:t>S v Dlamini et al</w:t>
      </w:r>
      <w:r w:rsidRPr="00A76F59">
        <w:rPr>
          <w:rFonts w:ascii="Arial" w:hAnsi="Arial" w:cs="Arial"/>
        </w:rPr>
        <w:t xml:space="preserve">, para 84 </w:t>
      </w:r>
    </w:p>
  </w:footnote>
  <w:footnote w:id="15">
    <w:p w14:paraId="21193F32"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Christo Botha. </w:t>
      </w:r>
      <w:r w:rsidRPr="00A76F59">
        <w:rPr>
          <w:rFonts w:ascii="Arial" w:hAnsi="Arial" w:cs="Arial"/>
          <w:i/>
        </w:rPr>
        <w:t>Statutory Interpretation: An introduction for students</w:t>
      </w:r>
      <w:r w:rsidRPr="00A76F59">
        <w:rPr>
          <w:rFonts w:ascii="Arial" w:hAnsi="Arial" w:cs="Arial"/>
        </w:rPr>
        <w:t>. 4</w:t>
      </w:r>
      <w:r w:rsidRPr="00A76F59">
        <w:rPr>
          <w:rFonts w:ascii="Arial" w:hAnsi="Arial" w:cs="Arial"/>
          <w:vertAlign w:val="superscript"/>
        </w:rPr>
        <w:t>th</w:t>
      </w:r>
      <w:r w:rsidRPr="00A76F59">
        <w:rPr>
          <w:rFonts w:ascii="Arial" w:hAnsi="Arial" w:cs="Arial"/>
        </w:rPr>
        <w:t xml:space="preserve"> Ed (2005) at 79</w:t>
      </w:r>
    </w:p>
  </w:footnote>
  <w:footnote w:id="16">
    <w:p w14:paraId="609A2E90"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The Concise Oxford Dictionary 9</w:t>
      </w:r>
      <w:r w:rsidRPr="00A76F59">
        <w:rPr>
          <w:rFonts w:ascii="Arial" w:hAnsi="Arial" w:cs="Arial"/>
          <w:vertAlign w:val="superscript"/>
        </w:rPr>
        <w:t>th</w:t>
      </w:r>
      <w:r w:rsidRPr="00A76F59">
        <w:rPr>
          <w:rFonts w:ascii="Arial" w:hAnsi="Arial" w:cs="Arial"/>
        </w:rPr>
        <w:t xml:space="preserve"> Ed., p. 931. </w:t>
      </w:r>
    </w:p>
  </w:footnote>
  <w:footnote w:id="17">
    <w:p w14:paraId="15F93C82" w14:textId="77777777" w:rsidR="00A423AF" w:rsidRPr="00A76F59" w:rsidRDefault="00A423AF" w:rsidP="00A423AF">
      <w:pPr>
        <w:pStyle w:val="FootnoteText"/>
        <w:rPr>
          <w:rFonts w:ascii="Arial" w:hAnsi="Arial" w:cs="Arial"/>
        </w:rPr>
      </w:pPr>
      <w:r w:rsidRPr="00A76F59">
        <w:rPr>
          <w:rStyle w:val="FootnoteReference"/>
          <w:rFonts w:ascii="Arial" w:hAnsi="Arial" w:cs="Arial"/>
        </w:rPr>
        <w:footnoteRef/>
      </w:r>
      <w:r w:rsidRPr="00A76F59">
        <w:rPr>
          <w:rFonts w:ascii="Arial" w:hAnsi="Arial" w:cs="Arial"/>
        </w:rPr>
        <w:t xml:space="preserve"> Ibid., p. 367</w:t>
      </w:r>
    </w:p>
  </w:footnote>
  <w:footnote w:id="18">
    <w:p w14:paraId="1592F3D0" w14:textId="77777777"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Which provides:</w:t>
      </w:r>
    </w:p>
    <w:p w14:paraId="41A028F6" w14:textId="7E58D9A4" w:rsidR="00A423AF" w:rsidRPr="00A76F59" w:rsidRDefault="00A423AF" w:rsidP="00A423AF">
      <w:pPr>
        <w:pStyle w:val="FootnoteText"/>
        <w:jc w:val="both"/>
        <w:rPr>
          <w:rFonts w:ascii="Arial" w:hAnsi="Arial" w:cs="Arial"/>
        </w:rPr>
      </w:pPr>
      <w:r w:rsidRPr="00A76F59">
        <w:rPr>
          <w:rFonts w:ascii="Arial" w:hAnsi="Arial" w:cs="Arial"/>
        </w:rPr>
        <w:t>‘The National Assembly shall further have the power and function</w:t>
      </w:r>
      <w:r w:rsidR="00CE4FF8" w:rsidRPr="00A76F59">
        <w:rPr>
          <w:rFonts w:ascii="Arial" w:hAnsi="Arial" w:cs="Arial"/>
        </w:rPr>
        <w:t>, subject to this Constitution:</w:t>
      </w:r>
    </w:p>
    <w:p w14:paraId="45029C82" w14:textId="77777777" w:rsidR="00CE4FF8" w:rsidRPr="00A76F59" w:rsidRDefault="00CE4FF8" w:rsidP="00A423AF">
      <w:pPr>
        <w:pStyle w:val="FootnoteText"/>
        <w:jc w:val="both"/>
        <w:rPr>
          <w:rFonts w:ascii="Arial" w:hAnsi="Arial" w:cs="Arial"/>
        </w:rPr>
      </w:pPr>
    </w:p>
    <w:p w14:paraId="38503A43" w14:textId="77777777" w:rsidR="00A423AF" w:rsidRPr="00A76F59" w:rsidRDefault="00A423AF" w:rsidP="00A423AF">
      <w:pPr>
        <w:pStyle w:val="FootnoteText"/>
        <w:numPr>
          <w:ilvl w:val="0"/>
          <w:numId w:val="42"/>
        </w:numPr>
        <w:jc w:val="both"/>
        <w:rPr>
          <w:rFonts w:ascii="Arial" w:hAnsi="Arial" w:cs="Arial"/>
        </w:rPr>
      </w:pPr>
      <w:r w:rsidRPr="00A76F59">
        <w:rPr>
          <w:rFonts w:ascii="Arial" w:hAnsi="Arial" w:cs="Arial"/>
        </w:rPr>
        <w:t>to provide for revenue and taxation.’</w:t>
      </w:r>
    </w:p>
    <w:p w14:paraId="5338CC4E" w14:textId="77777777" w:rsidR="00CE4FF8" w:rsidRPr="00A76F59" w:rsidRDefault="00CE4FF8" w:rsidP="00CE4FF8">
      <w:pPr>
        <w:pStyle w:val="FootnoteText"/>
        <w:ind w:left="720"/>
        <w:jc w:val="both"/>
        <w:rPr>
          <w:rFonts w:ascii="Arial" w:hAnsi="Arial" w:cs="Arial"/>
        </w:rPr>
      </w:pPr>
    </w:p>
  </w:footnote>
  <w:footnote w:id="19">
    <w:p w14:paraId="78D7EE75" w14:textId="44AFE34F"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This sub-Article provides, </w:t>
      </w:r>
      <w:r w:rsidRPr="00A76F59">
        <w:rPr>
          <w:rFonts w:ascii="Arial" w:hAnsi="Arial" w:cs="Arial"/>
          <w:i/>
        </w:rPr>
        <w:t>inter alia</w:t>
      </w:r>
      <w:r w:rsidRPr="00A76F59">
        <w:rPr>
          <w:rFonts w:ascii="Arial" w:hAnsi="Arial" w:cs="Arial"/>
        </w:rPr>
        <w:t>, that any law providing for a limitation of a fundamental right or freedom must be of general application and not be ai</w:t>
      </w:r>
      <w:r w:rsidR="00CE4FF8" w:rsidRPr="00A76F59">
        <w:rPr>
          <w:rFonts w:ascii="Arial" w:hAnsi="Arial" w:cs="Arial"/>
        </w:rPr>
        <w:t>med at a particular individual.</w:t>
      </w:r>
    </w:p>
  </w:footnote>
  <w:footnote w:id="20">
    <w:p w14:paraId="0EE401B5" w14:textId="77777777"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 Section 13 of the Interpretation of Laws Proclamation reads:</w:t>
      </w:r>
    </w:p>
    <w:p w14:paraId="31A274C5" w14:textId="77777777" w:rsidR="00CE4FF8" w:rsidRPr="00A76F59" w:rsidRDefault="00CE4FF8" w:rsidP="00A423AF">
      <w:pPr>
        <w:pStyle w:val="FootnoteText"/>
        <w:jc w:val="both"/>
        <w:rPr>
          <w:rFonts w:ascii="Arial" w:hAnsi="Arial" w:cs="Arial"/>
        </w:rPr>
      </w:pPr>
    </w:p>
    <w:p w14:paraId="5C223254" w14:textId="6196E416" w:rsidR="00A423AF" w:rsidRPr="00A76F59" w:rsidRDefault="00CE4FF8" w:rsidP="007F100A">
      <w:pPr>
        <w:pStyle w:val="FootnoteText"/>
        <w:ind w:left="720"/>
        <w:jc w:val="both"/>
        <w:rPr>
          <w:rFonts w:ascii="Arial" w:hAnsi="Arial" w:cs="Arial"/>
        </w:rPr>
      </w:pPr>
      <w:r w:rsidRPr="00A76F59">
        <w:rPr>
          <w:rFonts w:ascii="Arial" w:hAnsi="Arial" w:cs="Arial"/>
        </w:rPr>
        <w:t>‘</w:t>
      </w:r>
      <w:r w:rsidR="00A423AF" w:rsidRPr="00A76F59">
        <w:rPr>
          <w:rFonts w:ascii="Arial" w:hAnsi="Arial" w:cs="Arial"/>
        </w:rPr>
        <w:t>(13) Where any act, matter or thing is by law directed or authorised to be done by the Governor-General or by the Administrator, or by any public officer, the notification that such act, matter, or thing has been done, may unless a specified instrument or method is by that law prescribed for the notification, be by notice in the Gazette.’</w:t>
      </w:r>
    </w:p>
    <w:p w14:paraId="2AB03853" w14:textId="77777777" w:rsidR="00CE4FF8" w:rsidRPr="00A76F59" w:rsidRDefault="00CE4FF8" w:rsidP="00A423AF">
      <w:pPr>
        <w:pStyle w:val="FootnoteText"/>
        <w:jc w:val="both"/>
        <w:rPr>
          <w:rFonts w:ascii="Arial" w:hAnsi="Arial" w:cs="Arial"/>
        </w:rPr>
      </w:pPr>
    </w:p>
  </w:footnote>
  <w:footnote w:id="21">
    <w:p w14:paraId="26F1957C" w14:textId="5C247E8F" w:rsidR="00A423AF" w:rsidRPr="00A76F59" w:rsidRDefault="00A423AF" w:rsidP="00A423AF">
      <w:pPr>
        <w:pStyle w:val="FootnoteText"/>
        <w:jc w:val="both"/>
        <w:rPr>
          <w:rFonts w:ascii="Arial" w:hAnsi="Arial" w:cs="Arial"/>
        </w:rPr>
      </w:pPr>
      <w:r w:rsidRPr="00A76F59">
        <w:rPr>
          <w:rStyle w:val="FootnoteReference"/>
          <w:rFonts w:ascii="Arial" w:hAnsi="Arial" w:cs="Arial"/>
        </w:rPr>
        <w:footnoteRef/>
      </w:r>
      <w:r w:rsidRPr="00A76F59">
        <w:rPr>
          <w:rFonts w:ascii="Arial" w:hAnsi="Arial" w:cs="Arial"/>
        </w:rPr>
        <w:t xml:space="preserve">Which is defined as including: ‘any government notice, regulation or rule issued or made, or agreement concluded or deemed to have been concluded thereunder, or </w:t>
      </w:r>
      <w:r w:rsidRPr="00A76F59">
        <w:rPr>
          <w:rFonts w:ascii="Arial" w:hAnsi="Arial" w:cs="Arial"/>
          <w:i/>
        </w:rPr>
        <w:t>any taxation proposal</w:t>
      </w:r>
      <w:r w:rsidRPr="00A76F59">
        <w:rPr>
          <w:rFonts w:ascii="Arial" w:hAnsi="Arial" w:cs="Arial"/>
        </w:rPr>
        <w:t xml:space="preserve"> contemplated in section 65 which is tabled in the National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5B07B3">
      <w:rPr>
        <w:rFonts w:ascii="Arial" w:hAnsi="Arial" w:cs="Arial"/>
        <w:noProof/>
        <w:sz w:val="24"/>
        <w:szCs w:val="24"/>
      </w:rPr>
      <w:t>9</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02E75"/>
    <w:multiLevelType w:val="hybridMultilevel"/>
    <w:tmpl w:val="199E476A"/>
    <w:lvl w:ilvl="0" w:tplc="13365B8A">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ED81D85"/>
    <w:multiLevelType w:val="hybridMultilevel"/>
    <w:tmpl w:val="5F6050D4"/>
    <w:lvl w:ilvl="0" w:tplc="7F50820C">
      <w:start w:val="1"/>
      <w:numFmt w:val="lowerLetter"/>
      <w:lvlText w:val="(%1)"/>
      <w:lvlJc w:val="left"/>
      <w:pPr>
        <w:ind w:left="-378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1624" w:hanging="360"/>
      </w:pPr>
    </w:lvl>
    <w:lvl w:ilvl="4" w:tplc="08090019" w:tentative="1">
      <w:start w:val="1"/>
      <w:numFmt w:val="lowerLetter"/>
      <w:lvlText w:val="%5."/>
      <w:lvlJc w:val="left"/>
      <w:pPr>
        <w:ind w:left="-904" w:hanging="360"/>
      </w:pPr>
    </w:lvl>
    <w:lvl w:ilvl="5" w:tplc="0809001B" w:tentative="1">
      <w:start w:val="1"/>
      <w:numFmt w:val="lowerRoman"/>
      <w:lvlText w:val="%6."/>
      <w:lvlJc w:val="right"/>
      <w:pPr>
        <w:ind w:left="-184" w:hanging="180"/>
      </w:pPr>
    </w:lvl>
    <w:lvl w:ilvl="6" w:tplc="0809000F" w:tentative="1">
      <w:start w:val="1"/>
      <w:numFmt w:val="decimal"/>
      <w:lvlText w:val="%7."/>
      <w:lvlJc w:val="left"/>
      <w:pPr>
        <w:ind w:left="536" w:hanging="360"/>
      </w:pPr>
    </w:lvl>
    <w:lvl w:ilvl="7" w:tplc="08090019" w:tentative="1">
      <w:start w:val="1"/>
      <w:numFmt w:val="lowerLetter"/>
      <w:lvlText w:val="%8."/>
      <w:lvlJc w:val="left"/>
      <w:pPr>
        <w:ind w:left="1256" w:hanging="360"/>
      </w:pPr>
    </w:lvl>
    <w:lvl w:ilvl="8" w:tplc="0809001B" w:tentative="1">
      <w:start w:val="1"/>
      <w:numFmt w:val="lowerRoman"/>
      <w:lvlText w:val="%9."/>
      <w:lvlJc w:val="right"/>
      <w:pPr>
        <w:ind w:left="1976" w:hanging="180"/>
      </w:pPr>
    </w:lvl>
  </w:abstractNum>
  <w:abstractNum w:abstractNumId="9"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0"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4" w15:restartNumberingAfterBreak="0">
    <w:nsid w:val="23E123A5"/>
    <w:multiLevelType w:val="hybridMultilevel"/>
    <w:tmpl w:val="DF462CDC"/>
    <w:lvl w:ilvl="0" w:tplc="921A7BC6">
      <w:start w:val="1"/>
      <w:numFmt w:val="lowerLetter"/>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5"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26F42229"/>
    <w:multiLevelType w:val="hybridMultilevel"/>
    <w:tmpl w:val="C9BE0040"/>
    <w:lvl w:ilvl="0" w:tplc="0AF6F2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F086F49"/>
    <w:multiLevelType w:val="hybridMultilevel"/>
    <w:tmpl w:val="0816AB62"/>
    <w:lvl w:ilvl="0" w:tplc="1C09000F">
      <w:start w:val="1"/>
      <w:numFmt w:val="decimal"/>
      <w:lvlText w:val="%1."/>
      <w:lvlJc w:val="left"/>
      <w:pPr>
        <w:ind w:left="1616" w:hanging="360"/>
      </w:pPr>
    </w:lvl>
    <w:lvl w:ilvl="1" w:tplc="1C090019">
      <w:start w:val="1"/>
      <w:numFmt w:val="lowerLetter"/>
      <w:lvlText w:val="%2."/>
      <w:lvlJc w:val="left"/>
      <w:pPr>
        <w:ind w:left="2336" w:hanging="360"/>
      </w:pPr>
    </w:lvl>
    <w:lvl w:ilvl="2" w:tplc="1C09001B" w:tentative="1">
      <w:start w:val="1"/>
      <w:numFmt w:val="lowerRoman"/>
      <w:lvlText w:val="%3."/>
      <w:lvlJc w:val="right"/>
      <w:pPr>
        <w:ind w:left="3056" w:hanging="180"/>
      </w:pPr>
    </w:lvl>
    <w:lvl w:ilvl="3" w:tplc="1C09000F" w:tentative="1">
      <w:start w:val="1"/>
      <w:numFmt w:val="decimal"/>
      <w:lvlText w:val="%4."/>
      <w:lvlJc w:val="left"/>
      <w:pPr>
        <w:ind w:left="3776" w:hanging="360"/>
      </w:pPr>
    </w:lvl>
    <w:lvl w:ilvl="4" w:tplc="1C090019" w:tentative="1">
      <w:start w:val="1"/>
      <w:numFmt w:val="lowerLetter"/>
      <w:lvlText w:val="%5."/>
      <w:lvlJc w:val="left"/>
      <w:pPr>
        <w:ind w:left="4496" w:hanging="360"/>
      </w:pPr>
    </w:lvl>
    <w:lvl w:ilvl="5" w:tplc="1C09001B" w:tentative="1">
      <w:start w:val="1"/>
      <w:numFmt w:val="lowerRoman"/>
      <w:lvlText w:val="%6."/>
      <w:lvlJc w:val="right"/>
      <w:pPr>
        <w:ind w:left="5216" w:hanging="180"/>
      </w:pPr>
    </w:lvl>
    <w:lvl w:ilvl="6" w:tplc="1C09000F" w:tentative="1">
      <w:start w:val="1"/>
      <w:numFmt w:val="decimal"/>
      <w:lvlText w:val="%7."/>
      <w:lvlJc w:val="left"/>
      <w:pPr>
        <w:ind w:left="5936" w:hanging="360"/>
      </w:pPr>
    </w:lvl>
    <w:lvl w:ilvl="7" w:tplc="1C090019" w:tentative="1">
      <w:start w:val="1"/>
      <w:numFmt w:val="lowerLetter"/>
      <w:lvlText w:val="%8."/>
      <w:lvlJc w:val="left"/>
      <w:pPr>
        <w:ind w:left="6656" w:hanging="360"/>
      </w:pPr>
    </w:lvl>
    <w:lvl w:ilvl="8" w:tplc="1C09001B" w:tentative="1">
      <w:start w:val="1"/>
      <w:numFmt w:val="lowerRoman"/>
      <w:lvlText w:val="%9."/>
      <w:lvlJc w:val="right"/>
      <w:pPr>
        <w:ind w:left="7376" w:hanging="180"/>
      </w:pPr>
    </w:lvl>
  </w:abstractNum>
  <w:abstractNum w:abstractNumId="20" w15:restartNumberingAfterBreak="0">
    <w:nsid w:val="30044051"/>
    <w:multiLevelType w:val="hybridMultilevel"/>
    <w:tmpl w:val="60CCD0E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15:restartNumberingAfterBreak="0">
    <w:nsid w:val="33C36BE4"/>
    <w:multiLevelType w:val="hybridMultilevel"/>
    <w:tmpl w:val="3E8617D6"/>
    <w:lvl w:ilvl="0" w:tplc="EA58F43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6"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7" w15:restartNumberingAfterBreak="0">
    <w:nsid w:val="3C2C2A84"/>
    <w:multiLevelType w:val="hybridMultilevel"/>
    <w:tmpl w:val="8DA478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31"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2" w15:restartNumberingAfterBreak="0">
    <w:nsid w:val="491E3C08"/>
    <w:multiLevelType w:val="hybridMultilevel"/>
    <w:tmpl w:val="72CC84F6"/>
    <w:lvl w:ilvl="0" w:tplc="79DC70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4" w15:restartNumberingAfterBreak="0">
    <w:nsid w:val="50103330"/>
    <w:multiLevelType w:val="hybridMultilevel"/>
    <w:tmpl w:val="0396F5E0"/>
    <w:lvl w:ilvl="0" w:tplc="8514F9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54C13868"/>
    <w:multiLevelType w:val="hybridMultilevel"/>
    <w:tmpl w:val="7F6A680E"/>
    <w:lvl w:ilvl="0" w:tplc="4230B60E">
      <w:start w:val="1"/>
      <w:numFmt w:val="lowerLetter"/>
      <w:lvlText w:val="(%1)"/>
      <w:lvlJc w:val="right"/>
      <w:pPr>
        <w:ind w:left="1778" w:hanging="360"/>
      </w:pPr>
      <w:rPr>
        <w:rFonts w:ascii="Arial" w:eastAsiaTheme="minorHAnsi" w:hAnsi="Arial" w:cs="Arial"/>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7"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8"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0"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41"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43"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4"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3"/>
  </w:num>
  <w:num w:numId="2">
    <w:abstractNumId w:val="12"/>
  </w:num>
  <w:num w:numId="3">
    <w:abstractNumId w:val="41"/>
  </w:num>
  <w:num w:numId="4">
    <w:abstractNumId w:val="23"/>
  </w:num>
  <w:num w:numId="5">
    <w:abstractNumId w:val="39"/>
  </w:num>
  <w:num w:numId="6">
    <w:abstractNumId w:val="3"/>
  </w:num>
  <w:num w:numId="7">
    <w:abstractNumId w:val="37"/>
  </w:num>
  <w:num w:numId="8">
    <w:abstractNumId w:val="16"/>
  </w:num>
  <w:num w:numId="9">
    <w:abstractNumId w:val="7"/>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40"/>
  </w:num>
  <w:num w:numId="14">
    <w:abstractNumId w:val="45"/>
  </w:num>
  <w:num w:numId="15">
    <w:abstractNumId w:val="30"/>
  </w:num>
  <w:num w:numId="16">
    <w:abstractNumId w:val="42"/>
  </w:num>
  <w:num w:numId="17">
    <w:abstractNumId w:val="35"/>
  </w:num>
  <w:num w:numId="18">
    <w:abstractNumId w:val="15"/>
  </w:num>
  <w:num w:numId="19">
    <w:abstractNumId w:val="38"/>
  </w:num>
  <w:num w:numId="20">
    <w:abstractNumId w:val="22"/>
  </w:num>
  <w:num w:numId="21">
    <w:abstractNumId w:val="10"/>
  </w:num>
  <w:num w:numId="22">
    <w:abstractNumId w:val="25"/>
  </w:num>
  <w:num w:numId="23">
    <w:abstractNumId w:val="29"/>
  </w:num>
  <w:num w:numId="24">
    <w:abstractNumId w:val="28"/>
  </w:num>
  <w:num w:numId="25">
    <w:abstractNumId w:val="17"/>
  </w:num>
  <w:num w:numId="26">
    <w:abstractNumId w:val="44"/>
  </w:num>
  <w:num w:numId="27">
    <w:abstractNumId w:val="11"/>
  </w:num>
  <w:num w:numId="28">
    <w:abstractNumId w:val="0"/>
  </w:num>
  <w:num w:numId="29">
    <w:abstractNumId w:val="31"/>
  </w:num>
  <w:num w:numId="30">
    <w:abstractNumId w:val="43"/>
  </w:num>
  <w:num w:numId="31">
    <w:abstractNumId w:val="1"/>
  </w:num>
  <w:num w:numId="32">
    <w:abstractNumId w:val="5"/>
  </w:num>
  <w:num w:numId="33">
    <w:abstractNumId w:val="33"/>
  </w:num>
  <w:num w:numId="34">
    <w:abstractNumId w:val="9"/>
  </w:num>
  <w:num w:numId="35">
    <w:abstractNumId w:val="6"/>
  </w:num>
  <w:num w:numId="36">
    <w:abstractNumId w:val="24"/>
  </w:num>
  <w:num w:numId="37">
    <w:abstractNumId w:val="26"/>
  </w:num>
  <w:num w:numId="38">
    <w:abstractNumId w:val="36"/>
  </w:num>
  <w:num w:numId="39">
    <w:abstractNumId w:val="21"/>
  </w:num>
  <w:num w:numId="40">
    <w:abstractNumId w:val="8"/>
  </w:num>
  <w:num w:numId="41">
    <w:abstractNumId w:val="32"/>
  </w:num>
  <w:num w:numId="42">
    <w:abstractNumId w:val="34"/>
  </w:num>
  <w:num w:numId="43">
    <w:abstractNumId w:val="14"/>
  </w:num>
  <w:num w:numId="44">
    <w:abstractNumId w:val="4"/>
  </w:num>
  <w:num w:numId="45">
    <w:abstractNumId w:val="19"/>
  </w:num>
  <w:num w:numId="46">
    <w:abstractNumId w:val="27"/>
  </w:num>
  <w:num w:numId="47">
    <w:abstractNumId w:val="20"/>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61BE"/>
    <w:rsid w:val="00026D2D"/>
    <w:rsid w:val="00026E7F"/>
    <w:rsid w:val="00027493"/>
    <w:rsid w:val="00033303"/>
    <w:rsid w:val="000335A8"/>
    <w:rsid w:val="0003398A"/>
    <w:rsid w:val="000349E2"/>
    <w:rsid w:val="000404C1"/>
    <w:rsid w:val="00041473"/>
    <w:rsid w:val="00042093"/>
    <w:rsid w:val="00042266"/>
    <w:rsid w:val="000435E6"/>
    <w:rsid w:val="000443C2"/>
    <w:rsid w:val="00044866"/>
    <w:rsid w:val="00047DE1"/>
    <w:rsid w:val="000517EE"/>
    <w:rsid w:val="00052057"/>
    <w:rsid w:val="000539F9"/>
    <w:rsid w:val="00053E84"/>
    <w:rsid w:val="00053F8E"/>
    <w:rsid w:val="00054C04"/>
    <w:rsid w:val="00055898"/>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48AA"/>
    <w:rsid w:val="000950EE"/>
    <w:rsid w:val="0009530A"/>
    <w:rsid w:val="000A0B1A"/>
    <w:rsid w:val="000A352D"/>
    <w:rsid w:val="000A468E"/>
    <w:rsid w:val="000A67C8"/>
    <w:rsid w:val="000B37BB"/>
    <w:rsid w:val="000B54B4"/>
    <w:rsid w:val="000B648D"/>
    <w:rsid w:val="000B7336"/>
    <w:rsid w:val="000C06DF"/>
    <w:rsid w:val="000C0C30"/>
    <w:rsid w:val="000C10BA"/>
    <w:rsid w:val="000C17C9"/>
    <w:rsid w:val="000C2B11"/>
    <w:rsid w:val="000C2FEE"/>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2066B"/>
    <w:rsid w:val="001229C4"/>
    <w:rsid w:val="00123B7D"/>
    <w:rsid w:val="001244BA"/>
    <w:rsid w:val="00124758"/>
    <w:rsid w:val="001256EC"/>
    <w:rsid w:val="001267BA"/>
    <w:rsid w:val="001309F3"/>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60B72"/>
    <w:rsid w:val="00161904"/>
    <w:rsid w:val="00161D63"/>
    <w:rsid w:val="0016358C"/>
    <w:rsid w:val="001644ED"/>
    <w:rsid w:val="00170026"/>
    <w:rsid w:val="00171FCD"/>
    <w:rsid w:val="00172435"/>
    <w:rsid w:val="0017353E"/>
    <w:rsid w:val="00175C15"/>
    <w:rsid w:val="0018187E"/>
    <w:rsid w:val="00183D79"/>
    <w:rsid w:val="00190E9E"/>
    <w:rsid w:val="0019122B"/>
    <w:rsid w:val="00191A8B"/>
    <w:rsid w:val="00193E77"/>
    <w:rsid w:val="001949B9"/>
    <w:rsid w:val="001961F4"/>
    <w:rsid w:val="001973B0"/>
    <w:rsid w:val="001A035F"/>
    <w:rsid w:val="001A0D97"/>
    <w:rsid w:val="001A0FBB"/>
    <w:rsid w:val="001A4F7E"/>
    <w:rsid w:val="001A6DE8"/>
    <w:rsid w:val="001A7049"/>
    <w:rsid w:val="001A77BC"/>
    <w:rsid w:val="001B037C"/>
    <w:rsid w:val="001B5B52"/>
    <w:rsid w:val="001B6E21"/>
    <w:rsid w:val="001C059F"/>
    <w:rsid w:val="001C5FBE"/>
    <w:rsid w:val="001C748D"/>
    <w:rsid w:val="001D0702"/>
    <w:rsid w:val="001D0E27"/>
    <w:rsid w:val="001D1CB4"/>
    <w:rsid w:val="001D35DD"/>
    <w:rsid w:val="001D5022"/>
    <w:rsid w:val="001E0ABD"/>
    <w:rsid w:val="001E1A29"/>
    <w:rsid w:val="001E1CE1"/>
    <w:rsid w:val="001E1E59"/>
    <w:rsid w:val="001E2A5C"/>
    <w:rsid w:val="001E3FC8"/>
    <w:rsid w:val="001E79CD"/>
    <w:rsid w:val="001F05B2"/>
    <w:rsid w:val="001F4247"/>
    <w:rsid w:val="001F60F4"/>
    <w:rsid w:val="002001E4"/>
    <w:rsid w:val="00200475"/>
    <w:rsid w:val="00201D64"/>
    <w:rsid w:val="0020510D"/>
    <w:rsid w:val="002052EE"/>
    <w:rsid w:val="00206A27"/>
    <w:rsid w:val="002079F7"/>
    <w:rsid w:val="00212D44"/>
    <w:rsid w:val="0021378C"/>
    <w:rsid w:val="0021625B"/>
    <w:rsid w:val="002163B4"/>
    <w:rsid w:val="0022416C"/>
    <w:rsid w:val="00225D9F"/>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51B4"/>
    <w:rsid w:val="00255D6D"/>
    <w:rsid w:val="0025730F"/>
    <w:rsid w:val="0026172A"/>
    <w:rsid w:val="00261E4D"/>
    <w:rsid w:val="0026325F"/>
    <w:rsid w:val="0026498E"/>
    <w:rsid w:val="00265AC1"/>
    <w:rsid w:val="00265AF1"/>
    <w:rsid w:val="00265BB4"/>
    <w:rsid w:val="002662D4"/>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E0196"/>
    <w:rsid w:val="002E39AB"/>
    <w:rsid w:val="002E7DA7"/>
    <w:rsid w:val="002F12D7"/>
    <w:rsid w:val="002F3C81"/>
    <w:rsid w:val="002F7D3A"/>
    <w:rsid w:val="003002B3"/>
    <w:rsid w:val="00301DEC"/>
    <w:rsid w:val="0030241B"/>
    <w:rsid w:val="00303749"/>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D47"/>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46EE"/>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4D6E"/>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6D6"/>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2F6"/>
    <w:rsid w:val="00427BC7"/>
    <w:rsid w:val="00430CF7"/>
    <w:rsid w:val="00430E24"/>
    <w:rsid w:val="004322BA"/>
    <w:rsid w:val="004351FE"/>
    <w:rsid w:val="004412F6"/>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795"/>
    <w:rsid w:val="00466B87"/>
    <w:rsid w:val="00470B5F"/>
    <w:rsid w:val="0047305B"/>
    <w:rsid w:val="00473332"/>
    <w:rsid w:val="00477E30"/>
    <w:rsid w:val="00480323"/>
    <w:rsid w:val="00480802"/>
    <w:rsid w:val="00480BCC"/>
    <w:rsid w:val="0048209A"/>
    <w:rsid w:val="00486796"/>
    <w:rsid w:val="00493C28"/>
    <w:rsid w:val="00493F6B"/>
    <w:rsid w:val="0049474F"/>
    <w:rsid w:val="0049484B"/>
    <w:rsid w:val="0049624D"/>
    <w:rsid w:val="00497861"/>
    <w:rsid w:val="004A3483"/>
    <w:rsid w:val="004A398A"/>
    <w:rsid w:val="004A4CE8"/>
    <w:rsid w:val="004A686F"/>
    <w:rsid w:val="004B04AA"/>
    <w:rsid w:val="004B0695"/>
    <w:rsid w:val="004B0EA3"/>
    <w:rsid w:val="004B1C5D"/>
    <w:rsid w:val="004B438D"/>
    <w:rsid w:val="004B4EF9"/>
    <w:rsid w:val="004B5645"/>
    <w:rsid w:val="004C03FB"/>
    <w:rsid w:val="004C0BB9"/>
    <w:rsid w:val="004C4A7C"/>
    <w:rsid w:val="004C7704"/>
    <w:rsid w:val="004C7779"/>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CD6"/>
    <w:rsid w:val="00505DB7"/>
    <w:rsid w:val="0050634E"/>
    <w:rsid w:val="00506886"/>
    <w:rsid w:val="005100B0"/>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49A9"/>
    <w:rsid w:val="005450C4"/>
    <w:rsid w:val="005452E0"/>
    <w:rsid w:val="00545BB4"/>
    <w:rsid w:val="005460B2"/>
    <w:rsid w:val="005470DD"/>
    <w:rsid w:val="005505BF"/>
    <w:rsid w:val="00553368"/>
    <w:rsid w:val="00554852"/>
    <w:rsid w:val="00556530"/>
    <w:rsid w:val="005567D2"/>
    <w:rsid w:val="0056197A"/>
    <w:rsid w:val="00562DAF"/>
    <w:rsid w:val="00564AA1"/>
    <w:rsid w:val="00564D70"/>
    <w:rsid w:val="00570109"/>
    <w:rsid w:val="005716EF"/>
    <w:rsid w:val="00571E47"/>
    <w:rsid w:val="0057394D"/>
    <w:rsid w:val="00573B8D"/>
    <w:rsid w:val="00574177"/>
    <w:rsid w:val="0057584D"/>
    <w:rsid w:val="00576BE4"/>
    <w:rsid w:val="005809E8"/>
    <w:rsid w:val="00582258"/>
    <w:rsid w:val="00582912"/>
    <w:rsid w:val="0058403F"/>
    <w:rsid w:val="00584196"/>
    <w:rsid w:val="00584D9D"/>
    <w:rsid w:val="0058633C"/>
    <w:rsid w:val="00590769"/>
    <w:rsid w:val="005928EF"/>
    <w:rsid w:val="00594B41"/>
    <w:rsid w:val="00595166"/>
    <w:rsid w:val="00595969"/>
    <w:rsid w:val="005A05FB"/>
    <w:rsid w:val="005A1219"/>
    <w:rsid w:val="005A3C62"/>
    <w:rsid w:val="005A45C9"/>
    <w:rsid w:val="005A4B69"/>
    <w:rsid w:val="005A513F"/>
    <w:rsid w:val="005A568B"/>
    <w:rsid w:val="005A5FEE"/>
    <w:rsid w:val="005A7C79"/>
    <w:rsid w:val="005A7EB6"/>
    <w:rsid w:val="005A7FE2"/>
    <w:rsid w:val="005B07B3"/>
    <w:rsid w:val="005B1F6F"/>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35A9"/>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2BC"/>
    <w:rsid w:val="00691C83"/>
    <w:rsid w:val="00693C7D"/>
    <w:rsid w:val="006965DA"/>
    <w:rsid w:val="006A0342"/>
    <w:rsid w:val="006A5EB3"/>
    <w:rsid w:val="006B19FE"/>
    <w:rsid w:val="006B1C56"/>
    <w:rsid w:val="006B38CA"/>
    <w:rsid w:val="006B79BD"/>
    <w:rsid w:val="006C0B77"/>
    <w:rsid w:val="006C0FFA"/>
    <w:rsid w:val="006C1587"/>
    <w:rsid w:val="006C3CEC"/>
    <w:rsid w:val="006C5D42"/>
    <w:rsid w:val="006C5E68"/>
    <w:rsid w:val="006D018F"/>
    <w:rsid w:val="006D03E1"/>
    <w:rsid w:val="006D20CA"/>
    <w:rsid w:val="006D2E2E"/>
    <w:rsid w:val="006D3049"/>
    <w:rsid w:val="006D3584"/>
    <w:rsid w:val="006D3E09"/>
    <w:rsid w:val="006D4893"/>
    <w:rsid w:val="006D68CB"/>
    <w:rsid w:val="006E48D4"/>
    <w:rsid w:val="006E628B"/>
    <w:rsid w:val="006F0CCC"/>
    <w:rsid w:val="006F3128"/>
    <w:rsid w:val="006F36EA"/>
    <w:rsid w:val="006F3AEF"/>
    <w:rsid w:val="006F5BBA"/>
    <w:rsid w:val="006F7CA3"/>
    <w:rsid w:val="007008DD"/>
    <w:rsid w:val="00701900"/>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7347D"/>
    <w:rsid w:val="00780905"/>
    <w:rsid w:val="00781500"/>
    <w:rsid w:val="007815F8"/>
    <w:rsid w:val="00781DCE"/>
    <w:rsid w:val="00782C41"/>
    <w:rsid w:val="007835BC"/>
    <w:rsid w:val="007848A8"/>
    <w:rsid w:val="00785CB7"/>
    <w:rsid w:val="00786E13"/>
    <w:rsid w:val="0078796A"/>
    <w:rsid w:val="007910D4"/>
    <w:rsid w:val="007916C0"/>
    <w:rsid w:val="00791EE9"/>
    <w:rsid w:val="00793278"/>
    <w:rsid w:val="0079362D"/>
    <w:rsid w:val="007A2B24"/>
    <w:rsid w:val="007A37E0"/>
    <w:rsid w:val="007B109A"/>
    <w:rsid w:val="007B190C"/>
    <w:rsid w:val="007B70D9"/>
    <w:rsid w:val="007B7756"/>
    <w:rsid w:val="007B7858"/>
    <w:rsid w:val="007C09B3"/>
    <w:rsid w:val="007C29F3"/>
    <w:rsid w:val="007C3BF5"/>
    <w:rsid w:val="007C483C"/>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100A"/>
    <w:rsid w:val="007F4953"/>
    <w:rsid w:val="007F571B"/>
    <w:rsid w:val="007F6CDC"/>
    <w:rsid w:val="007F7C79"/>
    <w:rsid w:val="008005A5"/>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0CDE"/>
    <w:rsid w:val="008924CD"/>
    <w:rsid w:val="00894756"/>
    <w:rsid w:val="0089510E"/>
    <w:rsid w:val="0089610E"/>
    <w:rsid w:val="00896FBE"/>
    <w:rsid w:val="008A219F"/>
    <w:rsid w:val="008A2375"/>
    <w:rsid w:val="008A44A3"/>
    <w:rsid w:val="008A4E31"/>
    <w:rsid w:val="008A5810"/>
    <w:rsid w:val="008A7F39"/>
    <w:rsid w:val="008B022F"/>
    <w:rsid w:val="008B0909"/>
    <w:rsid w:val="008B0BE1"/>
    <w:rsid w:val="008B1CE5"/>
    <w:rsid w:val="008B1DDD"/>
    <w:rsid w:val="008B3362"/>
    <w:rsid w:val="008B5A1A"/>
    <w:rsid w:val="008B5A99"/>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37AB"/>
    <w:rsid w:val="008F42AE"/>
    <w:rsid w:val="008F4D8D"/>
    <w:rsid w:val="008F5BB6"/>
    <w:rsid w:val="008F6477"/>
    <w:rsid w:val="008F6F82"/>
    <w:rsid w:val="008F6F91"/>
    <w:rsid w:val="008F6FDC"/>
    <w:rsid w:val="008F7837"/>
    <w:rsid w:val="0090070E"/>
    <w:rsid w:val="0090365D"/>
    <w:rsid w:val="00903B45"/>
    <w:rsid w:val="009071DA"/>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6074"/>
    <w:rsid w:val="00957E6F"/>
    <w:rsid w:val="0096003C"/>
    <w:rsid w:val="00961211"/>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87CDC"/>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67AB"/>
    <w:rsid w:val="009C08F6"/>
    <w:rsid w:val="009C386D"/>
    <w:rsid w:val="009C3A10"/>
    <w:rsid w:val="009C4504"/>
    <w:rsid w:val="009D0D24"/>
    <w:rsid w:val="009D3434"/>
    <w:rsid w:val="009D3C06"/>
    <w:rsid w:val="009D3D25"/>
    <w:rsid w:val="009D4253"/>
    <w:rsid w:val="009D452B"/>
    <w:rsid w:val="009D606F"/>
    <w:rsid w:val="009D67D7"/>
    <w:rsid w:val="009E2B08"/>
    <w:rsid w:val="009E4F68"/>
    <w:rsid w:val="009E70DD"/>
    <w:rsid w:val="009F27E7"/>
    <w:rsid w:val="009F5616"/>
    <w:rsid w:val="009F5BCD"/>
    <w:rsid w:val="00A0048C"/>
    <w:rsid w:val="00A01EDB"/>
    <w:rsid w:val="00A024C6"/>
    <w:rsid w:val="00A030FF"/>
    <w:rsid w:val="00A0340C"/>
    <w:rsid w:val="00A0358C"/>
    <w:rsid w:val="00A047B4"/>
    <w:rsid w:val="00A04A4C"/>
    <w:rsid w:val="00A05465"/>
    <w:rsid w:val="00A10949"/>
    <w:rsid w:val="00A109B8"/>
    <w:rsid w:val="00A16EE1"/>
    <w:rsid w:val="00A221F5"/>
    <w:rsid w:val="00A25230"/>
    <w:rsid w:val="00A27F5E"/>
    <w:rsid w:val="00A32629"/>
    <w:rsid w:val="00A329AC"/>
    <w:rsid w:val="00A35600"/>
    <w:rsid w:val="00A365C8"/>
    <w:rsid w:val="00A36904"/>
    <w:rsid w:val="00A37432"/>
    <w:rsid w:val="00A400B2"/>
    <w:rsid w:val="00A400B5"/>
    <w:rsid w:val="00A41231"/>
    <w:rsid w:val="00A423AF"/>
    <w:rsid w:val="00A42646"/>
    <w:rsid w:val="00A42702"/>
    <w:rsid w:val="00A43BCB"/>
    <w:rsid w:val="00A43C74"/>
    <w:rsid w:val="00A43E98"/>
    <w:rsid w:val="00A45502"/>
    <w:rsid w:val="00A455D2"/>
    <w:rsid w:val="00A45627"/>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6F59"/>
    <w:rsid w:val="00A77937"/>
    <w:rsid w:val="00A779B1"/>
    <w:rsid w:val="00A77BED"/>
    <w:rsid w:val="00A806BB"/>
    <w:rsid w:val="00A831EA"/>
    <w:rsid w:val="00A83C06"/>
    <w:rsid w:val="00A849BA"/>
    <w:rsid w:val="00A8571D"/>
    <w:rsid w:val="00A86358"/>
    <w:rsid w:val="00A87BE4"/>
    <w:rsid w:val="00A92859"/>
    <w:rsid w:val="00A92F2D"/>
    <w:rsid w:val="00A9567F"/>
    <w:rsid w:val="00A95AA3"/>
    <w:rsid w:val="00A95BFD"/>
    <w:rsid w:val="00A963A3"/>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19F"/>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553C"/>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8E7"/>
    <w:rsid w:val="00B7409A"/>
    <w:rsid w:val="00B74507"/>
    <w:rsid w:val="00B761C3"/>
    <w:rsid w:val="00B765FF"/>
    <w:rsid w:val="00B77F9B"/>
    <w:rsid w:val="00B80A8D"/>
    <w:rsid w:val="00B8322C"/>
    <w:rsid w:val="00B857E3"/>
    <w:rsid w:val="00B90F4D"/>
    <w:rsid w:val="00B944E5"/>
    <w:rsid w:val="00B95143"/>
    <w:rsid w:val="00B970D4"/>
    <w:rsid w:val="00B97980"/>
    <w:rsid w:val="00BA04C2"/>
    <w:rsid w:val="00BA1B27"/>
    <w:rsid w:val="00BA2238"/>
    <w:rsid w:val="00BA2B56"/>
    <w:rsid w:val="00BA2E16"/>
    <w:rsid w:val="00BA412B"/>
    <w:rsid w:val="00BA4153"/>
    <w:rsid w:val="00BA52DD"/>
    <w:rsid w:val="00BA6E85"/>
    <w:rsid w:val="00BA739E"/>
    <w:rsid w:val="00BA750B"/>
    <w:rsid w:val="00BB0033"/>
    <w:rsid w:val="00BB0F32"/>
    <w:rsid w:val="00BB24BC"/>
    <w:rsid w:val="00BB458D"/>
    <w:rsid w:val="00BB4CCF"/>
    <w:rsid w:val="00BB6B22"/>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3226"/>
    <w:rsid w:val="00BE444F"/>
    <w:rsid w:val="00BE7916"/>
    <w:rsid w:val="00BE7EC7"/>
    <w:rsid w:val="00BF14BC"/>
    <w:rsid w:val="00BF31EA"/>
    <w:rsid w:val="00BF39AE"/>
    <w:rsid w:val="00BF49E3"/>
    <w:rsid w:val="00C00FD7"/>
    <w:rsid w:val="00C02450"/>
    <w:rsid w:val="00C02E1E"/>
    <w:rsid w:val="00C03AC8"/>
    <w:rsid w:val="00C03D6F"/>
    <w:rsid w:val="00C0529C"/>
    <w:rsid w:val="00C06A6C"/>
    <w:rsid w:val="00C0759C"/>
    <w:rsid w:val="00C07BA6"/>
    <w:rsid w:val="00C11AA3"/>
    <w:rsid w:val="00C12FE2"/>
    <w:rsid w:val="00C133A3"/>
    <w:rsid w:val="00C13593"/>
    <w:rsid w:val="00C13FBD"/>
    <w:rsid w:val="00C14F65"/>
    <w:rsid w:val="00C15948"/>
    <w:rsid w:val="00C162D2"/>
    <w:rsid w:val="00C17CCF"/>
    <w:rsid w:val="00C219D4"/>
    <w:rsid w:val="00C24409"/>
    <w:rsid w:val="00C258B3"/>
    <w:rsid w:val="00C25BC8"/>
    <w:rsid w:val="00C2672E"/>
    <w:rsid w:val="00C306A2"/>
    <w:rsid w:val="00C33724"/>
    <w:rsid w:val="00C352FA"/>
    <w:rsid w:val="00C35888"/>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E03"/>
    <w:rsid w:val="00C95FD8"/>
    <w:rsid w:val="00CB0991"/>
    <w:rsid w:val="00CB1104"/>
    <w:rsid w:val="00CB2AF3"/>
    <w:rsid w:val="00CB4970"/>
    <w:rsid w:val="00CB5359"/>
    <w:rsid w:val="00CC3827"/>
    <w:rsid w:val="00CD16B0"/>
    <w:rsid w:val="00CD5C4C"/>
    <w:rsid w:val="00CD6E80"/>
    <w:rsid w:val="00CE1489"/>
    <w:rsid w:val="00CE1A05"/>
    <w:rsid w:val="00CE264E"/>
    <w:rsid w:val="00CE3CDB"/>
    <w:rsid w:val="00CE4FF8"/>
    <w:rsid w:val="00CE6F5E"/>
    <w:rsid w:val="00CF3230"/>
    <w:rsid w:val="00CF67F2"/>
    <w:rsid w:val="00CF70D4"/>
    <w:rsid w:val="00CF7206"/>
    <w:rsid w:val="00D003D1"/>
    <w:rsid w:val="00D00931"/>
    <w:rsid w:val="00D033C2"/>
    <w:rsid w:val="00D03CC8"/>
    <w:rsid w:val="00D04BA7"/>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2DA8"/>
    <w:rsid w:val="00D4343C"/>
    <w:rsid w:val="00D517EC"/>
    <w:rsid w:val="00D51C6C"/>
    <w:rsid w:val="00D52294"/>
    <w:rsid w:val="00D53799"/>
    <w:rsid w:val="00D539A6"/>
    <w:rsid w:val="00D558AE"/>
    <w:rsid w:val="00D56516"/>
    <w:rsid w:val="00D60170"/>
    <w:rsid w:val="00D623DD"/>
    <w:rsid w:val="00D65240"/>
    <w:rsid w:val="00D7159A"/>
    <w:rsid w:val="00D75C24"/>
    <w:rsid w:val="00D75F0D"/>
    <w:rsid w:val="00D81679"/>
    <w:rsid w:val="00D83167"/>
    <w:rsid w:val="00D90361"/>
    <w:rsid w:val="00D92977"/>
    <w:rsid w:val="00D93EEE"/>
    <w:rsid w:val="00DA04DB"/>
    <w:rsid w:val="00DA09AE"/>
    <w:rsid w:val="00DA1305"/>
    <w:rsid w:val="00DA4FC6"/>
    <w:rsid w:val="00DA559F"/>
    <w:rsid w:val="00DA67DC"/>
    <w:rsid w:val="00DA71CD"/>
    <w:rsid w:val="00DA77A7"/>
    <w:rsid w:val="00DB0304"/>
    <w:rsid w:val="00DB103E"/>
    <w:rsid w:val="00DB1A85"/>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5E01"/>
    <w:rsid w:val="00DE6D95"/>
    <w:rsid w:val="00DE7494"/>
    <w:rsid w:val="00DF0FFD"/>
    <w:rsid w:val="00DF4388"/>
    <w:rsid w:val="00DF44D9"/>
    <w:rsid w:val="00DF4FC1"/>
    <w:rsid w:val="00E01B17"/>
    <w:rsid w:val="00E02D64"/>
    <w:rsid w:val="00E03866"/>
    <w:rsid w:val="00E03B59"/>
    <w:rsid w:val="00E05862"/>
    <w:rsid w:val="00E05CE1"/>
    <w:rsid w:val="00E06AF7"/>
    <w:rsid w:val="00E07372"/>
    <w:rsid w:val="00E11E1D"/>
    <w:rsid w:val="00E12AD3"/>
    <w:rsid w:val="00E1418E"/>
    <w:rsid w:val="00E22344"/>
    <w:rsid w:val="00E239EA"/>
    <w:rsid w:val="00E23AEF"/>
    <w:rsid w:val="00E2585E"/>
    <w:rsid w:val="00E261A4"/>
    <w:rsid w:val="00E27495"/>
    <w:rsid w:val="00E302E4"/>
    <w:rsid w:val="00E34058"/>
    <w:rsid w:val="00E347E0"/>
    <w:rsid w:val="00E3554F"/>
    <w:rsid w:val="00E36250"/>
    <w:rsid w:val="00E3694A"/>
    <w:rsid w:val="00E37206"/>
    <w:rsid w:val="00E3736A"/>
    <w:rsid w:val="00E41F9F"/>
    <w:rsid w:val="00E42ADC"/>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A0FEB"/>
    <w:rsid w:val="00EA1C5F"/>
    <w:rsid w:val="00EA28E0"/>
    <w:rsid w:val="00EA2F77"/>
    <w:rsid w:val="00EA30E1"/>
    <w:rsid w:val="00EA359D"/>
    <w:rsid w:val="00EA524A"/>
    <w:rsid w:val="00EA688E"/>
    <w:rsid w:val="00EB0259"/>
    <w:rsid w:val="00EB0C5C"/>
    <w:rsid w:val="00EB15BF"/>
    <w:rsid w:val="00EB3047"/>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D7100"/>
    <w:rsid w:val="00EE139D"/>
    <w:rsid w:val="00EE1F18"/>
    <w:rsid w:val="00EE2279"/>
    <w:rsid w:val="00EE2F9F"/>
    <w:rsid w:val="00EE57FF"/>
    <w:rsid w:val="00EE6158"/>
    <w:rsid w:val="00EE6CE4"/>
    <w:rsid w:val="00EF124D"/>
    <w:rsid w:val="00EF129D"/>
    <w:rsid w:val="00EF1EC2"/>
    <w:rsid w:val="00EF22F0"/>
    <w:rsid w:val="00EF346F"/>
    <w:rsid w:val="00EF650B"/>
    <w:rsid w:val="00F00437"/>
    <w:rsid w:val="00F00AD5"/>
    <w:rsid w:val="00F00C32"/>
    <w:rsid w:val="00F02D4D"/>
    <w:rsid w:val="00F03CBD"/>
    <w:rsid w:val="00F04B85"/>
    <w:rsid w:val="00F04BA6"/>
    <w:rsid w:val="00F0684B"/>
    <w:rsid w:val="00F11AA2"/>
    <w:rsid w:val="00F12166"/>
    <w:rsid w:val="00F12948"/>
    <w:rsid w:val="00F135E1"/>
    <w:rsid w:val="00F14864"/>
    <w:rsid w:val="00F15DF8"/>
    <w:rsid w:val="00F20785"/>
    <w:rsid w:val="00F22C55"/>
    <w:rsid w:val="00F23C14"/>
    <w:rsid w:val="00F2547B"/>
    <w:rsid w:val="00F27B4F"/>
    <w:rsid w:val="00F32AFF"/>
    <w:rsid w:val="00F334AD"/>
    <w:rsid w:val="00F33815"/>
    <w:rsid w:val="00F33AB7"/>
    <w:rsid w:val="00F34269"/>
    <w:rsid w:val="00F342B7"/>
    <w:rsid w:val="00F35A34"/>
    <w:rsid w:val="00F36668"/>
    <w:rsid w:val="00F36869"/>
    <w:rsid w:val="00F36E77"/>
    <w:rsid w:val="00F41D01"/>
    <w:rsid w:val="00F4295E"/>
    <w:rsid w:val="00F44D71"/>
    <w:rsid w:val="00F45BF2"/>
    <w:rsid w:val="00F47B91"/>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7791D"/>
    <w:rsid w:val="00F84152"/>
    <w:rsid w:val="00F848BD"/>
    <w:rsid w:val="00F85278"/>
    <w:rsid w:val="00F864F5"/>
    <w:rsid w:val="00F86ABC"/>
    <w:rsid w:val="00F94148"/>
    <w:rsid w:val="00F94951"/>
    <w:rsid w:val="00F95355"/>
    <w:rsid w:val="00FA1A3C"/>
    <w:rsid w:val="00FA1F52"/>
    <w:rsid w:val="00FA23AB"/>
    <w:rsid w:val="00FA252C"/>
    <w:rsid w:val="00FA4557"/>
    <w:rsid w:val="00FA772C"/>
    <w:rsid w:val="00FB1B28"/>
    <w:rsid w:val="00FB4174"/>
    <w:rsid w:val="00FB6661"/>
    <w:rsid w:val="00FB68D5"/>
    <w:rsid w:val="00FB78DB"/>
    <w:rsid w:val="00FC01AB"/>
    <w:rsid w:val="00FC4CDF"/>
    <w:rsid w:val="00FC6063"/>
    <w:rsid w:val="00FC756C"/>
    <w:rsid w:val="00FD2B7F"/>
    <w:rsid w:val="00FD3740"/>
    <w:rsid w:val="00FD5FF1"/>
    <w:rsid w:val="00FD66C1"/>
    <w:rsid w:val="00FD6E99"/>
    <w:rsid w:val="00FE1D67"/>
    <w:rsid w:val="00FE2481"/>
    <w:rsid w:val="00FE24A4"/>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4737AE90-B0C0-4189-AD3D-AD537083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2020-05-19T18:30:00+00:00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0247A-C3E1-416A-9C7B-F2913BC2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8D4D0-1FD2-4ED4-9F7D-27AB87FFD91F}">
  <ds:schemaRefs>
    <ds:schemaRef ds:uri="http://schemas.microsoft.com/sharepoint/v3/contenttype/forms"/>
  </ds:schemaRefs>
</ds:datastoreItem>
</file>

<file path=customXml/itemProps3.xml><?xml version="1.0" encoding="utf-8"?>
<ds:datastoreItem xmlns:ds="http://schemas.openxmlformats.org/officeDocument/2006/customXml" ds:itemID="{67DF3A47-8FBC-4E6B-999E-82B82B0C2E8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42627479-FF9A-4C6D-802B-AB53C364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9919</Words>
  <Characters>56540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Ohorongo Cement  (Pty) Ltd v Jack's Trading CC </vt:lpstr>
    </vt:vector>
  </TitlesOfParts>
  <Company>Hewlett-Packard Company</Company>
  <LinksUpToDate>false</LinksUpToDate>
  <CharactersWithSpaces>66327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Ohorongo Cement  (Pty) Ltd v Jack's Trading CC</dc:title>
  <dc:creator>ybasson</dc:creator>
  <cp:lastModifiedBy>HOME</cp:lastModifiedBy>
  <cp:revision>2</cp:revision>
  <cp:lastPrinted>2020-05-20T05:51:00Z</cp:lastPrinted>
  <dcterms:created xsi:type="dcterms:W3CDTF">2021-07-19T14:04:00Z</dcterms:created>
  <dcterms:modified xsi:type="dcterms:W3CDTF">2021-07-19T14:04:00Z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