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0E1" w:rsidRPr="006A55DD" w:rsidRDefault="000940E1" w:rsidP="000940E1">
      <w:pPr>
        <w:spacing w:after="0" w:line="360" w:lineRule="auto"/>
        <w:jc w:val="center"/>
        <w:rPr>
          <w:b/>
          <w:sz w:val="24"/>
          <w:szCs w:val="24"/>
        </w:rPr>
      </w:pPr>
      <w:bookmarkStart w:id="0" w:name="_GoBack"/>
      <w:bookmarkEnd w:id="0"/>
      <w:r w:rsidRPr="00A41CEE">
        <w:rPr>
          <w:b/>
          <w:noProof/>
          <w:sz w:val="24"/>
          <w:szCs w:val="24"/>
          <w:lang w:eastAsia="en-ZA"/>
        </w:rPr>
        <w:drawing>
          <wp:inline distT="0" distB="0" distL="0" distR="0" wp14:anchorId="38083541" wp14:editId="2DEFD455">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0940E1" w:rsidRDefault="00D074C2" w:rsidP="000940E1">
      <w:pPr>
        <w:pStyle w:val="NoSpacing"/>
        <w:jc w:val="right"/>
        <w:rPr>
          <w:rFonts w:ascii="Arial" w:hAnsi="Arial" w:cs="Arial"/>
          <w:b/>
          <w:sz w:val="24"/>
          <w:szCs w:val="24"/>
        </w:rPr>
      </w:pPr>
      <w:r>
        <w:rPr>
          <w:rFonts w:ascii="Arial" w:hAnsi="Arial" w:cs="Arial"/>
          <w:b/>
          <w:sz w:val="24"/>
          <w:szCs w:val="24"/>
        </w:rPr>
        <w:t>REPORTABLE</w:t>
      </w:r>
    </w:p>
    <w:p w:rsidR="000940E1" w:rsidRDefault="000940E1" w:rsidP="000940E1">
      <w:pPr>
        <w:pStyle w:val="NoSpacing"/>
        <w:jc w:val="right"/>
        <w:rPr>
          <w:rFonts w:ascii="Arial" w:hAnsi="Arial" w:cs="Arial"/>
          <w:sz w:val="24"/>
          <w:szCs w:val="24"/>
        </w:rPr>
      </w:pPr>
    </w:p>
    <w:p w:rsidR="000940E1" w:rsidRDefault="000940E1" w:rsidP="000940E1">
      <w:pPr>
        <w:pStyle w:val="NoSpacing"/>
        <w:jc w:val="right"/>
        <w:rPr>
          <w:rFonts w:ascii="Arial" w:hAnsi="Arial" w:cs="Arial"/>
          <w:sz w:val="24"/>
          <w:szCs w:val="24"/>
        </w:rPr>
      </w:pPr>
      <w:r>
        <w:rPr>
          <w:rFonts w:ascii="Arial" w:hAnsi="Arial" w:cs="Arial"/>
          <w:sz w:val="24"/>
          <w:szCs w:val="24"/>
        </w:rPr>
        <w:t>CASE NO: SA 21/2019</w:t>
      </w:r>
    </w:p>
    <w:p w:rsidR="000940E1" w:rsidRDefault="000940E1" w:rsidP="000940E1">
      <w:pPr>
        <w:pStyle w:val="NoSpacing"/>
        <w:rPr>
          <w:rFonts w:ascii="Arial" w:hAnsi="Arial" w:cs="Arial"/>
          <w:sz w:val="24"/>
          <w:szCs w:val="24"/>
        </w:rPr>
      </w:pPr>
    </w:p>
    <w:p w:rsidR="007F1363" w:rsidRPr="00991107" w:rsidRDefault="007F1363" w:rsidP="000940E1">
      <w:pPr>
        <w:pStyle w:val="NoSpacing"/>
        <w:rPr>
          <w:rFonts w:ascii="Arial" w:hAnsi="Arial" w:cs="Arial"/>
          <w:sz w:val="24"/>
          <w:szCs w:val="24"/>
        </w:rPr>
      </w:pPr>
    </w:p>
    <w:p w:rsidR="000940E1" w:rsidRPr="00970591" w:rsidRDefault="000940E1" w:rsidP="000940E1">
      <w:pPr>
        <w:pStyle w:val="NoSpacing"/>
        <w:rPr>
          <w:rFonts w:ascii="Arial" w:hAnsi="Arial" w:cs="Arial"/>
          <w:b/>
          <w:sz w:val="24"/>
          <w:szCs w:val="24"/>
        </w:rPr>
      </w:pPr>
      <w:r w:rsidRPr="00970591">
        <w:rPr>
          <w:rFonts w:ascii="Arial" w:hAnsi="Arial" w:cs="Arial"/>
          <w:b/>
          <w:sz w:val="24"/>
          <w:szCs w:val="24"/>
        </w:rPr>
        <w:t>IN THE SUPREME COURT OF NAMIBIA</w:t>
      </w:r>
    </w:p>
    <w:p w:rsidR="000940E1" w:rsidRDefault="000940E1" w:rsidP="000940E1">
      <w:pPr>
        <w:pStyle w:val="NoSpacing"/>
        <w:rPr>
          <w:rFonts w:ascii="Arial" w:hAnsi="Arial" w:cs="Arial"/>
          <w:sz w:val="24"/>
          <w:szCs w:val="24"/>
        </w:rPr>
      </w:pPr>
    </w:p>
    <w:p w:rsidR="000940E1" w:rsidRDefault="000940E1" w:rsidP="000940E1">
      <w:pPr>
        <w:pStyle w:val="NoSpacing"/>
        <w:rPr>
          <w:rFonts w:ascii="Arial" w:hAnsi="Arial" w:cs="Arial"/>
          <w:sz w:val="24"/>
          <w:szCs w:val="24"/>
        </w:rPr>
      </w:pPr>
    </w:p>
    <w:p w:rsidR="000940E1" w:rsidRDefault="000940E1" w:rsidP="000940E1">
      <w:pPr>
        <w:pStyle w:val="NoSpacing"/>
        <w:rPr>
          <w:rFonts w:ascii="Arial" w:hAnsi="Arial" w:cs="Arial"/>
          <w:sz w:val="24"/>
          <w:szCs w:val="24"/>
        </w:rPr>
      </w:pPr>
      <w:r>
        <w:rPr>
          <w:rFonts w:ascii="Arial" w:hAnsi="Arial" w:cs="Arial"/>
          <w:sz w:val="24"/>
          <w:szCs w:val="24"/>
        </w:rPr>
        <w:t>In the matter between:</w:t>
      </w:r>
    </w:p>
    <w:p w:rsidR="000940E1" w:rsidRDefault="000940E1" w:rsidP="000940E1">
      <w:pPr>
        <w:pStyle w:val="NoSpacing"/>
        <w:rPr>
          <w:rFonts w:ascii="Arial" w:hAnsi="Arial" w:cs="Arial"/>
          <w:sz w:val="24"/>
          <w:szCs w:val="24"/>
        </w:rPr>
      </w:pPr>
    </w:p>
    <w:p w:rsidR="000940E1" w:rsidRDefault="000940E1" w:rsidP="000940E1">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3871"/>
      </w:tblGrid>
      <w:tr w:rsidR="000940E1" w:rsidRPr="002F2B3F" w:rsidTr="00D074C2">
        <w:tc>
          <w:tcPr>
            <w:tcW w:w="5240" w:type="dxa"/>
          </w:tcPr>
          <w:p w:rsidR="000940E1" w:rsidRPr="002F2B3F" w:rsidRDefault="000940E1" w:rsidP="00C56111">
            <w:pPr>
              <w:pStyle w:val="NoSpacing"/>
              <w:spacing w:line="360" w:lineRule="auto"/>
              <w:ind w:left="-113"/>
              <w:rPr>
                <w:rFonts w:ascii="Arial" w:hAnsi="Arial" w:cs="Arial"/>
                <w:b/>
                <w:sz w:val="24"/>
                <w:szCs w:val="24"/>
              </w:rPr>
            </w:pPr>
            <w:r>
              <w:rPr>
                <w:rFonts w:ascii="Arial" w:hAnsi="Arial" w:cs="Arial"/>
                <w:b/>
                <w:sz w:val="24"/>
                <w:szCs w:val="24"/>
              </w:rPr>
              <w:t>MA</w:t>
            </w:r>
            <w:r w:rsidR="00D67C57">
              <w:rPr>
                <w:rFonts w:ascii="Arial" w:hAnsi="Arial" w:cs="Arial"/>
                <w:b/>
                <w:sz w:val="24"/>
                <w:szCs w:val="24"/>
              </w:rPr>
              <w:t>RIA SHALUKENI</w:t>
            </w:r>
          </w:p>
        </w:tc>
        <w:tc>
          <w:tcPr>
            <w:tcW w:w="3871" w:type="dxa"/>
          </w:tcPr>
          <w:p w:rsidR="000940E1" w:rsidRPr="002F2B3F" w:rsidRDefault="000940E1" w:rsidP="00C56111">
            <w:pPr>
              <w:pStyle w:val="NoSpacing"/>
              <w:spacing w:line="360" w:lineRule="auto"/>
              <w:jc w:val="right"/>
              <w:rPr>
                <w:rFonts w:ascii="Arial" w:hAnsi="Arial" w:cs="Arial"/>
                <w:b/>
                <w:sz w:val="24"/>
                <w:szCs w:val="24"/>
              </w:rPr>
            </w:pPr>
            <w:r>
              <w:rPr>
                <w:rFonts w:ascii="Arial" w:hAnsi="Arial" w:cs="Arial"/>
                <w:b/>
                <w:sz w:val="24"/>
                <w:szCs w:val="24"/>
              </w:rPr>
              <w:t xml:space="preserve">First </w:t>
            </w:r>
            <w:r w:rsidRPr="002F2B3F">
              <w:rPr>
                <w:rFonts w:ascii="Arial" w:hAnsi="Arial" w:cs="Arial"/>
                <w:b/>
                <w:sz w:val="24"/>
                <w:szCs w:val="24"/>
              </w:rPr>
              <w:t>Appellant</w:t>
            </w:r>
          </w:p>
        </w:tc>
      </w:tr>
      <w:tr w:rsidR="000940E1" w:rsidRPr="002F2B3F" w:rsidTr="00D074C2">
        <w:tc>
          <w:tcPr>
            <w:tcW w:w="5240" w:type="dxa"/>
          </w:tcPr>
          <w:p w:rsidR="000940E1" w:rsidRPr="002F2B3F" w:rsidRDefault="000940E1" w:rsidP="00C56111">
            <w:pPr>
              <w:pStyle w:val="NoSpacing"/>
              <w:spacing w:line="360" w:lineRule="auto"/>
              <w:ind w:left="-108"/>
              <w:rPr>
                <w:rFonts w:ascii="Arial" w:hAnsi="Arial" w:cs="Arial"/>
                <w:b/>
                <w:sz w:val="24"/>
                <w:szCs w:val="24"/>
              </w:rPr>
            </w:pPr>
            <w:r>
              <w:rPr>
                <w:rFonts w:ascii="Arial" w:hAnsi="Arial" w:cs="Arial"/>
                <w:b/>
                <w:sz w:val="24"/>
                <w:szCs w:val="24"/>
              </w:rPr>
              <w:t>IMMANUEL SHILONGO</w:t>
            </w:r>
          </w:p>
        </w:tc>
        <w:tc>
          <w:tcPr>
            <w:tcW w:w="3871" w:type="dxa"/>
          </w:tcPr>
          <w:p w:rsidR="000940E1" w:rsidRPr="002F2B3F" w:rsidRDefault="000940E1" w:rsidP="00C56111">
            <w:pPr>
              <w:pStyle w:val="NoSpacing"/>
              <w:spacing w:line="360" w:lineRule="auto"/>
              <w:jc w:val="right"/>
              <w:rPr>
                <w:rFonts w:ascii="Arial" w:hAnsi="Arial" w:cs="Arial"/>
                <w:b/>
                <w:sz w:val="24"/>
                <w:szCs w:val="24"/>
              </w:rPr>
            </w:pPr>
            <w:r>
              <w:rPr>
                <w:rFonts w:ascii="Arial" w:hAnsi="Arial" w:cs="Arial"/>
                <w:b/>
                <w:sz w:val="24"/>
                <w:szCs w:val="24"/>
              </w:rPr>
              <w:t>Second Appellant</w:t>
            </w:r>
          </w:p>
        </w:tc>
      </w:tr>
      <w:tr w:rsidR="000940E1" w:rsidRPr="002F2B3F" w:rsidTr="00D074C2">
        <w:tc>
          <w:tcPr>
            <w:tcW w:w="5240" w:type="dxa"/>
          </w:tcPr>
          <w:p w:rsidR="000940E1" w:rsidRPr="002F2B3F" w:rsidRDefault="000940E1" w:rsidP="00C56111">
            <w:pPr>
              <w:pStyle w:val="NoSpacing"/>
              <w:spacing w:line="360" w:lineRule="auto"/>
              <w:ind w:left="-108"/>
              <w:rPr>
                <w:rFonts w:ascii="Arial" w:hAnsi="Arial" w:cs="Arial"/>
                <w:b/>
                <w:sz w:val="24"/>
                <w:szCs w:val="24"/>
              </w:rPr>
            </w:pPr>
            <w:r>
              <w:rPr>
                <w:rFonts w:ascii="Arial" w:hAnsi="Arial" w:cs="Arial"/>
                <w:b/>
                <w:sz w:val="24"/>
                <w:szCs w:val="24"/>
              </w:rPr>
              <w:t>AMALIA HARASES</w:t>
            </w:r>
          </w:p>
        </w:tc>
        <w:tc>
          <w:tcPr>
            <w:tcW w:w="3871" w:type="dxa"/>
          </w:tcPr>
          <w:p w:rsidR="000940E1" w:rsidRPr="002F2B3F" w:rsidRDefault="000940E1" w:rsidP="00C56111">
            <w:pPr>
              <w:pStyle w:val="NoSpacing"/>
              <w:spacing w:line="360" w:lineRule="auto"/>
              <w:jc w:val="right"/>
              <w:rPr>
                <w:rFonts w:ascii="Arial" w:hAnsi="Arial" w:cs="Arial"/>
                <w:b/>
                <w:sz w:val="24"/>
                <w:szCs w:val="24"/>
              </w:rPr>
            </w:pPr>
            <w:r>
              <w:rPr>
                <w:rFonts w:ascii="Arial" w:hAnsi="Arial" w:cs="Arial"/>
                <w:b/>
                <w:sz w:val="24"/>
                <w:szCs w:val="24"/>
              </w:rPr>
              <w:t>Third Appellant</w:t>
            </w:r>
          </w:p>
        </w:tc>
      </w:tr>
      <w:tr w:rsidR="000940E1" w:rsidRPr="002F2B3F" w:rsidTr="00D074C2">
        <w:tc>
          <w:tcPr>
            <w:tcW w:w="5240" w:type="dxa"/>
          </w:tcPr>
          <w:p w:rsidR="000940E1" w:rsidRPr="002F2B3F" w:rsidRDefault="00D67C57" w:rsidP="00C56111">
            <w:pPr>
              <w:pStyle w:val="NoSpacing"/>
              <w:spacing w:line="360" w:lineRule="auto"/>
              <w:ind w:left="-108"/>
              <w:rPr>
                <w:rFonts w:ascii="Arial" w:hAnsi="Arial" w:cs="Arial"/>
                <w:b/>
                <w:sz w:val="24"/>
                <w:szCs w:val="24"/>
              </w:rPr>
            </w:pPr>
            <w:r>
              <w:rPr>
                <w:rFonts w:ascii="Arial" w:hAnsi="Arial" w:cs="Arial"/>
                <w:b/>
                <w:sz w:val="24"/>
                <w:szCs w:val="24"/>
              </w:rPr>
              <w:t>SIMON SHALUKENI</w:t>
            </w:r>
          </w:p>
        </w:tc>
        <w:tc>
          <w:tcPr>
            <w:tcW w:w="3871" w:type="dxa"/>
          </w:tcPr>
          <w:p w:rsidR="000940E1" w:rsidRPr="002F2B3F" w:rsidRDefault="000940E1" w:rsidP="00C56111">
            <w:pPr>
              <w:pStyle w:val="NoSpacing"/>
              <w:spacing w:line="360" w:lineRule="auto"/>
              <w:jc w:val="right"/>
              <w:rPr>
                <w:rFonts w:ascii="Arial" w:hAnsi="Arial" w:cs="Arial"/>
                <w:b/>
                <w:sz w:val="24"/>
                <w:szCs w:val="24"/>
              </w:rPr>
            </w:pPr>
            <w:r>
              <w:rPr>
                <w:rFonts w:ascii="Arial" w:hAnsi="Arial" w:cs="Arial"/>
                <w:b/>
                <w:sz w:val="24"/>
                <w:szCs w:val="24"/>
              </w:rPr>
              <w:t>Fourth Appellant</w:t>
            </w:r>
          </w:p>
        </w:tc>
      </w:tr>
      <w:tr w:rsidR="000940E1" w:rsidRPr="002F2B3F" w:rsidTr="00D074C2">
        <w:tc>
          <w:tcPr>
            <w:tcW w:w="5240" w:type="dxa"/>
          </w:tcPr>
          <w:p w:rsidR="000940E1" w:rsidRPr="002F2B3F" w:rsidRDefault="000940E1" w:rsidP="00C56111">
            <w:pPr>
              <w:pStyle w:val="NoSpacing"/>
              <w:spacing w:line="360" w:lineRule="auto"/>
              <w:ind w:left="-108"/>
              <w:rPr>
                <w:rFonts w:ascii="Arial" w:hAnsi="Arial" w:cs="Arial"/>
                <w:b/>
                <w:sz w:val="24"/>
                <w:szCs w:val="24"/>
              </w:rPr>
            </w:pPr>
            <w:r>
              <w:rPr>
                <w:rFonts w:ascii="Arial" w:hAnsi="Arial" w:cs="Arial"/>
                <w:b/>
                <w:sz w:val="24"/>
                <w:szCs w:val="24"/>
              </w:rPr>
              <w:t>PAULUS HARASEB</w:t>
            </w:r>
          </w:p>
        </w:tc>
        <w:tc>
          <w:tcPr>
            <w:tcW w:w="3871" w:type="dxa"/>
          </w:tcPr>
          <w:p w:rsidR="000940E1" w:rsidRPr="002F2B3F" w:rsidRDefault="000940E1" w:rsidP="00C56111">
            <w:pPr>
              <w:pStyle w:val="NoSpacing"/>
              <w:spacing w:line="360" w:lineRule="auto"/>
              <w:jc w:val="right"/>
              <w:rPr>
                <w:rFonts w:ascii="Arial" w:hAnsi="Arial" w:cs="Arial"/>
                <w:b/>
                <w:sz w:val="24"/>
                <w:szCs w:val="24"/>
              </w:rPr>
            </w:pPr>
            <w:r>
              <w:rPr>
                <w:rFonts w:ascii="Arial" w:hAnsi="Arial" w:cs="Arial"/>
                <w:b/>
                <w:sz w:val="24"/>
                <w:szCs w:val="24"/>
              </w:rPr>
              <w:t>Fifth Appellant</w:t>
            </w:r>
          </w:p>
        </w:tc>
      </w:tr>
      <w:tr w:rsidR="000940E1" w:rsidRPr="002F2B3F" w:rsidTr="00D074C2">
        <w:tc>
          <w:tcPr>
            <w:tcW w:w="5240" w:type="dxa"/>
          </w:tcPr>
          <w:p w:rsidR="000940E1" w:rsidRPr="002F2B3F" w:rsidRDefault="00D67C57" w:rsidP="00C56111">
            <w:pPr>
              <w:pStyle w:val="NoSpacing"/>
              <w:spacing w:line="360" w:lineRule="auto"/>
              <w:ind w:left="-108"/>
              <w:rPr>
                <w:rFonts w:ascii="Arial" w:hAnsi="Arial" w:cs="Arial"/>
                <w:b/>
                <w:sz w:val="24"/>
                <w:szCs w:val="24"/>
              </w:rPr>
            </w:pPr>
            <w:r>
              <w:rPr>
                <w:rFonts w:ascii="Arial" w:hAnsi="Arial" w:cs="Arial"/>
                <w:b/>
                <w:sz w:val="24"/>
                <w:szCs w:val="24"/>
              </w:rPr>
              <w:t>FLORENCE SHALUKEN</w:t>
            </w:r>
            <w:r w:rsidR="000940E1">
              <w:rPr>
                <w:rFonts w:ascii="Arial" w:hAnsi="Arial" w:cs="Arial"/>
                <w:b/>
                <w:sz w:val="24"/>
                <w:szCs w:val="24"/>
              </w:rPr>
              <w:t>I</w:t>
            </w:r>
          </w:p>
        </w:tc>
        <w:tc>
          <w:tcPr>
            <w:tcW w:w="3871" w:type="dxa"/>
          </w:tcPr>
          <w:p w:rsidR="000940E1" w:rsidRPr="002F2B3F" w:rsidRDefault="000940E1" w:rsidP="00C56111">
            <w:pPr>
              <w:pStyle w:val="NoSpacing"/>
              <w:spacing w:line="360" w:lineRule="auto"/>
              <w:jc w:val="right"/>
              <w:rPr>
                <w:rFonts w:ascii="Arial" w:hAnsi="Arial" w:cs="Arial"/>
                <w:b/>
                <w:sz w:val="24"/>
                <w:szCs w:val="24"/>
              </w:rPr>
            </w:pPr>
            <w:r>
              <w:rPr>
                <w:rFonts w:ascii="Arial" w:hAnsi="Arial" w:cs="Arial"/>
                <w:b/>
                <w:sz w:val="24"/>
                <w:szCs w:val="24"/>
              </w:rPr>
              <w:t>Sixth Appellant</w:t>
            </w:r>
          </w:p>
        </w:tc>
      </w:tr>
      <w:tr w:rsidR="000940E1" w:rsidRPr="002F2B3F" w:rsidTr="00D074C2">
        <w:tc>
          <w:tcPr>
            <w:tcW w:w="5240" w:type="dxa"/>
          </w:tcPr>
          <w:p w:rsidR="000940E1" w:rsidRPr="002F2B3F" w:rsidRDefault="000940E1" w:rsidP="00C56111">
            <w:pPr>
              <w:pStyle w:val="NoSpacing"/>
              <w:spacing w:line="360" w:lineRule="auto"/>
              <w:ind w:left="-108"/>
              <w:rPr>
                <w:rFonts w:ascii="Arial" w:hAnsi="Arial" w:cs="Arial"/>
                <w:b/>
                <w:sz w:val="24"/>
                <w:szCs w:val="24"/>
              </w:rPr>
            </w:pPr>
            <w:r>
              <w:rPr>
                <w:rFonts w:ascii="Arial" w:hAnsi="Arial" w:cs="Arial"/>
                <w:b/>
                <w:sz w:val="24"/>
                <w:szCs w:val="24"/>
              </w:rPr>
              <w:t>LUKAS DAMASEB</w:t>
            </w:r>
          </w:p>
        </w:tc>
        <w:tc>
          <w:tcPr>
            <w:tcW w:w="3871" w:type="dxa"/>
          </w:tcPr>
          <w:p w:rsidR="000940E1" w:rsidRPr="002F2B3F" w:rsidRDefault="000940E1" w:rsidP="00C56111">
            <w:pPr>
              <w:pStyle w:val="NoSpacing"/>
              <w:spacing w:line="360" w:lineRule="auto"/>
              <w:jc w:val="right"/>
              <w:rPr>
                <w:rFonts w:ascii="Arial" w:hAnsi="Arial" w:cs="Arial"/>
                <w:b/>
                <w:sz w:val="24"/>
                <w:szCs w:val="24"/>
              </w:rPr>
            </w:pPr>
            <w:r>
              <w:rPr>
                <w:rFonts w:ascii="Arial" w:hAnsi="Arial" w:cs="Arial"/>
                <w:b/>
                <w:sz w:val="24"/>
                <w:szCs w:val="24"/>
              </w:rPr>
              <w:t>Seventh Appellant</w:t>
            </w:r>
          </w:p>
        </w:tc>
      </w:tr>
      <w:tr w:rsidR="000940E1" w:rsidTr="00D074C2">
        <w:tc>
          <w:tcPr>
            <w:tcW w:w="5240" w:type="dxa"/>
          </w:tcPr>
          <w:p w:rsidR="000940E1" w:rsidRDefault="000940E1" w:rsidP="00C56111">
            <w:pPr>
              <w:pStyle w:val="NoSpacing"/>
              <w:spacing w:line="360" w:lineRule="auto"/>
              <w:ind w:left="-108"/>
              <w:rPr>
                <w:rFonts w:ascii="Arial" w:hAnsi="Arial" w:cs="Arial"/>
                <w:sz w:val="24"/>
                <w:szCs w:val="24"/>
              </w:rPr>
            </w:pPr>
          </w:p>
        </w:tc>
        <w:tc>
          <w:tcPr>
            <w:tcW w:w="3871" w:type="dxa"/>
          </w:tcPr>
          <w:p w:rsidR="000940E1" w:rsidRDefault="000940E1" w:rsidP="00C56111">
            <w:pPr>
              <w:pStyle w:val="NoSpacing"/>
              <w:spacing w:line="360" w:lineRule="auto"/>
              <w:jc w:val="right"/>
              <w:rPr>
                <w:rFonts w:ascii="Arial" w:hAnsi="Arial" w:cs="Arial"/>
                <w:sz w:val="24"/>
                <w:szCs w:val="24"/>
              </w:rPr>
            </w:pPr>
          </w:p>
        </w:tc>
      </w:tr>
      <w:tr w:rsidR="000940E1" w:rsidTr="00D074C2">
        <w:tc>
          <w:tcPr>
            <w:tcW w:w="5240" w:type="dxa"/>
          </w:tcPr>
          <w:p w:rsidR="000940E1" w:rsidRDefault="000940E1" w:rsidP="00C56111">
            <w:pPr>
              <w:pStyle w:val="NoSpacing"/>
              <w:spacing w:line="360" w:lineRule="auto"/>
              <w:ind w:left="-108"/>
              <w:rPr>
                <w:rFonts w:ascii="Arial" w:hAnsi="Arial" w:cs="Arial"/>
                <w:sz w:val="24"/>
                <w:szCs w:val="24"/>
              </w:rPr>
            </w:pPr>
            <w:r>
              <w:rPr>
                <w:rFonts w:ascii="Arial" w:hAnsi="Arial" w:cs="Arial"/>
                <w:sz w:val="24"/>
                <w:szCs w:val="24"/>
              </w:rPr>
              <w:t>and</w:t>
            </w:r>
          </w:p>
        </w:tc>
        <w:tc>
          <w:tcPr>
            <w:tcW w:w="3871" w:type="dxa"/>
          </w:tcPr>
          <w:p w:rsidR="000940E1" w:rsidRDefault="000940E1" w:rsidP="00C56111">
            <w:pPr>
              <w:pStyle w:val="NoSpacing"/>
              <w:spacing w:line="360" w:lineRule="auto"/>
              <w:rPr>
                <w:rFonts w:ascii="Arial" w:hAnsi="Arial" w:cs="Arial"/>
                <w:sz w:val="24"/>
                <w:szCs w:val="24"/>
              </w:rPr>
            </w:pPr>
          </w:p>
        </w:tc>
      </w:tr>
      <w:tr w:rsidR="000940E1" w:rsidTr="00D074C2">
        <w:tc>
          <w:tcPr>
            <w:tcW w:w="5240" w:type="dxa"/>
          </w:tcPr>
          <w:p w:rsidR="000940E1" w:rsidRDefault="000940E1" w:rsidP="00C56111">
            <w:pPr>
              <w:pStyle w:val="NoSpacing"/>
              <w:spacing w:line="360" w:lineRule="auto"/>
              <w:ind w:left="-108"/>
              <w:rPr>
                <w:rFonts w:ascii="Arial" w:hAnsi="Arial" w:cs="Arial"/>
                <w:sz w:val="24"/>
                <w:szCs w:val="24"/>
              </w:rPr>
            </w:pPr>
          </w:p>
        </w:tc>
        <w:tc>
          <w:tcPr>
            <w:tcW w:w="3871" w:type="dxa"/>
          </w:tcPr>
          <w:p w:rsidR="000940E1" w:rsidRDefault="000940E1" w:rsidP="00C56111">
            <w:pPr>
              <w:pStyle w:val="NoSpacing"/>
              <w:spacing w:line="360" w:lineRule="auto"/>
              <w:rPr>
                <w:rFonts w:ascii="Arial" w:hAnsi="Arial" w:cs="Arial"/>
                <w:sz w:val="24"/>
                <w:szCs w:val="24"/>
              </w:rPr>
            </w:pPr>
          </w:p>
        </w:tc>
      </w:tr>
      <w:tr w:rsidR="000940E1" w:rsidRPr="002F2B3F" w:rsidTr="00D074C2">
        <w:tc>
          <w:tcPr>
            <w:tcW w:w="5240" w:type="dxa"/>
          </w:tcPr>
          <w:p w:rsidR="000940E1" w:rsidRPr="002F2B3F" w:rsidRDefault="000940E1" w:rsidP="00C56111">
            <w:pPr>
              <w:pStyle w:val="NoSpacing"/>
              <w:spacing w:line="360" w:lineRule="auto"/>
              <w:ind w:left="-108"/>
              <w:rPr>
                <w:rFonts w:ascii="Arial" w:hAnsi="Arial" w:cs="Arial"/>
                <w:b/>
                <w:sz w:val="24"/>
                <w:szCs w:val="24"/>
              </w:rPr>
            </w:pPr>
            <w:r>
              <w:rPr>
                <w:rFonts w:ascii="Arial" w:hAnsi="Arial" w:cs="Arial"/>
                <w:b/>
                <w:sz w:val="24"/>
                <w:szCs w:val="24"/>
              </w:rPr>
              <w:t>JOHANNES DAMASEB</w:t>
            </w:r>
          </w:p>
        </w:tc>
        <w:tc>
          <w:tcPr>
            <w:tcW w:w="3871" w:type="dxa"/>
          </w:tcPr>
          <w:p w:rsidR="000940E1" w:rsidRPr="002F2B3F" w:rsidRDefault="000940E1" w:rsidP="00C56111">
            <w:pPr>
              <w:pStyle w:val="NoSpacing"/>
              <w:spacing w:line="360" w:lineRule="auto"/>
              <w:jc w:val="right"/>
              <w:rPr>
                <w:rFonts w:ascii="Arial" w:hAnsi="Arial" w:cs="Arial"/>
                <w:b/>
                <w:sz w:val="24"/>
                <w:szCs w:val="24"/>
              </w:rPr>
            </w:pPr>
            <w:r>
              <w:rPr>
                <w:rFonts w:ascii="Arial" w:hAnsi="Arial" w:cs="Arial"/>
                <w:b/>
                <w:sz w:val="24"/>
                <w:szCs w:val="24"/>
              </w:rPr>
              <w:t xml:space="preserve">First </w:t>
            </w:r>
            <w:r w:rsidRPr="002F2B3F">
              <w:rPr>
                <w:rFonts w:ascii="Arial" w:hAnsi="Arial" w:cs="Arial"/>
                <w:b/>
                <w:sz w:val="24"/>
                <w:szCs w:val="24"/>
              </w:rPr>
              <w:t>Respondent</w:t>
            </w:r>
          </w:p>
        </w:tc>
      </w:tr>
      <w:tr w:rsidR="000940E1" w:rsidRPr="000940E1" w:rsidTr="00D074C2">
        <w:tc>
          <w:tcPr>
            <w:tcW w:w="5240" w:type="dxa"/>
          </w:tcPr>
          <w:p w:rsidR="000940E1" w:rsidRPr="000940E1" w:rsidRDefault="000940E1" w:rsidP="00C56111">
            <w:pPr>
              <w:pStyle w:val="NoSpacing"/>
              <w:spacing w:line="360" w:lineRule="auto"/>
              <w:ind w:left="-108"/>
              <w:rPr>
                <w:rFonts w:ascii="Arial" w:hAnsi="Arial" w:cs="Arial"/>
                <w:b/>
                <w:sz w:val="24"/>
                <w:szCs w:val="24"/>
              </w:rPr>
            </w:pPr>
            <w:r w:rsidRPr="000940E1">
              <w:rPr>
                <w:rFonts w:ascii="Arial" w:hAnsi="Arial" w:cs="Arial"/>
                <w:b/>
                <w:sz w:val="24"/>
                <w:szCs w:val="24"/>
              </w:rPr>
              <w:t>MINISTER OF LAND REFORM</w:t>
            </w:r>
          </w:p>
        </w:tc>
        <w:tc>
          <w:tcPr>
            <w:tcW w:w="3871" w:type="dxa"/>
          </w:tcPr>
          <w:p w:rsidR="000940E1" w:rsidRPr="000940E1" w:rsidRDefault="000940E1" w:rsidP="00C56111">
            <w:pPr>
              <w:pStyle w:val="NoSpacing"/>
              <w:spacing w:line="360" w:lineRule="auto"/>
              <w:jc w:val="right"/>
              <w:rPr>
                <w:rFonts w:ascii="Arial" w:hAnsi="Arial" w:cs="Arial"/>
                <w:b/>
                <w:sz w:val="24"/>
                <w:szCs w:val="24"/>
              </w:rPr>
            </w:pPr>
            <w:r w:rsidRPr="000940E1">
              <w:rPr>
                <w:rFonts w:ascii="Arial" w:hAnsi="Arial" w:cs="Arial"/>
                <w:b/>
                <w:sz w:val="24"/>
                <w:szCs w:val="24"/>
              </w:rPr>
              <w:t>Second Respondent</w:t>
            </w:r>
          </w:p>
        </w:tc>
      </w:tr>
      <w:tr w:rsidR="000940E1" w:rsidRPr="000940E1" w:rsidTr="00D074C2">
        <w:tc>
          <w:tcPr>
            <w:tcW w:w="5240" w:type="dxa"/>
          </w:tcPr>
          <w:p w:rsidR="000940E1" w:rsidRPr="000940E1" w:rsidRDefault="000940E1" w:rsidP="00C56111">
            <w:pPr>
              <w:pStyle w:val="NoSpacing"/>
              <w:spacing w:line="360" w:lineRule="auto"/>
              <w:ind w:left="-108"/>
              <w:rPr>
                <w:rFonts w:ascii="Arial" w:hAnsi="Arial" w:cs="Arial"/>
                <w:b/>
                <w:sz w:val="24"/>
                <w:szCs w:val="24"/>
              </w:rPr>
            </w:pPr>
            <w:r w:rsidRPr="000940E1">
              <w:rPr>
                <w:rFonts w:ascii="Arial" w:hAnsi="Arial" w:cs="Arial"/>
                <w:b/>
                <w:sz w:val="24"/>
                <w:szCs w:val="24"/>
              </w:rPr>
              <w:t>CHAIRPERSON OF THE LAND REFORM ADVISORY</w:t>
            </w:r>
            <w:r w:rsidR="00400733">
              <w:rPr>
                <w:rFonts w:ascii="Arial" w:hAnsi="Arial" w:cs="Arial"/>
                <w:b/>
                <w:sz w:val="24"/>
                <w:szCs w:val="24"/>
              </w:rPr>
              <w:t xml:space="preserve"> </w:t>
            </w:r>
            <w:r w:rsidR="00DA1BA8">
              <w:rPr>
                <w:rFonts w:ascii="Arial" w:hAnsi="Arial" w:cs="Arial"/>
                <w:b/>
                <w:sz w:val="24"/>
                <w:szCs w:val="24"/>
              </w:rPr>
              <w:t>COMMISSION</w:t>
            </w:r>
          </w:p>
        </w:tc>
        <w:tc>
          <w:tcPr>
            <w:tcW w:w="3871" w:type="dxa"/>
          </w:tcPr>
          <w:p w:rsidR="00C56111" w:rsidRDefault="00C56111" w:rsidP="00C56111">
            <w:pPr>
              <w:pStyle w:val="NoSpacing"/>
              <w:spacing w:line="360" w:lineRule="auto"/>
              <w:jc w:val="right"/>
              <w:rPr>
                <w:rFonts w:ascii="Arial" w:hAnsi="Arial" w:cs="Arial"/>
                <w:b/>
                <w:sz w:val="24"/>
                <w:szCs w:val="24"/>
              </w:rPr>
            </w:pPr>
          </w:p>
          <w:p w:rsidR="000940E1" w:rsidRPr="000940E1" w:rsidRDefault="000940E1" w:rsidP="00C56111">
            <w:pPr>
              <w:pStyle w:val="NoSpacing"/>
              <w:spacing w:line="360" w:lineRule="auto"/>
              <w:jc w:val="right"/>
              <w:rPr>
                <w:rFonts w:ascii="Arial" w:hAnsi="Arial" w:cs="Arial"/>
                <w:b/>
                <w:sz w:val="24"/>
                <w:szCs w:val="24"/>
              </w:rPr>
            </w:pPr>
            <w:r w:rsidRPr="000940E1">
              <w:rPr>
                <w:rFonts w:ascii="Arial" w:hAnsi="Arial" w:cs="Arial"/>
                <w:b/>
                <w:sz w:val="24"/>
                <w:szCs w:val="24"/>
              </w:rPr>
              <w:t>Third Respondent</w:t>
            </w:r>
          </w:p>
        </w:tc>
      </w:tr>
      <w:tr w:rsidR="000940E1" w:rsidRPr="000940E1" w:rsidTr="00D074C2">
        <w:tc>
          <w:tcPr>
            <w:tcW w:w="5240" w:type="dxa"/>
          </w:tcPr>
          <w:p w:rsidR="000940E1" w:rsidRPr="000940E1" w:rsidRDefault="000940E1" w:rsidP="00C56111">
            <w:pPr>
              <w:pStyle w:val="NoSpacing"/>
              <w:spacing w:line="360" w:lineRule="auto"/>
              <w:ind w:left="-108"/>
              <w:rPr>
                <w:rFonts w:ascii="Arial" w:hAnsi="Arial" w:cs="Arial"/>
                <w:b/>
                <w:sz w:val="24"/>
                <w:szCs w:val="24"/>
              </w:rPr>
            </w:pPr>
            <w:r w:rsidRPr="000940E1">
              <w:rPr>
                <w:rFonts w:ascii="Arial" w:hAnsi="Arial" w:cs="Arial"/>
                <w:b/>
                <w:sz w:val="24"/>
                <w:szCs w:val="24"/>
              </w:rPr>
              <w:t>MASTER OF THE HIGH COURT</w:t>
            </w:r>
          </w:p>
        </w:tc>
        <w:tc>
          <w:tcPr>
            <w:tcW w:w="3871" w:type="dxa"/>
          </w:tcPr>
          <w:p w:rsidR="000940E1" w:rsidRPr="000940E1" w:rsidRDefault="000940E1" w:rsidP="00C56111">
            <w:pPr>
              <w:pStyle w:val="NoSpacing"/>
              <w:spacing w:line="360" w:lineRule="auto"/>
              <w:jc w:val="right"/>
              <w:rPr>
                <w:rFonts w:ascii="Arial" w:hAnsi="Arial" w:cs="Arial"/>
                <w:b/>
                <w:sz w:val="24"/>
                <w:szCs w:val="24"/>
              </w:rPr>
            </w:pPr>
            <w:r w:rsidRPr="000940E1">
              <w:rPr>
                <w:rFonts w:ascii="Arial" w:hAnsi="Arial" w:cs="Arial"/>
                <w:b/>
                <w:sz w:val="24"/>
                <w:szCs w:val="24"/>
              </w:rPr>
              <w:t>Fourth Respondent</w:t>
            </w:r>
          </w:p>
        </w:tc>
      </w:tr>
      <w:tr w:rsidR="000940E1" w:rsidTr="00D074C2">
        <w:tc>
          <w:tcPr>
            <w:tcW w:w="5240" w:type="dxa"/>
          </w:tcPr>
          <w:p w:rsidR="000940E1" w:rsidRDefault="000940E1" w:rsidP="00B97017">
            <w:pPr>
              <w:pStyle w:val="NoSpacing"/>
              <w:spacing w:line="276" w:lineRule="auto"/>
              <w:ind w:left="-108"/>
              <w:rPr>
                <w:rFonts w:ascii="Arial" w:hAnsi="Arial" w:cs="Arial"/>
                <w:sz w:val="24"/>
                <w:szCs w:val="24"/>
              </w:rPr>
            </w:pPr>
          </w:p>
        </w:tc>
        <w:tc>
          <w:tcPr>
            <w:tcW w:w="3871" w:type="dxa"/>
          </w:tcPr>
          <w:p w:rsidR="000940E1" w:rsidRPr="000940E1" w:rsidRDefault="000940E1" w:rsidP="000940E1">
            <w:pPr>
              <w:pStyle w:val="NoSpacing"/>
              <w:spacing w:line="276" w:lineRule="auto"/>
              <w:jc w:val="right"/>
              <w:rPr>
                <w:rFonts w:ascii="Arial" w:hAnsi="Arial" w:cs="Arial"/>
                <w:b/>
                <w:sz w:val="24"/>
                <w:szCs w:val="24"/>
              </w:rPr>
            </w:pPr>
          </w:p>
        </w:tc>
      </w:tr>
    </w:tbl>
    <w:p w:rsidR="00D074C2" w:rsidRPr="00991107" w:rsidRDefault="00D074C2" w:rsidP="000940E1">
      <w:pPr>
        <w:pStyle w:val="NoSpacing"/>
        <w:rPr>
          <w:rFonts w:ascii="Arial" w:hAnsi="Arial" w:cs="Arial"/>
          <w:sz w:val="24"/>
          <w:szCs w:val="24"/>
        </w:rPr>
      </w:pPr>
    </w:p>
    <w:p w:rsidR="000940E1" w:rsidRPr="00991107" w:rsidRDefault="000940E1" w:rsidP="000940E1">
      <w:pPr>
        <w:pStyle w:val="NoSpacing"/>
        <w:rPr>
          <w:rFonts w:ascii="Arial" w:hAnsi="Arial" w:cs="Arial"/>
          <w:sz w:val="24"/>
          <w:szCs w:val="24"/>
        </w:rPr>
      </w:pPr>
      <w:r w:rsidRPr="00970591">
        <w:rPr>
          <w:rFonts w:ascii="Arial" w:hAnsi="Arial" w:cs="Arial"/>
          <w:b/>
          <w:sz w:val="24"/>
          <w:szCs w:val="24"/>
        </w:rPr>
        <w:t>Coram:</w:t>
      </w:r>
      <w:r>
        <w:rPr>
          <w:rFonts w:ascii="Arial" w:hAnsi="Arial" w:cs="Arial"/>
          <w:sz w:val="24"/>
          <w:szCs w:val="24"/>
        </w:rPr>
        <w:tab/>
        <w:t>SHIVUTE CJ, HOFF JA and FRANK AJA</w:t>
      </w:r>
    </w:p>
    <w:p w:rsidR="000940E1" w:rsidRPr="00466830" w:rsidRDefault="000940E1" w:rsidP="000940E1">
      <w:pPr>
        <w:pStyle w:val="NoSpacing"/>
        <w:rPr>
          <w:rFonts w:ascii="Arial" w:hAnsi="Arial" w:cs="Arial"/>
          <w:b/>
          <w:sz w:val="24"/>
          <w:szCs w:val="24"/>
        </w:rPr>
      </w:pPr>
    </w:p>
    <w:p w:rsidR="000940E1" w:rsidRPr="00466830" w:rsidRDefault="000940E1" w:rsidP="000940E1">
      <w:pPr>
        <w:pStyle w:val="NoSpacing"/>
        <w:rPr>
          <w:rFonts w:ascii="Arial" w:hAnsi="Arial" w:cs="Arial"/>
          <w:b/>
          <w:sz w:val="24"/>
          <w:szCs w:val="24"/>
        </w:rPr>
      </w:pPr>
      <w:r>
        <w:rPr>
          <w:rFonts w:ascii="Arial" w:hAnsi="Arial" w:cs="Arial"/>
          <w:b/>
          <w:sz w:val="24"/>
          <w:szCs w:val="24"/>
        </w:rPr>
        <w:t>Heard:</w:t>
      </w:r>
      <w:r>
        <w:rPr>
          <w:rFonts w:ascii="Arial" w:hAnsi="Arial" w:cs="Arial"/>
          <w:b/>
          <w:sz w:val="24"/>
          <w:szCs w:val="24"/>
        </w:rPr>
        <w:tab/>
        <w:t>4 November 2020</w:t>
      </w:r>
    </w:p>
    <w:p w:rsidR="000940E1" w:rsidRPr="00466830" w:rsidRDefault="000940E1" w:rsidP="000940E1">
      <w:pPr>
        <w:pStyle w:val="NoSpacing"/>
        <w:rPr>
          <w:rFonts w:ascii="Arial" w:hAnsi="Arial" w:cs="Arial"/>
          <w:b/>
          <w:sz w:val="24"/>
          <w:szCs w:val="24"/>
        </w:rPr>
      </w:pPr>
    </w:p>
    <w:p w:rsidR="000940E1" w:rsidRPr="007F1363" w:rsidRDefault="000940E1" w:rsidP="000940E1">
      <w:pPr>
        <w:pStyle w:val="NoSpacing"/>
        <w:rPr>
          <w:rFonts w:ascii="Arial" w:hAnsi="Arial" w:cs="Arial"/>
          <w:b/>
          <w:sz w:val="24"/>
          <w:szCs w:val="24"/>
        </w:rPr>
      </w:pPr>
      <w:r w:rsidRPr="00466830">
        <w:rPr>
          <w:rFonts w:ascii="Arial" w:hAnsi="Arial" w:cs="Arial"/>
          <w:b/>
          <w:sz w:val="24"/>
          <w:szCs w:val="24"/>
        </w:rPr>
        <w:t>Delivered:</w:t>
      </w:r>
      <w:r w:rsidRPr="00466830">
        <w:rPr>
          <w:rFonts w:ascii="Arial" w:hAnsi="Arial" w:cs="Arial"/>
          <w:b/>
          <w:sz w:val="24"/>
          <w:szCs w:val="24"/>
        </w:rPr>
        <w:tab/>
      </w:r>
      <w:r w:rsidR="00AC4A1F">
        <w:rPr>
          <w:rFonts w:ascii="Arial" w:hAnsi="Arial" w:cs="Arial"/>
          <w:b/>
          <w:sz w:val="24"/>
          <w:szCs w:val="24"/>
        </w:rPr>
        <w:t>4</w:t>
      </w:r>
      <w:r w:rsidR="00D074C2">
        <w:rPr>
          <w:rFonts w:ascii="Arial" w:hAnsi="Arial" w:cs="Arial"/>
          <w:b/>
          <w:sz w:val="24"/>
          <w:szCs w:val="24"/>
        </w:rPr>
        <w:t xml:space="preserve"> </w:t>
      </w:r>
      <w:r w:rsidR="00E610DF">
        <w:rPr>
          <w:rFonts w:ascii="Arial" w:hAnsi="Arial" w:cs="Arial"/>
          <w:b/>
          <w:sz w:val="24"/>
          <w:szCs w:val="24"/>
        </w:rPr>
        <w:t xml:space="preserve">December </w:t>
      </w:r>
      <w:r w:rsidR="00D074C2">
        <w:rPr>
          <w:rFonts w:ascii="Arial" w:hAnsi="Arial" w:cs="Arial"/>
          <w:b/>
          <w:sz w:val="24"/>
          <w:szCs w:val="24"/>
        </w:rPr>
        <w:t>2020</w:t>
      </w:r>
    </w:p>
    <w:p w:rsidR="007F1363" w:rsidRDefault="007F1363" w:rsidP="007F1363">
      <w:pPr>
        <w:pStyle w:val="NoSpacing"/>
        <w:spacing w:line="360" w:lineRule="auto"/>
        <w:jc w:val="both"/>
        <w:rPr>
          <w:rFonts w:ascii="Arial" w:hAnsi="Arial" w:cs="Arial"/>
          <w:sz w:val="24"/>
          <w:szCs w:val="24"/>
        </w:rPr>
      </w:pPr>
      <w:r w:rsidRPr="00C1657D">
        <w:rPr>
          <w:rFonts w:ascii="Arial" w:hAnsi="Arial" w:cs="Arial"/>
          <w:b/>
          <w:sz w:val="24"/>
          <w:szCs w:val="24"/>
        </w:rPr>
        <w:lastRenderedPageBreak/>
        <w:t>Summary:</w:t>
      </w:r>
      <w:r w:rsidRPr="00C1657D">
        <w:rPr>
          <w:rFonts w:ascii="Arial" w:hAnsi="Arial" w:cs="Arial"/>
          <w:b/>
          <w:sz w:val="24"/>
          <w:szCs w:val="24"/>
        </w:rPr>
        <w:tab/>
      </w:r>
      <w:r>
        <w:rPr>
          <w:rFonts w:ascii="Arial" w:hAnsi="Arial" w:cs="Arial"/>
          <w:sz w:val="24"/>
          <w:szCs w:val="24"/>
        </w:rPr>
        <w:t xml:space="preserve">This appeal deals with how a 99 year leasehold granted to Daniel Shalukeni (the deceased) in 2006 pursuant to s 37 of the Agricultural (Commercial) Land Reform Act 6 of 1995 (the ACLRA) should be dealt with. The parties in dispute are, the first appellant (Maria/the executrix) and her children with the deceased and the first respondent (Johannes), the son of the deceased, but not of Maria. The executrix and Johannes, independent of each other approached the Land Reform Advisory Commission (the Commission) for a recommendation to the Minister of Land Reform (the Minister) </w:t>
      </w:r>
      <w:r w:rsidR="00B3467A">
        <w:rPr>
          <w:rFonts w:ascii="Arial" w:hAnsi="Arial" w:cs="Arial"/>
          <w:sz w:val="24"/>
          <w:szCs w:val="24"/>
        </w:rPr>
        <w:t>to approve</w:t>
      </w:r>
      <w:r w:rsidR="00E547A1">
        <w:rPr>
          <w:rFonts w:ascii="Arial" w:hAnsi="Arial" w:cs="Arial"/>
          <w:sz w:val="24"/>
          <w:szCs w:val="24"/>
        </w:rPr>
        <w:t xml:space="preserve"> each</w:t>
      </w:r>
      <w:r w:rsidR="00B3467A">
        <w:rPr>
          <w:rFonts w:ascii="Arial" w:hAnsi="Arial" w:cs="Arial"/>
          <w:sz w:val="24"/>
          <w:szCs w:val="24"/>
        </w:rPr>
        <w:t xml:space="preserve"> one of them</w:t>
      </w:r>
      <w:r>
        <w:rPr>
          <w:rFonts w:ascii="Arial" w:hAnsi="Arial" w:cs="Arial"/>
          <w:sz w:val="24"/>
          <w:szCs w:val="24"/>
        </w:rPr>
        <w:t xml:space="preserve"> as the sole assignee in respect of the leasehold. The Minister declined to approve either of them and withdrew the lease on the basis of the unresolved dispute in the family as to whom</w:t>
      </w:r>
      <w:r w:rsidR="00E547A1">
        <w:rPr>
          <w:rFonts w:ascii="Arial" w:hAnsi="Arial" w:cs="Arial"/>
          <w:sz w:val="24"/>
          <w:szCs w:val="24"/>
        </w:rPr>
        <w:t xml:space="preserve"> the lease should be assigned</w:t>
      </w:r>
      <w:r>
        <w:rPr>
          <w:rFonts w:ascii="Arial" w:hAnsi="Arial" w:cs="Arial"/>
          <w:sz w:val="24"/>
          <w:szCs w:val="24"/>
        </w:rPr>
        <w:t>.</w:t>
      </w:r>
    </w:p>
    <w:p w:rsidR="007F1363" w:rsidRDefault="007F1363" w:rsidP="007F1363">
      <w:pPr>
        <w:pStyle w:val="NoSpacing"/>
        <w:spacing w:line="360" w:lineRule="auto"/>
        <w:jc w:val="both"/>
        <w:rPr>
          <w:rFonts w:ascii="Arial" w:hAnsi="Arial" w:cs="Arial"/>
          <w:sz w:val="24"/>
          <w:szCs w:val="24"/>
        </w:rPr>
      </w:pPr>
    </w:p>
    <w:p w:rsidR="007F1363" w:rsidRPr="00FF3365" w:rsidRDefault="007F1363" w:rsidP="007F1363">
      <w:pPr>
        <w:pStyle w:val="NoSpacing"/>
        <w:spacing w:line="360" w:lineRule="auto"/>
        <w:jc w:val="both"/>
        <w:rPr>
          <w:rFonts w:ascii="Arial" w:hAnsi="Arial" w:cs="Arial"/>
          <w:sz w:val="24"/>
          <w:szCs w:val="24"/>
        </w:rPr>
      </w:pPr>
      <w:r>
        <w:rPr>
          <w:rFonts w:ascii="Arial" w:hAnsi="Arial" w:cs="Arial"/>
          <w:sz w:val="24"/>
          <w:szCs w:val="24"/>
        </w:rPr>
        <w:t xml:space="preserve">Johannes approached the court </w:t>
      </w:r>
      <w:r w:rsidRPr="00E046EB">
        <w:rPr>
          <w:rFonts w:ascii="Arial" w:hAnsi="Arial" w:cs="Arial"/>
          <w:i/>
          <w:sz w:val="24"/>
          <w:szCs w:val="24"/>
        </w:rPr>
        <w:t>a quo</w:t>
      </w:r>
      <w:r>
        <w:rPr>
          <w:rFonts w:ascii="Arial" w:hAnsi="Arial" w:cs="Arial"/>
          <w:sz w:val="24"/>
          <w:szCs w:val="24"/>
        </w:rPr>
        <w:t xml:space="preserve"> to review and set aside the Minister’s decision. Maria and her children opposed the application and filed a counter application also seeking to review</w:t>
      </w:r>
      <w:r w:rsidR="00E547A1">
        <w:rPr>
          <w:rFonts w:ascii="Arial" w:hAnsi="Arial" w:cs="Arial"/>
          <w:sz w:val="24"/>
          <w:szCs w:val="24"/>
        </w:rPr>
        <w:t xml:space="preserve"> the </w:t>
      </w:r>
      <w:r>
        <w:rPr>
          <w:rFonts w:ascii="Arial" w:hAnsi="Arial" w:cs="Arial"/>
          <w:sz w:val="24"/>
          <w:szCs w:val="24"/>
        </w:rPr>
        <w:t xml:space="preserve">Minister’s decision and further relief to the effect that Maria should be recommended by the Commission to the Minister </w:t>
      </w:r>
      <w:r w:rsidR="00E547A1">
        <w:rPr>
          <w:rFonts w:ascii="Arial" w:hAnsi="Arial" w:cs="Arial"/>
          <w:sz w:val="24"/>
          <w:szCs w:val="24"/>
        </w:rPr>
        <w:t xml:space="preserve">as assignee </w:t>
      </w:r>
      <w:r>
        <w:rPr>
          <w:rFonts w:ascii="Arial" w:hAnsi="Arial" w:cs="Arial"/>
          <w:sz w:val="24"/>
          <w:szCs w:val="24"/>
        </w:rPr>
        <w:t xml:space="preserve">and that pending this process, she as the executrix would be entitled to act in this capacity to keep the lease in place. She also sought an order against Johannes to submit certain books of account relating to the farm. The counter application seeking a review </w:t>
      </w:r>
      <w:r w:rsidRPr="00FF3365">
        <w:rPr>
          <w:rFonts w:ascii="Arial" w:hAnsi="Arial" w:cs="Arial"/>
          <w:sz w:val="24"/>
          <w:szCs w:val="24"/>
        </w:rPr>
        <w:t xml:space="preserve">of the Minister’s decision was held to be irregular by the court </w:t>
      </w:r>
      <w:r w:rsidRPr="00FF3365">
        <w:rPr>
          <w:rFonts w:ascii="Arial" w:hAnsi="Arial" w:cs="Arial"/>
          <w:i/>
          <w:sz w:val="24"/>
          <w:szCs w:val="24"/>
        </w:rPr>
        <w:t>a quo</w:t>
      </w:r>
      <w:r w:rsidRPr="00FF3365">
        <w:rPr>
          <w:rFonts w:ascii="Arial" w:hAnsi="Arial" w:cs="Arial"/>
          <w:sz w:val="24"/>
          <w:szCs w:val="24"/>
        </w:rPr>
        <w:t xml:space="preserve">. </w:t>
      </w:r>
    </w:p>
    <w:p w:rsidR="007F1363" w:rsidRDefault="007F1363" w:rsidP="007F1363">
      <w:pPr>
        <w:spacing w:after="0" w:line="360" w:lineRule="auto"/>
        <w:jc w:val="both"/>
        <w:rPr>
          <w:rFonts w:ascii="Arial" w:hAnsi="Arial" w:cs="Arial"/>
          <w:sz w:val="24"/>
          <w:szCs w:val="24"/>
        </w:rPr>
      </w:pPr>
    </w:p>
    <w:p w:rsidR="007F1363" w:rsidRDefault="007F1363" w:rsidP="007F1363">
      <w:pPr>
        <w:spacing w:after="0" w:line="360" w:lineRule="auto"/>
        <w:jc w:val="both"/>
        <w:rPr>
          <w:rFonts w:ascii="Arial" w:hAnsi="Arial" w:cs="Arial"/>
          <w:sz w:val="24"/>
          <w:szCs w:val="24"/>
        </w:rPr>
      </w:pPr>
      <w:r>
        <w:rPr>
          <w:rFonts w:ascii="Arial" w:hAnsi="Arial" w:cs="Arial"/>
          <w:sz w:val="24"/>
          <w:szCs w:val="24"/>
        </w:rPr>
        <w:t xml:space="preserve">The court </w:t>
      </w:r>
      <w:r w:rsidRPr="00111E65">
        <w:rPr>
          <w:rFonts w:ascii="Arial" w:hAnsi="Arial" w:cs="Arial"/>
          <w:i/>
          <w:sz w:val="24"/>
          <w:szCs w:val="24"/>
        </w:rPr>
        <w:t>a quo</w:t>
      </w:r>
      <w:r>
        <w:rPr>
          <w:rFonts w:ascii="Arial" w:hAnsi="Arial" w:cs="Arial"/>
          <w:sz w:val="24"/>
          <w:szCs w:val="24"/>
        </w:rPr>
        <w:t xml:space="preserve"> found in favour of Johannes</w:t>
      </w:r>
      <w:r w:rsidR="001634AD">
        <w:rPr>
          <w:rFonts w:ascii="Arial" w:hAnsi="Arial" w:cs="Arial"/>
          <w:sz w:val="24"/>
          <w:szCs w:val="24"/>
        </w:rPr>
        <w:t xml:space="preserve"> </w:t>
      </w:r>
      <w:r w:rsidR="000764D6">
        <w:rPr>
          <w:rFonts w:ascii="Arial" w:hAnsi="Arial" w:cs="Arial"/>
          <w:sz w:val="24"/>
          <w:szCs w:val="24"/>
        </w:rPr>
        <w:t xml:space="preserve">and </w:t>
      </w:r>
      <w:r>
        <w:rPr>
          <w:rFonts w:ascii="Arial" w:hAnsi="Arial" w:cs="Arial"/>
          <w:sz w:val="24"/>
          <w:szCs w:val="24"/>
        </w:rPr>
        <w:t>Maria and her children appealed this order.</w:t>
      </w:r>
    </w:p>
    <w:p w:rsidR="007F1363" w:rsidRDefault="007F1363" w:rsidP="007F1363">
      <w:pPr>
        <w:spacing w:after="0" w:line="360" w:lineRule="auto"/>
        <w:jc w:val="both"/>
        <w:rPr>
          <w:rFonts w:ascii="Arial" w:hAnsi="Arial" w:cs="Arial"/>
          <w:sz w:val="24"/>
          <w:szCs w:val="24"/>
        </w:rPr>
      </w:pPr>
    </w:p>
    <w:p w:rsidR="007F1363" w:rsidRPr="00E90F2B" w:rsidRDefault="007F1363" w:rsidP="007F1363">
      <w:pPr>
        <w:spacing w:after="0" w:line="360" w:lineRule="auto"/>
        <w:jc w:val="both"/>
        <w:rPr>
          <w:rFonts w:ascii="Arial" w:hAnsi="Arial" w:cs="Arial"/>
          <w:sz w:val="24"/>
          <w:szCs w:val="24"/>
        </w:rPr>
      </w:pPr>
      <w:r>
        <w:rPr>
          <w:rFonts w:ascii="Arial" w:hAnsi="Arial" w:cs="Arial"/>
          <w:sz w:val="24"/>
          <w:szCs w:val="24"/>
        </w:rPr>
        <w:t xml:space="preserve">On appeal, the appellants did not attack the order to review and set aside the Minister’s decision to withdraw the lease. It is the consequential orders that flow from this order that </w:t>
      </w:r>
      <w:r w:rsidR="00E547A1">
        <w:rPr>
          <w:rFonts w:ascii="Arial" w:hAnsi="Arial" w:cs="Arial"/>
          <w:sz w:val="24"/>
          <w:szCs w:val="24"/>
        </w:rPr>
        <w:t>are</w:t>
      </w:r>
      <w:r>
        <w:rPr>
          <w:rFonts w:ascii="Arial" w:hAnsi="Arial" w:cs="Arial"/>
          <w:sz w:val="24"/>
          <w:szCs w:val="24"/>
        </w:rPr>
        <w:t xml:space="preserve"> in dispute. The appellants maintain that the consequential orders should recognise Maria as the person whose recognition as assignee should be </w:t>
      </w:r>
      <w:r w:rsidRPr="00E90F2B">
        <w:rPr>
          <w:rFonts w:ascii="Arial" w:hAnsi="Arial" w:cs="Arial"/>
          <w:sz w:val="24"/>
          <w:szCs w:val="24"/>
        </w:rPr>
        <w:t xml:space="preserve">sought </w:t>
      </w:r>
      <w:r w:rsidR="00E547A1">
        <w:rPr>
          <w:rFonts w:ascii="Arial" w:hAnsi="Arial" w:cs="Arial"/>
          <w:sz w:val="24"/>
          <w:szCs w:val="24"/>
        </w:rPr>
        <w:t>from the Minister acting on the recommendation of the Commission</w:t>
      </w:r>
      <w:r w:rsidRPr="00E90F2B">
        <w:rPr>
          <w:rFonts w:ascii="Arial" w:hAnsi="Arial" w:cs="Arial"/>
          <w:sz w:val="24"/>
          <w:szCs w:val="24"/>
        </w:rPr>
        <w:t xml:space="preserve"> and not Johannes as ordered by the judge </w:t>
      </w:r>
      <w:r w:rsidRPr="00E90F2B">
        <w:rPr>
          <w:rFonts w:ascii="Arial" w:hAnsi="Arial" w:cs="Arial"/>
          <w:i/>
          <w:sz w:val="24"/>
          <w:szCs w:val="24"/>
        </w:rPr>
        <w:t>a quo</w:t>
      </w:r>
      <w:r w:rsidRPr="00E90F2B">
        <w:rPr>
          <w:rFonts w:ascii="Arial" w:hAnsi="Arial" w:cs="Arial"/>
          <w:sz w:val="24"/>
          <w:szCs w:val="24"/>
        </w:rPr>
        <w:t>.</w:t>
      </w:r>
      <w:r>
        <w:rPr>
          <w:rFonts w:ascii="Arial" w:hAnsi="Arial" w:cs="Arial"/>
          <w:sz w:val="24"/>
          <w:szCs w:val="24"/>
        </w:rPr>
        <w:t xml:space="preserve"> The appellants also took issue with the court </w:t>
      </w:r>
      <w:r w:rsidRPr="003D0738">
        <w:rPr>
          <w:rFonts w:ascii="Arial" w:hAnsi="Arial" w:cs="Arial"/>
          <w:i/>
          <w:sz w:val="24"/>
          <w:szCs w:val="24"/>
        </w:rPr>
        <w:t>a quo</w:t>
      </w:r>
      <w:r>
        <w:rPr>
          <w:rFonts w:ascii="Arial" w:hAnsi="Arial" w:cs="Arial"/>
          <w:sz w:val="24"/>
          <w:szCs w:val="24"/>
        </w:rPr>
        <w:t xml:space="preserve">’s finding that </w:t>
      </w:r>
      <w:r w:rsidR="00E547A1">
        <w:rPr>
          <w:rFonts w:ascii="Arial" w:hAnsi="Arial" w:cs="Arial"/>
          <w:sz w:val="24"/>
          <w:szCs w:val="24"/>
        </w:rPr>
        <w:t>a</w:t>
      </w:r>
      <w:r>
        <w:rPr>
          <w:rFonts w:ascii="Arial" w:hAnsi="Arial" w:cs="Arial"/>
          <w:sz w:val="24"/>
          <w:szCs w:val="24"/>
        </w:rPr>
        <w:t xml:space="preserve"> copy of </w:t>
      </w:r>
      <w:r w:rsidR="00E547A1">
        <w:rPr>
          <w:rFonts w:ascii="Arial" w:hAnsi="Arial" w:cs="Arial"/>
          <w:sz w:val="24"/>
          <w:szCs w:val="24"/>
        </w:rPr>
        <w:t>the</w:t>
      </w:r>
      <w:r>
        <w:rPr>
          <w:rFonts w:ascii="Arial" w:hAnsi="Arial" w:cs="Arial"/>
          <w:sz w:val="24"/>
          <w:szCs w:val="24"/>
        </w:rPr>
        <w:t xml:space="preserve"> document relied on by Johannes, which was not lodged with the </w:t>
      </w:r>
      <w:r>
        <w:rPr>
          <w:rFonts w:ascii="Arial" w:hAnsi="Arial" w:cs="Arial"/>
          <w:sz w:val="24"/>
          <w:szCs w:val="24"/>
        </w:rPr>
        <w:lastRenderedPageBreak/>
        <w:t xml:space="preserve">Master of the High Court, bequeathing the lease to him, as a </w:t>
      </w:r>
      <w:r w:rsidR="004267EC">
        <w:rPr>
          <w:rFonts w:ascii="Arial" w:hAnsi="Arial" w:cs="Arial"/>
          <w:sz w:val="24"/>
          <w:szCs w:val="24"/>
        </w:rPr>
        <w:t>w</w:t>
      </w:r>
      <w:r w:rsidR="008D7695">
        <w:rPr>
          <w:rFonts w:ascii="Arial" w:hAnsi="Arial" w:cs="Arial"/>
          <w:sz w:val="24"/>
          <w:szCs w:val="24"/>
        </w:rPr>
        <w:t>ill</w:t>
      </w:r>
      <w:r>
        <w:rPr>
          <w:rFonts w:ascii="Arial" w:hAnsi="Arial" w:cs="Arial"/>
          <w:sz w:val="24"/>
          <w:szCs w:val="24"/>
        </w:rPr>
        <w:t xml:space="preserve"> of the deceased</w:t>
      </w:r>
      <w:r w:rsidR="00AE1B16">
        <w:rPr>
          <w:rFonts w:ascii="Arial" w:hAnsi="Arial" w:cs="Arial"/>
          <w:sz w:val="24"/>
          <w:szCs w:val="24"/>
        </w:rPr>
        <w:t>,</w:t>
      </w:r>
      <w:r>
        <w:rPr>
          <w:rFonts w:ascii="Arial" w:hAnsi="Arial" w:cs="Arial"/>
          <w:sz w:val="24"/>
          <w:szCs w:val="24"/>
        </w:rPr>
        <w:t xml:space="preserve"> when there is a factual dispute as to </w:t>
      </w:r>
      <w:r w:rsidR="00E20D71">
        <w:rPr>
          <w:rFonts w:ascii="Arial" w:hAnsi="Arial" w:cs="Arial"/>
          <w:sz w:val="24"/>
          <w:szCs w:val="24"/>
        </w:rPr>
        <w:t>its validity</w:t>
      </w:r>
      <w:r>
        <w:rPr>
          <w:rFonts w:ascii="Arial" w:hAnsi="Arial" w:cs="Arial"/>
          <w:sz w:val="24"/>
          <w:szCs w:val="24"/>
        </w:rPr>
        <w:t>.</w:t>
      </w:r>
    </w:p>
    <w:p w:rsidR="007F1363" w:rsidRDefault="007F1363" w:rsidP="007F1363">
      <w:pPr>
        <w:spacing w:after="0" w:line="360" w:lineRule="auto"/>
        <w:jc w:val="both"/>
        <w:rPr>
          <w:rFonts w:ascii="Arial" w:hAnsi="Arial" w:cs="Arial"/>
          <w:sz w:val="24"/>
          <w:szCs w:val="24"/>
        </w:rPr>
      </w:pPr>
    </w:p>
    <w:p w:rsidR="007F1363" w:rsidRDefault="007F1363" w:rsidP="007F1363">
      <w:pPr>
        <w:spacing w:after="0" w:line="360" w:lineRule="auto"/>
        <w:jc w:val="both"/>
        <w:rPr>
          <w:rFonts w:ascii="Arial" w:hAnsi="Arial" w:cs="Arial"/>
          <w:sz w:val="24"/>
          <w:szCs w:val="24"/>
        </w:rPr>
      </w:pPr>
      <w:r>
        <w:rPr>
          <w:rFonts w:ascii="Arial" w:hAnsi="Arial" w:cs="Arial"/>
          <w:sz w:val="24"/>
          <w:szCs w:val="24"/>
        </w:rPr>
        <w:t xml:space="preserve">This court </w:t>
      </w:r>
      <w:r w:rsidR="00E20D71">
        <w:rPr>
          <w:rFonts w:ascii="Arial" w:hAnsi="Arial" w:cs="Arial"/>
          <w:sz w:val="24"/>
          <w:szCs w:val="24"/>
        </w:rPr>
        <w:t xml:space="preserve">was called upon to </w:t>
      </w:r>
      <w:r>
        <w:rPr>
          <w:rFonts w:ascii="Arial" w:hAnsi="Arial" w:cs="Arial"/>
          <w:sz w:val="24"/>
          <w:szCs w:val="24"/>
        </w:rPr>
        <w:t xml:space="preserve">determine the following: (1) </w:t>
      </w:r>
      <w:r w:rsidR="00E20D71">
        <w:rPr>
          <w:rFonts w:ascii="Arial" w:hAnsi="Arial" w:cs="Arial"/>
          <w:sz w:val="24"/>
          <w:szCs w:val="24"/>
        </w:rPr>
        <w:t xml:space="preserve">the </w:t>
      </w:r>
      <w:r>
        <w:rPr>
          <w:rFonts w:ascii="Arial" w:hAnsi="Arial" w:cs="Arial"/>
          <w:sz w:val="24"/>
          <w:szCs w:val="24"/>
        </w:rPr>
        <w:t xml:space="preserve">process of appointing an assignee in terms of s 53 of the ACLRA; (2) whether the lease forms part of the joint estate; (3) whether a copy of the document relied on by Johannes is a valid </w:t>
      </w:r>
      <w:r w:rsidR="004267EC">
        <w:rPr>
          <w:rFonts w:ascii="Arial" w:hAnsi="Arial" w:cs="Arial"/>
          <w:sz w:val="24"/>
          <w:szCs w:val="24"/>
        </w:rPr>
        <w:t>w</w:t>
      </w:r>
      <w:r w:rsidR="008D7695">
        <w:rPr>
          <w:rFonts w:ascii="Arial" w:hAnsi="Arial" w:cs="Arial"/>
          <w:sz w:val="24"/>
          <w:szCs w:val="24"/>
        </w:rPr>
        <w:t>ill</w:t>
      </w:r>
      <w:r>
        <w:rPr>
          <w:rFonts w:ascii="Arial" w:hAnsi="Arial" w:cs="Arial"/>
          <w:sz w:val="24"/>
          <w:szCs w:val="24"/>
        </w:rPr>
        <w:t xml:space="preserve"> of the deceased; (4) whether the court </w:t>
      </w:r>
      <w:r w:rsidRPr="00FF3365">
        <w:rPr>
          <w:rFonts w:ascii="Arial" w:hAnsi="Arial" w:cs="Arial"/>
          <w:i/>
          <w:sz w:val="24"/>
          <w:szCs w:val="24"/>
        </w:rPr>
        <w:t>a quo</w:t>
      </w:r>
      <w:r>
        <w:rPr>
          <w:rFonts w:ascii="Arial" w:hAnsi="Arial" w:cs="Arial"/>
          <w:sz w:val="24"/>
          <w:szCs w:val="24"/>
        </w:rPr>
        <w:t xml:space="preserve"> was correct in the main application when it found that the executrix was not entitled to present herself as the only assignee in respect of the leasehold.</w:t>
      </w:r>
    </w:p>
    <w:p w:rsidR="007F1363" w:rsidRDefault="007F1363" w:rsidP="007F1363">
      <w:pPr>
        <w:spacing w:after="0" w:line="360" w:lineRule="auto"/>
        <w:jc w:val="both"/>
        <w:rPr>
          <w:rFonts w:ascii="Arial" w:hAnsi="Arial" w:cs="Arial"/>
          <w:sz w:val="24"/>
          <w:szCs w:val="24"/>
        </w:rPr>
      </w:pPr>
    </w:p>
    <w:p w:rsidR="007F1363" w:rsidRDefault="007F1363" w:rsidP="007F1363">
      <w:pPr>
        <w:spacing w:after="0" w:line="360" w:lineRule="auto"/>
        <w:jc w:val="both"/>
        <w:rPr>
          <w:rFonts w:ascii="Arial" w:hAnsi="Arial" w:cs="Arial"/>
          <w:sz w:val="24"/>
          <w:szCs w:val="24"/>
        </w:rPr>
      </w:pPr>
      <w:r w:rsidRPr="00487AFF">
        <w:rPr>
          <w:rFonts w:ascii="Arial" w:hAnsi="Arial" w:cs="Arial"/>
          <w:i/>
          <w:sz w:val="24"/>
          <w:szCs w:val="24"/>
        </w:rPr>
        <w:t>Held that</w:t>
      </w:r>
      <w:r>
        <w:rPr>
          <w:rFonts w:ascii="Arial" w:hAnsi="Arial" w:cs="Arial"/>
          <w:sz w:val="24"/>
          <w:szCs w:val="24"/>
        </w:rPr>
        <w:t xml:space="preserve">, the process of assigning a 99 year lease in terms of s 53 of the ACLRA, the interplay between the provisions of s </w:t>
      </w:r>
      <w:r w:rsidR="00BB01B9">
        <w:rPr>
          <w:rFonts w:ascii="Arial" w:hAnsi="Arial" w:cs="Arial"/>
          <w:sz w:val="24"/>
          <w:szCs w:val="24"/>
        </w:rPr>
        <w:t>5</w:t>
      </w:r>
      <w:r>
        <w:rPr>
          <w:rFonts w:ascii="Arial" w:hAnsi="Arial" w:cs="Arial"/>
          <w:sz w:val="24"/>
          <w:szCs w:val="24"/>
        </w:rPr>
        <w:t xml:space="preserve">3 of the ACLRA and the law of succession are well established in </w:t>
      </w:r>
      <w:r w:rsidRPr="00487AFF">
        <w:rPr>
          <w:rFonts w:ascii="Arial" w:hAnsi="Arial" w:cs="Arial"/>
          <w:i/>
          <w:sz w:val="24"/>
          <w:szCs w:val="24"/>
        </w:rPr>
        <w:t>Meroro v Minister of Lands, Resettlement and Rehabilitation &amp; others</w:t>
      </w:r>
      <w:r>
        <w:rPr>
          <w:rFonts w:ascii="Arial" w:hAnsi="Arial" w:cs="Arial"/>
          <w:sz w:val="24"/>
          <w:szCs w:val="24"/>
        </w:rPr>
        <w:t xml:space="preserve">. The parties in this matter, like those in </w:t>
      </w:r>
      <w:r w:rsidRPr="00843CF1">
        <w:rPr>
          <w:rFonts w:ascii="Arial" w:hAnsi="Arial" w:cs="Arial"/>
          <w:i/>
          <w:sz w:val="24"/>
          <w:szCs w:val="24"/>
        </w:rPr>
        <w:t>Meroro</w:t>
      </w:r>
      <w:r>
        <w:rPr>
          <w:rFonts w:ascii="Arial" w:hAnsi="Arial" w:cs="Arial"/>
          <w:sz w:val="24"/>
          <w:szCs w:val="24"/>
        </w:rPr>
        <w:t>, did not appreciate the process envisaged in the ACLRA and approached the Commission and the Minister based on equitable considerations.</w:t>
      </w:r>
    </w:p>
    <w:p w:rsidR="007F1363" w:rsidRDefault="007F1363" w:rsidP="007F1363">
      <w:pPr>
        <w:spacing w:after="0" w:line="360" w:lineRule="auto"/>
        <w:jc w:val="both"/>
        <w:rPr>
          <w:rFonts w:ascii="Arial" w:hAnsi="Arial" w:cs="Arial"/>
          <w:sz w:val="24"/>
          <w:szCs w:val="24"/>
        </w:rPr>
      </w:pPr>
    </w:p>
    <w:p w:rsidR="007F1363" w:rsidRDefault="007F1363" w:rsidP="007F1363">
      <w:pPr>
        <w:spacing w:after="0" w:line="360" w:lineRule="auto"/>
        <w:jc w:val="both"/>
        <w:rPr>
          <w:rFonts w:ascii="Arial" w:hAnsi="Arial" w:cs="Arial"/>
          <w:sz w:val="24"/>
          <w:szCs w:val="24"/>
        </w:rPr>
      </w:pPr>
      <w:r w:rsidRPr="00487AFF">
        <w:rPr>
          <w:rFonts w:ascii="Arial" w:hAnsi="Arial" w:cs="Arial"/>
          <w:i/>
          <w:sz w:val="24"/>
          <w:szCs w:val="24"/>
        </w:rPr>
        <w:t>Held</w:t>
      </w:r>
      <w:r>
        <w:rPr>
          <w:rFonts w:ascii="Arial" w:hAnsi="Arial" w:cs="Arial"/>
          <w:sz w:val="24"/>
          <w:szCs w:val="24"/>
        </w:rPr>
        <w:t xml:space="preserve">, the court </w:t>
      </w:r>
      <w:r w:rsidRPr="00107475">
        <w:rPr>
          <w:rFonts w:ascii="Arial" w:hAnsi="Arial" w:cs="Arial"/>
          <w:i/>
          <w:sz w:val="24"/>
          <w:szCs w:val="24"/>
        </w:rPr>
        <w:t>a quo</w:t>
      </w:r>
      <w:r>
        <w:rPr>
          <w:rFonts w:ascii="Arial" w:hAnsi="Arial" w:cs="Arial"/>
          <w:sz w:val="24"/>
          <w:szCs w:val="24"/>
        </w:rPr>
        <w:t xml:space="preserve"> was correct to label the alleged assignment by the executrix of the lease to herself (Maria) as ineffectual and this appeal ground stands to be dismissed. Johannes approaching the Commission and the Minister to become sole assignee was also equally flawed. </w:t>
      </w:r>
    </w:p>
    <w:p w:rsidR="007F1363" w:rsidRDefault="007F1363" w:rsidP="007F1363">
      <w:pPr>
        <w:spacing w:after="0" w:line="360" w:lineRule="auto"/>
        <w:jc w:val="both"/>
        <w:rPr>
          <w:rFonts w:ascii="Arial" w:hAnsi="Arial" w:cs="Arial"/>
          <w:sz w:val="24"/>
          <w:szCs w:val="24"/>
        </w:rPr>
      </w:pPr>
    </w:p>
    <w:p w:rsidR="007F1363" w:rsidRDefault="007F1363" w:rsidP="007F1363">
      <w:pPr>
        <w:spacing w:after="0" w:line="360" w:lineRule="auto"/>
        <w:jc w:val="both"/>
        <w:rPr>
          <w:rFonts w:ascii="Arial" w:hAnsi="Arial" w:cs="Arial"/>
          <w:sz w:val="24"/>
          <w:szCs w:val="24"/>
        </w:rPr>
      </w:pPr>
      <w:r w:rsidRPr="00EE4DA6">
        <w:rPr>
          <w:rFonts w:ascii="Arial" w:hAnsi="Arial" w:cs="Arial"/>
          <w:i/>
          <w:sz w:val="24"/>
          <w:szCs w:val="24"/>
        </w:rPr>
        <w:t>Held that</w:t>
      </w:r>
      <w:r>
        <w:rPr>
          <w:rFonts w:ascii="Arial" w:hAnsi="Arial" w:cs="Arial"/>
          <w:sz w:val="24"/>
          <w:szCs w:val="24"/>
        </w:rPr>
        <w:t xml:space="preserve">, the court </w:t>
      </w:r>
      <w:r w:rsidRPr="005F127C">
        <w:rPr>
          <w:rFonts w:ascii="Arial" w:hAnsi="Arial" w:cs="Arial"/>
          <w:i/>
          <w:sz w:val="24"/>
          <w:szCs w:val="24"/>
        </w:rPr>
        <w:t>a quo</w:t>
      </w:r>
      <w:r>
        <w:rPr>
          <w:rFonts w:ascii="Arial" w:hAnsi="Arial" w:cs="Arial"/>
          <w:sz w:val="24"/>
          <w:szCs w:val="24"/>
        </w:rPr>
        <w:t xml:space="preserve"> was incorrect in its finding that the lease did not form part of the joint estate of Maria and the deceased and that appeal on this ground is successful. </w:t>
      </w:r>
    </w:p>
    <w:p w:rsidR="007F1363" w:rsidRDefault="007F1363" w:rsidP="007F1363">
      <w:pPr>
        <w:spacing w:after="0" w:line="360" w:lineRule="auto"/>
        <w:jc w:val="both"/>
        <w:rPr>
          <w:rFonts w:ascii="Arial" w:hAnsi="Arial" w:cs="Arial"/>
          <w:sz w:val="24"/>
          <w:szCs w:val="24"/>
        </w:rPr>
      </w:pPr>
    </w:p>
    <w:p w:rsidR="007F1363" w:rsidRDefault="007F1363" w:rsidP="007F1363">
      <w:pPr>
        <w:spacing w:after="0" w:line="360" w:lineRule="auto"/>
        <w:jc w:val="both"/>
        <w:rPr>
          <w:rFonts w:ascii="Arial" w:hAnsi="Arial" w:cs="Arial"/>
          <w:sz w:val="24"/>
          <w:szCs w:val="24"/>
        </w:rPr>
      </w:pPr>
      <w:r w:rsidRPr="00EE4DA6">
        <w:rPr>
          <w:rFonts w:ascii="Arial" w:hAnsi="Arial" w:cs="Arial"/>
          <w:i/>
          <w:sz w:val="24"/>
          <w:szCs w:val="24"/>
        </w:rPr>
        <w:t>Held that</w:t>
      </w:r>
      <w:r>
        <w:rPr>
          <w:rFonts w:ascii="Arial" w:hAnsi="Arial" w:cs="Arial"/>
          <w:sz w:val="24"/>
          <w:szCs w:val="24"/>
        </w:rPr>
        <w:t xml:space="preserve">, to establish the existence of a </w:t>
      </w:r>
      <w:r w:rsidR="004267EC">
        <w:rPr>
          <w:rFonts w:ascii="Arial" w:hAnsi="Arial" w:cs="Arial"/>
          <w:sz w:val="24"/>
          <w:szCs w:val="24"/>
        </w:rPr>
        <w:t>w</w:t>
      </w:r>
      <w:r w:rsidR="008D7695">
        <w:rPr>
          <w:rFonts w:ascii="Arial" w:hAnsi="Arial" w:cs="Arial"/>
          <w:sz w:val="24"/>
          <w:szCs w:val="24"/>
        </w:rPr>
        <w:t>ill</w:t>
      </w:r>
      <w:r w:rsidR="00AE1B16">
        <w:rPr>
          <w:rFonts w:ascii="Arial" w:hAnsi="Arial" w:cs="Arial"/>
          <w:sz w:val="24"/>
          <w:szCs w:val="24"/>
        </w:rPr>
        <w:t>,</w:t>
      </w:r>
      <w:r>
        <w:rPr>
          <w:rFonts w:ascii="Arial" w:hAnsi="Arial" w:cs="Arial"/>
          <w:sz w:val="24"/>
          <w:szCs w:val="24"/>
        </w:rPr>
        <w:t xml:space="preserve"> Johannes had to produce the original or explain what happened to the original. This follows from the best evidence rule.</w:t>
      </w:r>
    </w:p>
    <w:p w:rsidR="007F1363" w:rsidRDefault="007F1363" w:rsidP="007F1363">
      <w:pPr>
        <w:spacing w:after="0" w:line="360" w:lineRule="auto"/>
        <w:jc w:val="both"/>
        <w:rPr>
          <w:rFonts w:ascii="Arial" w:hAnsi="Arial" w:cs="Arial"/>
          <w:sz w:val="24"/>
          <w:szCs w:val="24"/>
        </w:rPr>
      </w:pPr>
    </w:p>
    <w:p w:rsidR="007F1363" w:rsidRDefault="007F1363" w:rsidP="007F1363">
      <w:pPr>
        <w:spacing w:after="0" w:line="360" w:lineRule="auto"/>
        <w:jc w:val="both"/>
        <w:rPr>
          <w:rFonts w:ascii="Arial" w:hAnsi="Arial" w:cs="Arial"/>
          <w:sz w:val="24"/>
          <w:szCs w:val="24"/>
        </w:rPr>
      </w:pPr>
      <w:r w:rsidRPr="007544C5">
        <w:rPr>
          <w:rFonts w:ascii="Arial" w:hAnsi="Arial" w:cs="Arial"/>
          <w:i/>
          <w:sz w:val="24"/>
          <w:szCs w:val="24"/>
        </w:rPr>
        <w:t>Held</w:t>
      </w:r>
      <w:r>
        <w:rPr>
          <w:rFonts w:ascii="Arial" w:hAnsi="Arial" w:cs="Arial"/>
          <w:sz w:val="24"/>
          <w:szCs w:val="24"/>
        </w:rPr>
        <w:t xml:space="preserve">, the court </w:t>
      </w:r>
      <w:r w:rsidRPr="0094173D">
        <w:rPr>
          <w:rFonts w:ascii="Arial" w:hAnsi="Arial" w:cs="Arial"/>
          <w:i/>
          <w:sz w:val="24"/>
          <w:szCs w:val="24"/>
        </w:rPr>
        <w:t>a quo</w:t>
      </w:r>
      <w:r>
        <w:rPr>
          <w:rFonts w:ascii="Arial" w:hAnsi="Arial" w:cs="Arial"/>
          <w:sz w:val="24"/>
          <w:szCs w:val="24"/>
        </w:rPr>
        <w:t xml:space="preserve"> was wrong in its approach when accepting the validity of the </w:t>
      </w:r>
      <w:r w:rsidR="004267EC">
        <w:rPr>
          <w:rFonts w:ascii="Arial" w:hAnsi="Arial" w:cs="Arial"/>
          <w:sz w:val="24"/>
          <w:szCs w:val="24"/>
        </w:rPr>
        <w:t>w</w:t>
      </w:r>
      <w:r w:rsidR="008D7695">
        <w:rPr>
          <w:rFonts w:ascii="Arial" w:hAnsi="Arial" w:cs="Arial"/>
          <w:sz w:val="24"/>
          <w:szCs w:val="24"/>
        </w:rPr>
        <w:t>ill</w:t>
      </w:r>
      <w:r>
        <w:rPr>
          <w:rFonts w:ascii="Arial" w:hAnsi="Arial" w:cs="Arial"/>
          <w:sz w:val="24"/>
          <w:szCs w:val="24"/>
        </w:rPr>
        <w:t xml:space="preserve"> as this issue was not capable of being determined on the papers. Further, as agreed to between the parties, Johannes must lodge the </w:t>
      </w:r>
      <w:r w:rsidR="004267EC">
        <w:rPr>
          <w:rFonts w:ascii="Arial" w:hAnsi="Arial" w:cs="Arial"/>
          <w:sz w:val="24"/>
          <w:szCs w:val="24"/>
        </w:rPr>
        <w:t>w</w:t>
      </w:r>
      <w:r w:rsidR="008D7695">
        <w:rPr>
          <w:rFonts w:ascii="Arial" w:hAnsi="Arial" w:cs="Arial"/>
          <w:sz w:val="24"/>
          <w:szCs w:val="24"/>
        </w:rPr>
        <w:t>ill</w:t>
      </w:r>
      <w:r>
        <w:rPr>
          <w:rFonts w:ascii="Arial" w:hAnsi="Arial" w:cs="Arial"/>
          <w:sz w:val="24"/>
          <w:szCs w:val="24"/>
        </w:rPr>
        <w:t xml:space="preserve"> with the Master of the High Court </w:t>
      </w:r>
      <w:r>
        <w:rPr>
          <w:rFonts w:ascii="Arial" w:hAnsi="Arial" w:cs="Arial"/>
          <w:sz w:val="24"/>
          <w:szCs w:val="24"/>
        </w:rPr>
        <w:lastRenderedPageBreak/>
        <w:t>as he should have done and that the matter should then run its course as envisaged in the Administration of Estates Act 66 of 1965.</w:t>
      </w:r>
    </w:p>
    <w:p w:rsidR="007F1363" w:rsidRDefault="007F1363" w:rsidP="007F1363">
      <w:pPr>
        <w:spacing w:after="0" w:line="360" w:lineRule="auto"/>
        <w:jc w:val="both"/>
        <w:rPr>
          <w:rFonts w:ascii="Arial" w:hAnsi="Arial" w:cs="Arial"/>
          <w:sz w:val="24"/>
          <w:szCs w:val="24"/>
        </w:rPr>
      </w:pPr>
    </w:p>
    <w:p w:rsidR="007F1363" w:rsidRDefault="007F1363" w:rsidP="007F1363">
      <w:pPr>
        <w:spacing w:after="0" w:line="360" w:lineRule="auto"/>
        <w:jc w:val="both"/>
        <w:rPr>
          <w:rFonts w:ascii="Arial" w:hAnsi="Arial" w:cs="Arial"/>
          <w:sz w:val="24"/>
          <w:szCs w:val="24"/>
        </w:rPr>
      </w:pPr>
      <w:r w:rsidRPr="00BA61E7">
        <w:rPr>
          <w:rFonts w:ascii="Arial" w:hAnsi="Arial" w:cs="Arial"/>
          <w:sz w:val="24"/>
          <w:szCs w:val="24"/>
        </w:rPr>
        <w:t>Held that</w:t>
      </w:r>
      <w:r>
        <w:rPr>
          <w:rFonts w:ascii="Arial" w:hAnsi="Arial" w:cs="Arial"/>
          <w:sz w:val="24"/>
          <w:szCs w:val="24"/>
        </w:rPr>
        <w:t xml:space="preserve">, having found that Maria and Johannes independently approaching the Land Reform Advisory Commission for a recommendation to the Minister to approve </w:t>
      </w:r>
      <w:r w:rsidR="00AE1B16">
        <w:rPr>
          <w:rFonts w:ascii="Arial" w:hAnsi="Arial" w:cs="Arial"/>
          <w:sz w:val="24"/>
          <w:szCs w:val="24"/>
        </w:rPr>
        <w:t xml:space="preserve">each one of </w:t>
      </w:r>
      <w:r>
        <w:rPr>
          <w:rFonts w:ascii="Arial" w:hAnsi="Arial" w:cs="Arial"/>
          <w:sz w:val="24"/>
          <w:szCs w:val="24"/>
        </w:rPr>
        <w:t xml:space="preserve">them as the sole assignee of the leasehold is flawed, and the Minister’s decision to withdraw the </w:t>
      </w:r>
      <w:r w:rsidR="00BB01B9">
        <w:rPr>
          <w:rFonts w:ascii="Arial" w:hAnsi="Arial" w:cs="Arial"/>
          <w:sz w:val="24"/>
          <w:szCs w:val="24"/>
        </w:rPr>
        <w:t xml:space="preserve">lease </w:t>
      </w:r>
      <w:r>
        <w:rPr>
          <w:rFonts w:ascii="Arial" w:hAnsi="Arial" w:cs="Arial"/>
          <w:sz w:val="24"/>
          <w:szCs w:val="24"/>
        </w:rPr>
        <w:t>having been set aside (and not appealed against) – this court orders an assignment afresh, by the executor to the Commission, so as to enable it to make recommendations to the Minister for approval.</w:t>
      </w:r>
    </w:p>
    <w:p w:rsidR="007F1363" w:rsidRDefault="007F1363" w:rsidP="007F1363">
      <w:pPr>
        <w:spacing w:after="0" w:line="360" w:lineRule="auto"/>
        <w:jc w:val="both"/>
        <w:rPr>
          <w:rFonts w:ascii="Arial" w:hAnsi="Arial" w:cs="Arial"/>
          <w:sz w:val="24"/>
          <w:szCs w:val="24"/>
        </w:rPr>
      </w:pPr>
    </w:p>
    <w:p w:rsidR="007F1363" w:rsidRDefault="007F1363" w:rsidP="007F1363">
      <w:pPr>
        <w:spacing w:after="0" w:line="360" w:lineRule="auto"/>
        <w:jc w:val="both"/>
        <w:rPr>
          <w:rFonts w:ascii="Arial" w:hAnsi="Arial" w:cs="Arial"/>
          <w:sz w:val="24"/>
          <w:szCs w:val="24"/>
        </w:rPr>
      </w:pPr>
      <w:r w:rsidRPr="00FB44AA">
        <w:rPr>
          <w:rFonts w:ascii="Arial" w:hAnsi="Arial" w:cs="Arial"/>
          <w:i/>
          <w:sz w:val="24"/>
          <w:szCs w:val="24"/>
        </w:rPr>
        <w:t>Held that</w:t>
      </w:r>
      <w:r>
        <w:rPr>
          <w:rFonts w:ascii="Arial" w:hAnsi="Arial" w:cs="Arial"/>
          <w:sz w:val="24"/>
          <w:szCs w:val="24"/>
        </w:rPr>
        <w:t xml:space="preserve">, the court </w:t>
      </w:r>
      <w:r w:rsidRPr="00D1172B">
        <w:rPr>
          <w:rFonts w:ascii="Arial" w:hAnsi="Arial" w:cs="Arial"/>
          <w:i/>
          <w:sz w:val="24"/>
          <w:szCs w:val="24"/>
        </w:rPr>
        <w:t>a quo</w:t>
      </w:r>
      <w:r w:rsidR="00E20D71" w:rsidRPr="00E20D71">
        <w:rPr>
          <w:rFonts w:ascii="Arial" w:hAnsi="Arial" w:cs="Arial"/>
          <w:sz w:val="24"/>
          <w:szCs w:val="24"/>
        </w:rPr>
        <w:t>’s decision</w:t>
      </w:r>
      <w:r w:rsidR="00E20D71">
        <w:rPr>
          <w:rFonts w:ascii="Arial" w:hAnsi="Arial" w:cs="Arial"/>
          <w:i/>
          <w:sz w:val="24"/>
          <w:szCs w:val="24"/>
        </w:rPr>
        <w:t xml:space="preserve"> </w:t>
      </w:r>
      <w:r w:rsidR="00E20D71">
        <w:rPr>
          <w:rFonts w:ascii="Arial" w:hAnsi="Arial" w:cs="Arial"/>
          <w:sz w:val="24"/>
          <w:szCs w:val="24"/>
        </w:rPr>
        <w:t>not to deal</w:t>
      </w:r>
      <w:r>
        <w:rPr>
          <w:rFonts w:ascii="Arial" w:hAnsi="Arial" w:cs="Arial"/>
          <w:sz w:val="24"/>
          <w:szCs w:val="24"/>
        </w:rPr>
        <w:t xml:space="preserve"> with the counter application was not to the detriment of the appellant as it was without merit.</w:t>
      </w:r>
    </w:p>
    <w:p w:rsidR="007F1363" w:rsidRDefault="007F1363" w:rsidP="007F1363">
      <w:pPr>
        <w:spacing w:after="0" w:line="360" w:lineRule="auto"/>
        <w:jc w:val="both"/>
        <w:rPr>
          <w:rFonts w:ascii="Arial" w:hAnsi="Arial" w:cs="Arial"/>
          <w:sz w:val="24"/>
          <w:szCs w:val="24"/>
        </w:rPr>
      </w:pPr>
    </w:p>
    <w:p w:rsidR="007F1363" w:rsidRDefault="007F1363" w:rsidP="007F1363">
      <w:pPr>
        <w:spacing w:after="0" w:line="360" w:lineRule="auto"/>
        <w:jc w:val="both"/>
        <w:rPr>
          <w:rFonts w:ascii="Arial" w:hAnsi="Arial" w:cs="Arial"/>
          <w:sz w:val="24"/>
          <w:szCs w:val="24"/>
        </w:rPr>
      </w:pPr>
      <w:r w:rsidRPr="00FB44AA">
        <w:rPr>
          <w:rFonts w:ascii="Arial" w:hAnsi="Arial" w:cs="Arial"/>
          <w:i/>
          <w:sz w:val="24"/>
          <w:szCs w:val="24"/>
        </w:rPr>
        <w:t>Held that</w:t>
      </w:r>
      <w:r>
        <w:rPr>
          <w:rFonts w:ascii="Arial" w:hAnsi="Arial" w:cs="Arial"/>
          <w:sz w:val="24"/>
          <w:szCs w:val="24"/>
        </w:rPr>
        <w:t xml:space="preserve">, the decision by the court </w:t>
      </w:r>
      <w:r w:rsidRPr="00A5693A">
        <w:rPr>
          <w:rFonts w:ascii="Arial" w:hAnsi="Arial" w:cs="Arial"/>
          <w:i/>
          <w:sz w:val="24"/>
          <w:szCs w:val="24"/>
        </w:rPr>
        <w:t>a quo</w:t>
      </w:r>
      <w:r>
        <w:rPr>
          <w:rFonts w:ascii="Arial" w:hAnsi="Arial" w:cs="Arial"/>
          <w:sz w:val="24"/>
          <w:szCs w:val="24"/>
        </w:rPr>
        <w:t xml:space="preserve"> setting aside the Minister’s decision to withdraw the lease kept the lease in place and vested in the executrix of the estate. Further, because the lease forms part of the joint estate created by the marriage in community of property between Maria and the deceased, she is entitled to be an assignee to at least 50 per cent interest in the lease and a</w:t>
      </w:r>
      <w:r w:rsidRPr="00590918">
        <w:rPr>
          <w:rFonts w:ascii="Arial" w:hAnsi="Arial" w:cs="Arial"/>
          <w:sz w:val="24"/>
          <w:szCs w:val="24"/>
        </w:rPr>
        <w:t>s far as the 50 per cent interest of the deceased in the lease is concerned the persons entitled to be assignees in respect thereof are to be determined by the law</w:t>
      </w:r>
      <w:r>
        <w:rPr>
          <w:rFonts w:ascii="Arial" w:hAnsi="Arial" w:cs="Arial"/>
          <w:sz w:val="24"/>
          <w:szCs w:val="24"/>
        </w:rPr>
        <w:t xml:space="preserve"> of succession. If the alleged </w:t>
      </w:r>
      <w:r w:rsidR="004267EC">
        <w:rPr>
          <w:rFonts w:ascii="Arial" w:hAnsi="Arial" w:cs="Arial"/>
          <w:sz w:val="24"/>
          <w:szCs w:val="24"/>
        </w:rPr>
        <w:t>w</w:t>
      </w:r>
      <w:r w:rsidR="008D7695">
        <w:rPr>
          <w:rFonts w:ascii="Arial" w:hAnsi="Arial" w:cs="Arial"/>
          <w:sz w:val="24"/>
          <w:szCs w:val="24"/>
        </w:rPr>
        <w:t>ill</w:t>
      </w:r>
      <w:r w:rsidRPr="00590918">
        <w:rPr>
          <w:rFonts w:ascii="Arial" w:hAnsi="Arial" w:cs="Arial"/>
          <w:sz w:val="24"/>
          <w:szCs w:val="24"/>
        </w:rPr>
        <w:t xml:space="preserve"> is accepted as valid and applicable</w:t>
      </w:r>
      <w:r>
        <w:rPr>
          <w:rFonts w:ascii="Arial" w:hAnsi="Arial" w:cs="Arial"/>
          <w:sz w:val="24"/>
          <w:szCs w:val="24"/>
        </w:rPr>
        <w:t>,</w:t>
      </w:r>
      <w:r w:rsidRPr="00590918">
        <w:rPr>
          <w:rFonts w:ascii="Arial" w:hAnsi="Arial" w:cs="Arial"/>
          <w:sz w:val="24"/>
          <w:szCs w:val="24"/>
        </w:rPr>
        <w:t xml:space="preserve"> then Johannes </w:t>
      </w:r>
      <w:r w:rsidR="008D7695">
        <w:rPr>
          <w:rFonts w:ascii="Arial" w:hAnsi="Arial" w:cs="Arial"/>
          <w:sz w:val="24"/>
          <w:szCs w:val="24"/>
        </w:rPr>
        <w:t>will</w:t>
      </w:r>
      <w:r w:rsidRPr="00590918">
        <w:rPr>
          <w:rFonts w:ascii="Arial" w:hAnsi="Arial" w:cs="Arial"/>
          <w:sz w:val="24"/>
          <w:szCs w:val="24"/>
        </w:rPr>
        <w:t xml:space="preserve"> be entitled to be the assignee in respect of the full 50 per cent interest that the deceased had in the lease.</w:t>
      </w:r>
    </w:p>
    <w:p w:rsidR="007F1363" w:rsidRDefault="007F1363" w:rsidP="007F1363">
      <w:pPr>
        <w:spacing w:after="0" w:line="360" w:lineRule="auto"/>
        <w:jc w:val="both"/>
        <w:rPr>
          <w:rFonts w:ascii="Arial" w:hAnsi="Arial" w:cs="Arial"/>
          <w:sz w:val="24"/>
          <w:szCs w:val="24"/>
        </w:rPr>
      </w:pPr>
    </w:p>
    <w:p w:rsidR="007F1363" w:rsidRDefault="007F1363" w:rsidP="007F1363">
      <w:pPr>
        <w:spacing w:after="0" w:line="360" w:lineRule="auto"/>
        <w:jc w:val="both"/>
        <w:rPr>
          <w:rFonts w:ascii="Arial" w:hAnsi="Arial" w:cs="Arial"/>
          <w:sz w:val="24"/>
          <w:szCs w:val="24"/>
        </w:rPr>
      </w:pPr>
      <w:r w:rsidRPr="00BA61E7">
        <w:rPr>
          <w:rFonts w:ascii="Arial" w:hAnsi="Arial" w:cs="Arial"/>
          <w:i/>
          <w:sz w:val="24"/>
          <w:szCs w:val="24"/>
        </w:rPr>
        <w:t>Held that</w:t>
      </w:r>
      <w:r>
        <w:rPr>
          <w:rFonts w:ascii="Arial" w:hAnsi="Arial" w:cs="Arial"/>
          <w:sz w:val="24"/>
          <w:szCs w:val="24"/>
        </w:rPr>
        <w:t xml:space="preserve">, the </w:t>
      </w:r>
      <w:r w:rsidR="00E20D71">
        <w:rPr>
          <w:rFonts w:ascii="Arial" w:hAnsi="Arial" w:cs="Arial"/>
          <w:sz w:val="24"/>
          <w:szCs w:val="24"/>
        </w:rPr>
        <w:t xml:space="preserve">decision on </w:t>
      </w:r>
      <w:r>
        <w:rPr>
          <w:rFonts w:ascii="Arial" w:hAnsi="Arial" w:cs="Arial"/>
          <w:sz w:val="24"/>
          <w:szCs w:val="24"/>
        </w:rPr>
        <w:t xml:space="preserve">the validity of the </w:t>
      </w:r>
      <w:r w:rsidR="004267EC">
        <w:rPr>
          <w:rFonts w:ascii="Arial" w:hAnsi="Arial" w:cs="Arial"/>
          <w:sz w:val="24"/>
          <w:szCs w:val="24"/>
        </w:rPr>
        <w:t>w</w:t>
      </w:r>
      <w:r w:rsidR="008D7695">
        <w:rPr>
          <w:rFonts w:ascii="Arial" w:hAnsi="Arial" w:cs="Arial"/>
          <w:sz w:val="24"/>
          <w:szCs w:val="24"/>
        </w:rPr>
        <w:t>ill</w:t>
      </w:r>
      <w:r w:rsidR="00903328">
        <w:rPr>
          <w:rFonts w:ascii="Arial" w:hAnsi="Arial" w:cs="Arial"/>
          <w:sz w:val="24"/>
          <w:szCs w:val="24"/>
        </w:rPr>
        <w:t xml:space="preserve"> or</w:t>
      </w:r>
      <w:r w:rsidR="00815BE7">
        <w:rPr>
          <w:rFonts w:ascii="Arial" w:hAnsi="Arial" w:cs="Arial"/>
          <w:sz w:val="24"/>
          <w:szCs w:val="24"/>
        </w:rPr>
        <w:t xml:space="preserve"> testament</w:t>
      </w:r>
      <w:r w:rsidR="00AE1B16">
        <w:rPr>
          <w:rFonts w:ascii="Arial" w:hAnsi="Arial" w:cs="Arial"/>
          <w:sz w:val="24"/>
          <w:szCs w:val="24"/>
        </w:rPr>
        <w:t>,</w:t>
      </w:r>
      <w:r>
        <w:rPr>
          <w:rFonts w:ascii="Arial" w:hAnsi="Arial" w:cs="Arial"/>
          <w:sz w:val="24"/>
          <w:szCs w:val="24"/>
        </w:rPr>
        <w:t xml:space="preserve"> </w:t>
      </w:r>
      <w:r w:rsidR="008D7695">
        <w:rPr>
          <w:rFonts w:ascii="Arial" w:hAnsi="Arial" w:cs="Arial"/>
          <w:sz w:val="24"/>
          <w:szCs w:val="24"/>
        </w:rPr>
        <w:t>will</w:t>
      </w:r>
      <w:r>
        <w:rPr>
          <w:rFonts w:ascii="Arial" w:hAnsi="Arial" w:cs="Arial"/>
          <w:sz w:val="24"/>
          <w:szCs w:val="24"/>
        </w:rPr>
        <w:t xml:space="preserve"> determine and affect the number of persons entitled to be assignees and their portions.</w:t>
      </w:r>
    </w:p>
    <w:p w:rsidR="007F1363" w:rsidRDefault="007F1363" w:rsidP="007F1363">
      <w:pPr>
        <w:spacing w:after="0" w:line="360" w:lineRule="auto"/>
        <w:jc w:val="both"/>
        <w:rPr>
          <w:rFonts w:ascii="Arial" w:hAnsi="Arial" w:cs="Arial"/>
          <w:sz w:val="24"/>
          <w:szCs w:val="24"/>
        </w:rPr>
      </w:pPr>
    </w:p>
    <w:p w:rsidR="007F1363" w:rsidRPr="00C12114" w:rsidRDefault="007F1363" w:rsidP="007F1363">
      <w:pPr>
        <w:spacing w:after="0" w:line="360" w:lineRule="auto"/>
        <w:jc w:val="both"/>
        <w:rPr>
          <w:rFonts w:ascii="Arial" w:hAnsi="Arial" w:cs="Arial"/>
          <w:sz w:val="24"/>
          <w:szCs w:val="24"/>
        </w:rPr>
      </w:pPr>
      <w:r>
        <w:rPr>
          <w:rFonts w:ascii="Arial" w:hAnsi="Arial" w:cs="Arial"/>
          <w:sz w:val="24"/>
          <w:szCs w:val="24"/>
        </w:rPr>
        <w:t>Appeal succeeds.</w:t>
      </w:r>
    </w:p>
    <w:p w:rsidR="000940E1" w:rsidRDefault="000940E1" w:rsidP="007F1363">
      <w:pPr>
        <w:pStyle w:val="NoSpacing"/>
        <w:spacing w:line="360" w:lineRule="auto"/>
        <w:rPr>
          <w:rFonts w:ascii="Arial" w:hAnsi="Arial" w:cs="Arial"/>
          <w:sz w:val="24"/>
          <w:szCs w:val="24"/>
        </w:rPr>
      </w:pPr>
    </w:p>
    <w:p w:rsidR="007F1363" w:rsidRDefault="007F1363" w:rsidP="007F1363">
      <w:pPr>
        <w:pStyle w:val="NoSpacing"/>
        <w:spacing w:line="360" w:lineRule="auto"/>
        <w:rPr>
          <w:rFonts w:ascii="Arial" w:hAnsi="Arial" w:cs="Arial"/>
          <w:sz w:val="24"/>
          <w:szCs w:val="24"/>
        </w:rPr>
      </w:pPr>
    </w:p>
    <w:p w:rsidR="007F1363" w:rsidRDefault="007F1363" w:rsidP="007F1363">
      <w:pPr>
        <w:pStyle w:val="NoSpacing"/>
        <w:spacing w:line="360" w:lineRule="auto"/>
        <w:rPr>
          <w:rFonts w:ascii="Arial" w:hAnsi="Arial" w:cs="Arial"/>
          <w:sz w:val="24"/>
          <w:szCs w:val="24"/>
        </w:rPr>
      </w:pPr>
    </w:p>
    <w:p w:rsidR="007F1363" w:rsidRPr="00991107" w:rsidRDefault="007F1363" w:rsidP="007F1363">
      <w:pPr>
        <w:pStyle w:val="NoSpacing"/>
        <w:spacing w:line="360" w:lineRule="auto"/>
        <w:rPr>
          <w:rFonts w:ascii="Arial" w:hAnsi="Arial" w:cs="Arial"/>
          <w:sz w:val="24"/>
          <w:szCs w:val="24"/>
        </w:rPr>
      </w:pPr>
    </w:p>
    <w:p w:rsidR="000940E1" w:rsidRPr="00991107" w:rsidRDefault="000940E1" w:rsidP="000940E1">
      <w:pPr>
        <w:pStyle w:val="NoSpacing"/>
        <w:rPr>
          <w:rFonts w:ascii="Arial" w:hAnsi="Arial" w:cs="Arial"/>
          <w:sz w:val="24"/>
          <w:szCs w:val="24"/>
        </w:rPr>
      </w:pPr>
      <w:r>
        <w:rPr>
          <w:rFonts w:ascii="Arial" w:hAnsi="Arial" w:cs="Arial"/>
          <w:sz w:val="24"/>
          <w:szCs w:val="24"/>
        </w:rPr>
        <w:t>____________________________________________________________________</w:t>
      </w:r>
    </w:p>
    <w:p w:rsidR="000940E1" w:rsidRPr="00991107" w:rsidRDefault="000940E1" w:rsidP="000940E1">
      <w:pPr>
        <w:pStyle w:val="NoSpacing"/>
        <w:rPr>
          <w:rFonts w:ascii="Arial" w:hAnsi="Arial" w:cs="Arial"/>
          <w:sz w:val="24"/>
          <w:szCs w:val="24"/>
        </w:rPr>
      </w:pPr>
    </w:p>
    <w:p w:rsidR="000940E1" w:rsidRPr="00970591" w:rsidRDefault="000940E1" w:rsidP="000940E1">
      <w:pPr>
        <w:pStyle w:val="NoSpacing"/>
        <w:jc w:val="center"/>
        <w:rPr>
          <w:rFonts w:ascii="Arial" w:hAnsi="Arial" w:cs="Arial"/>
          <w:b/>
          <w:sz w:val="24"/>
          <w:szCs w:val="24"/>
        </w:rPr>
      </w:pPr>
      <w:r w:rsidRPr="00970591">
        <w:rPr>
          <w:rFonts w:ascii="Arial" w:hAnsi="Arial" w:cs="Arial"/>
          <w:b/>
          <w:sz w:val="24"/>
          <w:szCs w:val="24"/>
        </w:rPr>
        <w:t>APPEAL JUDGMENT</w:t>
      </w:r>
    </w:p>
    <w:p w:rsidR="000940E1" w:rsidRPr="00991107" w:rsidRDefault="000940E1" w:rsidP="000940E1">
      <w:pPr>
        <w:pStyle w:val="NoSpacing"/>
        <w:rPr>
          <w:rFonts w:ascii="Arial" w:hAnsi="Arial" w:cs="Arial"/>
          <w:sz w:val="24"/>
          <w:szCs w:val="24"/>
        </w:rPr>
      </w:pPr>
      <w:r>
        <w:rPr>
          <w:rFonts w:ascii="Arial" w:hAnsi="Arial" w:cs="Arial"/>
          <w:sz w:val="24"/>
          <w:szCs w:val="24"/>
        </w:rPr>
        <w:t>____________________________________________________________________</w:t>
      </w:r>
    </w:p>
    <w:p w:rsidR="000940E1" w:rsidRDefault="000940E1" w:rsidP="000940E1">
      <w:pPr>
        <w:pStyle w:val="NoSpacing"/>
        <w:rPr>
          <w:rFonts w:ascii="Arial" w:hAnsi="Arial" w:cs="Arial"/>
          <w:sz w:val="24"/>
          <w:szCs w:val="24"/>
        </w:rPr>
      </w:pPr>
    </w:p>
    <w:p w:rsidR="000940E1" w:rsidRPr="00991107" w:rsidRDefault="000940E1" w:rsidP="000940E1">
      <w:pPr>
        <w:pStyle w:val="NoSpacing"/>
        <w:rPr>
          <w:rFonts w:ascii="Arial" w:hAnsi="Arial" w:cs="Arial"/>
          <w:sz w:val="24"/>
          <w:szCs w:val="24"/>
        </w:rPr>
      </w:pPr>
    </w:p>
    <w:p w:rsidR="000940E1" w:rsidRDefault="00400733" w:rsidP="000940E1">
      <w:pPr>
        <w:pStyle w:val="NoSpacing"/>
        <w:spacing w:line="480" w:lineRule="auto"/>
        <w:jc w:val="both"/>
        <w:rPr>
          <w:rFonts w:ascii="Arial" w:hAnsi="Arial" w:cs="Arial"/>
          <w:sz w:val="24"/>
          <w:szCs w:val="24"/>
        </w:rPr>
      </w:pPr>
      <w:r>
        <w:rPr>
          <w:rFonts w:ascii="Arial" w:hAnsi="Arial" w:cs="Arial"/>
          <w:sz w:val="24"/>
          <w:szCs w:val="24"/>
        </w:rPr>
        <w:t>FRANK AJA</w:t>
      </w:r>
      <w:r w:rsidR="000940E1">
        <w:rPr>
          <w:rFonts w:ascii="Arial" w:hAnsi="Arial" w:cs="Arial"/>
          <w:sz w:val="24"/>
          <w:szCs w:val="24"/>
        </w:rPr>
        <w:t xml:space="preserve"> (SHIVUTE CJ and </w:t>
      </w:r>
      <w:r>
        <w:rPr>
          <w:rFonts w:ascii="Arial" w:hAnsi="Arial" w:cs="Arial"/>
          <w:sz w:val="24"/>
          <w:szCs w:val="24"/>
        </w:rPr>
        <w:t>HOFF JA</w:t>
      </w:r>
      <w:r w:rsidR="000940E1">
        <w:rPr>
          <w:rFonts w:ascii="Arial" w:hAnsi="Arial" w:cs="Arial"/>
          <w:sz w:val="24"/>
          <w:szCs w:val="24"/>
        </w:rPr>
        <w:t xml:space="preserve"> concurring):</w:t>
      </w:r>
    </w:p>
    <w:p w:rsidR="00D074C2" w:rsidRPr="00D074C2" w:rsidRDefault="00D074C2" w:rsidP="000940E1">
      <w:pPr>
        <w:pStyle w:val="NoSpacing"/>
        <w:spacing w:line="480" w:lineRule="auto"/>
        <w:jc w:val="both"/>
        <w:rPr>
          <w:rFonts w:ascii="Arial" w:hAnsi="Arial" w:cs="Arial"/>
          <w:sz w:val="24"/>
          <w:szCs w:val="24"/>
          <w:u w:val="single"/>
        </w:rPr>
      </w:pPr>
      <w:r w:rsidRPr="00D074C2">
        <w:rPr>
          <w:rFonts w:ascii="Arial" w:hAnsi="Arial" w:cs="Arial"/>
          <w:sz w:val="24"/>
          <w:szCs w:val="24"/>
          <w:u w:val="single"/>
        </w:rPr>
        <w:t>Introduction</w:t>
      </w:r>
    </w:p>
    <w:p w:rsidR="000940E1" w:rsidRDefault="00D074C2" w:rsidP="000940E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Daniel Shalukeni was married to the first appellant </w:t>
      </w:r>
      <w:r w:rsidR="008D2A06">
        <w:rPr>
          <w:rFonts w:ascii="Arial" w:hAnsi="Arial" w:cs="Arial"/>
          <w:sz w:val="24"/>
          <w:szCs w:val="24"/>
        </w:rPr>
        <w:t>when he died</w:t>
      </w:r>
      <w:r>
        <w:rPr>
          <w:rFonts w:ascii="Arial" w:hAnsi="Arial" w:cs="Arial"/>
          <w:sz w:val="24"/>
          <w:szCs w:val="24"/>
        </w:rPr>
        <w:t xml:space="preserve"> on                         23 February 2014. At the time of his death</w:t>
      </w:r>
      <w:r w:rsidR="00DA1BA8">
        <w:rPr>
          <w:rFonts w:ascii="Arial" w:hAnsi="Arial" w:cs="Arial"/>
          <w:sz w:val="24"/>
          <w:szCs w:val="24"/>
        </w:rPr>
        <w:t>,</w:t>
      </w:r>
      <w:r>
        <w:rPr>
          <w:rFonts w:ascii="Arial" w:hAnsi="Arial" w:cs="Arial"/>
          <w:sz w:val="24"/>
          <w:szCs w:val="24"/>
        </w:rPr>
        <w:t xml:space="preserve"> Daniel Shalukeni (the deceased) was a lessor in respect of a 9</w:t>
      </w:r>
      <w:r w:rsidR="00DA1BA8">
        <w:rPr>
          <w:rFonts w:ascii="Arial" w:hAnsi="Arial" w:cs="Arial"/>
          <w:sz w:val="24"/>
          <w:szCs w:val="24"/>
        </w:rPr>
        <w:t>9</w:t>
      </w:r>
      <w:r>
        <w:rPr>
          <w:rFonts w:ascii="Arial" w:hAnsi="Arial" w:cs="Arial"/>
          <w:sz w:val="24"/>
          <w:szCs w:val="24"/>
        </w:rPr>
        <w:t xml:space="preserve"> years leasehold granted to him in 2006 pursuant to s 37 of the Agricultural (Commercial) Land Reform Act</w:t>
      </w:r>
      <w:r>
        <w:rPr>
          <w:rStyle w:val="FootnoteReference"/>
          <w:rFonts w:ascii="Arial" w:hAnsi="Arial" w:cs="Arial"/>
          <w:sz w:val="24"/>
          <w:szCs w:val="24"/>
        </w:rPr>
        <w:footnoteReference w:id="1"/>
      </w:r>
      <w:r>
        <w:rPr>
          <w:rFonts w:ascii="Arial" w:hAnsi="Arial" w:cs="Arial"/>
          <w:sz w:val="24"/>
          <w:szCs w:val="24"/>
        </w:rPr>
        <w:t xml:space="preserve"> (ACLRA).</w:t>
      </w:r>
    </w:p>
    <w:p w:rsidR="000940E1" w:rsidRDefault="000940E1" w:rsidP="000940E1">
      <w:pPr>
        <w:pStyle w:val="NoSpacing"/>
        <w:spacing w:line="480" w:lineRule="auto"/>
        <w:jc w:val="both"/>
        <w:rPr>
          <w:rFonts w:ascii="Arial" w:hAnsi="Arial" w:cs="Arial"/>
          <w:sz w:val="24"/>
          <w:szCs w:val="24"/>
        </w:rPr>
      </w:pPr>
    </w:p>
    <w:p w:rsidR="000940E1" w:rsidRDefault="00D074C2" w:rsidP="000940E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First appellant (Maria) was appointed </w:t>
      </w:r>
      <w:r w:rsidR="00FB51E1" w:rsidRPr="008D06EB">
        <w:rPr>
          <w:rFonts w:ascii="Arial" w:hAnsi="Arial" w:cs="Arial"/>
          <w:sz w:val="24"/>
          <w:szCs w:val="24"/>
        </w:rPr>
        <w:t>executrix</w:t>
      </w:r>
      <w:r>
        <w:rPr>
          <w:rFonts w:ascii="Arial" w:hAnsi="Arial" w:cs="Arial"/>
          <w:sz w:val="24"/>
          <w:szCs w:val="24"/>
        </w:rPr>
        <w:t xml:space="preserve"> of the estate of the deceased. </w:t>
      </w:r>
      <w:r w:rsidR="001D21E7">
        <w:rPr>
          <w:rFonts w:ascii="Arial" w:hAnsi="Arial" w:cs="Arial"/>
          <w:sz w:val="24"/>
          <w:szCs w:val="24"/>
        </w:rPr>
        <w:t xml:space="preserve">A dispute arose as to how the leasehold should be dealt with in the estate of the deceased. </w:t>
      </w:r>
      <w:r w:rsidR="008D06EB">
        <w:rPr>
          <w:rFonts w:ascii="Arial" w:hAnsi="Arial" w:cs="Arial"/>
          <w:sz w:val="24"/>
          <w:szCs w:val="24"/>
        </w:rPr>
        <w:t xml:space="preserve">I refer to first appellant as Maria where I refer to her in her personal capacity and as </w:t>
      </w:r>
      <w:r w:rsidR="008D06EB" w:rsidRPr="00416230">
        <w:rPr>
          <w:rFonts w:ascii="Arial" w:hAnsi="Arial" w:cs="Arial"/>
          <w:sz w:val="24"/>
          <w:szCs w:val="24"/>
        </w:rPr>
        <w:t>executrix where I</w:t>
      </w:r>
      <w:r w:rsidR="008D06EB">
        <w:rPr>
          <w:rFonts w:ascii="Arial" w:hAnsi="Arial" w:cs="Arial"/>
          <w:sz w:val="24"/>
          <w:szCs w:val="24"/>
        </w:rPr>
        <w:t xml:space="preserve"> refer to her in her capacity as such.</w:t>
      </w:r>
    </w:p>
    <w:p w:rsidR="000940E1" w:rsidRDefault="000940E1" w:rsidP="000940E1">
      <w:pPr>
        <w:pStyle w:val="NoSpacing"/>
        <w:spacing w:line="480" w:lineRule="auto"/>
        <w:jc w:val="both"/>
        <w:rPr>
          <w:rFonts w:ascii="Arial" w:hAnsi="Arial" w:cs="Arial"/>
          <w:sz w:val="24"/>
          <w:szCs w:val="24"/>
        </w:rPr>
      </w:pPr>
    </w:p>
    <w:p w:rsidR="000940E1" w:rsidRDefault="00DC255B" w:rsidP="000940E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Maria who was married to the deceased in community of property</w:t>
      </w:r>
      <w:r w:rsidR="00AE1B16">
        <w:rPr>
          <w:rFonts w:ascii="Arial" w:hAnsi="Arial" w:cs="Arial"/>
          <w:sz w:val="24"/>
          <w:szCs w:val="24"/>
        </w:rPr>
        <w:t>,</w:t>
      </w:r>
      <w:r>
        <w:rPr>
          <w:rFonts w:ascii="Arial" w:hAnsi="Arial" w:cs="Arial"/>
          <w:sz w:val="24"/>
          <w:szCs w:val="24"/>
        </w:rPr>
        <w:t xml:space="preserve"> with the consent of the children born from the marriage between her and the deceased </w:t>
      </w:r>
      <w:r w:rsidR="00416230" w:rsidRPr="00416230">
        <w:rPr>
          <w:rFonts w:ascii="Arial" w:hAnsi="Arial" w:cs="Arial"/>
          <w:sz w:val="24"/>
          <w:szCs w:val="24"/>
        </w:rPr>
        <w:t>(second to sixth appellants)</w:t>
      </w:r>
      <w:r w:rsidR="00AE1B16">
        <w:rPr>
          <w:rFonts w:ascii="Arial" w:hAnsi="Arial" w:cs="Arial"/>
          <w:sz w:val="24"/>
          <w:szCs w:val="24"/>
        </w:rPr>
        <w:t>,</w:t>
      </w:r>
      <w:r w:rsidR="00416230">
        <w:rPr>
          <w:rFonts w:ascii="Arial" w:hAnsi="Arial" w:cs="Arial"/>
          <w:sz w:val="24"/>
          <w:szCs w:val="24"/>
        </w:rPr>
        <w:t xml:space="preserve"> </w:t>
      </w:r>
      <w:r>
        <w:rPr>
          <w:rFonts w:ascii="Arial" w:hAnsi="Arial" w:cs="Arial"/>
          <w:sz w:val="24"/>
          <w:szCs w:val="24"/>
        </w:rPr>
        <w:t xml:space="preserve">were of the view that the lease should be assigned to her. The first respondent (Johannes) who is a son of the deceased but not of Maria contended that as he made improvements to the </w:t>
      </w:r>
      <w:r w:rsidR="00F020C8">
        <w:rPr>
          <w:rFonts w:ascii="Arial" w:hAnsi="Arial" w:cs="Arial"/>
          <w:sz w:val="24"/>
          <w:szCs w:val="24"/>
        </w:rPr>
        <w:t>farm that is the subject matter of the lease and assisted his late father with the farming operations</w:t>
      </w:r>
      <w:r w:rsidR="00194056">
        <w:rPr>
          <w:rFonts w:ascii="Arial" w:hAnsi="Arial" w:cs="Arial"/>
          <w:sz w:val="24"/>
          <w:szCs w:val="24"/>
        </w:rPr>
        <w:t>,</w:t>
      </w:r>
      <w:r w:rsidR="00F020C8">
        <w:rPr>
          <w:rFonts w:ascii="Arial" w:hAnsi="Arial" w:cs="Arial"/>
          <w:sz w:val="24"/>
          <w:szCs w:val="24"/>
        </w:rPr>
        <w:t xml:space="preserve"> he should be the assignee of the leasehold. Apart from the contributions he made to improvements on the farm and his assistance in respect of the farming activities</w:t>
      </w:r>
      <w:r w:rsidR="00194056">
        <w:rPr>
          <w:rFonts w:ascii="Arial" w:hAnsi="Arial" w:cs="Arial"/>
          <w:sz w:val="24"/>
          <w:szCs w:val="24"/>
        </w:rPr>
        <w:t>,</w:t>
      </w:r>
      <w:r w:rsidR="00F020C8">
        <w:rPr>
          <w:rFonts w:ascii="Arial" w:hAnsi="Arial" w:cs="Arial"/>
          <w:sz w:val="24"/>
          <w:szCs w:val="24"/>
        </w:rPr>
        <w:t xml:space="preserve"> he also relies</w:t>
      </w:r>
      <w:r w:rsidR="00834BDD">
        <w:rPr>
          <w:rFonts w:ascii="Arial" w:hAnsi="Arial" w:cs="Arial"/>
          <w:sz w:val="24"/>
          <w:szCs w:val="24"/>
        </w:rPr>
        <w:t xml:space="preserve"> on a document he alleges is a </w:t>
      </w:r>
      <w:r w:rsidR="004267EC">
        <w:rPr>
          <w:rFonts w:ascii="Arial" w:hAnsi="Arial" w:cs="Arial"/>
          <w:sz w:val="24"/>
          <w:szCs w:val="24"/>
        </w:rPr>
        <w:t>w</w:t>
      </w:r>
      <w:r w:rsidR="008D7695">
        <w:rPr>
          <w:rFonts w:ascii="Arial" w:hAnsi="Arial" w:cs="Arial"/>
          <w:sz w:val="24"/>
          <w:szCs w:val="24"/>
        </w:rPr>
        <w:t>ill</w:t>
      </w:r>
      <w:r w:rsidR="00F020C8">
        <w:rPr>
          <w:rFonts w:ascii="Arial" w:hAnsi="Arial" w:cs="Arial"/>
          <w:sz w:val="24"/>
          <w:szCs w:val="24"/>
        </w:rPr>
        <w:t xml:space="preserve"> of the deceased which according to him bequeath</w:t>
      </w:r>
      <w:r w:rsidR="000D62D6">
        <w:rPr>
          <w:rFonts w:ascii="Arial" w:hAnsi="Arial" w:cs="Arial"/>
          <w:sz w:val="24"/>
          <w:szCs w:val="24"/>
        </w:rPr>
        <w:t>ed</w:t>
      </w:r>
      <w:r w:rsidR="00F020C8">
        <w:rPr>
          <w:rFonts w:ascii="Arial" w:hAnsi="Arial" w:cs="Arial"/>
          <w:sz w:val="24"/>
          <w:szCs w:val="24"/>
        </w:rPr>
        <w:t xml:space="preserve"> the lease to him.</w:t>
      </w:r>
    </w:p>
    <w:p w:rsidR="00F020C8" w:rsidRDefault="00F020C8" w:rsidP="00F020C8">
      <w:pPr>
        <w:pStyle w:val="NoSpacing"/>
        <w:spacing w:line="480" w:lineRule="auto"/>
        <w:jc w:val="both"/>
        <w:rPr>
          <w:rFonts w:ascii="Arial" w:hAnsi="Arial" w:cs="Arial"/>
          <w:sz w:val="24"/>
          <w:szCs w:val="24"/>
        </w:rPr>
      </w:pPr>
    </w:p>
    <w:p w:rsidR="000940E1" w:rsidRDefault="000D62D6" w:rsidP="000940E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Maria </w:t>
      </w:r>
      <w:r w:rsidR="008D06EB">
        <w:rPr>
          <w:rFonts w:ascii="Arial" w:hAnsi="Arial" w:cs="Arial"/>
          <w:sz w:val="24"/>
          <w:szCs w:val="24"/>
        </w:rPr>
        <w:t xml:space="preserve">(as executrix) </w:t>
      </w:r>
      <w:r>
        <w:rPr>
          <w:rFonts w:ascii="Arial" w:hAnsi="Arial" w:cs="Arial"/>
          <w:sz w:val="24"/>
          <w:szCs w:val="24"/>
        </w:rPr>
        <w:t>and Johannes</w:t>
      </w:r>
      <w:r w:rsidR="00194056">
        <w:rPr>
          <w:rFonts w:ascii="Arial" w:hAnsi="Arial" w:cs="Arial"/>
          <w:sz w:val="24"/>
          <w:szCs w:val="24"/>
        </w:rPr>
        <w:t>,</w:t>
      </w:r>
      <w:r>
        <w:rPr>
          <w:rFonts w:ascii="Arial" w:hAnsi="Arial" w:cs="Arial"/>
          <w:sz w:val="24"/>
          <w:szCs w:val="24"/>
        </w:rPr>
        <w:t xml:space="preserve"> independently </w:t>
      </w:r>
      <w:r w:rsidR="00194056">
        <w:rPr>
          <w:rFonts w:ascii="Arial" w:hAnsi="Arial" w:cs="Arial"/>
          <w:sz w:val="24"/>
          <w:szCs w:val="24"/>
        </w:rPr>
        <w:t>of each other,</w:t>
      </w:r>
      <w:r>
        <w:rPr>
          <w:rFonts w:ascii="Arial" w:hAnsi="Arial" w:cs="Arial"/>
          <w:sz w:val="24"/>
          <w:szCs w:val="24"/>
        </w:rPr>
        <w:t xml:space="preserve"> approached the </w:t>
      </w:r>
      <w:r w:rsidR="00DE68FB">
        <w:rPr>
          <w:rFonts w:ascii="Arial" w:hAnsi="Arial" w:cs="Arial"/>
          <w:sz w:val="24"/>
          <w:szCs w:val="24"/>
        </w:rPr>
        <w:t xml:space="preserve">Land Reform Advisory Commission (the Commission) for a recommendation to </w:t>
      </w:r>
      <w:r w:rsidR="00834BDD">
        <w:rPr>
          <w:rFonts w:ascii="Arial" w:hAnsi="Arial" w:cs="Arial"/>
          <w:sz w:val="24"/>
          <w:szCs w:val="24"/>
        </w:rPr>
        <w:t xml:space="preserve">be made to </w:t>
      </w:r>
      <w:r w:rsidR="00DE68FB">
        <w:rPr>
          <w:rFonts w:ascii="Arial" w:hAnsi="Arial" w:cs="Arial"/>
          <w:sz w:val="24"/>
          <w:szCs w:val="24"/>
        </w:rPr>
        <w:t xml:space="preserve">the Minister </w:t>
      </w:r>
      <w:r w:rsidR="00194056">
        <w:rPr>
          <w:rFonts w:ascii="Arial" w:hAnsi="Arial" w:cs="Arial"/>
          <w:sz w:val="24"/>
          <w:szCs w:val="24"/>
        </w:rPr>
        <w:t xml:space="preserve">of Land Reform (the Minister) </w:t>
      </w:r>
      <w:r w:rsidR="00AE1B16">
        <w:rPr>
          <w:rFonts w:ascii="Arial" w:hAnsi="Arial" w:cs="Arial"/>
          <w:sz w:val="24"/>
          <w:szCs w:val="24"/>
        </w:rPr>
        <w:t xml:space="preserve">to approve each one of them </w:t>
      </w:r>
      <w:r w:rsidR="00DE68FB">
        <w:rPr>
          <w:rFonts w:ascii="Arial" w:hAnsi="Arial" w:cs="Arial"/>
          <w:sz w:val="24"/>
          <w:szCs w:val="24"/>
        </w:rPr>
        <w:t>as the sole assignee in respect of the leasehold.</w:t>
      </w:r>
    </w:p>
    <w:p w:rsidR="000940E1" w:rsidRDefault="000940E1" w:rsidP="000940E1">
      <w:pPr>
        <w:pStyle w:val="NoSpacing"/>
        <w:spacing w:line="480" w:lineRule="auto"/>
        <w:jc w:val="both"/>
        <w:rPr>
          <w:rFonts w:ascii="Arial" w:hAnsi="Arial" w:cs="Arial"/>
          <w:sz w:val="24"/>
          <w:szCs w:val="24"/>
        </w:rPr>
      </w:pPr>
    </w:p>
    <w:p w:rsidR="000940E1" w:rsidRDefault="00DE68FB" w:rsidP="000940E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Minister declined to approve either of them and withdrew the lease on the basis of the unresolved dispute in the family as to whom the lease should be assigned</w:t>
      </w:r>
      <w:r w:rsidR="007F242E">
        <w:rPr>
          <w:rFonts w:ascii="Arial" w:hAnsi="Arial" w:cs="Arial"/>
          <w:sz w:val="24"/>
          <w:szCs w:val="24"/>
        </w:rPr>
        <w:t>.</w:t>
      </w:r>
    </w:p>
    <w:p w:rsidR="000940E1" w:rsidRDefault="000940E1" w:rsidP="000940E1">
      <w:pPr>
        <w:pStyle w:val="NoSpacing"/>
        <w:spacing w:line="480" w:lineRule="auto"/>
        <w:jc w:val="both"/>
        <w:rPr>
          <w:rFonts w:ascii="Arial" w:hAnsi="Arial" w:cs="Arial"/>
          <w:sz w:val="24"/>
          <w:szCs w:val="24"/>
        </w:rPr>
      </w:pPr>
    </w:p>
    <w:p w:rsidR="000940E1" w:rsidRDefault="00FB51E1" w:rsidP="000940E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Johannes approached the court </w:t>
      </w:r>
      <w:r w:rsidRPr="00FB51E1">
        <w:rPr>
          <w:rFonts w:ascii="Arial" w:hAnsi="Arial" w:cs="Arial"/>
          <w:i/>
          <w:sz w:val="24"/>
          <w:szCs w:val="24"/>
        </w:rPr>
        <w:t>a quo</w:t>
      </w:r>
      <w:r>
        <w:rPr>
          <w:rFonts w:ascii="Arial" w:hAnsi="Arial" w:cs="Arial"/>
          <w:sz w:val="24"/>
          <w:szCs w:val="24"/>
        </w:rPr>
        <w:t xml:space="preserve"> to set aside the decision of the Minister to withdraw the lease and to compel the executrix to </w:t>
      </w:r>
      <w:r w:rsidR="008D06EB">
        <w:rPr>
          <w:rFonts w:ascii="Arial" w:hAnsi="Arial" w:cs="Arial"/>
          <w:sz w:val="24"/>
          <w:szCs w:val="24"/>
        </w:rPr>
        <w:t>as</w:t>
      </w:r>
      <w:r>
        <w:rPr>
          <w:rFonts w:ascii="Arial" w:hAnsi="Arial" w:cs="Arial"/>
          <w:sz w:val="24"/>
          <w:szCs w:val="24"/>
        </w:rPr>
        <w:t>sign the lease to him and thereafter</w:t>
      </w:r>
      <w:r w:rsidR="007F242E">
        <w:rPr>
          <w:rFonts w:ascii="Arial" w:hAnsi="Arial" w:cs="Arial"/>
          <w:sz w:val="24"/>
          <w:szCs w:val="24"/>
        </w:rPr>
        <w:t xml:space="preserve"> to</w:t>
      </w:r>
      <w:r>
        <w:rPr>
          <w:rFonts w:ascii="Arial" w:hAnsi="Arial" w:cs="Arial"/>
          <w:sz w:val="24"/>
          <w:szCs w:val="24"/>
        </w:rPr>
        <w:t xml:space="preserve"> submit the assignment for recommendation and approval to </w:t>
      </w:r>
      <w:r w:rsidR="007F242E">
        <w:rPr>
          <w:rFonts w:ascii="Arial" w:hAnsi="Arial" w:cs="Arial"/>
          <w:sz w:val="24"/>
          <w:szCs w:val="24"/>
        </w:rPr>
        <w:t>the Commission and the Minister respectively.</w:t>
      </w:r>
      <w:r>
        <w:rPr>
          <w:rFonts w:ascii="Arial" w:hAnsi="Arial" w:cs="Arial"/>
          <w:sz w:val="24"/>
          <w:szCs w:val="24"/>
        </w:rPr>
        <w:t xml:space="preserve"> </w:t>
      </w:r>
    </w:p>
    <w:p w:rsidR="000940E1" w:rsidRDefault="000940E1" w:rsidP="000940E1">
      <w:pPr>
        <w:pStyle w:val="NoSpacing"/>
        <w:spacing w:line="480" w:lineRule="auto"/>
        <w:jc w:val="both"/>
        <w:rPr>
          <w:rFonts w:ascii="Arial" w:hAnsi="Arial" w:cs="Arial"/>
          <w:sz w:val="24"/>
          <w:szCs w:val="24"/>
        </w:rPr>
      </w:pPr>
    </w:p>
    <w:p w:rsidR="000940E1" w:rsidRDefault="00FB51E1" w:rsidP="000940E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Maria</w:t>
      </w:r>
      <w:r w:rsidR="007F242E">
        <w:rPr>
          <w:rFonts w:ascii="Arial" w:hAnsi="Arial" w:cs="Arial"/>
          <w:sz w:val="24"/>
          <w:szCs w:val="24"/>
        </w:rPr>
        <w:t>, her brother</w:t>
      </w:r>
      <w:r>
        <w:rPr>
          <w:rFonts w:ascii="Arial" w:hAnsi="Arial" w:cs="Arial"/>
          <w:sz w:val="24"/>
          <w:szCs w:val="24"/>
        </w:rPr>
        <w:t xml:space="preserve"> and her children opposed the application and in a counter application</w:t>
      </w:r>
      <w:r>
        <w:rPr>
          <w:rStyle w:val="FootnoteReference"/>
          <w:rFonts w:ascii="Arial" w:hAnsi="Arial" w:cs="Arial"/>
          <w:sz w:val="24"/>
          <w:szCs w:val="24"/>
        </w:rPr>
        <w:footnoteReference w:id="2"/>
      </w:r>
      <w:r>
        <w:rPr>
          <w:rFonts w:ascii="Arial" w:hAnsi="Arial" w:cs="Arial"/>
          <w:sz w:val="24"/>
          <w:szCs w:val="24"/>
        </w:rPr>
        <w:t xml:space="preserve"> also sought a review of the Minister’s dec</w:t>
      </w:r>
      <w:r w:rsidR="00194056">
        <w:rPr>
          <w:rFonts w:ascii="Arial" w:hAnsi="Arial" w:cs="Arial"/>
          <w:sz w:val="24"/>
          <w:szCs w:val="24"/>
        </w:rPr>
        <w:t>ision to withdraw the leasehold, and</w:t>
      </w:r>
      <w:r>
        <w:rPr>
          <w:rFonts w:ascii="Arial" w:hAnsi="Arial" w:cs="Arial"/>
          <w:sz w:val="24"/>
          <w:szCs w:val="24"/>
        </w:rPr>
        <w:t xml:space="preserve"> sought further relief to the effect that</w:t>
      </w:r>
      <w:r w:rsidR="005B1CE2">
        <w:rPr>
          <w:rFonts w:ascii="Arial" w:hAnsi="Arial" w:cs="Arial"/>
          <w:sz w:val="24"/>
          <w:szCs w:val="24"/>
        </w:rPr>
        <w:t xml:space="preserve"> Maria</w:t>
      </w:r>
      <w:r>
        <w:rPr>
          <w:rFonts w:ascii="Arial" w:hAnsi="Arial" w:cs="Arial"/>
          <w:sz w:val="24"/>
          <w:szCs w:val="24"/>
        </w:rPr>
        <w:t xml:space="preserve"> should be </w:t>
      </w:r>
      <w:r w:rsidR="005B1CE2">
        <w:rPr>
          <w:rFonts w:ascii="Arial" w:hAnsi="Arial" w:cs="Arial"/>
          <w:sz w:val="24"/>
          <w:szCs w:val="24"/>
        </w:rPr>
        <w:t>recommended as assignee by the Commission to the Minister and that pending this process</w:t>
      </w:r>
      <w:r w:rsidR="00194056">
        <w:rPr>
          <w:rFonts w:ascii="Arial" w:hAnsi="Arial" w:cs="Arial"/>
          <w:sz w:val="24"/>
          <w:szCs w:val="24"/>
        </w:rPr>
        <w:t>,</w:t>
      </w:r>
      <w:r w:rsidR="005B1CE2">
        <w:rPr>
          <w:rFonts w:ascii="Arial" w:hAnsi="Arial" w:cs="Arial"/>
          <w:sz w:val="24"/>
          <w:szCs w:val="24"/>
        </w:rPr>
        <w:t xml:space="preserve"> she as the executrix would be entitled to act in this capacity to keep the lease in place. She also sought an order against Johannes to submit certain books of account relating to the farm.</w:t>
      </w:r>
    </w:p>
    <w:p w:rsidR="000940E1" w:rsidRPr="00D92ED8" w:rsidRDefault="005B1CE2" w:rsidP="000940E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5B1CE2">
        <w:rPr>
          <w:rFonts w:ascii="Arial" w:hAnsi="Arial" w:cs="Arial"/>
          <w:i/>
          <w:sz w:val="24"/>
          <w:szCs w:val="24"/>
        </w:rPr>
        <w:t>a quo</w:t>
      </w:r>
      <w:r>
        <w:rPr>
          <w:rFonts w:ascii="Arial" w:hAnsi="Arial" w:cs="Arial"/>
          <w:sz w:val="24"/>
          <w:szCs w:val="24"/>
        </w:rPr>
        <w:t xml:space="preserve"> granted the order in favour of Johannes and Maria and </w:t>
      </w:r>
      <w:r w:rsidR="00194056">
        <w:rPr>
          <w:rFonts w:ascii="Arial" w:hAnsi="Arial" w:cs="Arial"/>
          <w:sz w:val="24"/>
          <w:szCs w:val="24"/>
        </w:rPr>
        <w:t>her</w:t>
      </w:r>
      <w:r>
        <w:rPr>
          <w:rFonts w:ascii="Arial" w:hAnsi="Arial" w:cs="Arial"/>
          <w:sz w:val="24"/>
          <w:szCs w:val="24"/>
        </w:rPr>
        <w:t xml:space="preserve"> children </w:t>
      </w:r>
      <w:r w:rsidR="00194056">
        <w:rPr>
          <w:rFonts w:ascii="Arial" w:hAnsi="Arial" w:cs="Arial"/>
          <w:sz w:val="24"/>
          <w:szCs w:val="24"/>
        </w:rPr>
        <w:t>appealed</w:t>
      </w:r>
      <w:r>
        <w:rPr>
          <w:rFonts w:ascii="Arial" w:hAnsi="Arial" w:cs="Arial"/>
          <w:sz w:val="24"/>
          <w:szCs w:val="24"/>
        </w:rPr>
        <w:t xml:space="preserve"> this order. Apart from the seventh appellant </w:t>
      </w:r>
      <w:r w:rsidR="00416230">
        <w:rPr>
          <w:rFonts w:ascii="Arial" w:hAnsi="Arial" w:cs="Arial"/>
          <w:sz w:val="24"/>
          <w:szCs w:val="24"/>
        </w:rPr>
        <w:t>(also a son of the deceased)</w:t>
      </w:r>
      <w:r w:rsidR="00194056">
        <w:rPr>
          <w:rFonts w:ascii="Arial" w:hAnsi="Arial" w:cs="Arial"/>
          <w:sz w:val="24"/>
          <w:szCs w:val="24"/>
        </w:rPr>
        <w:t>,</w:t>
      </w:r>
      <w:r w:rsidR="00416230">
        <w:rPr>
          <w:rFonts w:ascii="Arial" w:hAnsi="Arial" w:cs="Arial"/>
          <w:sz w:val="24"/>
          <w:szCs w:val="24"/>
        </w:rPr>
        <w:t xml:space="preserve"> </w:t>
      </w:r>
      <w:r>
        <w:rPr>
          <w:rFonts w:ascii="Arial" w:hAnsi="Arial" w:cs="Arial"/>
          <w:sz w:val="24"/>
          <w:szCs w:val="24"/>
        </w:rPr>
        <w:t xml:space="preserve">who did not partake in the </w:t>
      </w:r>
      <w:r w:rsidR="004A5FDF">
        <w:rPr>
          <w:rFonts w:ascii="Arial" w:hAnsi="Arial" w:cs="Arial"/>
          <w:sz w:val="24"/>
          <w:szCs w:val="24"/>
        </w:rPr>
        <w:t>litigation at all</w:t>
      </w:r>
      <w:r w:rsidR="00194056">
        <w:rPr>
          <w:rFonts w:ascii="Arial" w:hAnsi="Arial" w:cs="Arial"/>
          <w:sz w:val="24"/>
          <w:szCs w:val="24"/>
        </w:rPr>
        <w:t>,</w:t>
      </w:r>
      <w:r w:rsidR="004A5FDF">
        <w:rPr>
          <w:rFonts w:ascii="Arial" w:hAnsi="Arial" w:cs="Arial"/>
          <w:sz w:val="24"/>
          <w:szCs w:val="24"/>
        </w:rPr>
        <w:t xml:space="preserve"> the children refer</w:t>
      </w:r>
      <w:r w:rsidR="007F242E">
        <w:rPr>
          <w:rFonts w:ascii="Arial" w:hAnsi="Arial" w:cs="Arial"/>
          <w:sz w:val="24"/>
          <w:szCs w:val="24"/>
        </w:rPr>
        <w:t xml:space="preserve">red to, who support Maria, are third </w:t>
      </w:r>
      <w:r w:rsidR="004A5FDF">
        <w:rPr>
          <w:rFonts w:ascii="Arial" w:hAnsi="Arial" w:cs="Arial"/>
          <w:sz w:val="24"/>
          <w:szCs w:val="24"/>
        </w:rPr>
        <w:t xml:space="preserve">to sixth appellants. </w:t>
      </w:r>
      <w:r w:rsidR="007F242E" w:rsidRPr="00D92ED8">
        <w:rPr>
          <w:rFonts w:ascii="Arial" w:hAnsi="Arial" w:cs="Arial"/>
          <w:sz w:val="24"/>
          <w:szCs w:val="24"/>
        </w:rPr>
        <w:t>The second appellant is Maria’s brother who has been assisting her.</w:t>
      </w:r>
    </w:p>
    <w:p w:rsidR="000940E1" w:rsidRDefault="000940E1" w:rsidP="000940E1">
      <w:pPr>
        <w:pStyle w:val="NoSpacing"/>
        <w:spacing w:line="480" w:lineRule="auto"/>
        <w:jc w:val="both"/>
        <w:rPr>
          <w:rFonts w:ascii="Arial" w:hAnsi="Arial" w:cs="Arial"/>
          <w:sz w:val="24"/>
          <w:szCs w:val="24"/>
        </w:rPr>
      </w:pPr>
    </w:p>
    <w:p w:rsidR="000940E1" w:rsidRPr="003C00A5" w:rsidRDefault="004A5FDF" w:rsidP="000940E1">
      <w:pPr>
        <w:pStyle w:val="NoSpacing"/>
        <w:numPr>
          <w:ilvl w:val="0"/>
          <w:numId w:val="1"/>
        </w:numPr>
        <w:spacing w:line="480" w:lineRule="auto"/>
        <w:ind w:left="0" w:firstLine="0"/>
        <w:jc w:val="both"/>
        <w:rPr>
          <w:rFonts w:ascii="Arial" w:hAnsi="Arial" w:cs="Arial"/>
          <w:sz w:val="24"/>
          <w:szCs w:val="24"/>
        </w:rPr>
      </w:pPr>
      <w:r w:rsidRPr="003C00A5">
        <w:rPr>
          <w:rFonts w:ascii="Arial" w:hAnsi="Arial" w:cs="Arial"/>
          <w:sz w:val="24"/>
          <w:szCs w:val="24"/>
        </w:rPr>
        <w:t xml:space="preserve">The upshot of the appeal is that the order to review and set aside the Minister’s decision to withdraw the lease is not attacked. It is the consequential orders that flow from this order that </w:t>
      </w:r>
      <w:r w:rsidR="00D92ED8" w:rsidRPr="003C00A5">
        <w:rPr>
          <w:rFonts w:ascii="Arial" w:hAnsi="Arial" w:cs="Arial"/>
          <w:sz w:val="24"/>
          <w:szCs w:val="24"/>
        </w:rPr>
        <w:t xml:space="preserve">are </w:t>
      </w:r>
      <w:r w:rsidRPr="003C00A5">
        <w:rPr>
          <w:rFonts w:ascii="Arial" w:hAnsi="Arial" w:cs="Arial"/>
          <w:sz w:val="24"/>
          <w:szCs w:val="24"/>
        </w:rPr>
        <w:t>in dispute.</w:t>
      </w:r>
      <w:r w:rsidR="00340483" w:rsidRPr="003C00A5">
        <w:rPr>
          <w:rFonts w:ascii="Arial" w:hAnsi="Arial" w:cs="Arial"/>
          <w:sz w:val="24"/>
          <w:szCs w:val="24"/>
        </w:rPr>
        <w:t xml:space="preserve"> Thus</w:t>
      </w:r>
      <w:r w:rsidR="00194056" w:rsidRPr="003C00A5">
        <w:rPr>
          <w:rFonts w:ascii="Arial" w:hAnsi="Arial" w:cs="Arial"/>
          <w:sz w:val="24"/>
          <w:szCs w:val="24"/>
        </w:rPr>
        <w:t>,</w:t>
      </w:r>
      <w:r w:rsidR="00340483" w:rsidRPr="003C00A5">
        <w:rPr>
          <w:rFonts w:ascii="Arial" w:hAnsi="Arial" w:cs="Arial"/>
          <w:sz w:val="24"/>
          <w:szCs w:val="24"/>
        </w:rPr>
        <w:t xml:space="preserve"> the appellant</w:t>
      </w:r>
      <w:r w:rsidR="008D06EB" w:rsidRPr="003C00A5">
        <w:rPr>
          <w:rFonts w:ascii="Arial" w:hAnsi="Arial" w:cs="Arial"/>
          <w:sz w:val="24"/>
          <w:szCs w:val="24"/>
        </w:rPr>
        <w:t>s</w:t>
      </w:r>
      <w:r w:rsidR="00194056" w:rsidRPr="003C00A5">
        <w:rPr>
          <w:rFonts w:ascii="Arial" w:hAnsi="Arial" w:cs="Arial"/>
          <w:sz w:val="24"/>
          <w:szCs w:val="24"/>
        </w:rPr>
        <w:t xml:space="preserve"> maintain</w:t>
      </w:r>
      <w:r w:rsidR="00340483" w:rsidRPr="003C00A5">
        <w:rPr>
          <w:rFonts w:ascii="Arial" w:hAnsi="Arial" w:cs="Arial"/>
          <w:sz w:val="24"/>
          <w:szCs w:val="24"/>
        </w:rPr>
        <w:t xml:space="preserve"> that the consequential orders should </w:t>
      </w:r>
      <w:r w:rsidR="00D92ED8" w:rsidRPr="003C00A5">
        <w:rPr>
          <w:rFonts w:ascii="Arial" w:hAnsi="Arial" w:cs="Arial"/>
          <w:sz w:val="24"/>
          <w:szCs w:val="24"/>
        </w:rPr>
        <w:t xml:space="preserve">have provided that </w:t>
      </w:r>
      <w:r w:rsidR="003C00A5" w:rsidRPr="003C00A5">
        <w:rPr>
          <w:rFonts w:ascii="Arial" w:hAnsi="Arial" w:cs="Arial"/>
          <w:sz w:val="24"/>
          <w:szCs w:val="24"/>
        </w:rPr>
        <w:t>Maria i</w:t>
      </w:r>
      <w:r w:rsidR="00340483" w:rsidRPr="003C00A5">
        <w:rPr>
          <w:rFonts w:ascii="Arial" w:hAnsi="Arial" w:cs="Arial"/>
          <w:sz w:val="24"/>
          <w:szCs w:val="24"/>
        </w:rPr>
        <w:t xml:space="preserve">s the person whose recognition as assignee should be sought </w:t>
      </w:r>
      <w:r w:rsidR="00D92ED8" w:rsidRPr="003C00A5">
        <w:rPr>
          <w:rFonts w:ascii="Arial" w:hAnsi="Arial" w:cs="Arial"/>
          <w:sz w:val="24"/>
          <w:szCs w:val="24"/>
        </w:rPr>
        <w:t xml:space="preserve">from the Minister, </w:t>
      </w:r>
      <w:r w:rsidR="00340483" w:rsidRPr="003C00A5">
        <w:rPr>
          <w:rFonts w:ascii="Arial" w:hAnsi="Arial" w:cs="Arial"/>
          <w:sz w:val="24"/>
          <w:szCs w:val="24"/>
        </w:rPr>
        <w:t xml:space="preserve">via the Commission, and not Johannes as </w:t>
      </w:r>
      <w:r w:rsidR="000E3773" w:rsidRPr="003C00A5">
        <w:rPr>
          <w:rFonts w:ascii="Arial" w:hAnsi="Arial" w:cs="Arial"/>
          <w:sz w:val="24"/>
          <w:szCs w:val="24"/>
        </w:rPr>
        <w:t xml:space="preserve">ordered by the judge </w:t>
      </w:r>
      <w:r w:rsidR="000E3773" w:rsidRPr="003C00A5">
        <w:rPr>
          <w:rFonts w:ascii="Arial" w:hAnsi="Arial" w:cs="Arial"/>
          <w:i/>
          <w:sz w:val="24"/>
          <w:szCs w:val="24"/>
        </w:rPr>
        <w:t>a quo</w:t>
      </w:r>
      <w:r w:rsidR="000E3773" w:rsidRPr="003C00A5">
        <w:rPr>
          <w:rFonts w:ascii="Arial" w:hAnsi="Arial" w:cs="Arial"/>
          <w:sz w:val="24"/>
          <w:szCs w:val="24"/>
        </w:rPr>
        <w:t>.</w:t>
      </w:r>
    </w:p>
    <w:p w:rsidR="000940E1" w:rsidRDefault="000940E1" w:rsidP="000940E1">
      <w:pPr>
        <w:pStyle w:val="NoSpacing"/>
        <w:spacing w:line="480" w:lineRule="auto"/>
        <w:jc w:val="both"/>
        <w:rPr>
          <w:rFonts w:ascii="Arial" w:hAnsi="Arial" w:cs="Arial"/>
          <w:sz w:val="24"/>
          <w:szCs w:val="24"/>
        </w:rPr>
      </w:pPr>
    </w:p>
    <w:p w:rsidR="00E90F2B" w:rsidRPr="00E90F2B" w:rsidRDefault="00E90F2B" w:rsidP="000940E1">
      <w:pPr>
        <w:pStyle w:val="NoSpacing"/>
        <w:spacing w:line="480" w:lineRule="auto"/>
        <w:jc w:val="both"/>
        <w:rPr>
          <w:rFonts w:ascii="Arial" w:hAnsi="Arial" w:cs="Arial"/>
          <w:sz w:val="24"/>
          <w:szCs w:val="24"/>
          <w:u w:val="single"/>
        </w:rPr>
      </w:pPr>
      <w:r w:rsidRPr="00E90F2B">
        <w:rPr>
          <w:rFonts w:ascii="Arial" w:hAnsi="Arial" w:cs="Arial"/>
          <w:sz w:val="24"/>
          <w:szCs w:val="24"/>
          <w:u w:val="single"/>
        </w:rPr>
        <w:t xml:space="preserve">Judgment </w:t>
      </w:r>
      <w:r w:rsidRPr="00E90F2B">
        <w:rPr>
          <w:rFonts w:ascii="Arial" w:hAnsi="Arial" w:cs="Arial"/>
          <w:i/>
          <w:sz w:val="24"/>
          <w:szCs w:val="24"/>
          <w:u w:val="single"/>
        </w:rPr>
        <w:t>a quo</w:t>
      </w:r>
    </w:p>
    <w:p w:rsidR="000940E1" w:rsidRDefault="00E90F2B" w:rsidP="000940E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E90F2B">
        <w:rPr>
          <w:rFonts w:ascii="Arial" w:hAnsi="Arial" w:cs="Arial"/>
          <w:i/>
          <w:sz w:val="24"/>
          <w:szCs w:val="24"/>
        </w:rPr>
        <w:t>a quo</w:t>
      </w:r>
      <w:r>
        <w:rPr>
          <w:rFonts w:ascii="Arial" w:hAnsi="Arial" w:cs="Arial"/>
          <w:sz w:val="24"/>
          <w:szCs w:val="24"/>
        </w:rPr>
        <w:t xml:space="preserve"> dealt with the various issues raised in the application as </w:t>
      </w:r>
      <w:r w:rsidR="00194056">
        <w:rPr>
          <w:rFonts w:ascii="Arial" w:hAnsi="Arial" w:cs="Arial"/>
          <w:sz w:val="24"/>
          <w:szCs w:val="24"/>
        </w:rPr>
        <w:t>discussed below</w:t>
      </w:r>
      <w:r w:rsidR="00D326D4">
        <w:rPr>
          <w:rFonts w:ascii="Arial" w:hAnsi="Arial" w:cs="Arial"/>
          <w:sz w:val="24"/>
          <w:szCs w:val="24"/>
        </w:rPr>
        <w:t>.</w:t>
      </w:r>
      <w:r w:rsidR="00C51E2F">
        <w:rPr>
          <w:rStyle w:val="FootnoteReference"/>
          <w:rFonts w:ascii="Arial" w:hAnsi="Arial" w:cs="Arial"/>
          <w:sz w:val="24"/>
          <w:szCs w:val="24"/>
        </w:rPr>
        <w:footnoteReference w:id="3"/>
      </w:r>
    </w:p>
    <w:p w:rsidR="000940E1" w:rsidRDefault="000940E1" w:rsidP="000940E1">
      <w:pPr>
        <w:pStyle w:val="NoSpacing"/>
        <w:spacing w:line="480" w:lineRule="auto"/>
        <w:jc w:val="both"/>
        <w:rPr>
          <w:rFonts w:ascii="Arial" w:hAnsi="Arial" w:cs="Arial"/>
          <w:sz w:val="24"/>
          <w:szCs w:val="24"/>
        </w:rPr>
      </w:pPr>
    </w:p>
    <w:p w:rsidR="000940E1" w:rsidRDefault="00194056" w:rsidP="000940E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respect of the alleged </w:t>
      </w:r>
      <w:r w:rsidR="004267EC">
        <w:rPr>
          <w:rFonts w:ascii="Arial" w:hAnsi="Arial" w:cs="Arial"/>
          <w:sz w:val="24"/>
          <w:szCs w:val="24"/>
        </w:rPr>
        <w:t>w</w:t>
      </w:r>
      <w:r w:rsidR="008D7695">
        <w:rPr>
          <w:rFonts w:ascii="Arial" w:hAnsi="Arial" w:cs="Arial"/>
          <w:sz w:val="24"/>
          <w:szCs w:val="24"/>
        </w:rPr>
        <w:t>ill</w:t>
      </w:r>
      <w:r>
        <w:rPr>
          <w:rFonts w:ascii="Arial" w:hAnsi="Arial" w:cs="Arial"/>
          <w:sz w:val="24"/>
          <w:szCs w:val="24"/>
        </w:rPr>
        <w:t>,</w:t>
      </w:r>
      <w:r w:rsidR="00E90F2B">
        <w:rPr>
          <w:rFonts w:ascii="Arial" w:hAnsi="Arial" w:cs="Arial"/>
          <w:sz w:val="24"/>
          <w:szCs w:val="24"/>
        </w:rPr>
        <w:t xml:space="preserve"> it held that it was a </w:t>
      </w:r>
      <w:r w:rsidR="004267EC">
        <w:rPr>
          <w:rFonts w:ascii="Arial" w:hAnsi="Arial" w:cs="Arial"/>
          <w:sz w:val="24"/>
          <w:szCs w:val="24"/>
        </w:rPr>
        <w:t>w</w:t>
      </w:r>
      <w:r w:rsidR="008D7695">
        <w:rPr>
          <w:rFonts w:ascii="Arial" w:hAnsi="Arial" w:cs="Arial"/>
          <w:sz w:val="24"/>
          <w:szCs w:val="24"/>
        </w:rPr>
        <w:t>ill</w:t>
      </w:r>
      <w:r w:rsidR="00E90F2B">
        <w:rPr>
          <w:rFonts w:ascii="Arial" w:hAnsi="Arial" w:cs="Arial"/>
          <w:sz w:val="24"/>
          <w:szCs w:val="24"/>
        </w:rPr>
        <w:t xml:space="preserve"> as it, on the face thereof, complied with the stat</w:t>
      </w:r>
      <w:r>
        <w:rPr>
          <w:rFonts w:ascii="Arial" w:hAnsi="Arial" w:cs="Arial"/>
          <w:sz w:val="24"/>
          <w:szCs w:val="24"/>
        </w:rPr>
        <w:t xml:space="preserve">utory requirements for a valid </w:t>
      </w:r>
      <w:r w:rsidR="004267EC">
        <w:rPr>
          <w:rFonts w:ascii="Arial" w:hAnsi="Arial" w:cs="Arial"/>
          <w:sz w:val="24"/>
          <w:szCs w:val="24"/>
        </w:rPr>
        <w:t>w</w:t>
      </w:r>
      <w:r w:rsidR="008D7695">
        <w:rPr>
          <w:rFonts w:ascii="Arial" w:hAnsi="Arial" w:cs="Arial"/>
          <w:sz w:val="24"/>
          <w:szCs w:val="24"/>
        </w:rPr>
        <w:t>ill</w:t>
      </w:r>
      <w:r w:rsidR="00E90F2B">
        <w:rPr>
          <w:rFonts w:ascii="Arial" w:hAnsi="Arial" w:cs="Arial"/>
          <w:sz w:val="24"/>
          <w:szCs w:val="24"/>
        </w:rPr>
        <w:t xml:space="preserve"> and nothing was raised on behalf of Maria and the children to cast doubt on this conclusion. </w:t>
      </w:r>
    </w:p>
    <w:p w:rsidR="000940E1" w:rsidRDefault="000940E1" w:rsidP="000940E1">
      <w:pPr>
        <w:pStyle w:val="NoSpacing"/>
        <w:spacing w:line="480" w:lineRule="auto"/>
        <w:jc w:val="both"/>
        <w:rPr>
          <w:rFonts w:ascii="Arial" w:hAnsi="Arial" w:cs="Arial"/>
          <w:sz w:val="24"/>
          <w:szCs w:val="24"/>
        </w:rPr>
      </w:pPr>
    </w:p>
    <w:p w:rsidR="000940E1" w:rsidRDefault="00E90F2B" w:rsidP="000940E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alleged assignment of the</w:t>
      </w:r>
      <w:r w:rsidR="00AE47F3">
        <w:rPr>
          <w:rFonts w:ascii="Arial" w:hAnsi="Arial" w:cs="Arial"/>
          <w:sz w:val="24"/>
          <w:szCs w:val="24"/>
        </w:rPr>
        <w:t xml:space="preserve"> lease by the executrix to herself with the approval of the children was held to be ineffectual and it was </w:t>
      </w:r>
      <w:r w:rsidR="008D06EB">
        <w:rPr>
          <w:rFonts w:ascii="Arial" w:hAnsi="Arial" w:cs="Arial"/>
          <w:sz w:val="24"/>
          <w:szCs w:val="24"/>
        </w:rPr>
        <w:t xml:space="preserve">not </w:t>
      </w:r>
      <w:r w:rsidR="00AE47F3">
        <w:rPr>
          <w:rFonts w:ascii="Arial" w:hAnsi="Arial" w:cs="Arial"/>
          <w:sz w:val="24"/>
          <w:szCs w:val="24"/>
        </w:rPr>
        <w:t>done per the correct procedure and neither was there any approval from the Minister of her as assignee.</w:t>
      </w:r>
    </w:p>
    <w:p w:rsidR="000940E1" w:rsidRDefault="000940E1" w:rsidP="000940E1">
      <w:pPr>
        <w:pStyle w:val="NoSpacing"/>
        <w:spacing w:line="480" w:lineRule="auto"/>
        <w:jc w:val="both"/>
        <w:rPr>
          <w:rFonts w:ascii="Arial" w:hAnsi="Arial" w:cs="Arial"/>
          <w:sz w:val="24"/>
          <w:szCs w:val="24"/>
        </w:rPr>
      </w:pPr>
    </w:p>
    <w:p w:rsidR="00D67C57" w:rsidRDefault="00AE47F3" w:rsidP="00D67C5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leasehold right was held to be akin to a </w:t>
      </w:r>
      <w:r w:rsidR="00AB3D28">
        <w:rPr>
          <w:rFonts w:ascii="Arial" w:hAnsi="Arial" w:cs="Arial"/>
          <w:sz w:val="24"/>
          <w:szCs w:val="24"/>
        </w:rPr>
        <w:t>usufruct and hence a personal r</w:t>
      </w:r>
      <w:r w:rsidR="008D06EB">
        <w:rPr>
          <w:rFonts w:ascii="Arial" w:hAnsi="Arial" w:cs="Arial"/>
          <w:sz w:val="24"/>
          <w:szCs w:val="24"/>
        </w:rPr>
        <w:t>ight of the deceased which</w:t>
      </w:r>
      <w:r w:rsidR="00AB3D28">
        <w:rPr>
          <w:rFonts w:ascii="Arial" w:hAnsi="Arial" w:cs="Arial"/>
          <w:sz w:val="24"/>
          <w:szCs w:val="24"/>
        </w:rPr>
        <w:t xml:space="preserve"> did not form part of the joint estate created by the marriage in community of property, between the deceased and Maria.</w:t>
      </w:r>
    </w:p>
    <w:p w:rsidR="00D67C57" w:rsidRDefault="00D67C57" w:rsidP="00D67C57">
      <w:pPr>
        <w:pStyle w:val="NoSpacing"/>
        <w:spacing w:line="480" w:lineRule="auto"/>
        <w:jc w:val="both"/>
        <w:rPr>
          <w:rFonts w:ascii="Arial" w:hAnsi="Arial" w:cs="Arial"/>
          <w:sz w:val="24"/>
          <w:szCs w:val="24"/>
        </w:rPr>
      </w:pPr>
    </w:p>
    <w:p w:rsidR="00D67C57" w:rsidRDefault="00C51E2F" w:rsidP="00D67C5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As the </w:t>
      </w:r>
      <w:r w:rsidR="004267EC">
        <w:rPr>
          <w:rFonts w:ascii="Arial" w:hAnsi="Arial" w:cs="Arial"/>
          <w:sz w:val="24"/>
          <w:szCs w:val="24"/>
        </w:rPr>
        <w:t>w</w:t>
      </w:r>
      <w:r w:rsidR="008D7695">
        <w:rPr>
          <w:rFonts w:ascii="Arial" w:hAnsi="Arial" w:cs="Arial"/>
          <w:sz w:val="24"/>
          <w:szCs w:val="24"/>
        </w:rPr>
        <w:t>ill</w:t>
      </w:r>
      <w:r w:rsidR="00AB3D28">
        <w:rPr>
          <w:rFonts w:ascii="Arial" w:hAnsi="Arial" w:cs="Arial"/>
          <w:sz w:val="24"/>
          <w:szCs w:val="24"/>
        </w:rPr>
        <w:t xml:space="preserve"> of the deceased bequeath</w:t>
      </w:r>
      <w:r w:rsidR="001841DD">
        <w:rPr>
          <w:rFonts w:ascii="Arial" w:hAnsi="Arial" w:cs="Arial"/>
          <w:sz w:val="24"/>
          <w:szCs w:val="24"/>
        </w:rPr>
        <w:t xml:space="preserve">ed the leasehold to </w:t>
      </w:r>
      <w:r w:rsidR="009D71B9" w:rsidRPr="008D06EB">
        <w:rPr>
          <w:rFonts w:ascii="Arial" w:hAnsi="Arial" w:cs="Arial"/>
          <w:sz w:val="24"/>
          <w:szCs w:val="24"/>
        </w:rPr>
        <w:t>Johannes</w:t>
      </w:r>
      <w:r w:rsidR="00194056">
        <w:rPr>
          <w:rFonts w:ascii="Arial" w:hAnsi="Arial" w:cs="Arial"/>
          <w:sz w:val="24"/>
          <w:szCs w:val="24"/>
        </w:rPr>
        <w:t>,</w:t>
      </w:r>
      <w:r w:rsidR="001841DD">
        <w:rPr>
          <w:rFonts w:ascii="Arial" w:hAnsi="Arial" w:cs="Arial"/>
          <w:sz w:val="24"/>
          <w:szCs w:val="24"/>
        </w:rPr>
        <w:t xml:space="preserve"> he was entitled to be the assignee in respect thereof and hence he was the only assignee whose name ha</w:t>
      </w:r>
      <w:r>
        <w:rPr>
          <w:rFonts w:ascii="Arial" w:hAnsi="Arial" w:cs="Arial"/>
          <w:sz w:val="24"/>
          <w:szCs w:val="24"/>
        </w:rPr>
        <w:t>d</w:t>
      </w:r>
      <w:r w:rsidR="001841DD">
        <w:rPr>
          <w:rFonts w:ascii="Arial" w:hAnsi="Arial" w:cs="Arial"/>
          <w:sz w:val="24"/>
          <w:szCs w:val="24"/>
        </w:rPr>
        <w:t xml:space="preserve"> to be forwarded to the Commission and the Minister in this regard. </w:t>
      </w:r>
    </w:p>
    <w:p w:rsidR="00D67C57" w:rsidRDefault="00D67C57" w:rsidP="00D67C57">
      <w:pPr>
        <w:pStyle w:val="NoSpacing"/>
        <w:spacing w:line="480" w:lineRule="auto"/>
        <w:jc w:val="both"/>
        <w:rPr>
          <w:rFonts w:ascii="Arial" w:hAnsi="Arial" w:cs="Arial"/>
          <w:sz w:val="24"/>
          <w:szCs w:val="24"/>
        </w:rPr>
      </w:pPr>
    </w:p>
    <w:p w:rsidR="00D67C57" w:rsidRDefault="001841DD" w:rsidP="00D67C5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counter application was disregarded as it did not comply with certain formalities. It was not accompanie</w:t>
      </w:r>
      <w:r w:rsidR="00054FC5">
        <w:rPr>
          <w:rFonts w:ascii="Arial" w:hAnsi="Arial" w:cs="Arial"/>
          <w:sz w:val="24"/>
          <w:szCs w:val="24"/>
        </w:rPr>
        <w:t>d by a notice of motion nor did it set time periods for the filing of further pleadings, nor w</w:t>
      </w:r>
      <w:r w:rsidR="00194056">
        <w:rPr>
          <w:rFonts w:ascii="Arial" w:hAnsi="Arial" w:cs="Arial"/>
          <w:sz w:val="24"/>
          <w:szCs w:val="24"/>
        </w:rPr>
        <w:t>ere</w:t>
      </w:r>
      <w:r w:rsidR="00054FC5">
        <w:rPr>
          <w:rFonts w:ascii="Arial" w:hAnsi="Arial" w:cs="Arial"/>
          <w:sz w:val="24"/>
          <w:szCs w:val="24"/>
        </w:rPr>
        <w:t xml:space="preserve"> the parties thereto described and it was </w:t>
      </w:r>
      <w:r w:rsidR="005128FC">
        <w:rPr>
          <w:rFonts w:ascii="Arial" w:hAnsi="Arial" w:cs="Arial"/>
          <w:sz w:val="24"/>
          <w:szCs w:val="24"/>
        </w:rPr>
        <w:t>‘part of the answering affidavit or an appendage thereto’. It was not clear that it was ‘a full applica</w:t>
      </w:r>
      <w:r w:rsidR="008D06EB">
        <w:rPr>
          <w:rFonts w:ascii="Arial" w:hAnsi="Arial" w:cs="Arial"/>
          <w:sz w:val="24"/>
          <w:szCs w:val="24"/>
        </w:rPr>
        <w:t xml:space="preserve">tion of its own’ which did ‘not </w:t>
      </w:r>
      <w:r w:rsidR="008D06EB" w:rsidRPr="00416230">
        <w:rPr>
          <w:rFonts w:ascii="Arial" w:hAnsi="Arial" w:cs="Arial"/>
          <w:sz w:val="24"/>
          <w:szCs w:val="24"/>
        </w:rPr>
        <w:t>depend</w:t>
      </w:r>
      <w:r w:rsidR="005128FC" w:rsidRPr="00416230">
        <w:rPr>
          <w:rFonts w:ascii="Arial" w:hAnsi="Arial" w:cs="Arial"/>
          <w:sz w:val="24"/>
          <w:szCs w:val="24"/>
        </w:rPr>
        <w:t xml:space="preserve"> f</w:t>
      </w:r>
      <w:r w:rsidR="005128FC">
        <w:rPr>
          <w:rFonts w:ascii="Arial" w:hAnsi="Arial" w:cs="Arial"/>
          <w:sz w:val="24"/>
          <w:szCs w:val="24"/>
        </w:rPr>
        <w:t>or its validity or completeness on the main application’.</w:t>
      </w:r>
    </w:p>
    <w:p w:rsidR="00D67C57" w:rsidRDefault="00D67C57" w:rsidP="00D67C57">
      <w:pPr>
        <w:pStyle w:val="NoSpacing"/>
        <w:spacing w:line="480" w:lineRule="auto"/>
        <w:jc w:val="both"/>
        <w:rPr>
          <w:rFonts w:ascii="Arial" w:hAnsi="Arial" w:cs="Arial"/>
          <w:sz w:val="24"/>
          <w:szCs w:val="24"/>
        </w:rPr>
      </w:pPr>
    </w:p>
    <w:p w:rsidR="005128FC" w:rsidRPr="00AF69BB" w:rsidRDefault="005128FC" w:rsidP="00D67C5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grounds of appeal are directed to all the findings set out above and I deal with them separately below.</w:t>
      </w:r>
    </w:p>
    <w:p w:rsidR="005128FC" w:rsidRDefault="005128FC" w:rsidP="00D67C57">
      <w:pPr>
        <w:pStyle w:val="NoSpacing"/>
        <w:spacing w:line="480" w:lineRule="auto"/>
        <w:jc w:val="both"/>
        <w:rPr>
          <w:rFonts w:ascii="Arial" w:hAnsi="Arial" w:cs="Arial"/>
          <w:sz w:val="24"/>
          <w:szCs w:val="24"/>
        </w:rPr>
      </w:pPr>
    </w:p>
    <w:p w:rsidR="00194056" w:rsidRDefault="00194056" w:rsidP="00D67C57">
      <w:pPr>
        <w:pStyle w:val="NoSpacing"/>
        <w:spacing w:line="480" w:lineRule="auto"/>
        <w:jc w:val="both"/>
        <w:rPr>
          <w:rFonts w:ascii="Arial" w:hAnsi="Arial" w:cs="Arial"/>
          <w:sz w:val="24"/>
          <w:szCs w:val="24"/>
        </w:rPr>
      </w:pPr>
    </w:p>
    <w:p w:rsidR="00194056" w:rsidRDefault="00194056" w:rsidP="00D67C57">
      <w:pPr>
        <w:pStyle w:val="NoSpacing"/>
        <w:spacing w:line="480" w:lineRule="auto"/>
        <w:jc w:val="both"/>
        <w:rPr>
          <w:rFonts w:ascii="Arial" w:hAnsi="Arial" w:cs="Arial"/>
          <w:sz w:val="24"/>
          <w:szCs w:val="24"/>
        </w:rPr>
      </w:pPr>
    </w:p>
    <w:p w:rsidR="005128FC" w:rsidRPr="005128FC" w:rsidRDefault="005128FC" w:rsidP="00D67C57">
      <w:pPr>
        <w:pStyle w:val="NoSpacing"/>
        <w:spacing w:line="480" w:lineRule="auto"/>
        <w:jc w:val="both"/>
        <w:rPr>
          <w:rFonts w:ascii="Arial" w:hAnsi="Arial" w:cs="Arial"/>
          <w:sz w:val="24"/>
          <w:szCs w:val="24"/>
          <w:u w:val="single"/>
        </w:rPr>
      </w:pPr>
      <w:r w:rsidRPr="005128FC">
        <w:rPr>
          <w:rFonts w:ascii="Arial" w:hAnsi="Arial" w:cs="Arial"/>
          <w:sz w:val="24"/>
          <w:szCs w:val="24"/>
          <w:u w:val="single"/>
        </w:rPr>
        <w:t>Assignment</w:t>
      </w:r>
    </w:p>
    <w:p w:rsidR="00D67C57" w:rsidRDefault="005128FC" w:rsidP="00D67C5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ACLRA provides for the assignment of 99 year leases entered into in terms of its provisions. Section 53 of ACLRA provides </w:t>
      </w:r>
      <w:r w:rsidR="00194056">
        <w:rPr>
          <w:rFonts w:ascii="Arial" w:hAnsi="Arial" w:cs="Arial"/>
          <w:sz w:val="24"/>
          <w:szCs w:val="24"/>
        </w:rPr>
        <w:t>for this eventuality upo</w:t>
      </w:r>
      <w:r w:rsidR="00A846D7">
        <w:rPr>
          <w:rFonts w:ascii="Arial" w:hAnsi="Arial" w:cs="Arial"/>
          <w:sz w:val="24"/>
          <w:szCs w:val="24"/>
        </w:rPr>
        <w:t xml:space="preserve">n the death of a lessee. This court dealt extensively with s 53 and the interplay between the provisions of s </w:t>
      </w:r>
      <w:r w:rsidR="00AF69BB">
        <w:rPr>
          <w:rFonts w:ascii="Arial" w:hAnsi="Arial" w:cs="Arial"/>
          <w:sz w:val="24"/>
          <w:szCs w:val="24"/>
        </w:rPr>
        <w:t>5</w:t>
      </w:r>
      <w:r w:rsidR="00A846D7">
        <w:rPr>
          <w:rFonts w:ascii="Arial" w:hAnsi="Arial" w:cs="Arial"/>
          <w:sz w:val="24"/>
          <w:szCs w:val="24"/>
        </w:rPr>
        <w:t xml:space="preserve">3 of </w:t>
      </w:r>
      <w:r w:rsidR="00194056">
        <w:rPr>
          <w:rFonts w:ascii="Arial" w:hAnsi="Arial" w:cs="Arial"/>
          <w:sz w:val="24"/>
          <w:szCs w:val="24"/>
        </w:rPr>
        <w:t xml:space="preserve">the </w:t>
      </w:r>
      <w:r w:rsidR="004D12AF">
        <w:rPr>
          <w:rFonts w:ascii="Arial" w:hAnsi="Arial" w:cs="Arial"/>
          <w:sz w:val="24"/>
          <w:szCs w:val="24"/>
        </w:rPr>
        <w:t xml:space="preserve">ACLRA and the law of succession </w:t>
      </w:r>
      <w:r w:rsidR="004D12AF" w:rsidRPr="00194056">
        <w:rPr>
          <w:rFonts w:ascii="Arial" w:hAnsi="Arial" w:cs="Arial"/>
          <w:sz w:val="24"/>
          <w:szCs w:val="24"/>
        </w:rPr>
        <w:t>in</w:t>
      </w:r>
      <w:r w:rsidR="004D12AF" w:rsidRPr="0007460D">
        <w:rPr>
          <w:rFonts w:ascii="Arial" w:hAnsi="Arial" w:cs="Arial"/>
          <w:i/>
          <w:sz w:val="24"/>
          <w:szCs w:val="24"/>
        </w:rPr>
        <w:t xml:space="preserve"> Meroro v Minister of Lands, Resettlement and Rehabilitation</w:t>
      </w:r>
      <w:r w:rsidR="0007460D" w:rsidRPr="0007460D">
        <w:rPr>
          <w:rFonts w:ascii="Arial" w:hAnsi="Arial" w:cs="Arial"/>
          <w:i/>
          <w:sz w:val="24"/>
          <w:szCs w:val="24"/>
        </w:rPr>
        <w:t xml:space="preserve"> &amp; others</w:t>
      </w:r>
      <w:r w:rsidR="004D12AF">
        <w:rPr>
          <w:rStyle w:val="FootnoteReference"/>
          <w:rFonts w:ascii="Arial" w:hAnsi="Arial" w:cs="Arial"/>
          <w:sz w:val="24"/>
          <w:szCs w:val="24"/>
        </w:rPr>
        <w:footnoteReference w:id="4"/>
      </w:r>
      <w:r w:rsidR="0007460D">
        <w:rPr>
          <w:rFonts w:ascii="Arial" w:hAnsi="Arial" w:cs="Arial"/>
          <w:i/>
          <w:sz w:val="24"/>
          <w:szCs w:val="24"/>
        </w:rPr>
        <w:t xml:space="preserve">. </w:t>
      </w:r>
      <w:r w:rsidR="0007460D" w:rsidRPr="0007460D">
        <w:rPr>
          <w:rFonts w:ascii="Arial" w:hAnsi="Arial" w:cs="Arial"/>
          <w:sz w:val="24"/>
          <w:szCs w:val="24"/>
        </w:rPr>
        <w:t xml:space="preserve">In summary </w:t>
      </w:r>
      <w:r w:rsidR="0007460D">
        <w:rPr>
          <w:rFonts w:ascii="Arial" w:hAnsi="Arial" w:cs="Arial"/>
          <w:sz w:val="24"/>
          <w:szCs w:val="24"/>
        </w:rPr>
        <w:t>the position can be stated as follows:</w:t>
      </w:r>
    </w:p>
    <w:p w:rsidR="0007460D" w:rsidRPr="00A526E9" w:rsidRDefault="0007460D" w:rsidP="00A526E9">
      <w:pPr>
        <w:pStyle w:val="NoSpacing"/>
        <w:spacing w:line="480" w:lineRule="auto"/>
        <w:ind w:left="720"/>
        <w:jc w:val="both"/>
        <w:rPr>
          <w:rFonts w:ascii="Arial" w:hAnsi="Arial" w:cs="Arial"/>
          <w:sz w:val="24"/>
          <w:szCs w:val="24"/>
        </w:rPr>
      </w:pPr>
    </w:p>
    <w:p w:rsidR="0007460D" w:rsidRPr="00A526E9" w:rsidRDefault="0007460D" w:rsidP="00A526E9">
      <w:pPr>
        <w:pStyle w:val="NoSpacing"/>
        <w:spacing w:line="480" w:lineRule="auto"/>
        <w:ind w:left="1440" w:hanging="720"/>
        <w:jc w:val="both"/>
        <w:rPr>
          <w:rFonts w:ascii="Arial" w:hAnsi="Arial" w:cs="Arial"/>
          <w:sz w:val="24"/>
          <w:szCs w:val="24"/>
        </w:rPr>
      </w:pPr>
      <w:r w:rsidRPr="00A526E9">
        <w:rPr>
          <w:rFonts w:ascii="Arial" w:hAnsi="Arial" w:cs="Arial"/>
          <w:sz w:val="24"/>
          <w:szCs w:val="24"/>
        </w:rPr>
        <w:t>(a)</w:t>
      </w:r>
      <w:r w:rsidRPr="00A526E9">
        <w:rPr>
          <w:rFonts w:ascii="Arial" w:hAnsi="Arial" w:cs="Arial"/>
          <w:sz w:val="24"/>
          <w:szCs w:val="24"/>
        </w:rPr>
        <w:tab/>
      </w:r>
      <w:r w:rsidR="00194056">
        <w:rPr>
          <w:rFonts w:ascii="Arial" w:hAnsi="Arial" w:cs="Arial"/>
          <w:sz w:val="24"/>
          <w:szCs w:val="24"/>
        </w:rPr>
        <w:t>‘</w:t>
      </w:r>
      <w:r w:rsidRPr="00A526E9">
        <w:rPr>
          <w:rFonts w:ascii="Arial" w:hAnsi="Arial" w:cs="Arial"/>
          <w:sz w:val="24"/>
          <w:szCs w:val="24"/>
        </w:rPr>
        <w:t xml:space="preserve">. . . the rights and obligations that </w:t>
      </w:r>
      <w:r w:rsidR="00C808C4">
        <w:rPr>
          <w:rFonts w:ascii="Arial" w:hAnsi="Arial" w:cs="Arial"/>
          <w:sz w:val="24"/>
          <w:szCs w:val="24"/>
        </w:rPr>
        <w:t>a</w:t>
      </w:r>
      <w:r w:rsidRPr="00A526E9">
        <w:rPr>
          <w:rFonts w:ascii="Arial" w:hAnsi="Arial" w:cs="Arial"/>
          <w:sz w:val="24"/>
          <w:szCs w:val="24"/>
        </w:rPr>
        <w:t xml:space="preserve"> deceased had under the 99-year lease </w:t>
      </w:r>
      <w:r w:rsidR="005F2479" w:rsidRPr="00A526E9">
        <w:rPr>
          <w:rFonts w:ascii="Arial" w:hAnsi="Arial" w:cs="Arial"/>
          <w:sz w:val="24"/>
          <w:szCs w:val="24"/>
        </w:rPr>
        <w:t xml:space="preserve">immediately prior to his </w:t>
      </w:r>
      <w:r w:rsidRPr="00A526E9">
        <w:rPr>
          <w:rFonts w:ascii="Arial" w:hAnsi="Arial" w:cs="Arial"/>
          <w:sz w:val="24"/>
          <w:szCs w:val="24"/>
        </w:rPr>
        <w:t>passing became part of the aggregate of assets and liabilities comprising the deceased estate</w:t>
      </w:r>
      <w:r w:rsidR="005F2479" w:rsidRPr="00A526E9">
        <w:rPr>
          <w:rFonts w:ascii="Arial" w:hAnsi="Arial" w:cs="Arial"/>
          <w:sz w:val="24"/>
          <w:szCs w:val="24"/>
        </w:rPr>
        <w:t xml:space="preserve"> . . .</w:t>
      </w:r>
      <w:r w:rsidR="00194056">
        <w:rPr>
          <w:rFonts w:ascii="Arial" w:hAnsi="Arial" w:cs="Arial"/>
          <w:sz w:val="24"/>
          <w:szCs w:val="24"/>
        </w:rPr>
        <w:t>’</w:t>
      </w:r>
      <w:r w:rsidR="0079103F">
        <w:rPr>
          <w:rFonts w:ascii="Arial" w:hAnsi="Arial" w:cs="Arial"/>
          <w:sz w:val="24"/>
          <w:szCs w:val="24"/>
        </w:rPr>
        <w:t>.</w:t>
      </w:r>
      <w:r w:rsidR="005F2479" w:rsidRPr="00A526E9">
        <w:rPr>
          <w:rStyle w:val="FootnoteReference"/>
          <w:rFonts w:ascii="Arial" w:hAnsi="Arial" w:cs="Arial"/>
          <w:sz w:val="24"/>
          <w:szCs w:val="24"/>
        </w:rPr>
        <w:footnoteReference w:id="5"/>
      </w:r>
    </w:p>
    <w:p w:rsidR="0007460D" w:rsidRPr="00A526E9" w:rsidRDefault="0007460D" w:rsidP="00A526E9">
      <w:pPr>
        <w:pStyle w:val="NoSpacing"/>
        <w:spacing w:line="480" w:lineRule="auto"/>
        <w:ind w:left="720"/>
        <w:jc w:val="both"/>
        <w:rPr>
          <w:rFonts w:ascii="Arial" w:hAnsi="Arial" w:cs="Arial"/>
          <w:sz w:val="24"/>
          <w:szCs w:val="24"/>
        </w:rPr>
      </w:pPr>
    </w:p>
    <w:p w:rsidR="0007460D" w:rsidRPr="00A526E9" w:rsidRDefault="0007460D" w:rsidP="00A526E9">
      <w:pPr>
        <w:pStyle w:val="ListParagraph"/>
        <w:spacing w:line="480" w:lineRule="auto"/>
        <w:ind w:left="1440" w:hanging="720"/>
        <w:jc w:val="both"/>
        <w:rPr>
          <w:rFonts w:ascii="Arial" w:hAnsi="Arial" w:cs="Arial"/>
          <w:sz w:val="24"/>
          <w:szCs w:val="24"/>
        </w:rPr>
      </w:pPr>
      <w:r w:rsidRPr="00A526E9">
        <w:rPr>
          <w:rFonts w:ascii="Arial" w:hAnsi="Arial" w:cs="Arial"/>
          <w:sz w:val="24"/>
          <w:szCs w:val="24"/>
        </w:rPr>
        <w:t>(b)</w:t>
      </w:r>
      <w:r w:rsidRPr="00A526E9">
        <w:rPr>
          <w:rFonts w:ascii="Arial" w:hAnsi="Arial" w:cs="Arial"/>
          <w:sz w:val="24"/>
          <w:szCs w:val="24"/>
        </w:rPr>
        <w:tab/>
      </w:r>
      <w:r w:rsidR="005F2479" w:rsidRPr="00A526E9">
        <w:rPr>
          <w:rFonts w:ascii="Arial" w:hAnsi="Arial" w:cs="Arial"/>
          <w:sz w:val="24"/>
          <w:szCs w:val="24"/>
        </w:rPr>
        <w:t xml:space="preserve">The estate vests in the executor </w:t>
      </w:r>
      <w:r w:rsidR="00C808C4">
        <w:rPr>
          <w:rFonts w:ascii="Arial" w:hAnsi="Arial" w:cs="Arial"/>
          <w:sz w:val="24"/>
          <w:szCs w:val="24"/>
        </w:rPr>
        <w:t xml:space="preserve">or executrix </w:t>
      </w:r>
      <w:r w:rsidR="005F2479" w:rsidRPr="00A526E9">
        <w:rPr>
          <w:rFonts w:ascii="Arial" w:hAnsi="Arial" w:cs="Arial"/>
          <w:sz w:val="24"/>
          <w:szCs w:val="24"/>
        </w:rPr>
        <w:t xml:space="preserve">and pending the finalisation of the estate the executor must continue with </w:t>
      </w:r>
      <w:r w:rsidR="00194056">
        <w:rPr>
          <w:rFonts w:ascii="Arial" w:hAnsi="Arial" w:cs="Arial"/>
          <w:sz w:val="24"/>
          <w:szCs w:val="24"/>
        </w:rPr>
        <w:t>‘</w:t>
      </w:r>
      <w:r w:rsidR="005F2479" w:rsidRPr="00A526E9">
        <w:rPr>
          <w:rFonts w:ascii="Arial" w:hAnsi="Arial" w:cs="Arial"/>
          <w:sz w:val="24"/>
          <w:szCs w:val="24"/>
        </w:rPr>
        <w:t>the lease on behalf of the estate</w:t>
      </w:r>
      <w:r w:rsidR="00194056">
        <w:rPr>
          <w:rFonts w:ascii="Arial" w:hAnsi="Arial" w:cs="Arial"/>
          <w:sz w:val="24"/>
          <w:szCs w:val="24"/>
        </w:rPr>
        <w:t>’</w:t>
      </w:r>
      <w:r w:rsidR="005F2479" w:rsidRPr="00A526E9">
        <w:rPr>
          <w:rFonts w:ascii="Arial" w:hAnsi="Arial" w:cs="Arial"/>
          <w:sz w:val="24"/>
          <w:szCs w:val="24"/>
        </w:rPr>
        <w:t>.</w:t>
      </w:r>
      <w:r w:rsidR="005F2479" w:rsidRPr="00A526E9">
        <w:rPr>
          <w:rStyle w:val="FootnoteReference"/>
          <w:rFonts w:ascii="Arial" w:hAnsi="Arial" w:cs="Arial"/>
          <w:sz w:val="24"/>
          <w:szCs w:val="24"/>
        </w:rPr>
        <w:footnoteReference w:id="6"/>
      </w:r>
    </w:p>
    <w:p w:rsidR="0007460D" w:rsidRPr="00A526E9" w:rsidRDefault="008511DE" w:rsidP="00A526E9">
      <w:pPr>
        <w:pStyle w:val="NoSpacing"/>
        <w:spacing w:line="480" w:lineRule="auto"/>
        <w:jc w:val="both"/>
        <w:rPr>
          <w:rFonts w:ascii="Arial" w:hAnsi="Arial" w:cs="Arial"/>
          <w:sz w:val="24"/>
          <w:szCs w:val="24"/>
        </w:rPr>
      </w:pPr>
      <w:r w:rsidRPr="00A526E9">
        <w:rPr>
          <w:rFonts w:ascii="Arial" w:hAnsi="Arial" w:cs="Arial"/>
          <w:sz w:val="24"/>
          <w:szCs w:val="24"/>
        </w:rPr>
        <w:tab/>
      </w:r>
    </w:p>
    <w:p w:rsidR="0007460D" w:rsidRPr="00A526E9" w:rsidRDefault="00A526E9" w:rsidP="00A526E9">
      <w:pPr>
        <w:pStyle w:val="NoSpacing"/>
        <w:spacing w:line="480" w:lineRule="auto"/>
        <w:ind w:left="1440" w:hanging="720"/>
        <w:jc w:val="both"/>
        <w:rPr>
          <w:rFonts w:ascii="Arial" w:hAnsi="Arial" w:cs="Arial"/>
          <w:sz w:val="24"/>
          <w:szCs w:val="24"/>
        </w:rPr>
      </w:pPr>
      <w:r w:rsidRPr="00A526E9">
        <w:rPr>
          <w:rFonts w:ascii="Arial" w:hAnsi="Arial" w:cs="Arial"/>
          <w:sz w:val="24"/>
          <w:szCs w:val="24"/>
        </w:rPr>
        <w:t>(c)</w:t>
      </w:r>
      <w:r w:rsidRPr="00A526E9">
        <w:rPr>
          <w:rFonts w:ascii="Arial" w:hAnsi="Arial" w:cs="Arial"/>
          <w:sz w:val="24"/>
          <w:szCs w:val="24"/>
        </w:rPr>
        <w:tab/>
      </w:r>
      <w:r w:rsidR="00194056">
        <w:rPr>
          <w:rFonts w:ascii="Arial" w:hAnsi="Arial" w:cs="Arial"/>
          <w:sz w:val="24"/>
          <w:szCs w:val="24"/>
        </w:rPr>
        <w:t>P</w:t>
      </w:r>
      <w:r w:rsidR="008511DE" w:rsidRPr="00A526E9">
        <w:rPr>
          <w:rFonts w:ascii="Arial" w:hAnsi="Arial" w:cs="Arial"/>
          <w:sz w:val="24"/>
          <w:szCs w:val="24"/>
        </w:rPr>
        <w:t xml:space="preserve">ersons entitled to become assignees in respect of </w:t>
      </w:r>
      <w:r w:rsidR="00194056">
        <w:rPr>
          <w:rFonts w:ascii="Arial" w:hAnsi="Arial" w:cs="Arial"/>
          <w:sz w:val="24"/>
          <w:szCs w:val="24"/>
        </w:rPr>
        <w:t>a</w:t>
      </w:r>
      <w:r w:rsidR="008511DE" w:rsidRPr="00A526E9">
        <w:rPr>
          <w:rFonts w:ascii="Arial" w:hAnsi="Arial" w:cs="Arial"/>
          <w:sz w:val="24"/>
          <w:szCs w:val="24"/>
        </w:rPr>
        <w:t xml:space="preserve"> 99-year</w:t>
      </w:r>
      <w:r w:rsidRPr="00A526E9">
        <w:rPr>
          <w:rFonts w:ascii="Arial" w:hAnsi="Arial" w:cs="Arial"/>
          <w:sz w:val="24"/>
          <w:szCs w:val="24"/>
        </w:rPr>
        <w:t xml:space="preserve"> lease must be determined with reference to the laws of succession and </w:t>
      </w:r>
      <w:r>
        <w:rPr>
          <w:rFonts w:ascii="Arial" w:hAnsi="Arial" w:cs="Arial"/>
          <w:sz w:val="24"/>
          <w:szCs w:val="24"/>
        </w:rPr>
        <w:t>‘</w:t>
      </w:r>
      <w:r w:rsidRPr="00A526E9">
        <w:rPr>
          <w:rFonts w:ascii="Arial" w:hAnsi="Arial" w:cs="Arial"/>
          <w:sz w:val="24"/>
          <w:szCs w:val="24"/>
        </w:rPr>
        <w:t>not by the wishes or</w:t>
      </w:r>
      <w:r>
        <w:rPr>
          <w:rFonts w:ascii="Arial" w:hAnsi="Arial" w:cs="Arial"/>
          <w:sz w:val="24"/>
          <w:szCs w:val="24"/>
        </w:rPr>
        <w:t xml:space="preserve"> </w:t>
      </w:r>
      <w:r w:rsidR="00A55AA8">
        <w:rPr>
          <w:rFonts w:ascii="Arial" w:hAnsi="Arial" w:cs="Arial"/>
          <w:sz w:val="24"/>
          <w:szCs w:val="24"/>
        </w:rPr>
        <w:t xml:space="preserve">whims </w:t>
      </w:r>
      <w:r w:rsidRPr="00A526E9">
        <w:rPr>
          <w:rFonts w:ascii="Arial" w:hAnsi="Arial" w:cs="Arial"/>
          <w:sz w:val="24"/>
          <w:szCs w:val="24"/>
        </w:rPr>
        <w:t xml:space="preserve">of the executor or by his or her view of the beneficiary’s </w:t>
      </w:r>
      <w:r w:rsidR="00B05E4C">
        <w:rPr>
          <w:rFonts w:ascii="Arial" w:hAnsi="Arial" w:cs="Arial"/>
          <w:sz w:val="24"/>
          <w:szCs w:val="24"/>
        </w:rPr>
        <w:t>“</w:t>
      </w:r>
      <w:r w:rsidRPr="00A526E9">
        <w:rPr>
          <w:rFonts w:ascii="Arial" w:hAnsi="Arial" w:cs="Arial"/>
          <w:sz w:val="24"/>
          <w:szCs w:val="24"/>
        </w:rPr>
        <w:t>suitability</w:t>
      </w:r>
      <w:r w:rsidR="00B05E4C">
        <w:rPr>
          <w:rFonts w:ascii="Arial" w:hAnsi="Arial" w:cs="Arial"/>
          <w:sz w:val="24"/>
          <w:szCs w:val="24"/>
        </w:rPr>
        <w:t>”</w:t>
      </w:r>
      <w:r w:rsidRPr="00A526E9">
        <w:rPr>
          <w:rFonts w:ascii="Arial" w:hAnsi="Arial" w:cs="Arial"/>
          <w:sz w:val="24"/>
          <w:szCs w:val="24"/>
        </w:rPr>
        <w:t xml:space="preserve"> based on the criteria f</w:t>
      </w:r>
      <w:r w:rsidR="00C808C4">
        <w:rPr>
          <w:rFonts w:ascii="Arial" w:hAnsi="Arial" w:cs="Arial"/>
          <w:sz w:val="24"/>
          <w:szCs w:val="24"/>
        </w:rPr>
        <w:t>alling</w:t>
      </w:r>
      <w:r w:rsidRPr="00A526E9">
        <w:rPr>
          <w:rFonts w:ascii="Arial" w:hAnsi="Arial" w:cs="Arial"/>
          <w:sz w:val="24"/>
          <w:szCs w:val="24"/>
        </w:rPr>
        <w:t xml:space="preserve"> outside the ambit of those law</w:t>
      </w:r>
      <w:r w:rsidR="00416230">
        <w:rPr>
          <w:rFonts w:ascii="Arial" w:hAnsi="Arial" w:cs="Arial"/>
          <w:sz w:val="24"/>
          <w:szCs w:val="24"/>
        </w:rPr>
        <w:t>s</w:t>
      </w:r>
      <w:r>
        <w:rPr>
          <w:rFonts w:ascii="Arial" w:hAnsi="Arial" w:cs="Arial"/>
          <w:sz w:val="24"/>
          <w:szCs w:val="24"/>
        </w:rPr>
        <w:t>’</w:t>
      </w:r>
      <w:r w:rsidRPr="00A526E9">
        <w:rPr>
          <w:rFonts w:ascii="Arial" w:hAnsi="Arial" w:cs="Arial"/>
          <w:sz w:val="24"/>
          <w:szCs w:val="24"/>
        </w:rPr>
        <w:t>.</w:t>
      </w:r>
      <w:r w:rsidRPr="00A526E9">
        <w:rPr>
          <w:rStyle w:val="FootnoteReference"/>
          <w:rFonts w:ascii="Arial" w:hAnsi="Arial" w:cs="Arial"/>
          <w:sz w:val="24"/>
          <w:szCs w:val="24"/>
        </w:rPr>
        <w:footnoteReference w:id="7"/>
      </w:r>
    </w:p>
    <w:p w:rsidR="0007460D" w:rsidRPr="00A526E9" w:rsidRDefault="008511DE" w:rsidP="00A526E9">
      <w:pPr>
        <w:pStyle w:val="NoSpacing"/>
        <w:spacing w:line="480" w:lineRule="auto"/>
        <w:jc w:val="both"/>
        <w:rPr>
          <w:rFonts w:ascii="Arial" w:hAnsi="Arial" w:cs="Arial"/>
          <w:sz w:val="24"/>
          <w:szCs w:val="24"/>
        </w:rPr>
      </w:pPr>
      <w:r w:rsidRPr="00A526E9">
        <w:rPr>
          <w:rFonts w:ascii="Arial" w:hAnsi="Arial" w:cs="Arial"/>
          <w:sz w:val="24"/>
          <w:szCs w:val="24"/>
        </w:rPr>
        <w:tab/>
      </w:r>
    </w:p>
    <w:p w:rsidR="0007460D" w:rsidRPr="00A526E9" w:rsidRDefault="0007460D" w:rsidP="00A55AA8">
      <w:pPr>
        <w:pStyle w:val="NoSpacing"/>
        <w:spacing w:line="480" w:lineRule="auto"/>
        <w:ind w:left="1440" w:hanging="720"/>
        <w:jc w:val="both"/>
        <w:rPr>
          <w:rFonts w:ascii="Arial" w:hAnsi="Arial" w:cs="Arial"/>
          <w:sz w:val="24"/>
          <w:szCs w:val="24"/>
        </w:rPr>
      </w:pPr>
      <w:r w:rsidRPr="00A526E9">
        <w:rPr>
          <w:rFonts w:ascii="Arial" w:hAnsi="Arial" w:cs="Arial"/>
          <w:sz w:val="24"/>
          <w:szCs w:val="24"/>
        </w:rPr>
        <w:t>(d)</w:t>
      </w:r>
      <w:r w:rsidRPr="00A526E9">
        <w:rPr>
          <w:rFonts w:ascii="Arial" w:hAnsi="Arial" w:cs="Arial"/>
          <w:sz w:val="24"/>
          <w:szCs w:val="24"/>
        </w:rPr>
        <w:tab/>
      </w:r>
      <w:r w:rsidR="00A55AA8">
        <w:rPr>
          <w:rFonts w:ascii="Arial" w:hAnsi="Arial" w:cs="Arial"/>
          <w:sz w:val="24"/>
          <w:szCs w:val="24"/>
        </w:rPr>
        <w:t>The M</w:t>
      </w:r>
      <w:r w:rsidR="00B05E4C">
        <w:rPr>
          <w:rFonts w:ascii="Arial" w:hAnsi="Arial" w:cs="Arial"/>
          <w:sz w:val="24"/>
          <w:szCs w:val="24"/>
        </w:rPr>
        <w:t>inister</w:t>
      </w:r>
      <w:r w:rsidR="00A55AA8">
        <w:rPr>
          <w:rFonts w:ascii="Arial" w:hAnsi="Arial" w:cs="Arial"/>
          <w:sz w:val="24"/>
          <w:szCs w:val="24"/>
        </w:rPr>
        <w:t xml:space="preserve"> has no role to play in identifying potential assignees where a lessee of a 99-year lease dies. This must be done by the executor </w:t>
      </w:r>
      <w:r w:rsidR="00C808C4">
        <w:rPr>
          <w:rFonts w:ascii="Arial" w:hAnsi="Arial" w:cs="Arial"/>
          <w:sz w:val="24"/>
          <w:szCs w:val="24"/>
        </w:rPr>
        <w:t xml:space="preserve">or executrix </w:t>
      </w:r>
      <w:r w:rsidR="00A55AA8">
        <w:rPr>
          <w:rFonts w:ascii="Arial" w:hAnsi="Arial" w:cs="Arial"/>
          <w:sz w:val="24"/>
          <w:szCs w:val="24"/>
        </w:rPr>
        <w:t>who must do this in accordance with the law of succession.</w:t>
      </w:r>
      <w:r w:rsidR="00A55AA8">
        <w:rPr>
          <w:rStyle w:val="FootnoteReference"/>
          <w:rFonts w:ascii="Arial" w:hAnsi="Arial" w:cs="Arial"/>
          <w:sz w:val="24"/>
          <w:szCs w:val="24"/>
        </w:rPr>
        <w:footnoteReference w:id="8"/>
      </w:r>
    </w:p>
    <w:p w:rsidR="0007460D" w:rsidRPr="00A526E9" w:rsidRDefault="0007460D" w:rsidP="00A526E9">
      <w:pPr>
        <w:pStyle w:val="NoSpacing"/>
        <w:spacing w:line="480" w:lineRule="auto"/>
        <w:ind w:firstLine="720"/>
        <w:jc w:val="both"/>
        <w:rPr>
          <w:rFonts w:ascii="Arial" w:hAnsi="Arial" w:cs="Arial"/>
          <w:sz w:val="24"/>
          <w:szCs w:val="24"/>
        </w:rPr>
      </w:pPr>
    </w:p>
    <w:p w:rsidR="0007460D" w:rsidRPr="00A526E9" w:rsidRDefault="0007460D" w:rsidP="00A55AA8">
      <w:pPr>
        <w:pStyle w:val="NoSpacing"/>
        <w:spacing w:line="480" w:lineRule="auto"/>
        <w:ind w:left="1440" w:hanging="720"/>
        <w:jc w:val="both"/>
        <w:rPr>
          <w:rFonts w:ascii="Arial" w:hAnsi="Arial" w:cs="Arial"/>
          <w:sz w:val="24"/>
          <w:szCs w:val="24"/>
        </w:rPr>
      </w:pPr>
      <w:r w:rsidRPr="00A526E9">
        <w:rPr>
          <w:rFonts w:ascii="Arial" w:hAnsi="Arial" w:cs="Arial"/>
          <w:sz w:val="24"/>
          <w:szCs w:val="24"/>
        </w:rPr>
        <w:t>(e)</w:t>
      </w:r>
      <w:r w:rsidRPr="00A526E9">
        <w:rPr>
          <w:rFonts w:ascii="Arial" w:hAnsi="Arial" w:cs="Arial"/>
          <w:sz w:val="24"/>
          <w:szCs w:val="24"/>
        </w:rPr>
        <w:tab/>
      </w:r>
      <w:r w:rsidR="00A55AA8">
        <w:rPr>
          <w:rFonts w:ascii="Arial" w:hAnsi="Arial" w:cs="Arial"/>
          <w:sz w:val="24"/>
          <w:szCs w:val="24"/>
        </w:rPr>
        <w:t>Once the assignee(s) is</w:t>
      </w:r>
      <w:r w:rsidR="00F9687D">
        <w:rPr>
          <w:rFonts w:ascii="Arial" w:hAnsi="Arial" w:cs="Arial"/>
          <w:sz w:val="24"/>
          <w:szCs w:val="24"/>
        </w:rPr>
        <w:t xml:space="preserve"> </w:t>
      </w:r>
      <w:r w:rsidR="00A55AA8">
        <w:rPr>
          <w:rFonts w:ascii="Arial" w:hAnsi="Arial" w:cs="Arial"/>
          <w:sz w:val="24"/>
          <w:szCs w:val="24"/>
        </w:rPr>
        <w:t xml:space="preserve">(are) identified by the executor </w:t>
      </w:r>
      <w:r w:rsidR="00C808C4">
        <w:rPr>
          <w:rFonts w:ascii="Arial" w:hAnsi="Arial" w:cs="Arial"/>
          <w:sz w:val="24"/>
          <w:szCs w:val="24"/>
        </w:rPr>
        <w:t>or executrix</w:t>
      </w:r>
      <w:r w:rsidR="00B05E4C">
        <w:rPr>
          <w:rFonts w:ascii="Arial" w:hAnsi="Arial" w:cs="Arial"/>
          <w:sz w:val="24"/>
          <w:szCs w:val="24"/>
        </w:rPr>
        <w:t>,</w:t>
      </w:r>
      <w:r w:rsidR="00C808C4">
        <w:rPr>
          <w:rFonts w:ascii="Arial" w:hAnsi="Arial" w:cs="Arial"/>
          <w:sz w:val="24"/>
          <w:szCs w:val="24"/>
        </w:rPr>
        <w:t xml:space="preserve"> </w:t>
      </w:r>
      <w:r w:rsidR="00A55AA8">
        <w:rPr>
          <w:rFonts w:ascii="Arial" w:hAnsi="Arial" w:cs="Arial"/>
          <w:sz w:val="24"/>
          <w:szCs w:val="24"/>
        </w:rPr>
        <w:t>the approval of the Minister (on the recommendation of the Commission) must be obtained in writing for the assignment to have legal effect.</w:t>
      </w:r>
      <w:r w:rsidR="00A55AA8">
        <w:rPr>
          <w:rStyle w:val="FootnoteReference"/>
          <w:rFonts w:ascii="Arial" w:hAnsi="Arial" w:cs="Arial"/>
          <w:sz w:val="24"/>
          <w:szCs w:val="24"/>
        </w:rPr>
        <w:footnoteReference w:id="9"/>
      </w:r>
    </w:p>
    <w:p w:rsidR="0007460D" w:rsidRPr="00A526E9" w:rsidRDefault="0007460D" w:rsidP="00A526E9">
      <w:pPr>
        <w:pStyle w:val="NoSpacing"/>
        <w:spacing w:line="480" w:lineRule="auto"/>
        <w:ind w:firstLine="720"/>
        <w:jc w:val="both"/>
        <w:rPr>
          <w:rFonts w:ascii="Arial" w:hAnsi="Arial" w:cs="Arial"/>
          <w:sz w:val="24"/>
          <w:szCs w:val="24"/>
        </w:rPr>
      </w:pPr>
    </w:p>
    <w:p w:rsidR="0007460D" w:rsidRPr="00A526E9" w:rsidRDefault="0007460D" w:rsidP="00802115">
      <w:pPr>
        <w:pStyle w:val="NoSpacing"/>
        <w:spacing w:line="480" w:lineRule="auto"/>
        <w:ind w:left="1440" w:hanging="720"/>
        <w:jc w:val="both"/>
        <w:rPr>
          <w:rFonts w:ascii="Arial" w:hAnsi="Arial" w:cs="Arial"/>
          <w:sz w:val="24"/>
          <w:szCs w:val="24"/>
        </w:rPr>
      </w:pPr>
      <w:r w:rsidRPr="00A526E9">
        <w:rPr>
          <w:rFonts w:ascii="Arial" w:hAnsi="Arial" w:cs="Arial"/>
          <w:sz w:val="24"/>
          <w:szCs w:val="24"/>
        </w:rPr>
        <w:t>(f)</w:t>
      </w:r>
      <w:r w:rsidRPr="00A526E9">
        <w:rPr>
          <w:rFonts w:ascii="Arial" w:hAnsi="Arial" w:cs="Arial"/>
          <w:sz w:val="24"/>
          <w:szCs w:val="24"/>
        </w:rPr>
        <w:tab/>
      </w:r>
      <w:r w:rsidR="00A55AA8">
        <w:rPr>
          <w:rFonts w:ascii="Arial" w:hAnsi="Arial" w:cs="Arial"/>
          <w:sz w:val="24"/>
          <w:szCs w:val="24"/>
        </w:rPr>
        <w:t xml:space="preserve">The Minister’s </w:t>
      </w:r>
      <w:r w:rsidR="00802115">
        <w:rPr>
          <w:rFonts w:ascii="Arial" w:hAnsi="Arial" w:cs="Arial"/>
          <w:sz w:val="24"/>
          <w:szCs w:val="24"/>
        </w:rPr>
        <w:t>approval (and by necessary implication</w:t>
      </w:r>
      <w:r w:rsidR="00B05E4C">
        <w:rPr>
          <w:rFonts w:ascii="Arial" w:hAnsi="Arial" w:cs="Arial"/>
          <w:sz w:val="24"/>
          <w:szCs w:val="24"/>
        </w:rPr>
        <w:t>,</w:t>
      </w:r>
      <w:r w:rsidR="00802115">
        <w:rPr>
          <w:rFonts w:ascii="Arial" w:hAnsi="Arial" w:cs="Arial"/>
          <w:sz w:val="24"/>
          <w:szCs w:val="24"/>
        </w:rPr>
        <w:t xml:space="preserve"> the Commission’s recommendation) ‘is not informed by the applicable principles and provisions of the law of succession but by the provisions and objectives of </w:t>
      </w:r>
      <w:r w:rsidR="00B05E4C">
        <w:rPr>
          <w:rFonts w:ascii="Arial" w:hAnsi="Arial" w:cs="Arial"/>
          <w:sz w:val="24"/>
          <w:szCs w:val="24"/>
        </w:rPr>
        <w:t>the Act,</w:t>
      </w:r>
      <w:r w:rsidR="00802115">
        <w:rPr>
          <w:rFonts w:ascii="Arial" w:hAnsi="Arial" w:cs="Arial"/>
          <w:sz w:val="24"/>
          <w:szCs w:val="24"/>
        </w:rPr>
        <w:t xml:space="preserve"> ie to benefit, foremost, Namibian citizens who have been socially, economically or educationally disadvantaged by past discriminatory laws or practises and who do not have access to any or adequate land</w:t>
      </w:r>
      <w:r w:rsidR="00B05E4C">
        <w:rPr>
          <w:rFonts w:ascii="Arial" w:hAnsi="Arial" w:cs="Arial"/>
          <w:sz w:val="24"/>
          <w:szCs w:val="24"/>
        </w:rPr>
        <w:t>’</w:t>
      </w:r>
      <w:r w:rsidR="00802115">
        <w:rPr>
          <w:rFonts w:ascii="Arial" w:hAnsi="Arial" w:cs="Arial"/>
          <w:sz w:val="24"/>
          <w:szCs w:val="24"/>
        </w:rPr>
        <w:t>.</w:t>
      </w:r>
      <w:r w:rsidR="00802115">
        <w:rPr>
          <w:rStyle w:val="FootnoteReference"/>
          <w:rFonts w:ascii="Arial" w:hAnsi="Arial" w:cs="Arial"/>
          <w:sz w:val="24"/>
          <w:szCs w:val="24"/>
        </w:rPr>
        <w:footnoteReference w:id="10"/>
      </w:r>
    </w:p>
    <w:p w:rsidR="0007460D" w:rsidRPr="00A526E9" w:rsidRDefault="0007460D" w:rsidP="00A526E9">
      <w:pPr>
        <w:pStyle w:val="NoSpacing"/>
        <w:spacing w:line="480" w:lineRule="auto"/>
        <w:ind w:firstLine="720"/>
        <w:jc w:val="both"/>
        <w:rPr>
          <w:rFonts w:ascii="Arial" w:hAnsi="Arial" w:cs="Arial"/>
          <w:sz w:val="24"/>
          <w:szCs w:val="24"/>
        </w:rPr>
      </w:pPr>
    </w:p>
    <w:p w:rsidR="0007460D" w:rsidRPr="00A526E9" w:rsidRDefault="0007460D" w:rsidP="00D374CC">
      <w:pPr>
        <w:pStyle w:val="NoSpacing"/>
        <w:spacing w:line="480" w:lineRule="auto"/>
        <w:ind w:left="1440" w:hanging="720"/>
        <w:jc w:val="both"/>
        <w:rPr>
          <w:rFonts w:ascii="Arial" w:hAnsi="Arial" w:cs="Arial"/>
          <w:sz w:val="24"/>
          <w:szCs w:val="24"/>
        </w:rPr>
      </w:pPr>
      <w:r w:rsidRPr="00A526E9">
        <w:rPr>
          <w:rFonts w:ascii="Arial" w:hAnsi="Arial" w:cs="Arial"/>
          <w:sz w:val="24"/>
          <w:szCs w:val="24"/>
        </w:rPr>
        <w:t>(g)</w:t>
      </w:r>
      <w:r w:rsidRPr="00A526E9">
        <w:rPr>
          <w:rFonts w:ascii="Arial" w:hAnsi="Arial" w:cs="Arial"/>
          <w:sz w:val="24"/>
          <w:szCs w:val="24"/>
        </w:rPr>
        <w:tab/>
      </w:r>
      <w:r w:rsidR="00802115">
        <w:rPr>
          <w:rFonts w:ascii="Arial" w:hAnsi="Arial" w:cs="Arial"/>
          <w:sz w:val="24"/>
          <w:szCs w:val="24"/>
        </w:rPr>
        <w:t>If the heir</w:t>
      </w:r>
      <w:r w:rsidR="008F3B63">
        <w:rPr>
          <w:rFonts w:ascii="Arial" w:hAnsi="Arial" w:cs="Arial"/>
          <w:sz w:val="24"/>
          <w:szCs w:val="24"/>
        </w:rPr>
        <w:t>(</w:t>
      </w:r>
      <w:r w:rsidR="00416230">
        <w:rPr>
          <w:rFonts w:ascii="Arial" w:hAnsi="Arial" w:cs="Arial"/>
          <w:sz w:val="24"/>
          <w:szCs w:val="24"/>
        </w:rPr>
        <w:t>s</w:t>
      </w:r>
      <w:r w:rsidR="008F3B63">
        <w:rPr>
          <w:rFonts w:ascii="Arial" w:hAnsi="Arial" w:cs="Arial"/>
          <w:sz w:val="24"/>
          <w:szCs w:val="24"/>
        </w:rPr>
        <w:t>)</w:t>
      </w:r>
      <w:r w:rsidR="00802115">
        <w:rPr>
          <w:rFonts w:ascii="Arial" w:hAnsi="Arial" w:cs="Arial"/>
          <w:sz w:val="24"/>
          <w:szCs w:val="24"/>
        </w:rPr>
        <w:t xml:space="preserve"> identified by the executor </w:t>
      </w:r>
      <w:r w:rsidR="00C808C4">
        <w:rPr>
          <w:rFonts w:ascii="Arial" w:hAnsi="Arial" w:cs="Arial"/>
          <w:sz w:val="24"/>
          <w:szCs w:val="24"/>
        </w:rPr>
        <w:t xml:space="preserve">or executrix </w:t>
      </w:r>
      <w:r w:rsidR="00802115">
        <w:rPr>
          <w:rFonts w:ascii="Arial" w:hAnsi="Arial" w:cs="Arial"/>
          <w:sz w:val="24"/>
          <w:szCs w:val="24"/>
        </w:rPr>
        <w:t xml:space="preserve">for assignment </w:t>
      </w:r>
      <w:r w:rsidR="00D0174A">
        <w:rPr>
          <w:rFonts w:ascii="Arial" w:hAnsi="Arial" w:cs="Arial"/>
          <w:sz w:val="24"/>
          <w:szCs w:val="24"/>
        </w:rPr>
        <w:t xml:space="preserve">would clearly not be a candidate </w:t>
      </w:r>
      <w:r w:rsidR="00416230">
        <w:rPr>
          <w:rFonts w:ascii="Arial" w:hAnsi="Arial" w:cs="Arial"/>
          <w:sz w:val="24"/>
          <w:szCs w:val="24"/>
        </w:rPr>
        <w:t xml:space="preserve">or candidates </w:t>
      </w:r>
      <w:r w:rsidR="00D0174A">
        <w:rPr>
          <w:rFonts w:ascii="Arial" w:hAnsi="Arial" w:cs="Arial"/>
          <w:sz w:val="24"/>
          <w:szCs w:val="24"/>
        </w:rPr>
        <w:t xml:space="preserve">that </w:t>
      </w:r>
      <w:r w:rsidR="008D7695">
        <w:rPr>
          <w:rFonts w:ascii="Arial" w:hAnsi="Arial" w:cs="Arial"/>
          <w:sz w:val="24"/>
          <w:szCs w:val="24"/>
        </w:rPr>
        <w:t>will</w:t>
      </w:r>
      <w:r w:rsidR="00D0174A">
        <w:rPr>
          <w:rFonts w:ascii="Arial" w:hAnsi="Arial" w:cs="Arial"/>
          <w:sz w:val="24"/>
          <w:szCs w:val="24"/>
        </w:rPr>
        <w:t xml:space="preserve"> qualify under the criteria set out in </w:t>
      </w:r>
      <w:r w:rsidR="00B05E4C">
        <w:rPr>
          <w:rFonts w:ascii="Arial" w:hAnsi="Arial" w:cs="Arial"/>
          <w:sz w:val="24"/>
          <w:szCs w:val="24"/>
        </w:rPr>
        <w:t xml:space="preserve">the </w:t>
      </w:r>
      <w:r w:rsidR="00D0174A">
        <w:rPr>
          <w:rFonts w:ascii="Arial" w:hAnsi="Arial" w:cs="Arial"/>
          <w:sz w:val="24"/>
          <w:szCs w:val="24"/>
        </w:rPr>
        <w:t xml:space="preserve">ACLRA or because there are so many persons who are entitled to be forwarded as assignees in terms of the law of succession that the same </w:t>
      </w:r>
      <w:r w:rsidR="00D374CC">
        <w:rPr>
          <w:rFonts w:ascii="Arial" w:hAnsi="Arial" w:cs="Arial"/>
          <w:sz w:val="24"/>
          <w:szCs w:val="24"/>
        </w:rPr>
        <w:t>problem arises</w:t>
      </w:r>
      <w:r w:rsidR="00B05E4C">
        <w:rPr>
          <w:rFonts w:ascii="Arial" w:hAnsi="Arial" w:cs="Arial"/>
          <w:sz w:val="24"/>
          <w:szCs w:val="24"/>
        </w:rPr>
        <w:t>,</w:t>
      </w:r>
      <w:r w:rsidR="00D374CC">
        <w:rPr>
          <w:rFonts w:ascii="Arial" w:hAnsi="Arial" w:cs="Arial"/>
          <w:sz w:val="24"/>
          <w:szCs w:val="24"/>
        </w:rPr>
        <w:t xml:space="preserve"> it </w:t>
      </w:r>
      <w:r w:rsidR="008D7695">
        <w:rPr>
          <w:rFonts w:ascii="Arial" w:hAnsi="Arial" w:cs="Arial"/>
          <w:sz w:val="24"/>
          <w:szCs w:val="24"/>
        </w:rPr>
        <w:t>will</w:t>
      </w:r>
      <w:r w:rsidR="00D374CC">
        <w:rPr>
          <w:rFonts w:ascii="Arial" w:hAnsi="Arial" w:cs="Arial"/>
          <w:sz w:val="24"/>
          <w:szCs w:val="24"/>
        </w:rPr>
        <w:t xml:space="preserve"> be up to the executor and beneficiaries of the estate to address this issue ‘by means of a redistribution agreement or through </w:t>
      </w:r>
      <w:r w:rsidR="00C808C4">
        <w:rPr>
          <w:rFonts w:ascii="Arial" w:hAnsi="Arial" w:cs="Arial"/>
          <w:sz w:val="24"/>
          <w:szCs w:val="24"/>
        </w:rPr>
        <w:t xml:space="preserve">other </w:t>
      </w:r>
      <w:r w:rsidR="00D374CC">
        <w:rPr>
          <w:rFonts w:ascii="Arial" w:hAnsi="Arial" w:cs="Arial"/>
          <w:sz w:val="24"/>
          <w:szCs w:val="24"/>
        </w:rPr>
        <w:t>available legal mechanisms</w:t>
      </w:r>
      <w:r w:rsidR="00B05E4C">
        <w:rPr>
          <w:rFonts w:ascii="Arial" w:hAnsi="Arial" w:cs="Arial"/>
          <w:sz w:val="24"/>
          <w:szCs w:val="24"/>
        </w:rPr>
        <w:t>’</w:t>
      </w:r>
      <w:r w:rsidR="00D374CC">
        <w:rPr>
          <w:rFonts w:ascii="Arial" w:hAnsi="Arial" w:cs="Arial"/>
          <w:sz w:val="24"/>
          <w:szCs w:val="24"/>
        </w:rPr>
        <w:t>.</w:t>
      </w:r>
      <w:r w:rsidR="00D374CC">
        <w:rPr>
          <w:rStyle w:val="FootnoteReference"/>
          <w:rFonts w:ascii="Arial" w:hAnsi="Arial" w:cs="Arial"/>
          <w:sz w:val="24"/>
          <w:szCs w:val="24"/>
        </w:rPr>
        <w:footnoteReference w:id="11"/>
      </w:r>
    </w:p>
    <w:p w:rsidR="0007460D" w:rsidRDefault="0007460D" w:rsidP="00D67C57">
      <w:pPr>
        <w:pStyle w:val="NoSpacing"/>
        <w:spacing w:line="480" w:lineRule="auto"/>
        <w:jc w:val="both"/>
        <w:rPr>
          <w:rFonts w:ascii="Arial" w:hAnsi="Arial" w:cs="Arial"/>
          <w:sz w:val="24"/>
          <w:szCs w:val="24"/>
        </w:rPr>
      </w:pPr>
    </w:p>
    <w:p w:rsidR="00D67C57" w:rsidRDefault="00D374CC" w:rsidP="00D67C5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procedure to assign the lease upon the death of a lessee as prescribed in s 53 of ACLRA is as follows: The estate which includes the lease vests in the executor</w:t>
      </w:r>
      <w:r w:rsidR="00AB7659">
        <w:rPr>
          <w:rFonts w:ascii="Arial" w:hAnsi="Arial" w:cs="Arial"/>
          <w:sz w:val="24"/>
          <w:szCs w:val="24"/>
        </w:rPr>
        <w:t xml:space="preserve"> or executrix</w:t>
      </w:r>
      <w:r>
        <w:rPr>
          <w:rFonts w:ascii="Arial" w:hAnsi="Arial" w:cs="Arial"/>
          <w:sz w:val="24"/>
          <w:szCs w:val="24"/>
        </w:rPr>
        <w:t xml:space="preserve">. The executor </w:t>
      </w:r>
      <w:r w:rsidR="00AB7659">
        <w:rPr>
          <w:rFonts w:ascii="Arial" w:hAnsi="Arial" w:cs="Arial"/>
          <w:sz w:val="24"/>
          <w:szCs w:val="24"/>
        </w:rPr>
        <w:t xml:space="preserve">or executrix </w:t>
      </w:r>
      <w:r>
        <w:rPr>
          <w:rFonts w:ascii="Arial" w:hAnsi="Arial" w:cs="Arial"/>
          <w:sz w:val="24"/>
          <w:szCs w:val="24"/>
        </w:rPr>
        <w:t>must within three months (or such longer period as the Minister may allow)</w:t>
      </w:r>
      <w:r w:rsidR="00B05E4C">
        <w:rPr>
          <w:rFonts w:ascii="Arial" w:hAnsi="Arial" w:cs="Arial"/>
          <w:sz w:val="24"/>
          <w:szCs w:val="24"/>
        </w:rPr>
        <w:t>,</w:t>
      </w:r>
      <w:r>
        <w:rPr>
          <w:rFonts w:ascii="Arial" w:hAnsi="Arial" w:cs="Arial"/>
          <w:sz w:val="24"/>
          <w:szCs w:val="24"/>
        </w:rPr>
        <w:t xml:space="preserve"> identify the assignee(s) per the law of succession and then submit the assignee or assignee(s) to the Commission for them to make a recommendation to the Minister who must then in writing indicate his or her decision. Where an executor ‘fails to assign the lease’ within the period of three months</w:t>
      </w:r>
      <w:r w:rsidR="00B05E4C">
        <w:rPr>
          <w:rFonts w:ascii="Arial" w:hAnsi="Arial" w:cs="Arial"/>
          <w:sz w:val="24"/>
          <w:szCs w:val="24"/>
        </w:rPr>
        <w:t>,</w:t>
      </w:r>
      <w:r>
        <w:rPr>
          <w:rFonts w:ascii="Arial" w:hAnsi="Arial" w:cs="Arial"/>
          <w:sz w:val="24"/>
          <w:szCs w:val="24"/>
        </w:rPr>
        <w:t xml:space="preserve"> the Minister may cancel the lease, in which event compensation is to be paid by the State to the estate.</w:t>
      </w:r>
    </w:p>
    <w:p w:rsidR="0007460D" w:rsidRDefault="0007460D" w:rsidP="0007460D">
      <w:pPr>
        <w:pStyle w:val="NoSpacing"/>
        <w:spacing w:line="480" w:lineRule="auto"/>
        <w:jc w:val="both"/>
        <w:rPr>
          <w:rFonts w:ascii="Arial" w:hAnsi="Arial" w:cs="Arial"/>
          <w:sz w:val="24"/>
          <w:szCs w:val="24"/>
        </w:rPr>
      </w:pPr>
    </w:p>
    <w:p w:rsidR="00D67C57" w:rsidRDefault="00843CF1" w:rsidP="00D67C5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seems that all the parties in this matter, like those in </w:t>
      </w:r>
      <w:r w:rsidRPr="00843CF1">
        <w:rPr>
          <w:rFonts w:ascii="Arial" w:hAnsi="Arial" w:cs="Arial"/>
          <w:i/>
          <w:sz w:val="24"/>
          <w:szCs w:val="24"/>
        </w:rPr>
        <w:t>Meroro</w:t>
      </w:r>
      <w:r>
        <w:rPr>
          <w:rFonts w:ascii="Arial" w:hAnsi="Arial" w:cs="Arial"/>
          <w:sz w:val="24"/>
          <w:szCs w:val="24"/>
        </w:rPr>
        <w:t>, did not ap</w:t>
      </w:r>
      <w:r w:rsidR="006008B8">
        <w:rPr>
          <w:rFonts w:ascii="Arial" w:hAnsi="Arial" w:cs="Arial"/>
          <w:sz w:val="24"/>
          <w:szCs w:val="24"/>
        </w:rPr>
        <w:t>preciate the process envisaged in the A</w:t>
      </w:r>
      <w:r w:rsidR="00416230">
        <w:rPr>
          <w:rFonts w:ascii="Arial" w:hAnsi="Arial" w:cs="Arial"/>
          <w:sz w:val="24"/>
          <w:szCs w:val="24"/>
        </w:rPr>
        <w:t xml:space="preserve">CLRA </w:t>
      </w:r>
      <w:r w:rsidR="006008B8">
        <w:rPr>
          <w:rFonts w:ascii="Arial" w:hAnsi="Arial" w:cs="Arial"/>
          <w:sz w:val="24"/>
          <w:szCs w:val="24"/>
        </w:rPr>
        <w:t xml:space="preserve">and approached the Commission and the Minister </w:t>
      </w:r>
      <w:r w:rsidR="00EC6F97">
        <w:rPr>
          <w:rFonts w:ascii="Arial" w:hAnsi="Arial" w:cs="Arial"/>
          <w:sz w:val="24"/>
          <w:szCs w:val="24"/>
        </w:rPr>
        <w:t>based on equitable considerations. Thus</w:t>
      </w:r>
      <w:r w:rsidR="00B05E4C">
        <w:rPr>
          <w:rFonts w:ascii="Arial" w:hAnsi="Arial" w:cs="Arial"/>
          <w:sz w:val="24"/>
          <w:szCs w:val="24"/>
        </w:rPr>
        <w:t>,</w:t>
      </w:r>
      <w:r w:rsidR="00EC6F97">
        <w:rPr>
          <w:rFonts w:ascii="Arial" w:hAnsi="Arial" w:cs="Arial"/>
          <w:sz w:val="24"/>
          <w:szCs w:val="24"/>
        </w:rPr>
        <w:t xml:space="preserve"> Maria could not rely on a family agreement as </w:t>
      </w:r>
      <w:r w:rsidR="009D71B9" w:rsidRPr="00AB7659">
        <w:rPr>
          <w:rFonts w:ascii="Arial" w:hAnsi="Arial" w:cs="Arial"/>
          <w:sz w:val="24"/>
          <w:szCs w:val="24"/>
        </w:rPr>
        <w:t>Johannes</w:t>
      </w:r>
      <w:r w:rsidR="00B05E4C">
        <w:rPr>
          <w:rFonts w:ascii="Arial" w:hAnsi="Arial" w:cs="Arial"/>
          <w:sz w:val="24"/>
          <w:szCs w:val="24"/>
        </w:rPr>
        <w:t xml:space="preserve"> was a clear intestate</w:t>
      </w:r>
      <w:r w:rsidR="00EC6F97" w:rsidRPr="00AB7659">
        <w:rPr>
          <w:rFonts w:ascii="Arial" w:hAnsi="Arial" w:cs="Arial"/>
          <w:sz w:val="24"/>
          <w:szCs w:val="24"/>
        </w:rPr>
        <w:t xml:space="preserve"> heir and was not a party to the agreement.</w:t>
      </w:r>
      <w:r w:rsidR="00EC6F97" w:rsidRPr="00AB7659">
        <w:rPr>
          <w:rStyle w:val="FootnoteReference"/>
          <w:rFonts w:ascii="Arial" w:hAnsi="Arial" w:cs="Arial"/>
          <w:sz w:val="24"/>
          <w:szCs w:val="24"/>
        </w:rPr>
        <w:footnoteReference w:id="12"/>
      </w:r>
      <w:r w:rsidR="00EC6F97" w:rsidRPr="00AB7659">
        <w:rPr>
          <w:rFonts w:ascii="Arial" w:hAnsi="Arial" w:cs="Arial"/>
          <w:sz w:val="24"/>
          <w:szCs w:val="24"/>
        </w:rPr>
        <w:t xml:space="preserve"> Similarly</w:t>
      </w:r>
      <w:r w:rsidR="00B05E4C">
        <w:rPr>
          <w:rFonts w:ascii="Arial" w:hAnsi="Arial" w:cs="Arial"/>
          <w:sz w:val="24"/>
          <w:szCs w:val="24"/>
        </w:rPr>
        <w:t>,</w:t>
      </w:r>
      <w:r w:rsidR="00EC6F97" w:rsidRPr="00AB7659">
        <w:rPr>
          <w:rFonts w:ascii="Arial" w:hAnsi="Arial" w:cs="Arial"/>
          <w:sz w:val="24"/>
          <w:szCs w:val="24"/>
        </w:rPr>
        <w:t xml:space="preserve"> </w:t>
      </w:r>
      <w:r w:rsidR="009D71B9" w:rsidRPr="00AB7659">
        <w:rPr>
          <w:rFonts w:ascii="Arial" w:hAnsi="Arial" w:cs="Arial"/>
          <w:sz w:val="24"/>
          <w:szCs w:val="24"/>
        </w:rPr>
        <w:t>Johannes</w:t>
      </w:r>
      <w:r w:rsidR="00AB7659">
        <w:rPr>
          <w:rFonts w:ascii="Arial" w:hAnsi="Arial" w:cs="Arial"/>
          <w:sz w:val="24"/>
          <w:szCs w:val="24"/>
        </w:rPr>
        <w:t xml:space="preserve"> had</w:t>
      </w:r>
      <w:r w:rsidR="00EC6F97">
        <w:rPr>
          <w:rFonts w:ascii="Arial" w:hAnsi="Arial" w:cs="Arial"/>
          <w:sz w:val="24"/>
          <w:szCs w:val="24"/>
        </w:rPr>
        <w:t xml:space="preserve"> no basis to claim to be the sole assignee based on his </w:t>
      </w:r>
      <w:r w:rsidR="004E772D">
        <w:rPr>
          <w:rFonts w:ascii="Arial" w:hAnsi="Arial" w:cs="Arial"/>
          <w:sz w:val="24"/>
          <w:szCs w:val="24"/>
        </w:rPr>
        <w:t xml:space="preserve">input, financial or otherwise, to the farming operations of the deceased. The court </w:t>
      </w:r>
      <w:r w:rsidR="004E772D" w:rsidRPr="00107475">
        <w:rPr>
          <w:rFonts w:ascii="Arial" w:hAnsi="Arial" w:cs="Arial"/>
          <w:i/>
          <w:sz w:val="24"/>
          <w:szCs w:val="24"/>
        </w:rPr>
        <w:t>a quo</w:t>
      </w:r>
      <w:r w:rsidR="004E772D">
        <w:rPr>
          <w:rFonts w:ascii="Arial" w:hAnsi="Arial" w:cs="Arial"/>
          <w:sz w:val="24"/>
          <w:szCs w:val="24"/>
        </w:rPr>
        <w:t xml:space="preserve"> was thus correct </w:t>
      </w:r>
      <w:r w:rsidR="00107475">
        <w:rPr>
          <w:rFonts w:ascii="Arial" w:hAnsi="Arial" w:cs="Arial"/>
          <w:sz w:val="24"/>
          <w:szCs w:val="24"/>
        </w:rPr>
        <w:t>to label the alleged a</w:t>
      </w:r>
      <w:r w:rsidR="00AB7659">
        <w:rPr>
          <w:rFonts w:ascii="Arial" w:hAnsi="Arial" w:cs="Arial"/>
          <w:sz w:val="24"/>
          <w:szCs w:val="24"/>
        </w:rPr>
        <w:t xml:space="preserve">ssignment by the executrix </w:t>
      </w:r>
      <w:r w:rsidR="00107475">
        <w:rPr>
          <w:rFonts w:ascii="Arial" w:hAnsi="Arial" w:cs="Arial"/>
          <w:sz w:val="24"/>
          <w:szCs w:val="24"/>
        </w:rPr>
        <w:t xml:space="preserve">of the lease to herself </w:t>
      </w:r>
      <w:r w:rsidR="00AB7659">
        <w:rPr>
          <w:rFonts w:ascii="Arial" w:hAnsi="Arial" w:cs="Arial"/>
          <w:sz w:val="24"/>
          <w:szCs w:val="24"/>
        </w:rPr>
        <w:t xml:space="preserve">(Maria) </w:t>
      </w:r>
      <w:r w:rsidR="00107475">
        <w:rPr>
          <w:rFonts w:ascii="Arial" w:hAnsi="Arial" w:cs="Arial"/>
          <w:sz w:val="24"/>
          <w:szCs w:val="24"/>
        </w:rPr>
        <w:t xml:space="preserve">as ineffectual and this appeal ground thus stands to be dismissed. </w:t>
      </w:r>
    </w:p>
    <w:p w:rsidR="00D67C57" w:rsidRDefault="00D67C57" w:rsidP="00D67C57">
      <w:pPr>
        <w:pStyle w:val="NoSpacing"/>
        <w:spacing w:line="480" w:lineRule="auto"/>
        <w:jc w:val="both"/>
        <w:rPr>
          <w:rFonts w:ascii="Arial" w:hAnsi="Arial" w:cs="Arial"/>
          <w:sz w:val="24"/>
          <w:szCs w:val="24"/>
        </w:rPr>
      </w:pPr>
    </w:p>
    <w:p w:rsidR="00107475" w:rsidRPr="00107475" w:rsidRDefault="00B05E4C" w:rsidP="00D67C57">
      <w:pPr>
        <w:pStyle w:val="NoSpacing"/>
        <w:spacing w:line="480" w:lineRule="auto"/>
        <w:jc w:val="both"/>
        <w:rPr>
          <w:rFonts w:ascii="Arial" w:hAnsi="Arial" w:cs="Arial"/>
          <w:sz w:val="24"/>
          <w:szCs w:val="24"/>
          <w:u w:val="single"/>
        </w:rPr>
      </w:pPr>
      <w:r>
        <w:rPr>
          <w:rFonts w:ascii="Arial" w:hAnsi="Arial" w:cs="Arial"/>
          <w:sz w:val="24"/>
          <w:szCs w:val="24"/>
          <w:u w:val="single"/>
        </w:rPr>
        <w:t>Is the l</w:t>
      </w:r>
      <w:r w:rsidR="00107475" w:rsidRPr="00107475">
        <w:rPr>
          <w:rFonts w:ascii="Arial" w:hAnsi="Arial" w:cs="Arial"/>
          <w:sz w:val="24"/>
          <w:szCs w:val="24"/>
          <w:u w:val="single"/>
        </w:rPr>
        <w:t>ease part of the joint estate</w:t>
      </w:r>
      <w:r>
        <w:rPr>
          <w:rFonts w:ascii="Arial" w:hAnsi="Arial" w:cs="Arial"/>
          <w:sz w:val="24"/>
          <w:szCs w:val="24"/>
          <w:u w:val="single"/>
        </w:rPr>
        <w:t>?</w:t>
      </w:r>
    </w:p>
    <w:p w:rsidR="00D67C57" w:rsidRDefault="002D3B58" w:rsidP="00D67C5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2D3B58">
        <w:rPr>
          <w:rFonts w:ascii="Arial" w:hAnsi="Arial" w:cs="Arial"/>
          <w:i/>
          <w:sz w:val="24"/>
          <w:szCs w:val="24"/>
        </w:rPr>
        <w:t>a quo</w:t>
      </w:r>
      <w:r>
        <w:rPr>
          <w:rFonts w:ascii="Arial" w:hAnsi="Arial" w:cs="Arial"/>
          <w:sz w:val="24"/>
          <w:szCs w:val="24"/>
        </w:rPr>
        <w:t xml:space="preserve"> held that the lease did not form part of the joint estate as it was akin to a usufruct. In support of this finding</w:t>
      </w:r>
      <w:r w:rsidR="00B05E4C">
        <w:rPr>
          <w:rFonts w:ascii="Arial" w:hAnsi="Arial" w:cs="Arial"/>
          <w:sz w:val="24"/>
          <w:szCs w:val="24"/>
        </w:rPr>
        <w:t>,</w:t>
      </w:r>
      <w:r>
        <w:rPr>
          <w:rFonts w:ascii="Arial" w:hAnsi="Arial" w:cs="Arial"/>
          <w:sz w:val="24"/>
          <w:szCs w:val="24"/>
        </w:rPr>
        <w:t xml:space="preserve"> the court </w:t>
      </w:r>
      <w:r w:rsidRPr="002D3B58">
        <w:rPr>
          <w:rFonts w:ascii="Arial" w:hAnsi="Arial" w:cs="Arial"/>
          <w:i/>
          <w:sz w:val="24"/>
          <w:szCs w:val="24"/>
        </w:rPr>
        <w:t>a quo</w:t>
      </w:r>
      <w:r>
        <w:rPr>
          <w:rFonts w:ascii="Arial" w:hAnsi="Arial" w:cs="Arial"/>
          <w:sz w:val="24"/>
          <w:szCs w:val="24"/>
        </w:rPr>
        <w:t xml:space="preserve"> referred to case law dealing with customary law rights provided for in </w:t>
      </w:r>
      <w:r w:rsidR="009C1938">
        <w:rPr>
          <w:rFonts w:ascii="Arial" w:hAnsi="Arial" w:cs="Arial"/>
          <w:sz w:val="24"/>
          <w:szCs w:val="24"/>
        </w:rPr>
        <w:t>the Communal Land Reform Act</w:t>
      </w:r>
      <w:r w:rsidR="009C1938">
        <w:rPr>
          <w:rStyle w:val="FootnoteReference"/>
          <w:rFonts w:ascii="Arial" w:hAnsi="Arial" w:cs="Arial"/>
          <w:sz w:val="24"/>
          <w:szCs w:val="24"/>
        </w:rPr>
        <w:footnoteReference w:id="13"/>
      </w:r>
      <w:r w:rsidR="009C1938">
        <w:rPr>
          <w:rFonts w:ascii="Arial" w:hAnsi="Arial" w:cs="Arial"/>
          <w:sz w:val="24"/>
          <w:szCs w:val="24"/>
        </w:rPr>
        <w:t xml:space="preserve"> which held that as these rights endured only for the natural life of the holders of such rights</w:t>
      </w:r>
      <w:r w:rsidR="00B05E4C">
        <w:rPr>
          <w:rFonts w:ascii="Arial" w:hAnsi="Arial" w:cs="Arial"/>
          <w:sz w:val="24"/>
          <w:szCs w:val="24"/>
        </w:rPr>
        <w:t>,</w:t>
      </w:r>
      <w:r w:rsidR="009C1938">
        <w:rPr>
          <w:rFonts w:ascii="Arial" w:hAnsi="Arial" w:cs="Arial"/>
          <w:sz w:val="24"/>
          <w:szCs w:val="24"/>
        </w:rPr>
        <w:t xml:space="preserve"> they were personal rights that did not </w:t>
      </w:r>
      <w:r w:rsidR="0032622F">
        <w:rPr>
          <w:rFonts w:ascii="Arial" w:hAnsi="Arial" w:cs="Arial"/>
          <w:sz w:val="24"/>
          <w:szCs w:val="24"/>
        </w:rPr>
        <w:t xml:space="preserve">form part of </w:t>
      </w:r>
      <w:r w:rsidR="00B05E4C">
        <w:rPr>
          <w:rFonts w:ascii="Arial" w:hAnsi="Arial" w:cs="Arial"/>
          <w:sz w:val="24"/>
          <w:szCs w:val="24"/>
        </w:rPr>
        <w:t>the</w:t>
      </w:r>
      <w:r w:rsidR="0032622F">
        <w:rPr>
          <w:rFonts w:ascii="Arial" w:hAnsi="Arial" w:cs="Arial"/>
          <w:sz w:val="24"/>
          <w:szCs w:val="24"/>
        </w:rPr>
        <w:t xml:space="preserve"> joint estate. The court </w:t>
      </w:r>
      <w:r w:rsidR="0032622F" w:rsidRPr="0032622F">
        <w:rPr>
          <w:rFonts w:ascii="Arial" w:hAnsi="Arial" w:cs="Arial"/>
          <w:i/>
          <w:sz w:val="24"/>
          <w:szCs w:val="24"/>
        </w:rPr>
        <w:t>a quo</w:t>
      </w:r>
      <w:r w:rsidR="0032622F">
        <w:rPr>
          <w:rFonts w:ascii="Arial" w:hAnsi="Arial" w:cs="Arial"/>
          <w:sz w:val="24"/>
          <w:szCs w:val="24"/>
        </w:rPr>
        <w:t xml:space="preserve"> further stated that this court in </w:t>
      </w:r>
      <w:r w:rsidR="0032622F" w:rsidRPr="0032622F">
        <w:rPr>
          <w:rFonts w:ascii="Arial" w:hAnsi="Arial" w:cs="Arial"/>
          <w:i/>
          <w:sz w:val="24"/>
          <w:szCs w:val="24"/>
        </w:rPr>
        <w:t>Meroro</w:t>
      </w:r>
      <w:r w:rsidR="0032622F">
        <w:rPr>
          <w:rFonts w:ascii="Arial" w:hAnsi="Arial" w:cs="Arial"/>
          <w:sz w:val="24"/>
          <w:szCs w:val="24"/>
        </w:rPr>
        <w:t xml:space="preserve"> ‘did not </w:t>
      </w:r>
      <w:r w:rsidR="00B81D8E">
        <w:rPr>
          <w:rFonts w:ascii="Arial" w:hAnsi="Arial" w:cs="Arial"/>
          <w:sz w:val="24"/>
          <w:szCs w:val="24"/>
        </w:rPr>
        <w:t>ho</w:t>
      </w:r>
      <w:r w:rsidR="0032622F">
        <w:rPr>
          <w:rFonts w:ascii="Arial" w:hAnsi="Arial" w:cs="Arial"/>
          <w:sz w:val="24"/>
          <w:szCs w:val="24"/>
        </w:rPr>
        <w:t xml:space="preserve">ld that </w:t>
      </w:r>
      <w:r w:rsidR="00B81D8E">
        <w:rPr>
          <w:rFonts w:ascii="Arial" w:hAnsi="Arial" w:cs="Arial"/>
          <w:sz w:val="24"/>
          <w:szCs w:val="24"/>
        </w:rPr>
        <w:t xml:space="preserve">the </w:t>
      </w:r>
      <w:r w:rsidR="0032622F">
        <w:rPr>
          <w:rFonts w:ascii="Arial" w:hAnsi="Arial" w:cs="Arial"/>
          <w:sz w:val="24"/>
          <w:szCs w:val="24"/>
        </w:rPr>
        <w:t>leasehold rights in relation to the property formed part of the joint estate, . . .’.</w:t>
      </w:r>
      <w:r w:rsidR="00B81D8E">
        <w:rPr>
          <w:rStyle w:val="FootnoteReference"/>
          <w:rFonts w:ascii="Arial" w:hAnsi="Arial" w:cs="Arial"/>
          <w:sz w:val="24"/>
          <w:szCs w:val="24"/>
        </w:rPr>
        <w:footnoteReference w:id="14"/>
      </w:r>
    </w:p>
    <w:p w:rsidR="00D67C57" w:rsidRDefault="00D67C57" w:rsidP="00D67C57">
      <w:pPr>
        <w:pStyle w:val="NoSpacing"/>
        <w:spacing w:line="480" w:lineRule="auto"/>
        <w:jc w:val="both"/>
        <w:rPr>
          <w:rFonts w:ascii="Arial" w:hAnsi="Arial" w:cs="Arial"/>
          <w:sz w:val="24"/>
          <w:szCs w:val="24"/>
        </w:rPr>
      </w:pPr>
    </w:p>
    <w:p w:rsidR="00D67C57" w:rsidRDefault="009D71B9" w:rsidP="00D67C5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Counsel for Johannes conceded that the court </w:t>
      </w:r>
      <w:r w:rsidRPr="009D71B9">
        <w:rPr>
          <w:rFonts w:ascii="Arial" w:hAnsi="Arial" w:cs="Arial"/>
          <w:i/>
          <w:sz w:val="24"/>
          <w:szCs w:val="24"/>
        </w:rPr>
        <w:t>a quo</w:t>
      </w:r>
      <w:r>
        <w:rPr>
          <w:rFonts w:ascii="Arial" w:hAnsi="Arial" w:cs="Arial"/>
          <w:sz w:val="24"/>
          <w:szCs w:val="24"/>
        </w:rPr>
        <w:t xml:space="preserve"> erred in this regard and that the lease indeed form</w:t>
      </w:r>
      <w:r w:rsidR="00AB7659">
        <w:rPr>
          <w:rFonts w:ascii="Arial" w:hAnsi="Arial" w:cs="Arial"/>
          <w:sz w:val="24"/>
          <w:szCs w:val="24"/>
        </w:rPr>
        <w:t>s</w:t>
      </w:r>
      <w:r>
        <w:rPr>
          <w:rFonts w:ascii="Arial" w:hAnsi="Arial" w:cs="Arial"/>
          <w:sz w:val="24"/>
          <w:szCs w:val="24"/>
        </w:rPr>
        <w:t xml:space="preserve"> part of the joint estate. In my view</w:t>
      </w:r>
      <w:r w:rsidR="00B81D8E">
        <w:rPr>
          <w:rFonts w:ascii="Arial" w:hAnsi="Arial" w:cs="Arial"/>
          <w:sz w:val="24"/>
          <w:szCs w:val="24"/>
        </w:rPr>
        <w:t>,</w:t>
      </w:r>
      <w:r>
        <w:rPr>
          <w:rFonts w:ascii="Arial" w:hAnsi="Arial" w:cs="Arial"/>
          <w:sz w:val="24"/>
          <w:szCs w:val="24"/>
        </w:rPr>
        <w:t xml:space="preserve"> this concession was correctly made. As this became common cause</w:t>
      </w:r>
      <w:r w:rsidR="00B81D8E">
        <w:rPr>
          <w:rFonts w:ascii="Arial" w:hAnsi="Arial" w:cs="Arial"/>
          <w:sz w:val="24"/>
          <w:szCs w:val="24"/>
        </w:rPr>
        <w:t>,</w:t>
      </w:r>
      <w:r>
        <w:rPr>
          <w:rFonts w:ascii="Arial" w:hAnsi="Arial" w:cs="Arial"/>
          <w:sz w:val="24"/>
          <w:szCs w:val="24"/>
        </w:rPr>
        <w:t xml:space="preserve"> I shall not dwell on this aspect but briefly indicate why the lease does form part of the joint estate. </w:t>
      </w:r>
    </w:p>
    <w:p w:rsidR="00D67C57" w:rsidRDefault="00D67C57" w:rsidP="00D67C57">
      <w:pPr>
        <w:pStyle w:val="NoSpacing"/>
        <w:spacing w:line="480" w:lineRule="auto"/>
        <w:jc w:val="both"/>
        <w:rPr>
          <w:rFonts w:ascii="Arial" w:hAnsi="Arial" w:cs="Arial"/>
          <w:sz w:val="24"/>
          <w:szCs w:val="24"/>
        </w:rPr>
      </w:pPr>
    </w:p>
    <w:p w:rsidR="00D67C57" w:rsidRDefault="009D71B9" w:rsidP="00D67C5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right of a usufructu</w:t>
      </w:r>
      <w:r w:rsidR="00C51E2F">
        <w:rPr>
          <w:rFonts w:ascii="Arial" w:hAnsi="Arial" w:cs="Arial"/>
          <w:sz w:val="24"/>
          <w:szCs w:val="24"/>
        </w:rPr>
        <w:t>a</w:t>
      </w:r>
      <w:r>
        <w:rPr>
          <w:rFonts w:ascii="Arial" w:hAnsi="Arial" w:cs="Arial"/>
          <w:sz w:val="24"/>
          <w:szCs w:val="24"/>
        </w:rPr>
        <w:t xml:space="preserve">ry is similar to that of a lessee and a usufruct may even be granted </w:t>
      </w:r>
      <w:r w:rsidR="00E762F4">
        <w:rPr>
          <w:rFonts w:ascii="Arial" w:hAnsi="Arial" w:cs="Arial"/>
          <w:sz w:val="24"/>
          <w:szCs w:val="24"/>
        </w:rPr>
        <w:t>in consideration of, eg, the payment of an annual sum of money. The distinction however is that</w:t>
      </w:r>
      <w:r w:rsidR="00B81D8E">
        <w:rPr>
          <w:rFonts w:ascii="Arial" w:hAnsi="Arial" w:cs="Arial"/>
          <w:sz w:val="24"/>
          <w:szCs w:val="24"/>
        </w:rPr>
        <w:t>,</w:t>
      </w:r>
      <w:r w:rsidR="00E762F4">
        <w:rPr>
          <w:rFonts w:ascii="Arial" w:hAnsi="Arial" w:cs="Arial"/>
          <w:sz w:val="24"/>
          <w:szCs w:val="24"/>
        </w:rPr>
        <w:t xml:space="preserve"> in usufructs</w:t>
      </w:r>
      <w:r w:rsidR="00B81D8E">
        <w:rPr>
          <w:rFonts w:ascii="Arial" w:hAnsi="Arial" w:cs="Arial"/>
          <w:sz w:val="24"/>
          <w:szCs w:val="24"/>
        </w:rPr>
        <w:t>,</w:t>
      </w:r>
      <w:r w:rsidR="00E762F4">
        <w:rPr>
          <w:rFonts w:ascii="Arial" w:hAnsi="Arial" w:cs="Arial"/>
          <w:sz w:val="24"/>
          <w:szCs w:val="24"/>
        </w:rPr>
        <w:t xml:space="preserve"> the right comes to an end when the usufructu</w:t>
      </w:r>
      <w:r w:rsidR="00C51E2F">
        <w:rPr>
          <w:rFonts w:ascii="Arial" w:hAnsi="Arial" w:cs="Arial"/>
          <w:sz w:val="24"/>
          <w:szCs w:val="24"/>
        </w:rPr>
        <w:t>a</w:t>
      </w:r>
      <w:r w:rsidR="00E762F4">
        <w:rPr>
          <w:rFonts w:ascii="Arial" w:hAnsi="Arial" w:cs="Arial"/>
          <w:sz w:val="24"/>
          <w:szCs w:val="24"/>
        </w:rPr>
        <w:t xml:space="preserve">ry dies. A usufruct cannot pass </w:t>
      </w:r>
      <w:r w:rsidR="00B81D8E">
        <w:rPr>
          <w:rFonts w:ascii="Arial" w:hAnsi="Arial" w:cs="Arial"/>
          <w:sz w:val="24"/>
          <w:szCs w:val="24"/>
        </w:rPr>
        <w:t>upon</w:t>
      </w:r>
      <w:r w:rsidR="00E762F4">
        <w:rPr>
          <w:rFonts w:ascii="Arial" w:hAnsi="Arial" w:cs="Arial"/>
          <w:sz w:val="24"/>
          <w:szCs w:val="24"/>
        </w:rPr>
        <w:t xml:space="preserve"> the death of a usufructu</w:t>
      </w:r>
      <w:r w:rsidR="00C51E2F">
        <w:rPr>
          <w:rFonts w:ascii="Arial" w:hAnsi="Arial" w:cs="Arial"/>
          <w:sz w:val="24"/>
          <w:szCs w:val="24"/>
        </w:rPr>
        <w:t>a</w:t>
      </w:r>
      <w:r w:rsidR="00E762F4">
        <w:rPr>
          <w:rFonts w:ascii="Arial" w:hAnsi="Arial" w:cs="Arial"/>
          <w:sz w:val="24"/>
          <w:szCs w:val="24"/>
        </w:rPr>
        <w:t>ry as it attaches to a particular person and cannot exist apart from such person.</w:t>
      </w:r>
      <w:r w:rsidR="00E762F4">
        <w:rPr>
          <w:rStyle w:val="FootnoteReference"/>
          <w:rFonts w:ascii="Arial" w:hAnsi="Arial" w:cs="Arial"/>
          <w:sz w:val="24"/>
          <w:szCs w:val="24"/>
        </w:rPr>
        <w:footnoteReference w:id="15"/>
      </w:r>
      <w:r w:rsidR="00E762F4">
        <w:rPr>
          <w:rFonts w:ascii="Arial" w:hAnsi="Arial" w:cs="Arial"/>
          <w:sz w:val="24"/>
          <w:szCs w:val="24"/>
        </w:rPr>
        <w:t xml:space="preserve"> To the contrary</w:t>
      </w:r>
      <w:r w:rsidR="00B81D8E">
        <w:rPr>
          <w:rFonts w:ascii="Arial" w:hAnsi="Arial" w:cs="Arial"/>
          <w:sz w:val="24"/>
          <w:szCs w:val="24"/>
        </w:rPr>
        <w:t>,</w:t>
      </w:r>
      <w:r w:rsidR="00E762F4">
        <w:rPr>
          <w:rFonts w:ascii="Arial" w:hAnsi="Arial" w:cs="Arial"/>
          <w:sz w:val="24"/>
          <w:szCs w:val="24"/>
        </w:rPr>
        <w:t xml:space="preserve"> a lease, as a general rule, is not terminated by the death of a party thereto</w:t>
      </w:r>
      <w:r w:rsidR="00B81D8E">
        <w:rPr>
          <w:rFonts w:ascii="Arial" w:hAnsi="Arial" w:cs="Arial"/>
          <w:sz w:val="24"/>
          <w:szCs w:val="24"/>
        </w:rPr>
        <w:t>,</w:t>
      </w:r>
      <w:r w:rsidR="00E762F4">
        <w:rPr>
          <w:rFonts w:ascii="Arial" w:hAnsi="Arial" w:cs="Arial"/>
          <w:sz w:val="24"/>
          <w:szCs w:val="24"/>
        </w:rPr>
        <w:t xml:space="preserve"> but the rights and obligations arising </w:t>
      </w:r>
      <w:r w:rsidR="0047361B">
        <w:rPr>
          <w:rFonts w:ascii="Arial" w:hAnsi="Arial" w:cs="Arial"/>
          <w:sz w:val="24"/>
          <w:szCs w:val="24"/>
        </w:rPr>
        <w:t>from the lease pass to the estate of the party who has died.</w:t>
      </w:r>
      <w:r w:rsidR="0047361B">
        <w:rPr>
          <w:rStyle w:val="FootnoteReference"/>
          <w:rFonts w:ascii="Arial" w:hAnsi="Arial" w:cs="Arial"/>
          <w:sz w:val="24"/>
          <w:szCs w:val="24"/>
        </w:rPr>
        <w:footnoteReference w:id="16"/>
      </w:r>
      <w:r w:rsidR="0047361B">
        <w:rPr>
          <w:rFonts w:ascii="Arial" w:hAnsi="Arial" w:cs="Arial"/>
          <w:sz w:val="24"/>
          <w:szCs w:val="24"/>
        </w:rPr>
        <w:t xml:space="preserve"> That this is the position, is also evident from </w:t>
      </w:r>
      <w:r w:rsidR="0047361B" w:rsidRPr="0047361B">
        <w:rPr>
          <w:rFonts w:ascii="Arial" w:hAnsi="Arial" w:cs="Arial"/>
          <w:i/>
          <w:sz w:val="24"/>
          <w:szCs w:val="24"/>
        </w:rPr>
        <w:t>Meroro</w:t>
      </w:r>
      <w:r w:rsidR="0047361B">
        <w:rPr>
          <w:rFonts w:ascii="Arial" w:hAnsi="Arial" w:cs="Arial"/>
          <w:sz w:val="24"/>
          <w:szCs w:val="24"/>
        </w:rPr>
        <w:t xml:space="preserve"> </w:t>
      </w:r>
      <w:r w:rsidR="00976C02">
        <w:rPr>
          <w:rFonts w:ascii="Arial" w:hAnsi="Arial" w:cs="Arial"/>
          <w:sz w:val="24"/>
          <w:szCs w:val="24"/>
        </w:rPr>
        <w:t xml:space="preserve">in </w:t>
      </w:r>
      <w:r w:rsidR="0047361B">
        <w:rPr>
          <w:rFonts w:ascii="Arial" w:hAnsi="Arial" w:cs="Arial"/>
          <w:sz w:val="24"/>
          <w:szCs w:val="24"/>
        </w:rPr>
        <w:t xml:space="preserve">which </w:t>
      </w:r>
      <w:r w:rsidR="00976C02">
        <w:rPr>
          <w:rFonts w:ascii="Arial" w:hAnsi="Arial" w:cs="Arial"/>
          <w:sz w:val="24"/>
          <w:szCs w:val="24"/>
        </w:rPr>
        <w:t xml:space="preserve">it was clearly stated </w:t>
      </w:r>
      <w:r w:rsidR="0047361B">
        <w:rPr>
          <w:rFonts w:ascii="Arial" w:hAnsi="Arial" w:cs="Arial"/>
          <w:sz w:val="24"/>
          <w:szCs w:val="24"/>
        </w:rPr>
        <w:t>that the lease forms part of the estate of the deceased</w:t>
      </w:r>
      <w:r w:rsidR="0047361B">
        <w:rPr>
          <w:rStyle w:val="FootnoteReference"/>
          <w:rFonts w:ascii="Arial" w:hAnsi="Arial" w:cs="Arial"/>
          <w:sz w:val="24"/>
          <w:szCs w:val="24"/>
        </w:rPr>
        <w:footnoteReference w:id="17"/>
      </w:r>
      <w:r w:rsidR="0047361B">
        <w:rPr>
          <w:rFonts w:ascii="Arial" w:hAnsi="Arial" w:cs="Arial"/>
          <w:sz w:val="24"/>
          <w:szCs w:val="24"/>
        </w:rPr>
        <w:t xml:space="preserve"> and that the ACLRA clearly </w:t>
      </w:r>
      <w:r w:rsidR="00D7541A">
        <w:rPr>
          <w:rFonts w:ascii="Arial" w:hAnsi="Arial" w:cs="Arial"/>
          <w:sz w:val="24"/>
          <w:szCs w:val="24"/>
        </w:rPr>
        <w:t xml:space="preserve">intended the right of the deceased to be regarded as a lease </w:t>
      </w:r>
      <w:r w:rsidR="00976C02">
        <w:rPr>
          <w:rFonts w:ascii="Arial" w:hAnsi="Arial" w:cs="Arial"/>
          <w:sz w:val="24"/>
          <w:szCs w:val="24"/>
        </w:rPr>
        <w:t>when</w:t>
      </w:r>
      <w:r w:rsidR="00D7541A">
        <w:rPr>
          <w:rFonts w:ascii="Arial" w:hAnsi="Arial" w:cs="Arial"/>
          <w:sz w:val="24"/>
          <w:szCs w:val="24"/>
        </w:rPr>
        <w:t xml:space="preserve"> the assignment is considered in this context.</w:t>
      </w:r>
      <w:r w:rsidR="00D7541A">
        <w:rPr>
          <w:rStyle w:val="FootnoteReference"/>
          <w:rFonts w:ascii="Arial" w:hAnsi="Arial" w:cs="Arial"/>
          <w:sz w:val="24"/>
          <w:szCs w:val="24"/>
        </w:rPr>
        <w:footnoteReference w:id="18"/>
      </w:r>
    </w:p>
    <w:p w:rsidR="00D67C57" w:rsidRDefault="00D67C57" w:rsidP="00D67C57">
      <w:pPr>
        <w:pStyle w:val="NoSpacing"/>
        <w:spacing w:line="480" w:lineRule="auto"/>
        <w:jc w:val="both"/>
        <w:rPr>
          <w:rFonts w:ascii="Arial" w:hAnsi="Arial" w:cs="Arial"/>
          <w:sz w:val="24"/>
          <w:szCs w:val="24"/>
        </w:rPr>
      </w:pPr>
    </w:p>
    <w:p w:rsidR="00D67C57" w:rsidRDefault="00C51E2F" w:rsidP="00D67C5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is correct that</w:t>
      </w:r>
      <w:r w:rsidR="00D4541D">
        <w:rPr>
          <w:rFonts w:ascii="Arial" w:hAnsi="Arial" w:cs="Arial"/>
          <w:sz w:val="24"/>
          <w:szCs w:val="24"/>
        </w:rPr>
        <w:t xml:space="preserve"> </w:t>
      </w:r>
      <w:r w:rsidR="00D4541D" w:rsidRPr="00D4541D">
        <w:rPr>
          <w:rFonts w:ascii="Arial" w:hAnsi="Arial" w:cs="Arial"/>
          <w:i/>
          <w:sz w:val="24"/>
          <w:szCs w:val="24"/>
        </w:rPr>
        <w:t>Meroro</w:t>
      </w:r>
      <w:r w:rsidR="00D4541D">
        <w:rPr>
          <w:rFonts w:ascii="Arial" w:hAnsi="Arial" w:cs="Arial"/>
          <w:sz w:val="24"/>
          <w:szCs w:val="24"/>
        </w:rPr>
        <w:t xml:space="preserve"> does not expressly state that a lease forms part of the joint estate despite noting that the parties were married in community of property. This is </w:t>
      </w:r>
      <w:r w:rsidR="007C2DA4">
        <w:rPr>
          <w:rFonts w:ascii="Arial" w:hAnsi="Arial" w:cs="Arial"/>
          <w:sz w:val="24"/>
          <w:szCs w:val="24"/>
        </w:rPr>
        <w:t>not because it does not form part of the joint estate</w:t>
      </w:r>
      <w:r w:rsidR="00976C02">
        <w:rPr>
          <w:rFonts w:ascii="Arial" w:hAnsi="Arial" w:cs="Arial"/>
          <w:sz w:val="24"/>
          <w:szCs w:val="24"/>
        </w:rPr>
        <w:t>,</w:t>
      </w:r>
      <w:r w:rsidR="007C2DA4">
        <w:rPr>
          <w:rFonts w:ascii="Arial" w:hAnsi="Arial" w:cs="Arial"/>
          <w:sz w:val="24"/>
          <w:szCs w:val="24"/>
        </w:rPr>
        <w:t xml:space="preserve"> but because in terms of the law</w:t>
      </w:r>
      <w:r w:rsidR="00976C02">
        <w:rPr>
          <w:rFonts w:ascii="Arial" w:hAnsi="Arial" w:cs="Arial"/>
          <w:sz w:val="24"/>
          <w:szCs w:val="24"/>
        </w:rPr>
        <w:t>,</w:t>
      </w:r>
      <w:r w:rsidR="007C2DA4">
        <w:rPr>
          <w:rFonts w:ascii="Arial" w:hAnsi="Arial" w:cs="Arial"/>
          <w:sz w:val="24"/>
          <w:szCs w:val="24"/>
        </w:rPr>
        <w:t xml:space="preserve"> the estate initially vests in the executor</w:t>
      </w:r>
      <w:r w:rsidR="00AB7659">
        <w:rPr>
          <w:rFonts w:ascii="Arial" w:hAnsi="Arial" w:cs="Arial"/>
          <w:sz w:val="24"/>
          <w:szCs w:val="24"/>
        </w:rPr>
        <w:t xml:space="preserve"> or executrix</w:t>
      </w:r>
      <w:r w:rsidR="007C2DA4">
        <w:rPr>
          <w:rFonts w:ascii="Arial" w:hAnsi="Arial" w:cs="Arial"/>
          <w:sz w:val="24"/>
          <w:szCs w:val="24"/>
        </w:rPr>
        <w:t>. In fact</w:t>
      </w:r>
      <w:r w:rsidR="00976C02">
        <w:rPr>
          <w:rFonts w:ascii="Arial" w:hAnsi="Arial" w:cs="Arial"/>
          <w:sz w:val="24"/>
          <w:szCs w:val="24"/>
        </w:rPr>
        <w:t>,</w:t>
      </w:r>
      <w:r w:rsidR="007C2DA4">
        <w:rPr>
          <w:rFonts w:ascii="Arial" w:hAnsi="Arial" w:cs="Arial"/>
          <w:sz w:val="24"/>
          <w:szCs w:val="24"/>
        </w:rPr>
        <w:t xml:space="preserve"> upon a careful reading of the judgment</w:t>
      </w:r>
      <w:r w:rsidR="00976C02">
        <w:rPr>
          <w:rFonts w:ascii="Arial" w:hAnsi="Arial" w:cs="Arial"/>
          <w:sz w:val="24"/>
          <w:szCs w:val="24"/>
        </w:rPr>
        <w:t xml:space="preserve">, this court in </w:t>
      </w:r>
      <w:r w:rsidR="007C2DA4" w:rsidRPr="007C2DA4">
        <w:rPr>
          <w:rFonts w:ascii="Arial" w:hAnsi="Arial" w:cs="Arial"/>
          <w:i/>
          <w:sz w:val="24"/>
          <w:szCs w:val="24"/>
        </w:rPr>
        <w:t>Meroro</w:t>
      </w:r>
      <w:r w:rsidR="007C2DA4">
        <w:rPr>
          <w:rFonts w:ascii="Arial" w:hAnsi="Arial" w:cs="Arial"/>
          <w:sz w:val="24"/>
          <w:szCs w:val="24"/>
        </w:rPr>
        <w:t xml:space="preserve"> clearly express</w:t>
      </w:r>
      <w:r w:rsidR="008F3B63">
        <w:rPr>
          <w:rFonts w:ascii="Arial" w:hAnsi="Arial" w:cs="Arial"/>
          <w:sz w:val="24"/>
          <w:szCs w:val="24"/>
        </w:rPr>
        <w:t>e</w:t>
      </w:r>
      <w:r w:rsidR="00976C02">
        <w:rPr>
          <w:rFonts w:ascii="Arial" w:hAnsi="Arial" w:cs="Arial"/>
          <w:sz w:val="24"/>
          <w:szCs w:val="24"/>
        </w:rPr>
        <w:t>d</w:t>
      </w:r>
      <w:r w:rsidR="007C2DA4">
        <w:rPr>
          <w:rFonts w:ascii="Arial" w:hAnsi="Arial" w:cs="Arial"/>
          <w:sz w:val="24"/>
          <w:szCs w:val="24"/>
        </w:rPr>
        <w:t xml:space="preserve"> the view that the lease does form part of the joint estate. Thus</w:t>
      </w:r>
      <w:r w:rsidR="00976C02">
        <w:rPr>
          <w:rFonts w:ascii="Arial" w:hAnsi="Arial" w:cs="Arial"/>
          <w:sz w:val="24"/>
          <w:szCs w:val="24"/>
        </w:rPr>
        <w:t>,</w:t>
      </w:r>
      <w:r w:rsidR="007C2DA4">
        <w:rPr>
          <w:rFonts w:ascii="Arial" w:hAnsi="Arial" w:cs="Arial"/>
          <w:sz w:val="24"/>
          <w:szCs w:val="24"/>
        </w:rPr>
        <w:t xml:space="preserve"> the court stated that</w:t>
      </w:r>
      <w:r w:rsidR="00976C02">
        <w:rPr>
          <w:rFonts w:ascii="Arial" w:hAnsi="Arial" w:cs="Arial"/>
          <w:sz w:val="24"/>
          <w:szCs w:val="24"/>
        </w:rPr>
        <w:t>,</w:t>
      </w:r>
      <w:r w:rsidR="007C2DA4">
        <w:rPr>
          <w:rFonts w:ascii="Arial" w:hAnsi="Arial" w:cs="Arial"/>
          <w:sz w:val="24"/>
          <w:szCs w:val="24"/>
        </w:rPr>
        <w:t xml:space="preserve"> ‘the entire deceased estate vested in</w:t>
      </w:r>
      <w:r w:rsidR="00D553A5">
        <w:rPr>
          <w:rFonts w:ascii="Arial" w:hAnsi="Arial" w:cs="Arial"/>
          <w:sz w:val="24"/>
          <w:szCs w:val="24"/>
        </w:rPr>
        <w:t xml:space="preserve"> her as executrix</w:t>
      </w:r>
      <w:r w:rsidR="007C2DA4">
        <w:rPr>
          <w:rFonts w:ascii="Arial" w:hAnsi="Arial" w:cs="Arial"/>
          <w:sz w:val="24"/>
          <w:szCs w:val="24"/>
        </w:rPr>
        <w:t>’.</w:t>
      </w:r>
      <w:r w:rsidR="00D553A5">
        <w:rPr>
          <w:rStyle w:val="FootnoteReference"/>
          <w:rFonts w:ascii="Arial" w:hAnsi="Arial" w:cs="Arial"/>
          <w:sz w:val="24"/>
          <w:szCs w:val="24"/>
        </w:rPr>
        <w:footnoteReference w:id="19"/>
      </w:r>
      <w:r w:rsidR="007C2DA4">
        <w:rPr>
          <w:rFonts w:ascii="Arial" w:hAnsi="Arial" w:cs="Arial"/>
          <w:sz w:val="24"/>
          <w:szCs w:val="24"/>
        </w:rPr>
        <w:t xml:space="preserve"> This is however explained by a footnote to </w:t>
      </w:r>
      <w:r w:rsidR="000D0A08">
        <w:rPr>
          <w:rFonts w:ascii="Arial" w:hAnsi="Arial" w:cs="Arial"/>
          <w:sz w:val="24"/>
          <w:szCs w:val="24"/>
        </w:rPr>
        <w:t>indicate</w:t>
      </w:r>
      <w:r w:rsidR="00D553A5">
        <w:rPr>
          <w:rFonts w:ascii="Arial" w:hAnsi="Arial" w:cs="Arial"/>
          <w:sz w:val="24"/>
          <w:szCs w:val="24"/>
        </w:rPr>
        <w:t xml:space="preserve"> that </w:t>
      </w:r>
      <w:r w:rsidR="007C2DA4">
        <w:rPr>
          <w:rFonts w:ascii="Arial" w:hAnsi="Arial" w:cs="Arial"/>
          <w:sz w:val="24"/>
          <w:szCs w:val="24"/>
        </w:rPr>
        <w:t xml:space="preserve">‘although the surviving spouse in a marriage concluded in community of property is under common law entitled to a half-share of the joint estate as his or her </w:t>
      </w:r>
      <w:r w:rsidR="00D553A5">
        <w:rPr>
          <w:rFonts w:ascii="Arial" w:hAnsi="Arial" w:cs="Arial"/>
          <w:sz w:val="24"/>
          <w:szCs w:val="24"/>
        </w:rPr>
        <w:t xml:space="preserve">own </w:t>
      </w:r>
      <w:r w:rsidR="007C2DA4">
        <w:rPr>
          <w:rFonts w:ascii="Arial" w:hAnsi="Arial" w:cs="Arial"/>
          <w:sz w:val="24"/>
          <w:szCs w:val="24"/>
        </w:rPr>
        <w:t>property, that entitlement is not enforceable immediately upon the passing of the first</w:t>
      </w:r>
      <w:r w:rsidR="00D553A5">
        <w:rPr>
          <w:rFonts w:ascii="Arial" w:hAnsi="Arial" w:cs="Arial"/>
          <w:sz w:val="24"/>
          <w:szCs w:val="24"/>
        </w:rPr>
        <w:t>-</w:t>
      </w:r>
      <w:r w:rsidR="007C2DA4">
        <w:rPr>
          <w:rFonts w:ascii="Arial" w:hAnsi="Arial" w:cs="Arial"/>
          <w:sz w:val="24"/>
          <w:szCs w:val="24"/>
        </w:rPr>
        <w:t xml:space="preserve">dying spouse </w:t>
      </w:r>
      <w:r w:rsidR="007C2DA4" w:rsidRPr="00F9687D">
        <w:rPr>
          <w:rFonts w:ascii="Arial" w:hAnsi="Arial" w:cs="Arial"/>
          <w:i/>
          <w:sz w:val="24"/>
          <w:szCs w:val="24"/>
        </w:rPr>
        <w:t xml:space="preserve">ab </w:t>
      </w:r>
      <w:r w:rsidR="005E5EAA">
        <w:rPr>
          <w:rFonts w:ascii="Arial" w:hAnsi="Arial" w:cs="Arial"/>
          <w:i/>
          <w:sz w:val="24"/>
          <w:szCs w:val="24"/>
        </w:rPr>
        <w:t>intestat</w:t>
      </w:r>
      <w:r w:rsidR="007C2DA4" w:rsidRPr="007C2DA4">
        <w:rPr>
          <w:rFonts w:ascii="Arial" w:hAnsi="Arial" w:cs="Arial"/>
          <w:i/>
          <w:sz w:val="24"/>
          <w:szCs w:val="24"/>
        </w:rPr>
        <w:t>o</w:t>
      </w:r>
      <w:r w:rsidR="00D553A5">
        <w:rPr>
          <w:rFonts w:ascii="Arial" w:hAnsi="Arial" w:cs="Arial"/>
          <w:i/>
          <w:sz w:val="24"/>
          <w:szCs w:val="24"/>
        </w:rPr>
        <w:t>’</w:t>
      </w:r>
      <w:r w:rsidR="005E5EAA">
        <w:rPr>
          <w:rFonts w:ascii="Arial" w:hAnsi="Arial" w:cs="Arial"/>
          <w:sz w:val="24"/>
          <w:szCs w:val="24"/>
        </w:rPr>
        <w:t xml:space="preserve"> as the right to claim half of the </w:t>
      </w:r>
      <w:r w:rsidR="00A87801">
        <w:rPr>
          <w:rFonts w:ascii="Arial" w:hAnsi="Arial" w:cs="Arial"/>
          <w:sz w:val="24"/>
          <w:szCs w:val="24"/>
        </w:rPr>
        <w:t>estate only arises once the net balance of the joint estate has been established.</w:t>
      </w:r>
      <w:r w:rsidR="00A87801">
        <w:rPr>
          <w:rStyle w:val="FootnoteReference"/>
          <w:rFonts w:ascii="Arial" w:hAnsi="Arial" w:cs="Arial"/>
          <w:sz w:val="24"/>
          <w:szCs w:val="24"/>
        </w:rPr>
        <w:footnoteReference w:id="20"/>
      </w:r>
    </w:p>
    <w:p w:rsidR="00D67C57" w:rsidRDefault="00D67C57" w:rsidP="00D67C57">
      <w:pPr>
        <w:pStyle w:val="NoSpacing"/>
        <w:spacing w:line="480" w:lineRule="auto"/>
        <w:jc w:val="both"/>
        <w:rPr>
          <w:rFonts w:ascii="Arial" w:hAnsi="Arial" w:cs="Arial"/>
          <w:sz w:val="24"/>
          <w:szCs w:val="24"/>
        </w:rPr>
      </w:pPr>
    </w:p>
    <w:p w:rsidR="00D67C57" w:rsidRPr="00904878" w:rsidRDefault="00A87801" w:rsidP="00D67C5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a situation where the State sold agricultural land over a 30 year period under conditions that the State remained the owner of the land until the purchase </w:t>
      </w:r>
      <w:r w:rsidR="00AA1D30">
        <w:rPr>
          <w:rFonts w:ascii="Arial" w:hAnsi="Arial" w:cs="Arial"/>
          <w:sz w:val="24"/>
          <w:szCs w:val="24"/>
        </w:rPr>
        <w:t>price had</w:t>
      </w:r>
      <w:r>
        <w:rPr>
          <w:rFonts w:ascii="Arial" w:hAnsi="Arial" w:cs="Arial"/>
          <w:sz w:val="24"/>
          <w:szCs w:val="24"/>
        </w:rPr>
        <w:t xml:space="preserve"> been paid in ful</w:t>
      </w:r>
      <w:r w:rsidR="00D553A5">
        <w:rPr>
          <w:rFonts w:ascii="Arial" w:hAnsi="Arial" w:cs="Arial"/>
          <w:sz w:val="24"/>
          <w:szCs w:val="24"/>
        </w:rPr>
        <w:t>l;</w:t>
      </w:r>
      <w:r>
        <w:rPr>
          <w:rFonts w:ascii="Arial" w:hAnsi="Arial" w:cs="Arial"/>
          <w:sz w:val="24"/>
          <w:szCs w:val="24"/>
        </w:rPr>
        <w:t xml:space="preserve"> the purchaser could not dispose of his interest in the </w:t>
      </w:r>
      <w:r w:rsidR="00AA1D30">
        <w:rPr>
          <w:rFonts w:ascii="Arial" w:hAnsi="Arial" w:cs="Arial"/>
          <w:sz w:val="24"/>
          <w:szCs w:val="24"/>
        </w:rPr>
        <w:t>contract w</w:t>
      </w:r>
      <w:r w:rsidR="00D553A5">
        <w:rPr>
          <w:rFonts w:ascii="Arial" w:hAnsi="Arial" w:cs="Arial"/>
          <w:sz w:val="24"/>
          <w:szCs w:val="24"/>
        </w:rPr>
        <w:t>ithout the consent of the State;</w:t>
      </w:r>
      <w:r w:rsidR="00AA1D30">
        <w:rPr>
          <w:rFonts w:ascii="Arial" w:hAnsi="Arial" w:cs="Arial"/>
          <w:sz w:val="24"/>
          <w:szCs w:val="24"/>
        </w:rPr>
        <w:t xml:space="preserve"> the purc</w:t>
      </w:r>
      <w:r w:rsidR="00D553A5">
        <w:rPr>
          <w:rFonts w:ascii="Arial" w:hAnsi="Arial" w:cs="Arial"/>
          <w:sz w:val="24"/>
          <w:szCs w:val="24"/>
        </w:rPr>
        <w:t>haser had to reside on the land;</w:t>
      </w:r>
      <w:r w:rsidR="00AA1D30">
        <w:rPr>
          <w:rFonts w:ascii="Arial" w:hAnsi="Arial" w:cs="Arial"/>
          <w:sz w:val="24"/>
          <w:szCs w:val="24"/>
        </w:rPr>
        <w:t xml:space="preserve"> the purchaser could not </w:t>
      </w:r>
      <w:r w:rsidR="00AA1D30" w:rsidRPr="00840AB4">
        <w:rPr>
          <w:rFonts w:ascii="Arial" w:hAnsi="Arial" w:cs="Arial"/>
          <w:sz w:val="24"/>
          <w:szCs w:val="24"/>
        </w:rPr>
        <w:t>encumber the land and steps of execution could</w:t>
      </w:r>
      <w:r w:rsidR="00840AB4" w:rsidRPr="00840AB4">
        <w:rPr>
          <w:rFonts w:ascii="Arial" w:hAnsi="Arial" w:cs="Arial"/>
          <w:sz w:val="24"/>
          <w:szCs w:val="24"/>
        </w:rPr>
        <w:t xml:space="preserve"> not</w:t>
      </w:r>
      <w:r w:rsidR="00AA1D30" w:rsidRPr="00840AB4">
        <w:rPr>
          <w:rFonts w:ascii="Arial" w:hAnsi="Arial" w:cs="Arial"/>
          <w:sz w:val="24"/>
          <w:szCs w:val="24"/>
        </w:rPr>
        <w:t xml:space="preserve"> be taken against the land</w:t>
      </w:r>
      <w:r w:rsidR="00AA1D30">
        <w:rPr>
          <w:rFonts w:ascii="Arial" w:hAnsi="Arial" w:cs="Arial"/>
          <w:sz w:val="24"/>
          <w:szCs w:val="24"/>
        </w:rPr>
        <w:t xml:space="preserve"> and the State could cancel the purchase if the purchaser fell into arrears with more than three months</w:t>
      </w:r>
      <w:r w:rsidR="00D553A5">
        <w:rPr>
          <w:rFonts w:ascii="Arial" w:hAnsi="Arial" w:cs="Arial"/>
          <w:sz w:val="24"/>
          <w:szCs w:val="24"/>
        </w:rPr>
        <w:t>,</w:t>
      </w:r>
      <w:r w:rsidR="00AA1D30">
        <w:rPr>
          <w:rFonts w:ascii="Arial" w:hAnsi="Arial" w:cs="Arial"/>
          <w:sz w:val="24"/>
          <w:szCs w:val="24"/>
        </w:rPr>
        <w:t xml:space="preserve"> </w:t>
      </w:r>
      <w:r w:rsidR="00840AB4">
        <w:rPr>
          <w:rFonts w:ascii="Arial" w:hAnsi="Arial" w:cs="Arial"/>
          <w:sz w:val="24"/>
          <w:szCs w:val="24"/>
        </w:rPr>
        <w:t xml:space="preserve">it was </w:t>
      </w:r>
      <w:r w:rsidR="00372BB2">
        <w:rPr>
          <w:rFonts w:ascii="Arial" w:hAnsi="Arial" w:cs="Arial"/>
          <w:sz w:val="24"/>
          <w:szCs w:val="24"/>
        </w:rPr>
        <w:t xml:space="preserve">held that </w:t>
      </w:r>
      <w:r w:rsidR="00840AB4">
        <w:rPr>
          <w:rFonts w:ascii="Arial" w:hAnsi="Arial" w:cs="Arial"/>
          <w:sz w:val="24"/>
          <w:szCs w:val="24"/>
        </w:rPr>
        <w:t xml:space="preserve">this </w:t>
      </w:r>
      <w:r w:rsidR="00372BB2">
        <w:rPr>
          <w:rFonts w:ascii="Arial" w:hAnsi="Arial" w:cs="Arial"/>
          <w:sz w:val="24"/>
          <w:szCs w:val="24"/>
        </w:rPr>
        <w:t xml:space="preserve">was not a personal interest </w:t>
      </w:r>
      <w:r w:rsidR="00904878">
        <w:rPr>
          <w:rFonts w:ascii="Arial" w:hAnsi="Arial" w:cs="Arial"/>
          <w:sz w:val="24"/>
          <w:szCs w:val="24"/>
        </w:rPr>
        <w:t>and</w:t>
      </w:r>
      <w:r w:rsidR="00372BB2">
        <w:rPr>
          <w:rFonts w:ascii="Arial" w:hAnsi="Arial" w:cs="Arial"/>
          <w:sz w:val="24"/>
          <w:szCs w:val="24"/>
        </w:rPr>
        <w:t xml:space="preserve"> did form part of the joint estate where a purchaser </w:t>
      </w:r>
      <w:r w:rsidR="00634DBB">
        <w:rPr>
          <w:rFonts w:ascii="Arial" w:hAnsi="Arial" w:cs="Arial"/>
          <w:sz w:val="24"/>
          <w:szCs w:val="24"/>
        </w:rPr>
        <w:t>died prior</w:t>
      </w:r>
      <w:r w:rsidR="00C92F72">
        <w:rPr>
          <w:rFonts w:ascii="Arial" w:hAnsi="Arial" w:cs="Arial"/>
          <w:sz w:val="24"/>
          <w:szCs w:val="24"/>
        </w:rPr>
        <w:t xml:space="preserve"> to becoming owner of the land</w:t>
      </w:r>
      <w:r w:rsidR="00A01855">
        <w:rPr>
          <w:rFonts w:ascii="Arial" w:hAnsi="Arial" w:cs="Arial"/>
          <w:sz w:val="24"/>
          <w:szCs w:val="24"/>
        </w:rPr>
        <w:t xml:space="preserve">. </w:t>
      </w:r>
      <w:r w:rsidR="00840AB4" w:rsidRPr="00904878">
        <w:rPr>
          <w:rFonts w:ascii="Arial" w:hAnsi="Arial" w:cs="Arial"/>
          <w:sz w:val="24"/>
          <w:szCs w:val="24"/>
        </w:rPr>
        <w:t xml:space="preserve">In </w:t>
      </w:r>
      <w:r w:rsidR="00634DBB" w:rsidRPr="00904878">
        <w:rPr>
          <w:rFonts w:ascii="Arial" w:hAnsi="Arial" w:cs="Arial"/>
          <w:i/>
          <w:sz w:val="24"/>
          <w:szCs w:val="24"/>
        </w:rPr>
        <w:t>Ex parte Malan NO</w:t>
      </w:r>
      <w:r w:rsidR="00634DBB" w:rsidRPr="00904878">
        <w:rPr>
          <w:rStyle w:val="FootnoteReference"/>
          <w:rFonts w:ascii="Arial" w:hAnsi="Arial" w:cs="Arial"/>
          <w:sz w:val="24"/>
          <w:szCs w:val="24"/>
        </w:rPr>
        <w:footnoteReference w:id="21"/>
      </w:r>
      <w:r w:rsidR="00840AB4" w:rsidRPr="00904878">
        <w:rPr>
          <w:rFonts w:ascii="Arial" w:hAnsi="Arial" w:cs="Arial"/>
          <w:i/>
          <w:sz w:val="24"/>
          <w:szCs w:val="24"/>
        </w:rPr>
        <w:t xml:space="preserve"> </w:t>
      </w:r>
      <w:r w:rsidR="00840AB4" w:rsidRPr="00904878">
        <w:rPr>
          <w:rFonts w:ascii="Arial" w:hAnsi="Arial" w:cs="Arial"/>
          <w:sz w:val="24"/>
          <w:szCs w:val="24"/>
        </w:rPr>
        <w:t>the following was said:</w:t>
      </w:r>
      <w:r w:rsidR="00840AB4" w:rsidRPr="00904878">
        <w:rPr>
          <w:rFonts w:ascii="Arial" w:hAnsi="Arial" w:cs="Arial"/>
          <w:i/>
          <w:sz w:val="24"/>
          <w:szCs w:val="24"/>
        </w:rPr>
        <w:t xml:space="preserve"> </w:t>
      </w:r>
    </w:p>
    <w:p w:rsidR="00AA1D30" w:rsidRPr="007E0305" w:rsidRDefault="00AA1D30" w:rsidP="007E0305">
      <w:pPr>
        <w:spacing w:after="0" w:line="360" w:lineRule="auto"/>
        <w:ind w:left="720"/>
        <w:rPr>
          <w:rFonts w:ascii="Arial" w:hAnsi="Arial" w:cs="Arial"/>
        </w:rPr>
      </w:pPr>
    </w:p>
    <w:p w:rsidR="007E0305" w:rsidRPr="00292A1F" w:rsidRDefault="007E0305" w:rsidP="007E0305">
      <w:pPr>
        <w:pStyle w:val="NoSpacing"/>
        <w:spacing w:line="360" w:lineRule="auto"/>
        <w:ind w:left="720"/>
        <w:jc w:val="both"/>
        <w:rPr>
          <w:rFonts w:ascii="Arial" w:hAnsi="Arial" w:cs="Arial"/>
        </w:rPr>
      </w:pPr>
      <w:r>
        <w:rPr>
          <w:rFonts w:ascii="Arial" w:hAnsi="Arial" w:cs="Arial"/>
        </w:rPr>
        <w:t>‘</w:t>
      </w:r>
      <w:r w:rsidRPr="00292A1F">
        <w:rPr>
          <w:rFonts w:ascii="Arial" w:hAnsi="Arial" w:cs="Arial"/>
        </w:rPr>
        <w:t xml:space="preserve">Mr. </w:t>
      </w:r>
      <w:r w:rsidRPr="00292A1F">
        <w:rPr>
          <w:rFonts w:ascii="Arial" w:hAnsi="Arial" w:cs="Arial"/>
          <w:i/>
          <w:iCs/>
        </w:rPr>
        <w:t xml:space="preserve">Miller </w:t>
      </w:r>
      <w:r w:rsidRPr="00292A1F">
        <w:rPr>
          <w:rFonts w:ascii="Arial" w:hAnsi="Arial" w:cs="Arial"/>
        </w:rPr>
        <w:t>contended that the rights, which the testator had under the agreement before he had paid the full purchase price, were of so personal a nature that they did not fall into the com</w:t>
      </w:r>
      <w:r w:rsidRPr="00292A1F">
        <w:rPr>
          <w:rFonts w:ascii="Arial" w:hAnsi="Arial" w:cs="Arial"/>
        </w:rPr>
        <w:softHyphen/>
        <w:t xml:space="preserve">munity. He referred to the different terms of the agreement, such as that the purchaser could not cede his right under it without the consent of the Governor, that he had to reside on the land personally, that if he committed any of the crimes referred to </w:t>
      </w:r>
      <w:r>
        <w:rPr>
          <w:rFonts w:ascii="Arial" w:hAnsi="Arial" w:cs="Arial"/>
        </w:rPr>
        <w:t xml:space="preserve">he </w:t>
      </w:r>
      <w:r w:rsidRPr="00292A1F">
        <w:rPr>
          <w:rFonts w:ascii="Arial" w:hAnsi="Arial" w:cs="Arial"/>
        </w:rPr>
        <w:t>forfeited his rights under the agreement, that his rights under it could not be attached in execution and that if he died he could not dispose of his interest but that his executor with the approval of the Governor could transfer it to his major son or his widow or to</w:t>
      </w:r>
      <w:r w:rsidRPr="00292A1F">
        <w:rPr>
          <w:rFonts w:ascii="Arial" w:hAnsi="Arial" w:cs="Arial"/>
          <w:i/>
          <w:iCs/>
        </w:rPr>
        <w:t xml:space="preserve"> </w:t>
      </w:r>
      <w:r w:rsidRPr="00292A1F">
        <w:rPr>
          <w:rFonts w:ascii="Arial" w:hAnsi="Arial" w:cs="Arial"/>
        </w:rPr>
        <w:t xml:space="preserve">a third person. He referred to cases such as </w:t>
      </w:r>
      <w:r w:rsidRPr="00292A1F">
        <w:rPr>
          <w:rFonts w:ascii="Arial" w:hAnsi="Arial" w:cs="Arial"/>
          <w:i/>
          <w:iCs/>
        </w:rPr>
        <w:t xml:space="preserve">Ex parte van der Watt, </w:t>
      </w:r>
      <w:r w:rsidRPr="00292A1F">
        <w:rPr>
          <w:rFonts w:ascii="Arial" w:hAnsi="Arial" w:cs="Arial"/>
        </w:rPr>
        <w:t xml:space="preserve">1924 O.P.D. 9, and </w:t>
      </w:r>
      <w:r w:rsidRPr="00292A1F">
        <w:rPr>
          <w:rFonts w:ascii="Arial" w:hAnsi="Arial" w:cs="Arial"/>
          <w:i/>
          <w:iCs/>
        </w:rPr>
        <w:t xml:space="preserve">Barnett and Others v. Rudman and Another, </w:t>
      </w:r>
      <w:r w:rsidRPr="00292A1F">
        <w:rPr>
          <w:rFonts w:ascii="Arial" w:hAnsi="Arial" w:cs="Arial"/>
        </w:rPr>
        <w:t xml:space="preserve">1934 A.D. 203, which decide that fiduciary property, as well as the interest of the fiduciary in the property do not fall into the community but only the fruits derived from such property. In </w:t>
      </w:r>
      <w:r w:rsidRPr="00292A1F">
        <w:rPr>
          <w:rFonts w:ascii="Arial" w:hAnsi="Arial" w:cs="Arial"/>
          <w:i/>
          <w:iCs/>
        </w:rPr>
        <w:t>Barnett's</w:t>
      </w:r>
      <w:r w:rsidRPr="00292A1F">
        <w:rPr>
          <w:rFonts w:ascii="Arial" w:hAnsi="Arial" w:cs="Arial"/>
        </w:rPr>
        <w:t xml:space="preserve"> case DE VILLIERS, J.A., deals with the reasons why fideicommissary property does not fall into the community. He points out that </w:t>
      </w:r>
      <w:r w:rsidRPr="00292A1F">
        <w:rPr>
          <w:rFonts w:ascii="Arial" w:hAnsi="Arial" w:cs="Arial"/>
          <w:i/>
          <w:iCs/>
        </w:rPr>
        <w:t xml:space="preserve">Coren </w:t>
      </w:r>
      <w:r w:rsidRPr="00292A1F">
        <w:rPr>
          <w:rFonts w:ascii="Arial" w:hAnsi="Arial" w:cs="Arial"/>
        </w:rPr>
        <w:t xml:space="preserve">(Cons. 25) and </w:t>
      </w:r>
      <w:r w:rsidRPr="00292A1F">
        <w:rPr>
          <w:rFonts w:ascii="Arial" w:hAnsi="Arial" w:cs="Arial"/>
          <w:i/>
          <w:iCs/>
        </w:rPr>
        <w:t xml:space="preserve">Matthaeus </w:t>
      </w:r>
      <w:r w:rsidRPr="00292A1F">
        <w:rPr>
          <w:rFonts w:ascii="Arial" w:hAnsi="Arial" w:cs="Arial"/>
        </w:rPr>
        <w:t>state that it is on account of its inalien</w:t>
      </w:r>
      <w:r w:rsidRPr="00292A1F">
        <w:rPr>
          <w:rFonts w:ascii="Arial" w:hAnsi="Arial" w:cs="Arial"/>
        </w:rPr>
        <w:softHyphen/>
        <w:t xml:space="preserve">ability, while </w:t>
      </w:r>
      <w:r w:rsidRPr="00292A1F">
        <w:rPr>
          <w:rFonts w:ascii="Arial" w:hAnsi="Arial" w:cs="Arial"/>
          <w:i/>
          <w:iCs/>
        </w:rPr>
        <w:t xml:space="preserve">Voet </w:t>
      </w:r>
      <w:r w:rsidRPr="00292A1F">
        <w:rPr>
          <w:rFonts w:ascii="Arial" w:hAnsi="Arial" w:cs="Arial"/>
        </w:rPr>
        <w:t xml:space="preserve">says that such property is in a sense </w:t>
      </w:r>
      <w:r w:rsidRPr="00292A1F">
        <w:rPr>
          <w:rFonts w:ascii="Arial" w:hAnsi="Arial" w:cs="Arial"/>
          <w:i/>
          <w:iCs/>
        </w:rPr>
        <w:t xml:space="preserve">res aliena. </w:t>
      </w:r>
      <w:r w:rsidRPr="00292A1F">
        <w:rPr>
          <w:rFonts w:ascii="Arial" w:hAnsi="Arial" w:cs="Arial"/>
        </w:rPr>
        <w:t xml:space="preserve">While the purchaser's rights under the agreement, before he has paid the full purchase price, cannot be freely alienated, they can, however, be alienated with the consent of the Lieutenant-Governor and this distinguishes them from fideicommissary property. It can also not be said that they are </w:t>
      </w:r>
      <w:r w:rsidRPr="00292A1F">
        <w:rPr>
          <w:rFonts w:ascii="Arial" w:hAnsi="Arial" w:cs="Arial"/>
          <w:i/>
          <w:iCs/>
        </w:rPr>
        <w:t xml:space="preserve">res aliena, </w:t>
      </w:r>
      <w:r w:rsidRPr="00292A1F">
        <w:rPr>
          <w:rFonts w:ascii="Arial" w:hAnsi="Arial" w:cs="Arial"/>
        </w:rPr>
        <w:t>for the rights acquired by the purchaser under the agreement belong to him. The fact that provision is made for a large number of events on the occurrence of which the purchaser may forfeit his rights under the agreement is also not a reason for holding that they are excluded from the community. The general rule is that the community of property</w:t>
      </w:r>
      <w:r w:rsidRPr="00292A1F">
        <w:rPr>
          <w:rFonts w:ascii="Arial" w:hAnsi="Arial" w:cs="Arial"/>
          <w:vertAlign w:val="superscript"/>
        </w:rPr>
        <w:t>-</w:t>
      </w:r>
      <w:r w:rsidRPr="00292A1F">
        <w:rPr>
          <w:rFonts w:ascii="Arial" w:hAnsi="Arial" w:cs="Arial"/>
        </w:rPr>
        <w:t>embraces all the property of the spouses movable, immovable and incorporeal, and would thus include rights such as the testator acquired under the agreement above referred to. I am of the opinion therefore that the rights which the testator had acquired under the agreement of sale at the death of his wife formed part of the assets of the joint estate, although the farm itself did not fall into the community.</w:t>
      </w:r>
      <w:r>
        <w:rPr>
          <w:rFonts w:ascii="Arial" w:hAnsi="Arial" w:cs="Arial"/>
        </w:rPr>
        <w:t>’</w:t>
      </w:r>
    </w:p>
    <w:p w:rsidR="00D67C57" w:rsidRPr="007E0305" w:rsidRDefault="00D67C57" w:rsidP="007E0305">
      <w:pPr>
        <w:pStyle w:val="NoSpacing"/>
        <w:spacing w:line="480" w:lineRule="auto"/>
        <w:ind w:firstLine="720"/>
        <w:jc w:val="both"/>
        <w:rPr>
          <w:rFonts w:ascii="Arial" w:hAnsi="Arial" w:cs="Arial"/>
          <w:sz w:val="24"/>
          <w:szCs w:val="24"/>
        </w:rPr>
      </w:pPr>
    </w:p>
    <w:p w:rsidR="00D67C57" w:rsidRDefault="005F127C" w:rsidP="00D67C5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follows that the court </w:t>
      </w:r>
      <w:r w:rsidRPr="005F127C">
        <w:rPr>
          <w:rFonts w:ascii="Arial" w:hAnsi="Arial" w:cs="Arial"/>
          <w:i/>
          <w:sz w:val="24"/>
          <w:szCs w:val="24"/>
        </w:rPr>
        <w:t>a quo</w:t>
      </w:r>
      <w:r>
        <w:rPr>
          <w:rFonts w:ascii="Arial" w:hAnsi="Arial" w:cs="Arial"/>
          <w:sz w:val="24"/>
          <w:szCs w:val="24"/>
        </w:rPr>
        <w:t xml:space="preserve"> </w:t>
      </w:r>
      <w:r w:rsidR="00525A5F">
        <w:rPr>
          <w:rFonts w:ascii="Arial" w:hAnsi="Arial" w:cs="Arial"/>
          <w:sz w:val="24"/>
          <w:szCs w:val="24"/>
        </w:rPr>
        <w:t xml:space="preserve">was </w:t>
      </w:r>
      <w:r>
        <w:rPr>
          <w:rFonts w:ascii="Arial" w:hAnsi="Arial" w:cs="Arial"/>
          <w:sz w:val="24"/>
          <w:szCs w:val="24"/>
        </w:rPr>
        <w:t>incorrect in its finding that the lease did not form part of the joint estate of Maria and the deceased and th</w:t>
      </w:r>
      <w:r w:rsidR="00C51E2F">
        <w:rPr>
          <w:rFonts w:ascii="Arial" w:hAnsi="Arial" w:cs="Arial"/>
          <w:sz w:val="24"/>
          <w:szCs w:val="24"/>
        </w:rPr>
        <w:t>e</w:t>
      </w:r>
      <w:r>
        <w:rPr>
          <w:rFonts w:ascii="Arial" w:hAnsi="Arial" w:cs="Arial"/>
          <w:sz w:val="24"/>
          <w:szCs w:val="24"/>
        </w:rPr>
        <w:t xml:space="preserve"> appeal on this ground is successful. </w:t>
      </w:r>
    </w:p>
    <w:p w:rsidR="00D67C57" w:rsidRDefault="00D67C57" w:rsidP="00D67C57">
      <w:pPr>
        <w:pStyle w:val="NoSpacing"/>
        <w:spacing w:line="480" w:lineRule="auto"/>
        <w:jc w:val="both"/>
        <w:rPr>
          <w:rFonts w:ascii="Arial" w:hAnsi="Arial" w:cs="Arial"/>
          <w:sz w:val="24"/>
          <w:szCs w:val="24"/>
        </w:rPr>
      </w:pPr>
    </w:p>
    <w:p w:rsidR="005F127C" w:rsidRPr="005F127C" w:rsidRDefault="00D553A5" w:rsidP="00D67C57">
      <w:pPr>
        <w:pStyle w:val="NoSpacing"/>
        <w:spacing w:line="480" w:lineRule="auto"/>
        <w:jc w:val="both"/>
        <w:rPr>
          <w:rFonts w:ascii="Arial" w:hAnsi="Arial" w:cs="Arial"/>
          <w:sz w:val="24"/>
          <w:szCs w:val="24"/>
          <w:u w:val="single"/>
        </w:rPr>
      </w:pPr>
      <w:r>
        <w:rPr>
          <w:rFonts w:ascii="Arial" w:hAnsi="Arial" w:cs="Arial"/>
          <w:sz w:val="24"/>
          <w:szCs w:val="24"/>
          <w:u w:val="single"/>
        </w:rPr>
        <w:t xml:space="preserve">Validity of the </w:t>
      </w:r>
      <w:r w:rsidR="004267EC">
        <w:rPr>
          <w:rFonts w:ascii="Arial" w:hAnsi="Arial" w:cs="Arial"/>
          <w:sz w:val="24"/>
          <w:szCs w:val="24"/>
          <w:u w:val="single"/>
        </w:rPr>
        <w:t>w</w:t>
      </w:r>
      <w:r w:rsidR="008D7695">
        <w:rPr>
          <w:rFonts w:ascii="Arial" w:hAnsi="Arial" w:cs="Arial"/>
          <w:sz w:val="24"/>
          <w:szCs w:val="24"/>
          <w:u w:val="single"/>
        </w:rPr>
        <w:t>ill</w:t>
      </w:r>
    </w:p>
    <w:p w:rsidR="00D67C57" w:rsidRDefault="005F127C" w:rsidP="00D67C5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Johannes in the application to review the decision of the Minister to withdraw t</w:t>
      </w:r>
      <w:r w:rsidR="00D553A5">
        <w:rPr>
          <w:rFonts w:ascii="Arial" w:hAnsi="Arial" w:cs="Arial"/>
          <w:sz w:val="24"/>
          <w:szCs w:val="24"/>
        </w:rPr>
        <w:t xml:space="preserve">he lease relied on a copy of a </w:t>
      </w:r>
      <w:r w:rsidR="004267EC">
        <w:rPr>
          <w:rFonts w:ascii="Arial" w:hAnsi="Arial" w:cs="Arial"/>
          <w:sz w:val="24"/>
          <w:szCs w:val="24"/>
        </w:rPr>
        <w:t>w</w:t>
      </w:r>
      <w:r w:rsidR="008D7695">
        <w:rPr>
          <w:rFonts w:ascii="Arial" w:hAnsi="Arial" w:cs="Arial"/>
          <w:sz w:val="24"/>
          <w:szCs w:val="24"/>
        </w:rPr>
        <w:t>ill</w:t>
      </w:r>
      <w:r>
        <w:rPr>
          <w:rFonts w:ascii="Arial" w:hAnsi="Arial" w:cs="Arial"/>
          <w:sz w:val="24"/>
          <w:szCs w:val="24"/>
        </w:rPr>
        <w:t xml:space="preserve"> of the deceased which he maintains bequeathed the lease to him.</w:t>
      </w:r>
    </w:p>
    <w:p w:rsidR="00D67C57" w:rsidRDefault="00D67C57" w:rsidP="00D67C57">
      <w:pPr>
        <w:pStyle w:val="NoSpacing"/>
        <w:spacing w:line="480" w:lineRule="auto"/>
        <w:jc w:val="both"/>
        <w:rPr>
          <w:rFonts w:ascii="Arial" w:hAnsi="Arial" w:cs="Arial"/>
          <w:sz w:val="24"/>
          <w:szCs w:val="24"/>
        </w:rPr>
      </w:pPr>
    </w:p>
    <w:p w:rsidR="00D67C57" w:rsidRDefault="005F127C" w:rsidP="00D67C5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Maria and </w:t>
      </w:r>
      <w:r w:rsidR="00D553A5">
        <w:rPr>
          <w:rFonts w:ascii="Arial" w:hAnsi="Arial" w:cs="Arial"/>
          <w:sz w:val="24"/>
          <w:szCs w:val="24"/>
        </w:rPr>
        <w:t>her</w:t>
      </w:r>
      <w:r>
        <w:rPr>
          <w:rFonts w:ascii="Arial" w:hAnsi="Arial" w:cs="Arial"/>
          <w:sz w:val="24"/>
          <w:szCs w:val="24"/>
        </w:rPr>
        <w:t xml:space="preserve"> children took issue with the averment and pointed out th</w:t>
      </w:r>
      <w:r w:rsidR="00D553A5">
        <w:rPr>
          <w:rFonts w:ascii="Arial" w:hAnsi="Arial" w:cs="Arial"/>
          <w:sz w:val="24"/>
          <w:szCs w:val="24"/>
        </w:rPr>
        <w:t xml:space="preserve">at Johannes did not lodge this </w:t>
      </w:r>
      <w:r w:rsidR="004267EC">
        <w:rPr>
          <w:rFonts w:ascii="Arial" w:hAnsi="Arial" w:cs="Arial"/>
          <w:sz w:val="24"/>
          <w:szCs w:val="24"/>
        </w:rPr>
        <w:t>w</w:t>
      </w:r>
      <w:r w:rsidR="008D7695">
        <w:rPr>
          <w:rFonts w:ascii="Arial" w:hAnsi="Arial" w:cs="Arial"/>
          <w:sz w:val="24"/>
          <w:szCs w:val="24"/>
        </w:rPr>
        <w:t>ill</w:t>
      </w:r>
      <w:r>
        <w:rPr>
          <w:rFonts w:ascii="Arial" w:hAnsi="Arial" w:cs="Arial"/>
          <w:sz w:val="24"/>
          <w:szCs w:val="24"/>
        </w:rPr>
        <w:t xml:space="preserve"> with the Master of the High Court and only came up with it about two years after the passing of the deceased. They further took issue on a number of grounds which according to them</w:t>
      </w:r>
      <w:r w:rsidR="00D553A5">
        <w:rPr>
          <w:rFonts w:ascii="Arial" w:hAnsi="Arial" w:cs="Arial"/>
          <w:sz w:val="24"/>
          <w:szCs w:val="24"/>
        </w:rPr>
        <w:t>,</w:t>
      </w:r>
      <w:r>
        <w:rPr>
          <w:rFonts w:ascii="Arial" w:hAnsi="Arial" w:cs="Arial"/>
          <w:sz w:val="24"/>
          <w:szCs w:val="24"/>
        </w:rPr>
        <w:t xml:space="preserve"> ind</w:t>
      </w:r>
      <w:r w:rsidR="00D553A5">
        <w:rPr>
          <w:rFonts w:ascii="Arial" w:hAnsi="Arial" w:cs="Arial"/>
          <w:sz w:val="24"/>
          <w:szCs w:val="24"/>
        </w:rPr>
        <w:t xml:space="preserve">icated that it was not a valid </w:t>
      </w:r>
      <w:r w:rsidR="004267EC">
        <w:rPr>
          <w:rFonts w:ascii="Arial" w:hAnsi="Arial" w:cs="Arial"/>
          <w:sz w:val="24"/>
          <w:szCs w:val="24"/>
        </w:rPr>
        <w:t>w</w:t>
      </w:r>
      <w:r w:rsidR="008D7695">
        <w:rPr>
          <w:rFonts w:ascii="Arial" w:hAnsi="Arial" w:cs="Arial"/>
          <w:sz w:val="24"/>
          <w:szCs w:val="24"/>
        </w:rPr>
        <w:t>ill</w:t>
      </w:r>
      <w:r>
        <w:rPr>
          <w:rFonts w:ascii="Arial" w:hAnsi="Arial" w:cs="Arial"/>
          <w:sz w:val="24"/>
          <w:szCs w:val="24"/>
        </w:rPr>
        <w:t xml:space="preserve"> and even disput</w:t>
      </w:r>
      <w:r w:rsidR="00D553A5">
        <w:rPr>
          <w:rFonts w:ascii="Arial" w:hAnsi="Arial" w:cs="Arial"/>
          <w:sz w:val="24"/>
          <w:szCs w:val="24"/>
        </w:rPr>
        <w:t xml:space="preserve">ed the averments that it was a </w:t>
      </w:r>
      <w:r w:rsidR="004267EC">
        <w:rPr>
          <w:rFonts w:ascii="Arial" w:hAnsi="Arial" w:cs="Arial"/>
          <w:sz w:val="24"/>
          <w:szCs w:val="24"/>
        </w:rPr>
        <w:t>w</w:t>
      </w:r>
      <w:r w:rsidR="008D7695">
        <w:rPr>
          <w:rFonts w:ascii="Arial" w:hAnsi="Arial" w:cs="Arial"/>
          <w:sz w:val="24"/>
          <w:szCs w:val="24"/>
        </w:rPr>
        <w:t>ill</w:t>
      </w:r>
      <w:r>
        <w:rPr>
          <w:rFonts w:ascii="Arial" w:hAnsi="Arial" w:cs="Arial"/>
          <w:sz w:val="24"/>
          <w:szCs w:val="24"/>
        </w:rPr>
        <w:t>.</w:t>
      </w:r>
    </w:p>
    <w:p w:rsidR="00D67C57" w:rsidRDefault="00D67C57" w:rsidP="00D67C57">
      <w:pPr>
        <w:pStyle w:val="NoSpacing"/>
        <w:spacing w:line="480" w:lineRule="auto"/>
        <w:jc w:val="both"/>
        <w:rPr>
          <w:rFonts w:ascii="Arial" w:hAnsi="Arial" w:cs="Arial"/>
          <w:sz w:val="24"/>
          <w:szCs w:val="24"/>
        </w:rPr>
      </w:pPr>
    </w:p>
    <w:p w:rsidR="00D67C57" w:rsidRDefault="005F127C" w:rsidP="00D67C57">
      <w:pPr>
        <w:pStyle w:val="NoSpacing"/>
        <w:numPr>
          <w:ilvl w:val="0"/>
          <w:numId w:val="1"/>
        </w:numPr>
        <w:spacing w:line="480" w:lineRule="auto"/>
        <w:ind w:left="0" w:firstLine="0"/>
        <w:jc w:val="both"/>
        <w:rPr>
          <w:rFonts w:ascii="Arial" w:hAnsi="Arial" w:cs="Arial"/>
          <w:sz w:val="24"/>
          <w:szCs w:val="24"/>
        </w:rPr>
      </w:pPr>
      <w:r w:rsidRPr="00904878">
        <w:rPr>
          <w:rFonts w:ascii="Arial" w:hAnsi="Arial" w:cs="Arial"/>
          <w:sz w:val="24"/>
          <w:szCs w:val="24"/>
        </w:rPr>
        <w:t xml:space="preserve">The document relied upon by Johannes </w:t>
      </w:r>
      <w:r w:rsidR="0000518C" w:rsidRPr="00904878">
        <w:rPr>
          <w:rFonts w:ascii="Arial" w:hAnsi="Arial" w:cs="Arial"/>
          <w:sz w:val="24"/>
          <w:szCs w:val="24"/>
        </w:rPr>
        <w:t>is</w:t>
      </w:r>
      <w:r w:rsidRPr="00904878">
        <w:rPr>
          <w:rFonts w:ascii="Arial" w:hAnsi="Arial" w:cs="Arial"/>
          <w:sz w:val="24"/>
          <w:szCs w:val="24"/>
        </w:rPr>
        <w:t xml:space="preserve"> headed ‘To whom it may conc</w:t>
      </w:r>
      <w:r w:rsidR="00D553A5">
        <w:rPr>
          <w:rFonts w:ascii="Arial" w:hAnsi="Arial" w:cs="Arial"/>
          <w:sz w:val="24"/>
          <w:szCs w:val="24"/>
        </w:rPr>
        <w:t>ern’ and which reads as follows [I provide the said document as is for emphasis]:</w:t>
      </w:r>
    </w:p>
    <w:p w:rsidR="00D4599A" w:rsidRPr="00904878" w:rsidRDefault="00D4599A" w:rsidP="00D4599A">
      <w:pPr>
        <w:pStyle w:val="NoSpacing"/>
        <w:spacing w:line="360" w:lineRule="auto"/>
        <w:jc w:val="both"/>
        <w:rPr>
          <w:rFonts w:ascii="Arial" w:hAnsi="Arial" w:cs="Arial"/>
          <w:sz w:val="24"/>
          <w:szCs w:val="24"/>
        </w:rPr>
      </w:pPr>
    </w:p>
    <w:p w:rsidR="00904878" w:rsidRPr="00D4599A" w:rsidRDefault="00904878" w:rsidP="00D4599A">
      <w:pPr>
        <w:pStyle w:val="NoSpacing"/>
        <w:spacing w:line="360" w:lineRule="auto"/>
        <w:rPr>
          <w:rFonts w:ascii="Arial" w:hAnsi="Arial" w:cs="Arial"/>
          <w:sz w:val="28"/>
          <w:szCs w:val="28"/>
        </w:rPr>
      </w:pPr>
      <w:r w:rsidRPr="00D4599A">
        <w:rPr>
          <w:rFonts w:ascii="Arial" w:hAnsi="Arial" w:cs="Arial"/>
          <w:sz w:val="28"/>
          <w:szCs w:val="28"/>
        </w:rPr>
        <w:t>‘</w:t>
      </w:r>
    </w:p>
    <w:p w:rsidR="00AE7877" w:rsidRDefault="00AE7877" w:rsidP="00145522">
      <w:pPr>
        <w:pStyle w:val="NoSpacing"/>
        <w:jc w:val="both"/>
        <w:rPr>
          <w:rFonts w:ascii="Arial" w:hAnsi="Arial" w:cs="Arial"/>
          <w:sz w:val="24"/>
          <w:szCs w:val="24"/>
        </w:rPr>
      </w:pPr>
      <w:r w:rsidRPr="00AE7877">
        <w:rPr>
          <w:rFonts w:ascii="Arial" w:hAnsi="Arial" w:cs="Arial"/>
          <w:noProof/>
          <w:sz w:val="24"/>
          <w:szCs w:val="24"/>
          <w:lang w:eastAsia="en-ZA"/>
        </w:rPr>
        <w:drawing>
          <wp:inline distT="0" distB="0" distL="0" distR="0">
            <wp:extent cx="6692400" cy="5108400"/>
            <wp:effectExtent l="0" t="7937" r="5397" b="5398"/>
            <wp:docPr id="10" name="Picture 10" descr="C:\Users\jrisuro\Desktop\20201118_142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risuro\Desktop\20201118_142211.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692" r="13744"/>
                    <a:stretch/>
                  </pic:blipFill>
                  <pic:spPr bwMode="auto">
                    <a:xfrm rot="5400000">
                      <a:off x="0" y="0"/>
                      <a:ext cx="6692400" cy="5108400"/>
                    </a:xfrm>
                    <a:prstGeom prst="rect">
                      <a:avLst/>
                    </a:prstGeom>
                    <a:noFill/>
                    <a:ln>
                      <a:noFill/>
                    </a:ln>
                    <a:extLst>
                      <a:ext uri="{53640926-AAD7-44D8-BBD7-CCE9431645EC}">
                        <a14:shadowObscured xmlns:a14="http://schemas.microsoft.com/office/drawing/2010/main"/>
                      </a:ext>
                    </a:extLst>
                  </pic:spPr>
                </pic:pic>
              </a:graphicData>
            </a:graphic>
          </wp:inline>
        </w:drawing>
      </w:r>
    </w:p>
    <w:p w:rsidR="00D4599A" w:rsidRPr="00D4599A" w:rsidRDefault="00D4599A" w:rsidP="00145522">
      <w:pPr>
        <w:pStyle w:val="NoSpacing"/>
        <w:jc w:val="both"/>
        <w:rPr>
          <w:rFonts w:ascii="Arial" w:hAnsi="Arial" w:cs="Arial"/>
          <w:sz w:val="28"/>
          <w:szCs w:val="28"/>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4599A">
        <w:rPr>
          <w:rFonts w:ascii="Arial" w:hAnsi="Arial" w:cs="Arial"/>
          <w:sz w:val="28"/>
          <w:szCs w:val="28"/>
        </w:rPr>
        <w:t>’</w:t>
      </w:r>
    </w:p>
    <w:p w:rsidR="00D67C57" w:rsidRPr="00BE2397" w:rsidRDefault="00A247E7" w:rsidP="00BE239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As it is evident from the body</w:t>
      </w:r>
      <w:r w:rsidR="00EA7D14">
        <w:rPr>
          <w:rFonts w:ascii="Arial" w:hAnsi="Arial" w:cs="Arial"/>
          <w:sz w:val="24"/>
          <w:szCs w:val="24"/>
        </w:rPr>
        <w:t xml:space="preserve"> of the document set out above</w:t>
      </w:r>
      <w:r w:rsidR="00D553A5">
        <w:rPr>
          <w:rFonts w:ascii="Arial" w:hAnsi="Arial" w:cs="Arial"/>
          <w:sz w:val="24"/>
          <w:szCs w:val="24"/>
        </w:rPr>
        <w:t>,</w:t>
      </w:r>
      <w:r w:rsidR="00EA7D14">
        <w:rPr>
          <w:rFonts w:ascii="Arial" w:hAnsi="Arial" w:cs="Arial"/>
          <w:sz w:val="24"/>
          <w:szCs w:val="24"/>
        </w:rPr>
        <w:t xml:space="preserve"> there is a signature alleged to be that of the deceased as well as the signat</w:t>
      </w:r>
      <w:r>
        <w:rPr>
          <w:rFonts w:ascii="Arial" w:hAnsi="Arial" w:cs="Arial"/>
          <w:sz w:val="24"/>
          <w:szCs w:val="24"/>
        </w:rPr>
        <w:t>ures</w:t>
      </w:r>
      <w:r w:rsidR="00EA7D14">
        <w:rPr>
          <w:rFonts w:ascii="Arial" w:hAnsi="Arial" w:cs="Arial"/>
          <w:sz w:val="24"/>
          <w:szCs w:val="24"/>
        </w:rPr>
        <w:t xml:space="preserve"> of two witnesses who stat</w:t>
      </w:r>
      <w:r w:rsidR="00D553A5">
        <w:rPr>
          <w:rFonts w:ascii="Arial" w:hAnsi="Arial" w:cs="Arial"/>
          <w:sz w:val="24"/>
          <w:szCs w:val="24"/>
        </w:rPr>
        <w:t xml:space="preserve">e that the deceased signed the </w:t>
      </w:r>
      <w:r w:rsidR="004267EC">
        <w:rPr>
          <w:rFonts w:ascii="Arial" w:hAnsi="Arial" w:cs="Arial"/>
          <w:sz w:val="24"/>
          <w:szCs w:val="24"/>
        </w:rPr>
        <w:t>w</w:t>
      </w:r>
      <w:r w:rsidR="008D7695">
        <w:rPr>
          <w:rFonts w:ascii="Arial" w:hAnsi="Arial" w:cs="Arial"/>
          <w:sz w:val="24"/>
          <w:szCs w:val="24"/>
        </w:rPr>
        <w:t>ill</w:t>
      </w:r>
      <w:r w:rsidR="00EA7D14">
        <w:rPr>
          <w:rFonts w:ascii="Arial" w:hAnsi="Arial" w:cs="Arial"/>
          <w:sz w:val="24"/>
          <w:szCs w:val="24"/>
        </w:rPr>
        <w:t xml:space="preserve"> in their presence. The date of th</w:t>
      </w:r>
      <w:r w:rsidR="00D553A5">
        <w:rPr>
          <w:rFonts w:ascii="Arial" w:hAnsi="Arial" w:cs="Arial"/>
          <w:sz w:val="24"/>
          <w:szCs w:val="24"/>
        </w:rPr>
        <w:t xml:space="preserve">e </w:t>
      </w:r>
      <w:r w:rsidR="004267EC">
        <w:rPr>
          <w:rFonts w:ascii="Arial" w:hAnsi="Arial" w:cs="Arial"/>
          <w:sz w:val="24"/>
          <w:szCs w:val="24"/>
        </w:rPr>
        <w:t>w</w:t>
      </w:r>
      <w:r w:rsidR="008D7695">
        <w:rPr>
          <w:rFonts w:ascii="Arial" w:hAnsi="Arial" w:cs="Arial"/>
          <w:sz w:val="24"/>
          <w:szCs w:val="24"/>
        </w:rPr>
        <w:t>ill</w:t>
      </w:r>
      <w:r w:rsidR="00EA7D14">
        <w:rPr>
          <w:rFonts w:ascii="Arial" w:hAnsi="Arial" w:cs="Arial"/>
          <w:sz w:val="24"/>
          <w:szCs w:val="24"/>
        </w:rPr>
        <w:t xml:space="preserve"> is 24 April but the year is not fully stated as the century is indicated (20__) </w:t>
      </w:r>
      <w:r w:rsidR="00184805">
        <w:rPr>
          <w:rFonts w:ascii="Arial" w:hAnsi="Arial" w:cs="Arial"/>
          <w:sz w:val="24"/>
          <w:szCs w:val="24"/>
        </w:rPr>
        <w:t xml:space="preserve">but not the year. There is however </w:t>
      </w:r>
      <w:r w:rsidR="00D553A5">
        <w:rPr>
          <w:rFonts w:ascii="Arial" w:hAnsi="Arial" w:cs="Arial"/>
          <w:sz w:val="24"/>
          <w:szCs w:val="24"/>
        </w:rPr>
        <w:t xml:space="preserve">a </w:t>
      </w:r>
      <w:r w:rsidR="00184805">
        <w:rPr>
          <w:rFonts w:ascii="Arial" w:hAnsi="Arial" w:cs="Arial"/>
          <w:sz w:val="24"/>
          <w:szCs w:val="24"/>
        </w:rPr>
        <w:t>police stamp dated 24 April 2012 accom</w:t>
      </w:r>
      <w:r w:rsidR="00D553A5">
        <w:rPr>
          <w:rFonts w:ascii="Arial" w:hAnsi="Arial" w:cs="Arial"/>
          <w:sz w:val="24"/>
          <w:szCs w:val="24"/>
        </w:rPr>
        <w:t xml:space="preserve">panying a certification of the </w:t>
      </w:r>
      <w:r w:rsidR="004267EC">
        <w:rPr>
          <w:rFonts w:ascii="Arial" w:hAnsi="Arial" w:cs="Arial"/>
          <w:sz w:val="24"/>
          <w:szCs w:val="24"/>
        </w:rPr>
        <w:t>w</w:t>
      </w:r>
      <w:r w:rsidR="008D7695">
        <w:rPr>
          <w:rFonts w:ascii="Arial" w:hAnsi="Arial" w:cs="Arial"/>
          <w:sz w:val="24"/>
          <w:szCs w:val="24"/>
        </w:rPr>
        <w:t>ill</w:t>
      </w:r>
      <w:r w:rsidR="00184805">
        <w:rPr>
          <w:rFonts w:ascii="Arial" w:hAnsi="Arial" w:cs="Arial"/>
          <w:sz w:val="24"/>
          <w:szCs w:val="24"/>
        </w:rPr>
        <w:t xml:space="preserve"> as a true copy.</w:t>
      </w:r>
    </w:p>
    <w:p w:rsidR="00D67C57" w:rsidRPr="00BE2397" w:rsidRDefault="00D67C57" w:rsidP="00BE2397">
      <w:pPr>
        <w:pStyle w:val="NoSpacing"/>
        <w:spacing w:line="480" w:lineRule="auto"/>
        <w:jc w:val="both"/>
        <w:rPr>
          <w:rFonts w:ascii="Arial" w:hAnsi="Arial" w:cs="Arial"/>
          <w:sz w:val="24"/>
          <w:szCs w:val="24"/>
        </w:rPr>
      </w:pPr>
    </w:p>
    <w:p w:rsidR="00D67C57" w:rsidRDefault="00032592" w:rsidP="00D67C5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cou</w:t>
      </w:r>
      <w:r w:rsidR="00DB3DF8">
        <w:rPr>
          <w:rFonts w:ascii="Arial" w:hAnsi="Arial" w:cs="Arial"/>
          <w:sz w:val="24"/>
          <w:szCs w:val="24"/>
        </w:rPr>
        <w:t xml:space="preserve">rt </w:t>
      </w:r>
      <w:r w:rsidR="00DB3DF8" w:rsidRPr="00DB3DF8">
        <w:rPr>
          <w:rFonts w:ascii="Arial" w:hAnsi="Arial" w:cs="Arial"/>
          <w:i/>
          <w:sz w:val="24"/>
          <w:szCs w:val="24"/>
        </w:rPr>
        <w:t>a quo</w:t>
      </w:r>
      <w:r w:rsidR="00D553A5">
        <w:rPr>
          <w:rFonts w:ascii="Arial" w:hAnsi="Arial" w:cs="Arial"/>
          <w:sz w:val="24"/>
          <w:szCs w:val="24"/>
        </w:rPr>
        <w:t xml:space="preserve"> found the document to be a </w:t>
      </w:r>
      <w:r w:rsidR="004267EC">
        <w:rPr>
          <w:rFonts w:ascii="Arial" w:hAnsi="Arial" w:cs="Arial"/>
          <w:sz w:val="24"/>
          <w:szCs w:val="24"/>
        </w:rPr>
        <w:t>w</w:t>
      </w:r>
      <w:r w:rsidR="008D7695">
        <w:rPr>
          <w:rFonts w:ascii="Arial" w:hAnsi="Arial" w:cs="Arial"/>
          <w:sz w:val="24"/>
          <w:szCs w:val="24"/>
        </w:rPr>
        <w:t>ill</w:t>
      </w:r>
      <w:r w:rsidR="00DB3DF8">
        <w:rPr>
          <w:rFonts w:ascii="Arial" w:hAnsi="Arial" w:cs="Arial"/>
          <w:sz w:val="24"/>
          <w:szCs w:val="24"/>
        </w:rPr>
        <w:t xml:space="preserve"> and as it, on the face thereof, complied wit</w:t>
      </w:r>
      <w:r w:rsidR="00D553A5">
        <w:rPr>
          <w:rFonts w:ascii="Arial" w:hAnsi="Arial" w:cs="Arial"/>
          <w:sz w:val="24"/>
          <w:szCs w:val="24"/>
        </w:rPr>
        <w:t xml:space="preserve">h the statutory requisites for </w:t>
      </w:r>
      <w:r w:rsidR="004267EC">
        <w:rPr>
          <w:rFonts w:ascii="Arial" w:hAnsi="Arial" w:cs="Arial"/>
          <w:sz w:val="24"/>
          <w:szCs w:val="24"/>
        </w:rPr>
        <w:t>w</w:t>
      </w:r>
      <w:r w:rsidR="008D7695">
        <w:rPr>
          <w:rFonts w:ascii="Arial" w:hAnsi="Arial" w:cs="Arial"/>
          <w:sz w:val="24"/>
          <w:szCs w:val="24"/>
        </w:rPr>
        <w:t>ill</w:t>
      </w:r>
      <w:r w:rsidR="00DB3DF8">
        <w:rPr>
          <w:rFonts w:ascii="Arial" w:hAnsi="Arial" w:cs="Arial"/>
          <w:sz w:val="24"/>
          <w:szCs w:val="24"/>
        </w:rPr>
        <w:t xml:space="preserve">s notwithstanding the </w:t>
      </w:r>
      <w:r w:rsidR="00332549">
        <w:rPr>
          <w:rFonts w:ascii="Arial" w:hAnsi="Arial" w:cs="Arial"/>
          <w:sz w:val="24"/>
          <w:szCs w:val="24"/>
        </w:rPr>
        <w:t>protestations of Maria and the children that supported her. Due to the conclusion I have come to in this regard</w:t>
      </w:r>
      <w:r w:rsidR="00D553A5">
        <w:rPr>
          <w:rFonts w:ascii="Arial" w:hAnsi="Arial" w:cs="Arial"/>
          <w:sz w:val="24"/>
          <w:szCs w:val="24"/>
        </w:rPr>
        <w:t xml:space="preserve">, it </w:t>
      </w:r>
      <w:r w:rsidR="00332549">
        <w:rPr>
          <w:rFonts w:ascii="Arial" w:hAnsi="Arial" w:cs="Arial"/>
          <w:sz w:val="24"/>
          <w:szCs w:val="24"/>
        </w:rPr>
        <w:t>is not necessary for me to deal with the objections raised against the a</w:t>
      </w:r>
      <w:r w:rsidR="00D553A5">
        <w:rPr>
          <w:rFonts w:ascii="Arial" w:hAnsi="Arial" w:cs="Arial"/>
          <w:sz w:val="24"/>
          <w:szCs w:val="24"/>
        </w:rPr>
        <w:t xml:space="preserve">cceptance of the document as a </w:t>
      </w:r>
      <w:r w:rsidR="004267EC">
        <w:rPr>
          <w:rFonts w:ascii="Arial" w:hAnsi="Arial" w:cs="Arial"/>
          <w:sz w:val="24"/>
          <w:szCs w:val="24"/>
        </w:rPr>
        <w:t>w</w:t>
      </w:r>
      <w:r w:rsidR="008D7695">
        <w:rPr>
          <w:rFonts w:ascii="Arial" w:hAnsi="Arial" w:cs="Arial"/>
          <w:sz w:val="24"/>
          <w:szCs w:val="24"/>
        </w:rPr>
        <w:t>ill</w:t>
      </w:r>
      <w:r w:rsidR="00332549">
        <w:rPr>
          <w:rFonts w:ascii="Arial" w:hAnsi="Arial" w:cs="Arial"/>
          <w:sz w:val="24"/>
          <w:szCs w:val="24"/>
        </w:rPr>
        <w:t xml:space="preserve"> in detail and relied upon </w:t>
      </w:r>
      <w:r w:rsidR="00525A5F">
        <w:rPr>
          <w:rFonts w:ascii="Arial" w:hAnsi="Arial" w:cs="Arial"/>
          <w:sz w:val="24"/>
          <w:szCs w:val="24"/>
        </w:rPr>
        <w:t>in</w:t>
      </w:r>
      <w:r w:rsidR="00332549">
        <w:rPr>
          <w:rFonts w:ascii="Arial" w:hAnsi="Arial" w:cs="Arial"/>
          <w:sz w:val="24"/>
          <w:szCs w:val="24"/>
        </w:rPr>
        <w:t xml:space="preserve"> the court </w:t>
      </w:r>
      <w:r w:rsidR="00332549" w:rsidRPr="00332549">
        <w:rPr>
          <w:rFonts w:ascii="Arial" w:hAnsi="Arial" w:cs="Arial"/>
          <w:i/>
          <w:sz w:val="24"/>
          <w:szCs w:val="24"/>
        </w:rPr>
        <w:t>a quo</w:t>
      </w:r>
      <w:r w:rsidR="00332549">
        <w:rPr>
          <w:rFonts w:ascii="Arial" w:hAnsi="Arial" w:cs="Arial"/>
          <w:sz w:val="24"/>
          <w:szCs w:val="24"/>
        </w:rPr>
        <w:t>.</w:t>
      </w:r>
    </w:p>
    <w:p w:rsidR="00DB3DF8" w:rsidRDefault="00DB3DF8" w:rsidP="00D67C57">
      <w:pPr>
        <w:pStyle w:val="NoSpacing"/>
        <w:spacing w:line="480" w:lineRule="auto"/>
        <w:jc w:val="both"/>
        <w:rPr>
          <w:rFonts w:ascii="Arial" w:hAnsi="Arial" w:cs="Arial"/>
          <w:sz w:val="24"/>
          <w:szCs w:val="24"/>
        </w:rPr>
      </w:pPr>
    </w:p>
    <w:p w:rsidR="00DC16DD" w:rsidRDefault="00332549" w:rsidP="00DC16D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is clear that Johannes did not pres</w:t>
      </w:r>
      <w:r w:rsidR="00D553A5">
        <w:rPr>
          <w:rFonts w:ascii="Arial" w:hAnsi="Arial" w:cs="Arial"/>
          <w:sz w:val="24"/>
          <w:szCs w:val="24"/>
        </w:rPr>
        <w:t xml:space="preserve">ent the court with an original </w:t>
      </w:r>
      <w:r w:rsidR="004267EC">
        <w:rPr>
          <w:rFonts w:ascii="Arial" w:hAnsi="Arial" w:cs="Arial"/>
          <w:sz w:val="24"/>
          <w:szCs w:val="24"/>
        </w:rPr>
        <w:t>w</w:t>
      </w:r>
      <w:r w:rsidR="008D7695">
        <w:rPr>
          <w:rFonts w:ascii="Arial" w:hAnsi="Arial" w:cs="Arial"/>
          <w:sz w:val="24"/>
          <w:szCs w:val="24"/>
        </w:rPr>
        <w:t>ill</w:t>
      </w:r>
      <w:r w:rsidR="00D553A5">
        <w:rPr>
          <w:rFonts w:ascii="Arial" w:hAnsi="Arial" w:cs="Arial"/>
          <w:sz w:val="24"/>
          <w:szCs w:val="24"/>
        </w:rPr>
        <w:t xml:space="preserve"> but a copy of a </w:t>
      </w:r>
      <w:r w:rsidR="004267EC">
        <w:rPr>
          <w:rFonts w:ascii="Arial" w:hAnsi="Arial" w:cs="Arial"/>
          <w:sz w:val="24"/>
          <w:szCs w:val="24"/>
        </w:rPr>
        <w:t>w</w:t>
      </w:r>
      <w:r w:rsidR="008D7695">
        <w:rPr>
          <w:rFonts w:ascii="Arial" w:hAnsi="Arial" w:cs="Arial"/>
          <w:sz w:val="24"/>
          <w:szCs w:val="24"/>
        </w:rPr>
        <w:t>ill</w:t>
      </w:r>
      <w:r>
        <w:rPr>
          <w:rFonts w:ascii="Arial" w:hAnsi="Arial" w:cs="Arial"/>
          <w:sz w:val="24"/>
          <w:szCs w:val="24"/>
        </w:rPr>
        <w:t>. He alleges that ‘I learned that . . . the original is apparently in possession of the office of the Ministry of Land Reform in Otjiwarongo’ but took no steps to verify this fact or to p</w:t>
      </w:r>
      <w:r w:rsidR="00D553A5">
        <w:rPr>
          <w:rFonts w:ascii="Arial" w:hAnsi="Arial" w:cs="Arial"/>
          <w:sz w:val="24"/>
          <w:szCs w:val="24"/>
        </w:rPr>
        <w:t xml:space="preserve">resent evidence of the original </w:t>
      </w:r>
      <w:r w:rsidR="004267EC">
        <w:rPr>
          <w:rFonts w:ascii="Arial" w:hAnsi="Arial" w:cs="Arial"/>
          <w:sz w:val="24"/>
          <w:szCs w:val="24"/>
        </w:rPr>
        <w:t>w</w:t>
      </w:r>
      <w:r w:rsidR="008D7695">
        <w:rPr>
          <w:rFonts w:ascii="Arial" w:hAnsi="Arial" w:cs="Arial"/>
          <w:sz w:val="24"/>
          <w:szCs w:val="24"/>
        </w:rPr>
        <w:t>ill</w:t>
      </w:r>
      <w:r>
        <w:rPr>
          <w:rFonts w:ascii="Arial" w:hAnsi="Arial" w:cs="Arial"/>
          <w:sz w:val="24"/>
          <w:szCs w:val="24"/>
        </w:rPr>
        <w:t>. It is also clear from the copy he attached that</w:t>
      </w:r>
      <w:r w:rsidR="00D553A5">
        <w:rPr>
          <w:rFonts w:ascii="Arial" w:hAnsi="Arial" w:cs="Arial"/>
          <w:sz w:val="24"/>
          <w:szCs w:val="24"/>
        </w:rPr>
        <w:t>,</w:t>
      </w:r>
      <w:r>
        <w:rPr>
          <w:rFonts w:ascii="Arial" w:hAnsi="Arial" w:cs="Arial"/>
          <w:sz w:val="24"/>
          <w:szCs w:val="24"/>
        </w:rPr>
        <w:t xml:space="preserve"> </w:t>
      </w:r>
      <w:r w:rsidR="001D1E11">
        <w:rPr>
          <w:rFonts w:ascii="Arial" w:hAnsi="Arial" w:cs="Arial"/>
          <w:sz w:val="24"/>
          <w:szCs w:val="24"/>
        </w:rPr>
        <w:t xml:space="preserve">the </w:t>
      </w:r>
      <w:r>
        <w:rPr>
          <w:rFonts w:ascii="Arial" w:hAnsi="Arial" w:cs="Arial"/>
          <w:sz w:val="24"/>
          <w:szCs w:val="24"/>
        </w:rPr>
        <w:t>deceased ha</w:t>
      </w:r>
      <w:r w:rsidR="00525A5F">
        <w:rPr>
          <w:rFonts w:ascii="Arial" w:hAnsi="Arial" w:cs="Arial"/>
          <w:sz w:val="24"/>
          <w:szCs w:val="24"/>
        </w:rPr>
        <w:t>d</w:t>
      </w:r>
      <w:r>
        <w:rPr>
          <w:rFonts w:ascii="Arial" w:hAnsi="Arial" w:cs="Arial"/>
          <w:sz w:val="24"/>
          <w:szCs w:val="24"/>
        </w:rPr>
        <w:t xml:space="preserve"> one original in his possession as the document expressly states that ‘</w:t>
      </w:r>
      <w:r w:rsidR="001D1E11">
        <w:rPr>
          <w:rFonts w:ascii="Arial" w:hAnsi="Arial" w:cs="Arial"/>
          <w:sz w:val="24"/>
          <w:szCs w:val="24"/>
        </w:rPr>
        <w:t>one of these execute</w:t>
      </w:r>
      <w:r w:rsidR="00525A5F">
        <w:rPr>
          <w:rFonts w:ascii="Arial" w:hAnsi="Arial" w:cs="Arial"/>
          <w:sz w:val="24"/>
          <w:szCs w:val="24"/>
        </w:rPr>
        <w:t>d</w:t>
      </w:r>
      <w:r w:rsidR="001D1E11">
        <w:rPr>
          <w:rFonts w:ascii="Arial" w:hAnsi="Arial" w:cs="Arial"/>
          <w:sz w:val="24"/>
          <w:szCs w:val="24"/>
        </w:rPr>
        <w:t xml:space="preserve"> copies is in my (deceased’s) possession . . .</w:t>
      </w:r>
      <w:r w:rsidR="0060622E">
        <w:rPr>
          <w:rFonts w:ascii="Arial" w:hAnsi="Arial" w:cs="Arial"/>
          <w:sz w:val="24"/>
          <w:szCs w:val="24"/>
        </w:rPr>
        <w:t>’. T</w:t>
      </w:r>
      <w:r w:rsidR="00D553A5">
        <w:rPr>
          <w:rFonts w:ascii="Arial" w:hAnsi="Arial" w:cs="Arial"/>
          <w:sz w:val="24"/>
          <w:szCs w:val="24"/>
        </w:rPr>
        <w:t xml:space="preserve">o establish the existence of a </w:t>
      </w:r>
      <w:r w:rsidR="004267EC">
        <w:rPr>
          <w:rFonts w:ascii="Arial" w:hAnsi="Arial" w:cs="Arial"/>
          <w:sz w:val="24"/>
          <w:szCs w:val="24"/>
        </w:rPr>
        <w:t>w</w:t>
      </w:r>
      <w:r w:rsidR="008D7695">
        <w:rPr>
          <w:rFonts w:ascii="Arial" w:hAnsi="Arial" w:cs="Arial"/>
          <w:sz w:val="24"/>
          <w:szCs w:val="24"/>
        </w:rPr>
        <w:t>ill</w:t>
      </w:r>
      <w:r w:rsidR="00D553A5">
        <w:rPr>
          <w:rFonts w:ascii="Arial" w:hAnsi="Arial" w:cs="Arial"/>
          <w:sz w:val="24"/>
          <w:szCs w:val="24"/>
        </w:rPr>
        <w:t>,</w:t>
      </w:r>
      <w:r w:rsidR="0060622E">
        <w:rPr>
          <w:rFonts w:ascii="Arial" w:hAnsi="Arial" w:cs="Arial"/>
          <w:sz w:val="24"/>
          <w:szCs w:val="24"/>
        </w:rPr>
        <w:t xml:space="preserve"> Johannes had to produce the original or explain what happened to the original. This follows from the best evidence rule.</w:t>
      </w:r>
    </w:p>
    <w:p w:rsidR="00DC16DD" w:rsidRDefault="00DC16DD" w:rsidP="00DC16DD">
      <w:pPr>
        <w:pStyle w:val="NoSpacing"/>
        <w:spacing w:line="480" w:lineRule="auto"/>
        <w:jc w:val="both"/>
        <w:rPr>
          <w:rFonts w:ascii="Arial" w:hAnsi="Arial" w:cs="Arial"/>
          <w:sz w:val="24"/>
          <w:szCs w:val="24"/>
        </w:rPr>
      </w:pPr>
    </w:p>
    <w:p w:rsidR="00DC16DD" w:rsidRDefault="00D553A5" w:rsidP="00DC16D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w:t>
      </w:r>
      <w:r w:rsidR="004267EC">
        <w:rPr>
          <w:rFonts w:ascii="Arial" w:hAnsi="Arial" w:cs="Arial"/>
          <w:sz w:val="24"/>
          <w:szCs w:val="24"/>
        </w:rPr>
        <w:t>w</w:t>
      </w:r>
      <w:r w:rsidR="008D7695">
        <w:rPr>
          <w:rFonts w:ascii="Arial" w:hAnsi="Arial" w:cs="Arial"/>
          <w:sz w:val="24"/>
          <w:szCs w:val="24"/>
        </w:rPr>
        <w:t>ill</w:t>
      </w:r>
      <w:r w:rsidR="0060622E" w:rsidRPr="0060622E">
        <w:rPr>
          <w:rFonts w:ascii="Arial" w:hAnsi="Arial" w:cs="Arial"/>
          <w:sz w:val="24"/>
          <w:szCs w:val="24"/>
        </w:rPr>
        <w:t xml:space="preserve"> indicates that the deceased signed it as a testator. Maria alleges that </w:t>
      </w:r>
      <w:r>
        <w:rPr>
          <w:rFonts w:ascii="Arial" w:hAnsi="Arial" w:cs="Arial"/>
          <w:sz w:val="24"/>
          <w:szCs w:val="24"/>
        </w:rPr>
        <w:t xml:space="preserve">the deceased </w:t>
      </w:r>
      <w:r w:rsidR="0060622E" w:rsidRPr="0060622E">
        <w:rPr>
          <w:rFonts w:ascii="Arial" w:hAnsi="Arial" w:cs="Arial"/>
          <w:sz w:val="24"/>
          <w:szCs w:val="24"/>
        </w:rPr>
        <w:t xml:space="preserve">was </w:t>
      </w:r>
      <w:r w:rsidR="0060622E">
        <w:rPr>
          <w:rFonts w:ascii="Arial" w:hAnsi="Arial" w:cs="Arial"/>
          <w:sz w:val="24"/>
          <w:szCs w:val="24"/>
        </w:rPr>
        <w:t xml:space="preserve">illiterate and could not </w:t>
      </w:r>
      <w:r>
        <w:rPr>
          <w:rFonts w:ascii="Arial" w:hAnsi="Arial" w:cs="Arial"/>
          <w:sz w:val="24"/>
          <w:szCs w:val="24"/>
        </w:rPr>
        <w:t xml:space="preserve">have </w:t>
      </w:r>
      <w:r w:rsidR="0060622E">
        <w:rPr>
          <w:rFonts w:ascii="Arial" w:hAnsi="Arial" w:cs="Arial"/>
          <w:sz w:val="24"/>
          <w:szCs w:val="24"/>
        </w:rPr>
        <w:t>sign</w:t>
      </w:r>
      <w:r>
        <w:rPr>
          <w:rFonts w:ascii="Arial" w:hAnsi="Arial" w:cs="Arial"/>
          <w:sz w:val="24"/>
          <w:szCs w:val="24"/>
        </w:rPr>
        <w:t xml:space="preserve">ed the </w:t>
      </w:r>
      <w:r w:rsidR="004267EC">
        <w:rPr>
          <w:rFonts w:ascii="Arial" w:hAnsi="Arial" w:cs="Arial"/>
          <w:sz w:val="24"/>
          <w:szCs w:val="24"/>
        </w:rPr>
        <w:t>w</w:t>
      </w:r>
      <w:r w:rsidR="008D7695">
        <w:rPr>
          <w:rFonts w:ascii="Arial" w:hAnsi="Arial" w:cs="Arial"/>
          <w:sz w:val="24"/>
          <w:szCs w:val="24"/>
        </w:rPr>
        <w:t>ill</w:t>
      </w:r>
      <w:r w:rsidR="0060622E">
        <w:rPr>
          <w:rFonts w:ascii="Arial" w:hAnsi="Arial" w:cs="Arial"/>
          <w:sz w:val="24"/>
          <w:szCs w:val="24"/>
        </w:rPr>
        <w:t xml:space="preserve"> but would only have been able to make a mark and hence disputes that it is his signature. The court </w:t>
      </w:r>
      <w:r w:rsidR="0060622E" w:rsidRPr="0060622E">
        <w:rPr>
          <w:rFonts w:ascii="Arial" w:hAnsi="Arial" w:cs="Arial"/>
          <w:i/>
          <w:sz w:val="24"/>
          <w:szCs w:val="24"/>
        </w:rPr>
        <w:t>a quo</w:t>
      </w:r>
      <w:r w:rsidR="0060622E">
        <w:rPr>
          <w:rFonts w:ascii="Arial" w:hAnsi="Arial" w:cs="Arial"/>
          <w:sz w:val="24"/>
          <w:szCs w:val="24"/>
        </w:rPr>
        <w:t xml:space="preserve"> simply ignored Maria’s averments in this regard. </w:t>
      </w:r>
    </w:p>
    <w:p w:rsidR="0060622E" w:rsidRPr="0060622E" w:rsidRDefault="0060622E" w:rsidP="0060622E">
      <w:pPr>
        <w:pStyle w:val="NoSpacing"/>
        <w:spacing w:line="480" w:lineRule="auto"/>
        <w:jc w:val="both"/>
        <w:rPr>
          <w:rFonts w:ascii="Arial" w:hAnsi="Arial" w:cs="Arial"/>
          <w:sz w:val="24"/>
          <w:szCs w:val="24"/>
        </w:rPr>
      </w:pPr>
    </w:p>
    <w:p w:rsidR="00DC16DD" w:rsidRDefault="00152CB4" w:rsidP="0060622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my view</w:t>
      </w:r>
      <w:r w:rsidR="00D553A5">
        <w:rPr>
          <w:rFonts w:ascii="Arial" w:hAnsi="Arial" w:cs="Arial"/>
          <w:sz w:val="24"/>
          <w:szCs w:val="24"/>
        </w:rPr>
        <w:t>,</w:t>
      </w:r>
      <w:r>
        <w:rPr>
          <w:rFonts w:ascii="Arial" w:hAnsi="Arial" w:cs="Arial"/>
          <w:sz w:val="24"/>
          <w:szCs w:val="24"/>
        </w:rPr>
        <w:t xml:space="preserve"> the considerations mentioned above are such that </w:t>
      </w:r>
      <w:r w:rsidR="00D4599A">
        <w:rPr>
          <w:rFonts w:ascii="Arial" w:hAnsi="Arial" w:cs="Arial"/>
          <w:sz w:val="24"/>
          <w:szCs w:val="24"/>
        </w:rPr>
        <w:t>they</w:t>
      </w:r>
      <w:r>
        <w:rPr>
          <w:rFonts w:ascii="Arial" w:hAnsi="Arial" w:cs="Arial"/>
          <w:sz w:val="24"/>
          <w:szCs w:val="24"/>
        </w:rPr>
        <w:t xml:space="preserve"> cannot be dismissed out of hand. At best</w:t>
      </w:r>
      <w:r w:rsidR="00D553A5">
        <w:rPr>
          <w:rFonts w:ascii="Arial" w:hAnsi="Arial" w:cs="Arial"/>
          <w:sz w:val="24"/>
          <w:szCs w:val="24"/>
        </w:rPr>
        <w:t>,</w:t>
      </w:r>
      <w:r>
        <w:rPr>
          <w:rFonts w:ascii="Arial" w:hAnsi="Arial" w:cs="Arial"/>
          <w:sz w:val="24"/>
          <w:szCs w:val="24"/>
        </w:rPr>
        <w:t xml:space="preserve"> there should have be</w:t>
      </w:r>
      <w:r w:rsidR="00D553A5">
        <w:rPr>
          <w:rFonts w:ascii="Arial" w:hAnsi="Arial" w:cs="Arial"/>
          <w:sz w:val="24"/>
          <w:szCs w:val="24"/>
        </w:rPr>
        <w:t xml:space="preserve">en a concern as to whether the </w:t>
      </w:r>
      <w:r w:rsidR="004267EC">
        <w:rPr>
          <w:rFonts w:ascii="Arial" w:hAnsi="Arial" w:cs="Arial"/>
          <w:sz w:val="24"/>
          <w:szCs w:val="24"/>
        </w:rPr>
        <w:t>w</w:t>
      </w:r>
      <w:r w:rsidR="008D7695">
        <w:rPr>
          <w:rFonts w:ascii="Arial" w:hAnsi="Arial" w:cs="Arial"/>
          <w:sz w:val="24"/>
          <w:szCs w:val="24"/>
        </w:rPr>
        <w:t>ill</w:t>
      </w:r>
      <w:r>
        <w:rPr>
          <w:rFonts w:ascii="Arial" w:hAnsi="Arial" w:cs="Arial"/>
          <w:sz w:val="24"/>
          <w:szCs w:val="24"/>
        </w:rPr>
        <w:t xml:space="preserve"> was proved. Firstly, no original was presented and ap</w:t>
      </w:r>
      <w:r w:rsidR="00D553A5">
        <w:rPr>
          <w:rFonts w:ascii="Arial" w:hAnsi="Arial" w:cs="Arial"/>
          <w:sz w:val="24"/>
          <w:szCs w:val="24"/>
        </w:rPr>
        <w:t xml:space="preserve">art from the statements in the </w:t>
      </w:r>
      <w:r w:rsidR="004267EC">
        <w:rPr>
          <w:rFonts w:ascii="Arial" w:hAnsi="Arial" w:cs="Arial"/>
          <w:sz w:val="24"/>
          <w:szCs w:val="24"/>
        </w:rPr>
        <w:t>w</w:t>
      </w:r>
      <w:r w:rsidR="008D7695">
        <w:rPr>
          <w:rFonts w:ascii="Arial" w:hAnsi="Arial" w:cs="Arial"/>
          <w:sz w:val="24"/>
          <w:szCs w:val="24"/>
        </w:rPr>
        <w:t>ill</w:t>
      </w:r>
      <w:r>
        <w:rPr>
          <w:rFonts w:ascii="Arial" w:hAnsi="Arial" w:cs="Arial"/>
          <w:sz w:val="24"/>
          <w:szCs w:val="24"/>
        </w:rPr>
        <w:t xml:space="preserve"> itself and from Johannes that he learned </w:t>
      </w:r>
      <w:r w:rsidR="00D553A5">
        <w:rPr>
          <w:rFonts w:ascii="Arial" w:hAnsi="Arial" w:cs="Arial"/>
          <w:sz w:val="24"/>
          <w:szCs w:val="24"/>
        </w:rPr>
        <w:t xml:space="preserve">(probably from the copy of the </w:t>
      </w:r>
      <w:r w:rsidR="004267EC">
        <w:rPr>
          <w:rFonts w:ascii="Arial" w:hAnsi="Arial" w:cs="Arial"/>
          <w:sz w:val="24"/>
          <w:szCs w:val="24"/>
        </w:rPr>
        <w:t>w</w:t>
      </w:r>
      <w:r w:rsidR="008D7695">
        <w:rPr>
          <w:rFonts w:ascii="Arial" w:hAnsi="Arial" w:cs="Arial"/>
          <w:sz w:val="24"/>
          <w:szCs w:val="24"/>
        </w:rPr>
        <w:t>ill</w:t>
      </w:r>
      <w:r>
        <w:rPr>
          <w:rFonts w:ascii="Arial" w:hAnsi="Arial" w:cs="Arial"/>
          <w:sz w:val="24"/>
          <w:szCs w:val="24"/>
        </w:rPr>
        <w:t>) that there is a duly executed copy in the offices of the mentioned Ministry</w:t>
      </w:r>
      <w:r w:rsidR="00D553A5">
        <w:rPr>
          <w:rFonts w:ascii="Arial" w:hAnsi="Arial" w:cs="Arial"/>
          <w:sz w:val="24"/>
          <w:szCs w:val="24"/>
        </w:rPr>
        <w:t>,</w:t>
      </w:r>
      <w:r>
        <w:rPr>
          <w:rFonts w:ascii="Arial" w:hAnsi="Arial" w:cs="Arial"/>
          <w:sz w:val="24"/>
          <w:szCs w:val="24"/>
        </w:rPr>
        <w:t xml:space="preserve"> no evidence was presented that ther</w:t>
      </w:r>
      <w:r w:rsidR="00D553A5">
        <w:rPr>
          <w:rFonts w:ascii="Arial" w:hAnsi="Arial" w:cs="Arial"/>
          <w:sz w:val="24"/>
          <w:szCs w:val="24"/>
        </w:rPr>
        <w:t xml:space="preserve">e is indeed such a copy of the </w:t>
      </w:r>
      <w:r w:rsidR="004267EC">
        <w:rPr>
          <w:rFonts w:ascii="Arial" w:hAnsi="Arial" w:cs="Arial"/>
          <w:sz w:val="24"/>
          <w:szCs w:val="24"/>
        </w:rPr>
        <w:t>w</w:t>
      </w:r>
      <w:r w:rsidR="008D7695">
        <w:rPr>
          <w:rFonts w:ascii="Arial" w:hAnsi="Arial" w:cs="Arial"/>
          <w:sz w:val="24"/>
          <w:szCs w:val="24"/>
        </w:rPr>
        <w:t>ill</w:t>
      </w:r>
      <w:r>
        <w:rPr>
          <w:rFonts w:ascii="Arial" w:hAnsi="Arial" w:cs="Arial"/>
          <w:sz w:val="24"/>
          <w:szCs w:val="24"/>
        </w:rPr>
        <w:t xml:space="preserve">. </w:t>
      </w:r>
      <w:r w:rsidR="00A247E7">
        <w:rPr>
          <w:rFonts w:ascii="Arial" w:hAnsi="Arial" w:cs="Arial"/>
          <w:sz w:val="24"/>
          <w:szCs w:val="24"/>
        </w:rPr>
        <w:t>It must be borne in mind that</w:t>
      </w:r>
      <w:r w:rsidR="00D553A5">
        <w:rPr>
          <w:rFonts w:ascii="Arial" w:hAnsi="Arial" w:cs="Arial"/>
          <w:sz w:val="24"/>
          <w:szCs w:val="24"/>
        </w:rPr>
        <w:t>,</w:t>
      </w:r>
      <w:r w:rsidR="00A247E7">
        <w:rPr>
          <w:rFonts w:ascii="Arial" w:hAnsi="Arial" w:cs="Arial"/>
          <w:sz w:val="24"/>
          <w:szCs w:val="24"/>
        </w:rPr>
        <w:t xml:space="preserve"> if there is such executed copy at the said Ministry</w:t>
      </w:r>
      <w:r w:rsidR="00D553A5">
        <w:rPr>
          <w:rFonts w:ascii="Arial" w:hAnsi="Arial" w:cs="Arial"/>
          <w:sz w:val="24"/>
          <w:szCs w:val="24"/>
        </w:rPr>
        <w:t>,</w:t>
      </w:r>
      <w:r w:rsidR="00A247E7">
        <w:rPr>
          <w:rFonts w:ascii="Arial" w:hAnsi="Arial" w:cs="Arial"/>
          <w:sz w:val="24"/>
          <w:szCs w:val="24"/>
        </w:rPr>
        <w:t xml:space="preserve"> it was supposed to have been filed with the M</w:t>
      </w:r>
      <w:r w:rsidR="00D553A5">
        <w:rPr>
          <w:rFonts w:ascii="Arial" w:hAnsi="Arial" w:cs="Arial"/>
          <w:sz w:val="24"/>
          <w:szCs w:val="24"/>
        </w:rPr>
        <w:t>aster</w:t>
      </w:r>
      <w:r w:rsidR="00A247E7">
        <w:rPr>
          <w:rFonts w:ascii="Arial" w:hAnsi="Arial" w:cs="Arial"/>
          <w:sz w:val="24"/>
          <w:szCs w:val="24"/>
        </w:rPr>
        <w:t xml:space="preserve"> subsequent to the deceased’s death by the Ministry.</w:t>
      </w:r>
      <w:r w:rsidR="000C685C">
        <w:rPr>
          <w:rStyle w:val="FootnoteReference"/>
          <w:rFonts w:ascii="Arial" w:hAnsi="Arial" w:cs="Arial"/>
          <w:sz w:val="24"/>
          <w:szCs w:val="24"/>
        </w:rPr>
        <w:footnoteReference w:id="22"/>
      </w:r>
      <w:r w:rsidR="00F9687D">
        <w:rPr>
          <w:rFonts w:ascii="Arial" w:hAnsi="Arial" w:cs="Arial"/>
          <w:sz w:val="24"/>
          <w:szCs w:val="24"/>
        </w:rPr>
        <w:t xml:space="preserve"> </w:t>
      </w:r>
      <w:r w:rsidR="00D553A5">
        <w:rPr>
          <w:rFonts w:ascii="Arial" w:hAnsi="Arial" w:cs="Arial"/>
          <w:sz w:val="24"/>
          <w:szCs w:val="24"/>
        </w:rPr>
        <w:t xml:space="preserve">Secondly, where a </w:t>
      </w:r>
      <w:r w:rsidR="004267EC">
        <w:rPr>
          <w:rFonts w:ascii="Arial" w:hAnsi="Arial" w:cs="Arial"/>
          <w:sz w:val="24"/>
          <w:szCs w:val="24"/>
        </w:rPr>
        <w:t>w</w:t>
      </w:r>
      <w:r w:rsidR="008D7695">
        <w:rPr>
          <w:rFonts w:ascii="Arial" w:hAnsi="Arial" w:cs="Arial"/>
          <w:sz w:val="24"/>
          <w:szCs w:val="24"/>
        </w:rPr>
        <w:t>ill</w:t>
      </w:r>
      <w:r>
        <w:rPr>
          <w:rFonts w:ascii="Arial" w:hAnsi="Arial" w:cs="Arial"/>
          <w:sz w:val="24"/>
          <w:szCs w:val="24"/>
        </w:rPr>
        <w:t xml:space="preserve"> that was </w:t>
      </w:r>
      <w:r w:rsidR="00D553A5">
        <w:rPr>
          <w:rFonts w:ascii="Arial" w:hAnsi="Arial" w:cs="Arial"/>
          <w:sz w:val="24"/>
          <w:szCs w:val="24"/>
        </w:rPr>
        <w:t xml:space="preserve">in </w:t>
      </w:r>
      <w:r>
        <w:rPr>
          <w:rFonts w:ascii="Arial" w:hAnsi="Arial" w:cs="Arial"/>
          <w:sz w:val="24"/>
          <w:szCs w:val="24"/>
        </w:rPr>
        <w:t>pos</w:t>
      </w:r>
      <w:r w:rsidR="00525A5F">
        <w:rPr>
          <w:rFonts w:ascii="Arial" w:hAnsi="Arial" w:cs="Arial"/>
          <w:sz w:val="24"/>
          <w:szCs w:val="24"/>
        </w:rPr>
        <w:t>session</w:t>
      </w:r>
      <w:r>
        <w:rPr>
          <w:rFonts w:ascii="Arial" w:hAnsi="Arial" w:cs="Arial"/>
          <w:sz w:val="24"/>
          <w:szCs w:val="24"/>
        </w:rPr>
        <w:t xml:space="preserve"> of the testator (as suggested in the copy) cannot be found </w:t>
      </w:r>
      <w:r w:rsidR="00D553A5">
        <w:rPr>
          <w:rFonts w:ascii="Arial" w:hAnsi="Arial" w:cs="Arial"/>
          <w:sz w:val="24"/>
          <w:szCs w:val="24"/>
        </w:rPr>
        <w:t>up</w:t>
      </w:r>
      <w:r>
        <w:rPr>
          <w:rFonts w:ascii="Arial" w:hAnsi="Arial" w:cs="Arial"/>
          <w:sz w:val="24"/>
          <w:szCs w:val="24"/>
        </w:rPr>
        <w:t xml:space="preserve">on his death, he is presumed to have destroyed it </w:t>
      </w:r>
      <w:r w:rsidRPr="00EE6568">
        <w:rPr>
          <w:rFonts w:ascii="Arial" w:hAnsi="Arial" w:cs="Arial"/>
          <w:i/>
          <w:sz w:val="24"/>
          <w:szCs w:val="24"/>
        </w:rPr>
        <w:t>an</w:t>
      </w:r>
      <w:r w:rsidR="00F27AC3" w:rsidRPr="00EE6568">
        <w:rPr>
          <w:rFonts w:ascii="Arial" w:hAnsi="Arial" w:cs="Arial"/>
          <w:i/>
          <w:sz w:val="24"/>
          <w:szCs w:val="24"/>
        </w:rPr>
        <w:t>imo revocandi</w:t>
      </w:r>
      <w:r w:rsidR="00F27AC3">
        <w:rPr>
          <w:rFonts w:ascii="Arial" w:hAnsi="Arial" w:cs="Arial"/>
          <w:sz w:val="24"/>
          <w:szCs w:val="24"/>
        </w:rPr>
        <w:t xml:space="preserve"> and it makes no difference that there may be a duplicate original kept elsewhere</w:t>
      </w:r>
      <w:r w:rsidR="00EE6568">
        <w:rPr>
          <w:rFonts w:ascii="Arial" w:hAnsi="Arial" w:cs="Arial"/>
          <w:sz w:val="24"/>
          <w:szCs w:val="24"/>
        </w:rPr>
        <w:t>.</w:t>
      </w:r>
      <w:r w:rsidR="00F27AC3">
        <w:rPr>
          <w:rStyle w:val="FootnoteReference"/>
          <w:rFonts w:ascii="Arial" w:hAnsi="Arial" w:cs="Arial"/>
          <w:sz w:val="24"/>
          <w:szCs w:val="24"/>
        </w:rPr>
        <w:footnoteReference w:id="23"/>
      </w:r>
      <w:r w:rsidR="00EE6568">
        <w:rPr>
          <w:rFonts w:ascii="Arial" w:hAnsi="Arial" w:cs="Arial"/>
          <w:sz w:val="24"/>
          <w:szCs w:val="24"/>
        </w:rPr>
        <w:t xml:space="preserve"> This is a rebuttable presumption which can be dispelled by evidence. Thirdly, the denial by Maria of the signature of the deceased could not simply be disregarded </w:t>
      </w:r>
      <w:r w:rsidR="00A21814">
        <w:rPr>
          <w:rFonts w:ascii="Arial" w:hAnsi="Arial" w:cs="Arial"/>
          <w:sz w:val="24"/>
          <w:szCs w:val="24"/>
        </w:rPr>
        <w:t xml:space="preserve">as it </w:t>
      </w:r>
      <w:r w:rsidR="00EE6568">
        <w:rPr>
          <w:rFonts w:ascii="Arial" w:hAnsi="Arial" w:cs="Arial"/>
          <w:sz w:val="24"/>
          <w:szCs w:val="24"/>
        </w:rPr>
        <w:t xml:space="preserve">created a dispute of fact. </w:t>
      </w:r>
    </w:p>
    <w:p w:rsidR="00DC16DD" w:rsidRDefault="00DC16DD" w:rsidP="0060622E">
      <w:pPr>
        <w:pStyle w:val="NoSpacing"/>
        <w:spacing w:line="480" w:lineRule="auto"/>
        <w:jc w:val="both"/>
        <w:rPr>
          <w:rFonts w:ascii="Arial" w:hAnsi="Arial" w:cs="Arial"/>
          <w:sz w:val="24"/>
          <w:szCs w:val="24"/>
        </w:rPr>
      </w:pPr>
    </w:p>
    <w:p w:rsidR="00DC16DD" w:rsidRDefault="009A6230" w:rsidP="00DC16D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follows that the court </w:t>
      </w:r>
      <w:r w:rsidRPr="0094173D">
        <w:rPr>
          <w:rFonts w:ascii="Arial" w:hAnsi="Arial" w:cs="Arial"/>
          <w:i/>
          <w:sz w:val="24"/>
          <w:szCs w:val="24"/>
        </w:rPr>
        <w:t>a quo</w:t>
      </w:r>
      <w:r>
        <w:rPr>
          <w:rFonts w:ascii="Arial" w:hAnsi="Arial" w:cs="Arial"/>
          <w:sz w:val="24"/>
          <w:szCs w:val="24"/>
        </w:rPr>
        <w:t xml:space="preserve"> was wrong in its approach when a</w:t>
      </w:r>
      <w:r w:rsidR="0094173D">
        <w:rPr>
          <w:rFonts w:ascii="Arial" w:hAnsi="Arial" w:cs="Arial"/>
          <w:sz w:val="24"/>
          <w:szCs w:val="24"/>
        </w:rPr>
        <w:t>ccepting</w:t>
      </w:r>
      <w:r>
        <w:rPr>
          <w:rFonts w:ascii="Arial" w:hAnsi="Arial" w:cs="Arial"/>
          <w:sz w:val="24"/>
          <w:szCs w:val="24"/>
        </w:rPr>
        <w:t xml:space="preserve"> th</w:t>
      </w:r>
      <w:r w:rsidR="00A21814">
        <w:rPr>
          <w:rFonts w:ascii="Arial" w:hAnsi="Arial" w:cs="Arial"/>
          <w:sz w:val="24"/>
          <w:szCs w:val="24"/>
        </w:rPr>
        <w:t xml:space="preserve">e validity of the </w:t>
      </w:r>
      <w:r w:rsidR="004267EC">
        <w:rPr>
          <w:rFonts w:ascii="Arial" w:hAnsi="Arial" w:cs="Arial"/>
          <w:sz w:val="24"/>
          <w:szCs w:val="24"/>
        </w:rPr>
        <w:t>w</w:t>
      </w:r>
      <w:r w:rsidR="008D7695">
        <w:rPr>
          <w:rFonts w:ascii="Arial" w:hAnsi="Arial" w:cs="Arial"/>
          <w:sz w:val="24"/>
          <w:szCs w:val="24"/>
        </w:rPr>
        <w:t>ill</w:t>
      </w:r>
      <w:r w:rsidR="00352563">
        <w:rPr>
          <w:rFonts w:ascii="Arial" w:hAnsi="Arial" w:cs="Arial"/>
          <w:sz w:val="24"/>
          <w:szCs w:val="24"/>
        </w:rPr>
        <w:t xml:space="preserve"> as</w:t>
      </w:r>
      <w:r>
        <w:rPr>
          <w:rFonts w:ascii="Arial" w:hAnsi="Arial" w:cs="Arial"/>
          <w:sz w:val="24"/>
          <w:szCs w:val="24"/>
        </w:rPr>
        <w:t xml:space="preserve"> this issue was not </w:t>
      </w:r>
      <w:r w:rsidR="0094173D">
        <w:rPr>
          <w:rFonts w:ascii="Arial" w:hAnsi="Arial" w:cs="Arial"/>
          <w:sz w:val="24"/>
          <w:szCs w:val="24"/>
        </w:rPr>
        <w:t xml:space="preserve">capable of being </w:t>
      </w:r>
      <w:r w:rsidR="00352563">
        <w:rPr>
          <w:rFonts w:ascii="Arial" w:hAnsi="Arial" w:cs="Arial"/>
          <w:sz w:val="24"/>
          <w:szCs w:val="24"/>
        </w:rPr>
        <w:t xml:space="preserve">determined on the papers. Both counsel submitted that, should the court find </w:t>
      </w:r>
      <w:r w:rsidR="00525A5F">
        <w:rPr>
          <w:rFonts w:ascii="Arial" w:hAnsi="Arial" w:cs="Arial"/>
          <w:sz w:val="24"/>
          <w:szCs w:val="24"/>
        </w:rPr>
        <w:t>that the matter could not be determined on the papers</w:t>
      </w:r>
      <w:r w:rsidR="00AE1B16">
        <w:rPr>
          <w:rFonts w:ascii="Arial" w:hAnsi="Arial" w:cs="Arial"/>
          <w:sz w:val="24"/>
          <w:szCs w:val="24"/>
        </w:rPr>
        <w:t>,</w:t>
      </w:r>
      <w:r w:rsidR="00525A5F">
        <w:rPr>
          <w:rFonts w:ascii="Arial" w:hAnsi="Arial" w:cs="Arial"/>
          <w:sz w:val="24"/>
          <w:szCs w:val="24"/>
        </w:rPr>
        <w:t xml:space="preserve"> </w:t>
      </w:r>
      <w:r w:rsidR="00352563">
        <w:rPr>
          <w:rFonts w:ascii="Arial" w:hAnsi="Arial" w:cs="Arial"/>
          <w:sz w:val="24"/>
          <w:szCs w:val="24"/>
        </w:rPr>
        <w:t xml:space="preserve">as I do, that instead of the issue being </w:t>
      </w:r>
      <w:r w:rsidR="00971ED9">
        <w:rPr>
          <w:rFonts w:ascii="Arial" w:hAnsi="Arial" w:cs="Arial"/>
          <w:sz w:val="24"/>
          <w:szCs w:val="24"/>
        </w:rPr>
        <w:t>referred to oral evidence</w:t>
      </w:r>
      <w:r w:rsidR="00A21814">
        <w:rPr>
          <w:rFonts w:ascii="Arial" w:hAnsi="Arial" w:cs="Arial"/>
          <w:sz w:val="24"/>
          <w:szCs w:val="24"/>
        </w:rPr>
        <w:t>,</w:t>
      </w:r>
      <w:r w:rsidR="00D4599A">
        <w:rPr>
          <w:rFonts w:ascii="Arial" w:hAnsi="Arial" w:cs="Arial"/>
          <w:sz w:val="24"/>
          <w:szCs w:val="24"/>
        </w:rPr>
        <w:t xml:space="preserve"> </w:t>
      </w:r>
      <w:r w:rsidR="00971ED9">
        <w:rPr>
          <w:rFonts w:ascii="Arial" w:hAnsi="Arial" w:cs="Arial"/>
          <w:sz w:val="24"/>
          <w:szCs w:val="24"/>
        </w:rPr>
        <w:t>Johannes be ordered to</w:t>
      </w:r>
      <w:r w:rsidR="00A21814">
        <w:rPr>
          <w:rFonts w:ascii="Arial" w:hAnsi="Arial" w:cs="Arial"/>
          <w:sz w:val="24"/>
          <w:szCs w:val="24"/>
        </w:rPr>
        <w:t xml:space="preserve"> lodge the </w:t>
      </w:r>
      <w:r w:rsidR="004267EC">
        <w:rPr>
          <w:rFonts w:ascii="Arial" w:hAnsi="Arial" w:cs="Arial"/>
          <w:sz w:val="24"/>
          <w:szCs w:val="24"/>
        </w:rPr>
        <w:t>w</w:t>
      </w:r>
      <w:r w:rsidR="008D7695">
        <w:rPr>
          <w:rFonts w:ascii="Arial" w:hAnsi="Arial" w:cs="Arial"/>
          <w:sz w:val="24"/>
          <w:szCs w:val="24"/>
        </w:rPr>
        <w:t>ill</w:t>
      </w:r>
      <w:r w:rsidR="00A80E19">
        <w:rPr>
          <w:rFonts w:ascii="Arial" w:hAnsi="Arial" w:cs="Arial"/>
          <w:sz w:val="24"/>
          <w:szCs w:val="24"/>
        </w:rPr>
        <w:t xml:space="preserve"> with the Master</w:t>
      </w:r>
      <w:r w:rsidR="00971ED9">
        <w:rPr>
          <w:rFonts w:ascii="Arial" w:hAnsi="Arial" w:cs="Arial"/>
          <w:sz w:val="24"/>
          <w:szCs w:val="24"/>
        </w:rPr>
        <w:t xml:space="preserve"> of the High Court as he should have done</w:t>
      </w:r>
      <w:r w:rsidR="00AE1B16">
        <w:rPr>
          <w:rFonts w:ascii="Arial" w:hAnsi="Arial" w:cs="Arial"/>
          <w:sz w:val="24"/>
          <w:szCs w:val="24"/>
        </w:rPr>
        <w:t>,</w:t>
      </w:r>
      <w:r w:rsidR="00971ED9">
        <w:rPr>
          <w:rFonts w:ascii="Arial" w:hAnsi="Arial" w:cs="Arial"/>
          <w:sz w:val="24"/>
          <w:szCs w:val="24"/>
        </w:rPr>
        <w:t xml:space="preserve"> and that the matter should </w:t>
      </w:r>
      <w:r w:rsidR="003C72C3">
        <w:rPr>
          <w:rFonts w:ascii="Arial" w:hAnsi="Arial" w:cs="Arial"/>
          <w:sz w:val="24"/>
          <w:szCs w:val="24"/>
        </w:rPr>
        <w:t>then run its course as envisaged in</w:t>
      </w:r>
      <w:r w:rsidR="0079103F">
        <w:rPr>
          <w:rFonts w:ascii="Arial" w:hAnsi="Arial" w:cs="Arial"/>
          <w:sz w:val="24"/>
          <w:szCs w:val="24"/>
        </w:rPr>
        <w:t xml:space="preserve">          </w:t>
      </w:r>
      <w:r w:rsidR="00A21814">
        <w:rPr>
          <w:rFonts w:ascii="Arial" w:hAnsi="Arial" w:cs="Arial"/>
          <w:sz w:val="24"/>
          <w:szCs w:val="24"/>
        </w:rPr>
        <w:t xml:space="preserve">s 8(1) of </w:t>
      </w:r>
      <w:r w:rsidR="003C72C3">
        <w:rPr>
          <w:rFonts w:ascii="Arial" w:hAnsi="Arial" w:cs="Arial"/>
          <w:sz w:val="24"/>
          <w:szCs w:val="24"/>
        </w:rPr>
        <w:t>the Administration of Estates Act. As the parties agree to this course of action</w:t>
      </w:r>
      <w:r w:rsidR="00A21814">
        <w:rPr>
          <w:rFonts w:ascii="Arial" w:hAnsi="Arial" w:cs="Arial"/>
          <w:sz w:val="24"/>
          <w:szCs w:val="24"/>
        </w:rPr>
        <w:t>,</w:t>
      </w:r>
      <w:r w:rsidR="003C72C3">
        <w:rPr>
          <w:rFonts w:ascii="Arial" w:hAnsi="Arial" w:cs="Arial"/>
          <w:sz w:val="24"/>
          <w:szCs w:val="24"/>
        </w:rPr>
        <w:t xml:space="preserve"> I shall issue an order in accordance </w:t>
      </w:r>
      <w:r w:rsidR="00525A5F">
        <w:rPr>
          <w:rFonts w:ascii="Arial" w:hAnsi="Arial" w:cs="Arial"/>
          <w:sz w:val="24"/>
          <w:szCs w:val="24"/>
        </w:rPr>
        <w:t>with</w:t>
      </w:r>
      <w:r w:rsidR="003C72C3">
        <w:rPr>
          <w:rFonts w:ascii="Arial" w:hAnsi="Arial" w:cs="Arial"/>
          <w:sz w:val="24"/>
          <w:szCs w:val="24"/>
        </w:rPr>
        <w:t xml:space="preserve"> their agreement.</w:t>
      </w:r>
    </w:p>
    <w:p w:rsidR="00525A5F" w:rsidRDefault="00525A5F" w:rsidP="00525A5F">
      <w:pPr>
        <w:pStyle w:val="NoSpacing"/>
        <w:spacing w:line="480" w:lineRule="auto"/>
        <w:jc w:val="both"/>
        <w:rPr>
          <w:rFonts w:ascii="Arial" w:hAnsi="Arial" w:cs="Arial"/>
          <w:sz w:val="24"/>
          <w:szCs w:val="24"/>
        </w:rPr>
      </w:pPr>
    </w:p>
    <w:p w:rsidR="00DC16DD" w:rsidRDefault="003C72C3" w:rsidP="00DC16D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follows that the appeal on this ground that the court </w:t>
      </w:r>
      <w:r w:rsidRPr="003C72C3">
        <w:rPr>
          <w:rFonts w:ascii="Arial" w:hAnsi="Arial" w:cs="Arial"/>
          <w:i/>
          <w:sz w:val="24"/>
          <w:szCs w:val="24"/>
        </w:rPr>
        <w:t>a quo</w:t>
      </w:r>
      <w:r w:rsidR="00A21814">
        <w:rPr>
          <w:rFonts w:ascii="Arial" w:hAnsi="Arial" w:cs="Arial"/>
          <w:sz w:val="24"/>
          <w:szCs w:val="24"/>
        </w:rPr>
        <w:t xml:space="preserve"> wrongly accepted the </w:t>
      </w:r>
      <w:r w:rsidR="004267EC">
        <w:rPr>
          <w:rFonts w:ascii="Arial" w:hAnsi="Arial" w:cs="Arial"/>
          <w:sz w:val="24"/>
          <w:szCs w:val="24"/>
        </w:rPr>
        <w:t>w</w:t>
      </w:r>
      <w:r w:rsidR="008D7695">
        <w:rPr>
          <w:rFonts w:ascii="Arial" w:hAnsi="Arial" w:cs="Arial"/>
          <w:sz w:val="24"/>
          <w:szCs w:val="24"/>
        </w:rPr>
        <w:t>ill</w:t>
      </w:r>
      <w:r>
        <w:rPr>
          <w:rFonts w:ascii="Arial" w:hAnsi="Arial" w:cs="Arial"/>
          <w:sz w:val="24"/>
          <w:szCs w:val="24"/>
        </w:rPr>
        <w:t xml:space="preserve"> as valid is successful.</w:t>
      </w:r>
    </w:p>
    <w:p w:rsidR="00DC16DD" w:rsidRDefault="00DC16DD" w:rsidP="00DC16DD">
      <w:pPr>
        <w:pStyle w:val="NoSpacing"/>
        <w:spacing w:line="480" w:lineRule="auto"/>
        <w:jc w:val="both"/>
        <w:rPr>
          <w:rFonts w:ascii="Arial" w:hAnsi="Arial" w:cs="Arial"/>
          <w:sz w:val="24"/>
          <w:szCs w:val="24"/>
        </w:rPr>
      </w:pPr>
    </w:p>
    <w:p w:rsidR="003C72C3" w:rsidRPr="003C72C3" w:rsidRDefault="003C72C3" w:rsidP="00DC16DD">
      <w:pPr>
        <w:pStyle w:val="NoSpacing"/>
        <w:spacing w:line="480" w:lineRule="auto"/>
        <w:jc w:val="both"/>
        <w:rPr>
          <w:rFonts w:ascii="Arial" w:hAnsi="Arial" w:cs="Arial"/>
          <w:sz w:val="24"/>
          <w:szCs w:val="24"/>
          <w:u w:val="single"/>
        </w:rPr>
      </w:pPr>
      <w:r w:rsidRPr="003C72C3">
        <w:rPr>
          <w:rFonts w:ascii="Arial" w:hAnsi="Arial" w:cs="Arial"/>
          <w:sz w:val="24"/>
          <w:szCs w:val="24"/>
          <w:u w:val="single"/>
        </w:rPr>
        <w:t xml:space="preserve">Conclusion </w:t>
      </w:r>
      <w:r>
        <w:rPr>
          <w:rFonts w:ascii="Arial" w:hAnsi="Arial" w:cs="Arial"/>
          <w:sz w:val="24"/>
          <w:szCs w:val="24"/>
          <w:u w:val="single"/>
        </w:rPr>
        <w:t xml:space="preserve">relating </w:t>
      </w:r>
      <w:r w:rsidRPr="003C72C3">
        <w:rPr>
          <w:rFonts w:ascii="Arial" w:hAnsi="Arial" w:cs="Arial"/>
          <w:sz w:val="24"/>
          <w:szCs w:val="24"/>
          <w:u w:val="single"/>
        </w:rPr>
        <w:t>to the main application</w:t>
      </w:r>
    </w:p>
    <w:p w:rsidR="00DC16DD" w:rsidRDefault="003C72C3" w:rsidP="00DC16D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follows from what is stated above</w:t>
      </w:r>
      <w:r w:rsidR="00A21814">
        <w:rPr>
          <w:rFonts w:ascii="Arial" w:hAnsi="Arial" w:cs="Arial"/>
          <w:sz w:val="24"/>
          <w:szCs w:val="24"/>
        </w:rPr>
        <w:t xml:space="preserve"> that </w:t>
      </w:r>
      <w:r>
        <w:rPr>
          <w:rFonts w:ascii="Arial" w:hAnsi="Arial" w:cs="Arial"/>
          <w:sz w:val="24"/>
          <w:szCs w:val="24"/>
        </w:rPr>
        <w:t>the execut</w:t>
      </w:r>
      <w:r w:rsidR="000C685C">
        <w:rPr>
          <w:rFonts w:ascii="Arial" w:hAnsi="Arial" w:cs="Arial"/>
          <w:sz w:val="24"/>
          <w:szCs w:val="24"/>
        </w:rPr>
        <w:t>rix</w:t>
      </w:r>
      <w:r>
        <w:rPr>
          <w:rFonts w:ascii="Arial" w:hAnsi="Arial" w:cs="Arial"/>
          <w:sz w:val="24"/>
          <w:szCs w:val="24"/>
        </w:rPr>
        <w:t xml:space="preserve"> was not entitled to present herself only as an assignee in respect of the lease. As she was not, at </w:t>
      </w:r>
      <w:r w:rsidR="00A21814">
        <w:rPr>
          <w:rFonts w:ascii="Arial" w:hAnsi="Arial" w:cs="Arial"/>
          <w:sz w:val="24"/>
          <w:szCs w:val="24"/>
        </w:rPr>
        <w:t xml:space="preserve">the time, aware of the alleged </w:t>
      </w:r>
      <w:r w:rsidR="004267EC">
        <w:rPr>
          <w:rFonts w:ascii="Arial" w:hAnsi="Arial" w:cs="Arial"/>
          <w:sz w:val="24"/>
          <w:szCs w:val="24"/>
        </w:rPr>
        <w:t>w</w:t>
      </w:r>
      <w:r w:rsidR="008D7695">
        <w:rPr>
          <w:rFonts w:ascii="Arial" w:hAnsi="Arial" w:cs="Arial"/>
          <w:sz w:val="24"/>
          <w:szCs w:val="24"/>
        </w:rPr>
        <w:t>ill</w:t>
      </w:r>
      <w:r w:rsidR="00A21814">
        <w:rPr>
          <w:rFonts w:ascii="Arial" w:hAnsi="Arial" w:cs="Arial"/>
          <w:sz w:val="24"/>
          <w:szCs w:val="24"/>
        </w:rPr>
        <w:t>,</w:t>
      </w:r>
      <w:r>
        <w:rPr>
          <w:rFonts w:ascii="Arial" w:hAnsi="Arial" w:cs="Arial"/>
          <w:sz w:val="24"/>
          <w:szCs w:val="24"/>
        </w:rPr>
        <w:t xml:space="preserve"> she should at least have indicated Johannes as a co-assignee in proportion to his share as </w:t>
      </w:r>
      <w:r w:rsidR="00A21814">
        <w:rPr>
          <w:rFonts w:ascii="Arial" w:hAnsi="Arial" w:cs="Arial"/>
          <w:sz w:val="24"/>
          <w:szCs w:val="24"/>
        </w:rPr>
        <w:t xml:space="preserve">an </w:t>
      </w:r>
      <w:r>
        <w:rPr>
          <w:rFonts w:ascii="Arial" w:hAnsi="Arial" w:cs="Arial"/>
          <w:sz w:val="24"/>
          <w:szCs w:val="24"/>
        </w:rPr>
        <w:t>intestate heir of the deceased. The executrix</w:t>
      </w:r>
      <w:r w:rsidR="00525A5F">
        <w:rPr>
          <w:rFonts w:ascii="Arial" w:hAnsi="Arial" w:cs="Arial"/>
          <w:sz w:val="24"/>
          <w:szCs w:val="24"/>
        </w:rPr>
        <w:t>’s</w:t>
      </w:r>
      <w:r>
        <w:rPr>
          <w:rFonts w:ascii="Arial" w:hAnsi="Arial" w:cs="Arial"/>
          <w:sz w:val="24"/>
          <w:szCs w:val="24"/>
        </w:rPr>
        <w:t xml:space="preserve"> </w:t>
      </w:r>
      <w:r w:rsidR="000B3999">
        <w:rPr>
          <w:rFonts w:ascii="Arial" w:hAnsi="Arial" w:cs="Arial"/>
          <w:sz w:val="24"/>
          <w:szCs w:val="24"/>
        </w:rPr>
        <w:t xml:space="preserve">assignment </w:t>
      </w:r>
      <w:r>
        <w:rPr>
          <w:rFonts w:ascii="Arial" w:hAnsi="Arial" w:cs="Arial"/>
          <w:sz w:val="24"/>
          <w:szCs w:val="24"/>
        </w:rPr>
        <w:t xml:space="preserve">was thus ineffectual. </w:t>
      </w:r>
    </w:p>
    <w:p w:rsidR="00DC16DD" w:rsidRDefault="00DC16DD" w:rsidP="00DC16DD">
      <w:pPr>
        <w:pStyle w:val="NoSpacing"/>
        <w:spacing w:line="480" w:lineRule="auto"/>
        <w:jc w:val="both"/>
        <w:rPr>
          <w:rFonts w:ascii="Arial" w:hAnsi="Arial" w:cs="Arial"/>
          <w:sz w:val="24"/>
          <w:szCs w:val="24"/>
        </w:rPr>
      </w:pPr>
    </w:p>
    <w:p w:rsidR="00DC16DD" w:rsidRDefault="000B3999" w:rsidP="00DC16D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For Johannes to have approached the Commission and the Minister to become </w:t>
      </w:r>
      <w:r w:rsidR="006271E6">
        <w:rPr>
          <w:rFonts w:ascii="Arial" w:hAnsi="Arial" w:cs="Arial"/>
          <w:sz w:val="24"/>
          <w:szCs w:val="24"/>
        </w:rPr>
        <w:t xml:space="preserve">a </w:t>
      </w:r>
      <w:r>
        <w:rPr>
          <w:rFonts w:ascii="Arial" w:hAnsi="Arial" w:cs="Arial"/>
          <w:sz w:val="24"/>
          <w:szCs w:val="24"/>
        </w:rPr>
        <w:t xml:space="preserve">sole assignee was equally flawed. Firstly, his entitlement to become an assignee did not fall within the discretion of the Commission or the Minister. Secondly, this has to be determined by way of the </w:t>
      </w:r>
      <w:r w:rsidR="008038BD">
        <w:rPr>
          <w:rFonts w:ascii="Arial" w:hAnsi="Arial" w:cs="Arial"/>
          <w:sz w:val="24"/>
          <w:szCs w:val="24"/>
        </w:rPr>
        <w:t>law of succession. It must be borne in mind that</w:t>
      </w:r>
      <w:r w:rsidR="006271E6">
        <w:rPr>
          <w:rFonts w:ascii="Arial" w:hAnsi="Arial" w:cs="Arial"/>
          <w:sz w:val="24"/>
          <w:szCs w:val="24"/>
        </w:rPr>
        <w:t>,</w:t>
      </w:r>
      <w:r w:rsidR="008038BD">
        <w:rPr>
          <w:rFonts w:ascii="Arial" w:hAnsi="Arial" w:cs="Arial"/>
          <w:sz w:val="24"/>
          <w:szCs w:val="24"/>
        </w:rPr>
        <w:t xml:space="preserve"> Maria is entitled to be an assignee of at least </w:t>
      </w:r>
      <w:r w:rsidR="002E1516">
        <w:rPr>
          <w:rFonts w:ascii="Arial" w:hAnsi="Arial" w:cs="Arial"/>
          <w:sz w:val="24"/>
          <w:szCs w:val="24"/>
        </w:rPr>
        <w:t>50</w:t>
      </w:r>
      <w:r w:rsidR="007F2A7D">
        <w:rPr>
          <w:rFonts w:ascii="Arial" w:hAnsi="Arial" w:cs="Arial"/>
          <w:sz w:val="24"/>
          <w:szCs w:val="24"/>
        </w:rPr>
        <w:t xml:space="preserve"> per cent</w:t>
      </w:r>
      <w:r w:rsidR="002E1516">
        <w:rPr>
          <w:rFonts w:ascii="Arial" w:hAnsi="Arial" w:cs="Arial"/>
          <w:sz w:val="24"/>
          <w:szCs w:val="24"/>
        </w:rPr>
        <w:t xml:space="preserve"> interest </w:t>
      </w:r>
      <w:r w:rsidR="006E1C0A">
        <w:rPr>
          <w:rFonts w:ascii="Arial" w:hAnsi="Arial" w:cs="Arial"/>
          <w:sz w:val="24"/>
          <w:szCs w:val="24"/>
        </w:rPr>
        <w:t>in the lease. This does not follow from the law of succession but by virtue of the marriage in community of property between her an</w:t>
      </w:r>
      <w:r w:rsidR="006271E6">
        <w:rPr>
          <w:rFonts w:ascii="Arial" w:hAnsi="Arial" w:cs="Arial"/>
          <w:sz w:val="24"/>
          <w:szCs w:val="24"/>
        </w:rPr>
        <w:t xml:space="preserve">d the deceased. The deceased’s </w:t>
      </w:r>
      <w:r w:rsidR="004267EC">
        <w:rPr>
          <w:rFonts w:ascii="Arial" w:hAnsi="Arial" w:cs="Arial"/>
          <w:sz w:val="24"/>
          <w:szCs w:val="24"/>
        </w:rPr>
        <w:t>w</w:t>
      </w:r>
      <w:r w:rsidR="008D7695">
        <w:rPr>
          <w:rFonts w:ascii="Arial" w:hAnsi="Arial" w:cs="Arial"/>
          <w:sz w:val="24"/>
          <w:szCs w:val="24"/>
        </w:rPr>
        <w:t>ill</w:t>
      </w:r>
      <w:r w:rsidR="006E1C0A">
        <w:rPr>
          <w:rFonts w:ascii="Arial" w:hAnsi="Arial" w:cs="Arial"/>
          <w:sz w:val="24"/>
          <w:szCs w:val="24"/>
        </w:rPr>
        <w:t xml:space="preserve"> (if accepted) cannot alter this fact as it is presumed to deal with only his half of the joint estate</w:t>
      </w:r>
      <w:r w:rsidR="00AE1B16">
        <w:rPr>
          <w:rFonts w:ascii="Arial" w:hAnsi="Arial" w:cs="Arial"/>
          <w:sz w:val="24"/>
          <w:szCs w:val="24"/>
        </w:rPr>
        <w:t>,</w:t>
      </w:r>
      <w:r w:rsidR="006E1C0A">
        <w:rPr>
          <w:rFonts w:ascii="Arial" w:hAnsi="Arial" w:cs="Arial"/>
          <w:sz w:val="24"/>
          <w:szCs w:val="24"/>
        </w:rPr>
        <w:t xml:space="preserve"> and even if it intends to deal with Maria’s half as well</w:t>
      </w:r>
      <w:r w:rsidR="006271E6">
        <w:rPr>
          <w:rFonts w:ascii="Arial" w:hAnsi="Arial" w:cs="Arial"/>
          <w:sz w:val="24"/>
          <w:szCs w:val="24"/>
        </w:rPr>
        <w:t>,</w:t>
      </w:r>
      <w:r w:rsidR="006E1C0A">
        <w:rPr>
          <w:rFonts w:ascii="Arial" w:hAnsi="Arial" w:cs="Arial"/>
          <w:sz w:val="24"/>
          <w:szCs w:val="24"/>
        </w:rPr>
        <w:t xml:space="preserve"> she </w:t>
      </w:r>
      <w:r w:rsidR="000C685C">
        <w:rPr>
          <w:rFonts w:ascii="Arial" w:hAnsi="Arial" w:cs="Arial"/>
          <w:sz w:val="24"/>
          <w:szCs w:val="24"/>
        </w:rPr>
        <w:t xml:space="preserve">is not compelled to </w:t>
      </w:r>
      <w:r w:rsidR="006E1C0A">
        <w:rPr>
          <w:rFonts w:ascii="Arial" w:hAnsi="Arial" w:cs="Arial"/>
          <w:sz w:val="24"/>
          <w:szCs w:val="24"/>
        </w:rPr>
        <w:t>accept (adiate) it. Thus</w:t>
      </w:r>
      <w:r w:rsidR="006271E6">
        <w:rPr>
          <w:rFonts w:ascii="Arial" w:hAnsi="Arial" w:cs="Arial"/>
          <w:sz w:val="24"/>
          <w:szCs w:val="24"/>
        </w:rPr>
        <w:t>,</w:t>
      </w:r>
      <w:r w:rsidR="004634DD">
        <w:rPr>
          <w:rFonts w:ascii="Arial" w:hAnsi="Arial" w:cs="Arial"/>
          <w:sz w:val="24"/>
          <w:szCs w:val="24"/>
        </w:rPr>
        <w:t xml:space="preserve"> if the </w:t>
      </w:r>
      <w:r w:rsidR="004267EC">
        <w:rPr>
          <w:rFonts w:ascii="Arial" w:hAnsi="Arial" w:cs="Arial"/>
          <w:sz w:val="24"/>
          <w:szCs w:val="24"/>
        </w:rPr>
        <w:t>w</w:t>
      </w:r>
      <w:r w:rsidR="008D7695">
        <w:rPr>
          <w:rFonts w:ascii="Arial" w:hAnsi="Arial" w:cs="Arial"/>
          <w:sz w:val="24"/>
          <w:szCs w:val="24"/>
        </w:rPr>
        <w:t>ill</w:t>
      </w:r>
      <w:r w:rsidR="006E1C0A">
        <w:rPr>
          <w:rFonts w:ascii="Arial" w:hAnsi="Arial" w:cs="Arial"/>
          <w:sz w:val="24"/>
          <w:szCs w:val="24"/>
        </w:rPr>
        <w:t xml:space="preserve"> is accepted</w:t>
      </w:r>
      <w:r w:rsidR="004634DD">
        <w:rPr>
          <w:rFonts w:ascii="Arial" w:hAnsi="Arial" w:cs="Arial"/>
          <w:sz w:val="24"/>
          <w:szCs w:val="24"/>
        </w:rPr>
        <w:t>,</w:t>
      </w:r>
      <w:r w:rsidR="006E1C0A">
        <w:rPr>
          <w:rFonts w:ascii="Arial" w:hAnsi="Arial" w:cs="Arial"/>
          <w:sz w:val="24"/>
          <w:szCs w:val="24"/>
        </w:rPr>
        <w:t xml:space="preserve"> it </w:t>
      </w:r>
      <w:r w:rsidR="008D7695">
        <w:rPr>
          <w:rFonts w:ascii="Arial" w:hAnsi="Arial" w:cs="Arial"/>
          <w:sz w:val="24"/>
          <w:szCs w:val="24"/>
        </w:rPr>
        <w:t>will</w:t>
      </w:r>
      <w:r w:rsidR="006E1C0A">
        <w:rPr>
          <w:rFonts w:ascii="Arial" w:hAnsi="Arial" w:cs="Arial"/>
          <w:sz w:val="24"/>
          <w:szCs w:val="24"/>
        </w:rPr>
        <w:t xml:space="preserve"> entitle Maria and Johannes to be co-assignee</w:t>
      </w:r>
      <w:r w:rsidR="00D928A9">
        <w:rPr>
          <w:rFonts w:ascii="Arial" w:hAnsi="Arial" w:cs="Arial"/>
          <w:sz w:val="24"/>
          <w:szCs w:val="24"/>
        </w:rPr>
        <w:t>s</w:t>
      </w:r>
      <w:r w:rsidR="006E1C0A">
        <w:rPr>
          <w:rFonts w:ascii="Arial" w:hAnsi="Arial" w:cs="Arial"/>
          <w:sz w:val="24"/>
          <w:szCs w:val="24"/>
        </w:rPr>
        <w:t xml:space="preserve"> i</w:t>
      </w:r>
      <w:r w:rsidR="004634DD">
        <w:rPr>
          <w:rFonts w:ascii="Arial" w:hAnsi="Arial" w:cs="Arial"/>
          <w:sz w:val="24"/>
          <w:szCs w:val="24"/>
        </w:rPr>
        <w:t xml:space="preserve">n respect of the lease. If the </w:t>
      </w:r>
      <w:r w:rsidR="004267EC">
        <w:rPr>
          <w:rFonts w:ascii="Arial" w:hAnsi="Arial" w:cs="Arial"/>
          <w:sz w:val="24"/>
          <w:szCs w:val="24"/>
        </w:rPr>
        <w:t>w</w:t>
      </w:r>
      <w:r w:rsidR="008D7695">
        <w:rPr>
          <w:rFonts w:ascii="Arial" w:hAnsi="Arial" w:cs="Arial"/>
          <w:sz w:val="24"/>
          <w:szCs w:val="24"/>
        </w:rPr>
        <w:t>ill</w:t>
      </w:r>
      <w:r w:rsidR="006E1C0A">
        <w:rPr>
          <w:rFonts w:ascii="Arial" w:hAnsi="Arial" w:cs="Arial"/>
          <w:sz w:val="24"/>
          <w:szCs w:val="24"/>
        </w:rPr>
        <w:t xml:space="preserve"> is not accepted </w:t>
      </w:r>
      <w:r w:rsidR="00D928A9">
        <w:rPr>
          <w:rFonts w:ascii="Arial" w:hAnsi="Arial" w:cs="Arial"/>
          <w:sz w:val="24"/>
          <w:szCs w:val="24"/>
        </w:rPr>
        <w:t xml:space="preserve">and the deceased’s estate is to devolve in terms of the </w:t>
      </w:r>
      <w:r w:rsidR="00C83903">
        <w:rPr>
          <w:rFonts w:ascii="Arial" w:hAnsi="Arial" w:cs="Arial"/>
          <w:sz w:val="24"/>
          <w:szCs w:val="24"/>
        </w:rPr>
        <w:t>law of intestate succession</w:t>
      </w:r>
      <w:r w:rsidR="004634DD">
        <w:rPr>
          <w:rFonts w:ascii="Arial" w:hAnsi="Arial" w:cs="Arial"/>
          <w:sz w:val="24"/>
          <w:szCs w:val="24"/>
        </w:rPr>
        <w:t>,</w:t>
      </w:r>
      <w:r w:rsidR="00C83903">
        <w:rPr>
          <w:rFonts w:ascii="Arial" w:hAnsi="Arial" w:cs="Arial"/>
          <w:sz w:val="24"/>
          <w:szCs w:val="24"/>
        </w:rPr>
        <w:t xml:space="preserve"> Maria </w:t>
      </w:r>
      <w:r w:rsidR="008D7695">
        <w:rPr>
          <w:rFonts w:ascii="Arial" w:hAnsi="Arial" w:cs="Arial"/>
          <w:sz w:val="24"/>
          <w:szCs w:val="24"/>
        </w:rPr>
        <w:t>will</w:t>
      </w:r>
      <w:r w:rsidR="00C83903">
        <w:rPr>
          <w:rFonts w:ascii="Arial" w:hAnsi="Arial" w:cs="Arial"/>
          <w:sz w:val="24"/>
          <w:szCs w:val="24"/>
        </w:rPr>
        <w:t xml:space="preserve"> </w:t>
      </w:r>
      <w:r w:rsidR="000C685C">
        <w:rPr>
          <w:rFonts w:ascii="Arial" w:hAnsi="Arial" w:cs="Arial"/>
          <w:sz w:val="24"/>
          <w:szCs w:val="24"/>
        </w:rPr>
        <w:t xml:space="preserve">then </w:t>
      </w:r>
      <w:r w:rsidR="00C83903">
        <w:rPr>
          <w:rFonts w:ascii="Arial" w:hAnsi="Arial" w:cs="Arial"/>
          <w:sz w:val="24"/>
          <w:szCs w:val="24"/>
        </w:rPr>
        <w:t xml:space="preserve">be entitled to be an assignee of at least a </w:t>
      </w:r>
      <w:r w:rsidR="007F2A7D">
        <w:rPr>
          <w:rFonts w:ascii="Arial" w:hAnsi="Arial" w:cs="Arial"/>
          <w:sz w:val="24"/>
          <w:szCs w:val="24"/>
        </w:rPr>
        <w:t xml:space="preserve">     </w:t>
      </w:r>
      <w:r w:rsidR="00C83903">
        <w:rPr>
          <w:rFonts w:ascii="Arial" w:hAnsi="Arial" w:cs="Arial"/>
          <w:sz w:val="24"/>
          <w:szCs w:val="24"/>
        </w:rPr>
        <w:t>50</w:t>
      </w:r>
      <w:r w:rsidR="007F2A7D">
        <w:rPr>
          <w:rFonts w:ascii="Arial" w:hAnsi="Arial" w:cs="Arial"/>
          <w:sz w:val="24"/>
          <w:szCs w:val="24"/>
        </w:rPr>
        <w:t xml:space="preserve"> per cent</w:t>
      </w:r>
      <w:r w:rsidR="00C83903">
        <w:rPr>
          <w:rFonts w:ascii="Arial" w:hAnsi="Arial" w:cs="Arial"/>
          <w:sz w:val="24"/>
          <w:szCs w:val="24"/>
        </w:rPr>
        <w:t xml:space="preserve"> interest </w:t>
      </w:r>
      <w:r w:rsidR="000C685C">
        <w:rPr>
          <w:rFonts w:ascii="Arial" w:hAnsi="Arial" w:cs="Arial"/>
          <w:sz w:val="24"/>
          <w:szCs w:val="24"/>
        </w:rPr>
        <w:t>(her share of the joint estate)</w:t>
      </w:r>
      <w:r w:rsidR="004634DD">
        <w:rPr>
          <w:rFonts w:ascii="Arial" w:hAnsi="Arial" w:cs="Arial"/>
          <w:sz w:val="24"/>
          <w:szCs w:val="24"/>
        </w:rPr>
        <w:t>,</w:t>
      </w:r>
      <w:r w:rsidR="000C685C">
        <w:rPr>
          <w:rFonts w:ascii="Arial" w:hAnsi="Arial" w:cs="Arial"/>
          <w:sz w:val="24"/>
          <w:szCs w:val="24"/>
        </w:rPr>
        <w:t xml:space="preserve"> </w:t>
      </w:r>
      <w:r w:rsidR="00C83903">
        <w:rPr>
          <w:rFonts w:ascii="Arial" w:hAnsi="Arial" w:cs="Arial"/>
          <w:sz w:val="24"/>
          <w:szCs w:val="24"/>
        </w:rPr>
        <w:t xml:space="preserve">plus her intestate share in the half share of the joint estate which makes up the estate of the deceased. All deceased’s children </w:t>
      </w:r>
      <w:r w:rsidR="008D7695">
        <w:rPr>
          <w:rFonts w:ascii="Arial" w:hAnsi="Arial" w:cs="Arial"/>
          <w:sz w:val="24"/>
          <w:szCs w:val="24"/>
        </w:rPr>
        <w:t>will</w:t>
      </w:r>
      <w:r w:rsidR="00C83903">
        <w:rPr>
          <w:rFonts w:ascii="Arial" w:hAnsi="Arial" w:cs="Arial"/>
          <w:sz w:val="24"/>
          <w:szCs w:val="24"/>
        </w:rPr>
        <w:t xml:space="preserve"> be entitled to be assignees to the extent of their intestate share in the half share of the joint estate that makes up the estate of the deceased. Thus</w:t>
      </w:r>
      <w:r w:rsidR="004634DD">
        <w:rPr>
          <w:rFonts w:ascii="Arial" w:hAnsi="Arial" w:cs="Arial"/>
          <w:sz w:val="24"/>
          <w:szCs w:val="24"/>
        </w:rPr>
        <w:t>,</w:t>
      </w:r>
      <w:r w:rsidR="00C83903">
        <w:rPr>
          <w:rFonts w:ascii="Arial" w:hAnsi="Arial" w:cs="Arial"/>
          <w:sz w:val="24"/>
          <w:szCs w:val="24"/>
        </w:rPr>
        <w:t xml:space="preserve"> if it is accepted that there </w:t>
      </w:r>
      <w:r w:rsidR="004634DD">
        <w:rPr>
          <w:rFonts w:ascii="Arial" w:hAnsi="Arial" w:cs="Arial"/>
          <w:sz w:val="24"/>
          <w:szCs w:val="24"/>
        </w:rPr>
        <w:t>are</w:t>
      </w:r>
      <w:r w:rsidR="00C83903">
        <w:rPr>
          <w:rFonts w:ascii="Arial" w:hAnsi="Arial" w:cs="Arial"/>
          <w:sz w:val="24"/>
          <w:szCs w:val="24"/>
        </w:rPr>
        <w:t xml:space="preserve"> </w:t>
      </w:r>
      <w:r w:rsidR="00D4599A">
        <w:rPr>
          <w:rFonts w:ascii="Arial" w:hAnsi="Arial" w:cs="Arial"/>
          <w:sz w:val="24"/>
          <w:szCs w:val="24"/>
        </w:rPr>
        <w:t>six</w:t>
      </w:r>
      <w:r w:rsidR="00C83903">
        <w:rPr>
          <w:rFonts w:ascii="Arial" w:hAnsi="Arial" w:cs="Arial"/>
          <w:sz w:val="24"/>
          <w:szCs w:val="24"/>
        </w:rPr>
        <w:t xml:space="preserve"> children</w:t>
      </w:r>
      <w:r w:rsidR="004634DD">
        <w:rPr>
          <w:rFonts w:ascii="Arial" w:hAnsi="Arial" w:cs="Arial"/>
          <w:sz w:val="24"/>
          <w:szCs w:val="24"/>
        </w:rPr>
        <w:t>,</w:t>
      </w:r>
      <w:r w:rsidR="00C83903">
        <w:rPr>
          <w:rFonts w:ascii="Arial" w:hAnsi="Arial" w:cs="Arial"/>
          <w:sz w:val="24"/>
          <w:szCs w:val="24"/>
        </w:rPr>
        <w:t xml:space="preserve"> and that the surviving spouse is to be regarded as a </w:t>
      </w:r>
      <w:r w:rsidR="000C685C">
        <w:rPr>
          <w:rFonts w:ascii="Arial" w:hAnsi="Arial" w:cs="Arial"/>
          <w:sz w:val="24"/>
          <w:szCs w:val="24"/>
        </w:rPr>
        <w:t xml:space="preserve">an </w:t>
      </w:r>
      <w:r w:rsidR="00D4599A">
        <w:rPr>
          <w:rFonts w:ascii="Arial" w:hAnsi="Arial" w:cs="Arial"/>
          <w:sz w:val="24"/>
          <w:szCs w:val="24"/>
        </w:rPr>
        <w:t>seventh</w:t>
      </w:r>
      <w:r w:rsidR="00C83903">
        <w:rPr>
          <w:rFonts w:ascii="Arial" w:hAnsi="Arial" w:cs="Arial"/>
          <w:sz w:val="24"/>
          <w:szCs w:val="24"/>
        </w:rPr>
        <w:t xml:space="preserve"> child for the purposes of intestate succession</w:t>
      </w:r>
      <w:r w:rsidR="0091638A">
        <w:rPr>
          <w:rFonts w:ascii="Arial" w:hAnsi="Arial" w:cs="Arial"/>
          <w:sz w:val="24"/>
          <w:szCs w:val="24"/>
        </w:rPr>
        <w:t>,</w:t>
      </w:r>
      <w:r w:rsidR="00C83903">
        <w:rPr>
          <w:rFonts w:ascii="Arial" w:hAnsi="Arial" w:cs="Arial"/>
          <w:sz w:val="24"/>
          <w:szCs w:val="24"/>
        </w:rPr>
        <w:t xml:space="preserve"> </w:t>
      </w:r>
      <w:r w:rsidR="000C0C02">
        <w:rPr>
          <w:rFonts w:ascii="Arial" w:hAnsi="Arial" w:cs="Arial"/>
          <w:sz w:val="24"/>
          <w:szCs w:val="24"/>
        </w:rPr>
        <w:t xml:space="preserve">each intestate heir </w:t>
      </w:r>
      <w:r w:rsidR="008D7695">
        <w:rPr>
          <w:rFonts w:ascii="Arial" w:hAnsi="Arial" w:cs="Arial"/>
          <w:sz w:val="24"/>
          <w:szCs w:val="24"/>
        </w:rPr>
        <w:t>will</w:t>
      </w:r>
      <w:r w:rsidR="000C0C02">
        <w:rPr>
          <w:rFonts w:ascii="Arial" w:hAnsi="Arial" w:cs="Arial"/>
          <w:sz w:val="24"/>
          <w:szCs w:val="24"/>
        </w:rPr>
        <w:t xml:space="preserve"> be entitled to be an assignee </w:t>
      </w:r>
      <w:r w:rsidR="00525A5F">
        <w:rPr>
          <w:rFonts w:ascii="Arial" w:hAnsi="Arial" w:cs="Arial"/>
          <w:sz w:val="24"/>
          <w:szCs w:val="24"/>
        </w:rPr>
        <w:t xml:space="preserve">of </w:t>
      </w:r>
      <w:r w:rsidR="008F3B63">
        <w:rPr>
          <w:rFonts w:ascii="Arial" w:hAnsi="Arial" w:cs="Arial"/>
          <w:sz w:val="24"/>
          <w:szCs w:val="24"/>
        </w:rPr>
        <w:t>one-</w:t>
      </w:r>
      <w:r w:rsidR="00D4599A">
        <w:rPr>
          <w:rFonts w:ascii="Arial" w:hAnsi="Arial" w:cs="Arial"/>
          <w:sz w:val="24"/>
          <w:szCs w:val="24"/>
        </w:rPr>
        <w:t>seventh</w:t>
      </w:r>
      <w:r w:rsidR="00BD4610">
        <w:rPr>
          <w:rFonts w:ascii="Arial" w:hAnsi="Arial" w:cs="Arial"/>
          <w:sz w:val="24"/>
          <w:szCs w:val="24"/>
        </w:rPr>
        <w:t xml:space="preserve"> </w:t>
      </w:r>
      <w:r w:rsidR="000C0C02">
        <w:rPr>
          <w:rFonts w:ascii="Arial" w:hAnsi="Arial" w:cs="Arial"/>
          <w:sz w:val="24"/>
          <w:szCs w:val="24"/>
        </w:rPr>
        <w:t xml:space="preserve">of the deceased’s </w:t>
      </w:r>
      <w:r w:rsidR="00BD4610">
        <w:rPr>
          <w:rFonts w:ascii="Arial" w:hAnsi="Arial" w:cs="Arial"/>
          <w:sz w:val="24"/>
          <w:szCs w:val="24"/>
        </w:rPr>
        <w:t>h</w:t>
      </w:r>
      <w:r w:rsidR="004350E2">
        <w:rPr>
          <w:rFonts w:ascii="Arial" w:hAnsi="Arial" w:cs="Arial"/>
          <w:sz w:val="24"/>
          <w:szCs w:val="24"/>
        </w:rPr>
        <w:t xml:space="preserve">alf interest in the lease, ie </w:t>
      </w:r>
      <w:r w:rsidR="00D4599A">
        <w:rPr>
          <w:rFonts w:ascii="Arial" w:hAnsi="Arial" w:cs="Arial"/>
          <w:sz w:val="24"/>
          <w:szCs w:val="24"/>
        </w:rPr>
        <w:t xml:space="preserve">just over </w:t>
      </w:r>
      <w:r w:rsidR="00D1182E">
        <w:rPr>
          <w:rFonts w:ascii="Arial" w:hAnsi="Arial" w:cs="Arial"/>
          <w:sz w:val="24"/>
          <w:szCs w:val="24"/>
        </w:rPr>
        <w:t>7,14</w:t>
      </w:r>
      <w:r w:rsidR="004350E2">
        <w:rPr>
          <w:rFonts w:ascii="Arial" w:hAnsi="Arial" w:cs="Arial"/>
          <w:sz w:val="24"/>
          <w:szCs w:val="24"/>
        </w:rPr>
        <w:t xml:space="preserve"> per cent</w:t>
      </w:r>
      <w:r w:rsidR="000C0C02">
        <w:rPr>
          <w:rFonts w:ascii="Arial" w:hAnsi="Arial" w:cs="Arial"/>
          <w:sz w:val="24"/>
          <w:szCs w:val="24"/>
        </w:rPr>
        <w:t xml:space="preserve">. This </w:t>
      </w:r>
      <w:r w:rsidR="008D7695">
        <w:rPr>
          <w:rFonts w:ascii="Arial" w:hAnsi="Arial" w:cs="Arial"/>
          <w:sz w:val="24"/>
          <w:szCs w:val="24"/>
        </w:rPr>
        <w:t>will</w:t>
      </w:r>
      <w:r w:rsidR="000C0C02">
        <w:rPr>
          <w:rFonts w:ascii="Arial" w:hAnsi="Arial" w:cs="Arial"/>
          <w:sz w:val="24"/>
          <w:szCs w:val="24"/>
        </w:rPr>
        <w:t xml:space="preserve"> mean </w:t>
      </w:r>
      <w:r w:rsidR="004350E2">
        <w:rPr>
          <w:rFonts w:ascii="Arial" w:hAnsi="Arial" w:cs="Arial"/>
          <w:sz w:val="24"/>
          <w:szCs w:val="24"/>
        </w:rPr>
        <w:t xml:space="preserve">that Maria </w:t>
      </w:r>
      <w:r w:rsidR="008D7695">
        <w:rPr>
          <w:rFonts w:ascii="Arial" w:hAnsi="Arial" w:cs="Arial"/>
          <w:sz w:val="24"/>
          <w:szCs w:val="24"/>
        </w:rPr>
        <w:t>will</w:t>
      </w:r>
      <w:r w:rsidR="004350E2">
        <w:rPr>
          <w:rFonts w:ascii="Arial" w:hAnsi="Arial" w:cs="Arial"/>
          <w:sz w:val="24"/>
          <w:szCs w:val="24"/>
        </w:rPr>
        <w:t xml:space="preserve"> </w:t>
      </w:r>
      <w:r w:rsidR="0091638A">
        <w:rPr>
          <w:rFonts w:ascii="Arial" w:hAnsi="Arial" w:cs="Arial"/>
          <w:sz w:val="24"/>
          <w:szCs w:val="24"/>
        </w:rPr>
        <w:t xml:space="preserve">be </w:t>
      </w:r>
      <w:r w:rsidR="004350E2">
        <w:rPr>
          <w:rFonts w:ascii="Arial" w:hAnsi="Arial" w:cs="Arial"/>
          <w:sz w:val="24"/>
          <w:szCs w:val="24"/>
        </w:rPr>
        <w:t>entitled to a</w:t>
      </w:r>
      <w:r w:rsidR="00D1182E">
        <w:rPr>
          <w:rFonts w:ascii="Arial" w:hAnsi="Arial" w:cs="Arial"/>
          <w:sz w:val="24"/>
          <w:szCs w:val="24"/>
        </w:rPr>
        <w:t>bout 7,14</w:t>
      </w:r>
      <w:r w:rsidR="004350E2">
        <w:rPr>
          <w:rFonts w:ascii="Arial" w:hAnsi="Arial" w:cs="Arial"/>
          <w:sz w:val="24"/>
          <w:szCs w:val="24"/>
        </w:rPr>
        <w:t xml:space="preserve"> per cent</w:t>
      </w:r>
      <w:r w:rsidR="000C0C02">
        <w:rPr>
          <w:rFonts w:ascii="Arial" w:hAnsi="Arial" w:cs="Arial"/>
          <w:sz w:val="24"/>
          <w:szCs w:val="24"/>
        </w:rPr>
        <w:t xml:space="preserve"> interest and each child </w:t>
      </w:r>
      <w:r w:rsidR="00D1182E">
        <w:rPr>
          <w:rFonts w:ascii="Arial" w:hAnsi="Arial" w:cs="Arial"/>
          <w:sz w:val="24"/>
          <w:szCs w:val="24"/>
        </w:rPr>
        <w:t xml:space="preserve">also </w:t>
      </w:r>
      <w:r w:rsidR="000C0C02">
        <w:rPr>
          <w:rFonts w:ascii="Arial" w:hAnsi="Arial" w:cs="Arial"/>
          <w:sz w:val="24"/>
          <w:szCs w:val="24"/>
        </w:rPr>
        <w:t>to</w:t>
      </w:r>
      <w:r w:rsidR="00D1182E">
        <w:rPr>
          <w:rFonts w:ascii="Arial" w:hAnsi="Arial" w:cs="Arial"/>
          <w:sz w:val="24"/>
          <w:szCs w:val="24"/>
        </w:rPr>
        <w:t xml:space="preserve"> about 7,14 p</w:t>
      </w:r>
      <w:r w:rsidR="004350E2">
        <w:rPr>
          <w:rFonts w:ascii="Arial" w:hAnsi="Arial" w:cs="Arial"/>
          <w:sz w:val="24"/>
          <w:szCs w:val="24"/>
        </w:rPr>
        <w:t>er cent.</w:t>
      </w:r>
      <w:r w:rsidR="000C0C02">
        <w:rPr>
          <w:rFonts w:ascii="Arial" w:hAnsi="Arial" w:cs="Arial"/>
          <w:sz w:val="24"/>
          <w:szCs w:val="24"/>
        </w:rPr>
        <w:t xml:space="preserve"> Of course, where </w:t>
      </w:r>
      <w:r w:rsidR="00D1182E">
        <w:rPr>
          <w:rFonts w:ascii="Arial" w:hAnsi="Arial" w:cs="Arial"/>
          <w:sz w:val="24"/>
          <w:szCs w:val="24"/>
        </w:rPr>
        <w:t xml:space="preserve">the </w:t>
      </w:r>
      <w:r w:rsidR="000C0C02">
        <w:rPr>
          <w:rFonts w:ascii="Arial" w:hAnsi="Arial" w:cs="Arial"/>
          <w:sz w:val="24"/>
          <w:szCs w:val="24"/>
        </w:rPr>
        <w:t>children renounce their</w:t>
      </w:r>
      <w:r w:rsidR="00525A5F">
        <w:rPr>
          <w:rFonts w:ascii="Arial" w:hAnsi="Arial" w:cs="Arial"/>
          <w:sz w:val="24"/>
          <w:szCs w:val="24"/>
        </w:rPr>
        <w:t xml:space="preserve"> benefit</w:t>
      </w:r>
      <w:r w:rsidR="000C0C02">
        <w:rPr>
          <w:rFonts w:ascii="Arial" w:hAnsi="Arial" w:cs="Arial"/>
          <w:sz w:val="24"/>
          <w:szCs w:val="24"/>
        </w:rPr>
        <w:t xml:space="preserve"> in favour of Maria</w:t>
      </w:r>
      <w:r w:rsidR="0091638A">
        <w:rPr>
          <w:rFonts w:ascii="Arial" w:hAnsi="Arial" w:cs="Arial"/>
          <w:sz w:val="24"/>
          <w:szCs w:val="24"/>
        </w:rPr>
        <w:t>,</w:t>
      </w:r>
      <w:r w:rsidR="000C0C02">
        <w:rPr>
          <w:rFonts w:ascii="Arial" w:hAnsi="Arial" w:cs="Arial"/>
          <w:sz w:val="24"/>
          <w:szCs w:val="24"/>
        </w:rPr>
        <w:t xml:space="preserve"> her inte</w:t>
      </w:r>
      <w:r w:rsidR="00525A5F">
        <w:rPr>
          <w:rFonts w:ascii="Arial" w:hAnsi="Arial" w:cs="Arial"/>
          <w:sz w:val="24"/>
          <w:szCs w:val="24"/>
        </w:rPr>
        <w:t xml:space="preserve">rest </w:t>
      </w:r>
      <w:r w:rsidR="008D7695">
        <w:rPr>
          <w:rFonts w:ascii="Arial" w:hAnsi="Arial" w:cs="Arial"/>
          <w:sz w:val="24"/>
          <w:szCs w:val="24"/>
        </w:rPr>
        <w:t>will</w:t>
      </w:r>
      <w:r w:rsidR="00525A5F">
        <w:rPr>
          <w:rFonts w:ascii="Arial" w:hAnsi="Arial" w:cs="Arial"/>
          <w:sz w:val="24"/>
          <w:szCs w:val="24"/>
        </w:rPr>
        <w:t xml:space="preserve"> increase accordingly.</w:t>
      </w:r>
    </w:p>
    <w:p w:rsidR="00DC16DD" w:rsidRDefault="00DC16DD" w:rsidP="00DC16DD">
      <w:pPr>
        <w:pStyle w:val="NoSpacing"/>
        <w:spacing w:line="480" w:lineRule="auto"/>
        <w:jc w:val="both"/>
        <w:rPr>
          <w:rFonts w:ascii="Arial" w:hAnsi="Arial" w:cs="Arial"/>
          <w:sz w:val="24"/>
          <w:szCs w:val="24"/>
        </w:rPr>
      </w:pPr>
    </w:p>
    <w:p w:rsidR="00DC16DD" w:rsidRDefault="000C0C02" w:rsidP="00DC16D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What kind of a proliferation of assignees</w:t>
      </w:r>
      <w:r w:rsidR="0091638A">
        <w:rPr>
          <w:rFonts w:ascii="Arial" w:hAnsi="Arial" w:cs="Arial"/>
          <w:sz w:val="24"/>
          <w:szCs w:val="24"/>
        </w:rPr>
        <w:t>,</w:t>
      </w:r>
      <w:r>
        <w:rPr>
          <w:rFonts w:ascii="Arial" w:hAnsi="Arial" w:cs="Arial"/>
          <w:sz w:val="24"/>
          <w:szCs w:val="24"/>
        </w:rPr>
        <w:t xml:space="preserve"> and in what shares the Commission and the Minister may accept seeing the objective of the allotment of leaseholds is not for me to say</w:t>
      </w:r>
      <w:r w:rsidR="0091638A">
        <w:rPr>
          <w:rFonts w:ascii="Arial" w:hAnsi="Arial" w:cs="Arial"/>
          <w:sz w:val="24"/>
          <w:szCs w:val="24"/>
        </w:rPr>
        <w:t>,</w:t>
      </w:r>
      <w:r>
        <w:rPr>
          <w:rFonts w:ascii="Arial" w:hAnsi="Arial" w:cs="Arial"/>
          <w:sz w:val="24"/>
          <w:szCs w:val="24"/>
        </w:rPr>
        <w:t xml:space="preserve"> but </w:t>
      </w:r>
      <w:r w:rsidR="0066737B">
        <w:rPr>
          <w:rFonts w:ascii="Arial" w:hAnsi="Arial" w:cs="Arial"/>
          <w:sz w:val="24"/>
          <w:szCs w:val="24"/>
        </w:rPr>
        <w:t xml:space="preserve">it goes without saying </w:t>
      </w:r>
      <w:r w:rsidR="006B0B9D">
        <w:rPr>
          <w:rFonts w:ascii="Arial" w:hAnsi="Arial" w:cs="Arial"/>
          <w:sz w:val="24"/>
          <w:szCs w:val="24"/>
        </w:rPr>
        <w:t xml:space="preserve">that the proliferation of assignees may be such that it </w:t>
      </w:r>
      <w:r w:rsidR="008D7695">
        <w:rPr>
          <w:rFonts w:ascii="Arial" w:hAnsi="Arial" w:cs="Arial"/>
          <w:sz w:val="24"/>
          <w:szCs w:val="24"/>
        </w:rPr>
        <w:t>will</w:t>
      </w:r>
      <w:r w:rsidR="006B0B9D">
        <w:rPr>
          <w:rFonts w:ascii="Arial" w:hAnsi="Arial" w:cs="Arial"/>
          <w:sz w:val="24"/>
          <w:szCs w:val="24"/>
        </w:rPr>
        <w:t xml:space="preserve"> no longer</w:t>
      </w:r>
      <w:r w:rsidR="0091638A">
        <w:rPr>
          <w:rFonts w:ascii="Arial" w:hAnsi="Arial" w:cs="Arial"/>
          <w:sz w:val="24"/>
          <w:szCs w:val="24"/>
        </w:rPr>
        <w:t xml:space="preserve"> serve the purpose for which 99 </w:t>
      </w:r>
      <w:r w:rsidR="006B0B9D">
        <w:rPr>
          <w:rFonts w:ascii="Arial" w:hAnsi="Arial" w:cs="Arial"/>
          <w:sz w:val="24"/>
          <w:szCs w:val="24"/>
        </w:rPr>
        <w:t>year leaseholds were intended. It is in such cases that redistribution agreements and other possible legal mechanisms should be considered by t</w:t>
      </w:r>
      <w:r w:rsidR="00525A5F">
        <w:rPr>
          <w:rFonts w:ascii="Arial" w:hAnsi="Arial" w:cs="Arial"/>
          <w:sz w:val="24"/>
          <w:szCs w:val="24"/>
        </w:rPr>
        <w:t xml:space="preserve">he beneficiaries of the estate or risk the non-approval of the suggested assignment by the Minister. </w:t>
      </w:r>
    </w:p>
    <w:p w:rsidR="00DC16DD" w:rsidRDefault="00DC16DD" w:rsidP="00DC16DD">
      <w:pPr>
        <w:pStyle w:val="NoSpacing"/>
        <w:spacing w:line="480" w:lineRule="auto"/>
        <w:jc w:val="both"/>
        <w:rPr>
          <w:rFonts w:ascii="Arial" w:hAnsi="Arial" w:cs="Arial"/>
          <w:sz w:val="24"/>
          <w:szCs w:val="24"/>
        </w:rPr>
      </w:pPr>
    </w:p>
    <w:p w:rsidR="00E56522" w:rsidRPr="00525A5F" w:rsidRDefault="00887FBC" w:rsidP="00DC16D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follows that as the decision of the Min</w:t>
      </w:r>
      <w:r w:rsidR="002C03C5">
        <w:rPr>
          <w:rFonts w:ascii="Arial" w:hAnsi="Arial" w:cs="Arial"/>
          <w:sz w:val="24"/>
          <w:szCs w:val="24"/>
        </w:rPr>
        <w:t>i</w:t>
      </w:r>
      <w:r>
        <w:rPr>
          <w:rFonts w:ascii="Arial" w:hAnsi="Arial" w:cs="Arial"/>
          <w:sz w:val="24"/>
          <w:szCs w:val="24"/>
        </w:rPr>
        <w:t xml:space="preserve">ster to withdraw the lease was set aside and </w:t>
      </w:r>
      <w:r w:rsidR="00770B7C">
        <w:rPr>
          <w:rFonts w:ascii="Arial" w:hAnsi="Arial" w:cs="Arial"/>
          <w:sz w:val="24"/>
          <w:szCs w:val="24"/>
        </w:rPr>
        <w:t xml:space="preserve">as </w:t>
      </w:r>
      <w:r>
        <w:rPr>
          <w:rFonts w:ascii="Arial" w:hAnsi="Arial" w:cs="Arial"/>
          <w:sz w:val="24"/>
          <w:szCs w:val="24"/>
        </w:rPr>
        <w:t>this decision is not on appeal</w:t>
      </w:r>
      <w:r w:rsidR="002C03C5">
        <w:rPr>
          <w:rFonts w:ascii="Arial" w:hAnsi="Arial" w:cs="Arial"/>
          <w:sz w:val="24"/>
          <w:szCs w:val="24"/>
        </w:rPr>
        <w:t>,</w:t>
      </w:r>
      <w:r>
        <w:rPr>
          <w:rFonts w:ascii="Arial" w:hAnsi="Arial" w:cs="Arial"/>
          <w:sz w:val="24"/>
          <w:szCs w:val="24"/>
        </w:rPr>
        <w:t xml:space="preserve"> an assignment afresh by the execut</w:t>
      </w:r>
      <w:r w:rsidR="00AE1B16">
        <w:rPr>
          <w:rFonts w:ascii="Arial" w:hAnsi="Arial" w:cs="Arial"/>
          <w:sz w:val="24"/>
          <w:szCs w:val="24"/>
        </w:rPr>
        <w:t>rix</w:t>
      </w:r>
      <w:r>
        <w:rPr>
          <w:rFonts w:ascii="Arial" w:hAnsi="Arial" w:cs="Arial"/>
          <w:sz w:val="24"/>
          <w:szCs w:val="24"/>
        </w:rPr>
        <w:t xml:space="preserve"> should be ordered for submission to the Commission so as to enable it to make recommendations to the Minister for approval. For this purpose</w:t>
      </w:r>
      <w:r w:rsidR="002C03C5">
        <w:rPr>
          <w:rFonts w:ascii="Arial" w:hAnsi="Arial" w:cs="Arial"/>
          <w:sz w:val="24"/>
          <w:szCs w:val="24"/>
        </w:rPr>
        <w:t>,</w:t>
      </w:r>
      <w:r>
        <w:rPr>
          <w:rFonts w:ascii="Arial" w:hAnsi="Arial" w:cs="Arial"/>
          <w:sz w:val="24"/>
          <w:szCs w:val="24"/>
        </w:rPr>
        <w:t xml:space="preserve"> it is obviously important to establish whether </w:t>
      </w:r>
      <w:r w:rsidR="00770B7C">
        <w:rPr>
          <w:rFonts w:ascii="Arial" w:hAnsi="Arial" w:cs="Arial"/>
          <w:sz w:val="24"/>
          <w:szCs w:val="24"/>
        </w:rPr>
        <w:t>the deceased left a valid and</w:t>
      </w:r>
      <w:r w:rsidR="002C03C5">
        <w:rPr>
          <w:rFonts w:ascii="Arial" w:hAnsi="Arial" w:cs="Arial"/>
          <w:sz w:val="24"/>
          <w:szCs w:val="24"/>
        </w:rPr>
        <w:t xml:space="preserve"> enforceable </w:t>
      </w:r>
      <w:r w:rsidR="004267EC">
        <w:rPr>
          <w:rFonts w:ascii="Arial" w:hAnsi="Arial" w:cs="Arial"/>
          <w:sz w:val="24"/>
          <w:szCs w:val="24"/>
        </w:rPr>
        <w:t>w</w:t>
      </w:r>
      <w:r w:rsidR="008D7695">
        <w:rPr>
          <w:rFonts w:ascii="Arial" w:hAnsi="Arial" w:cs="Arial"/>
          <w:sz w:val="24"/>
          <w:szCs w:val="24"/>
        </w:rPr>
        <w:t>ill</w:t>
      </w:r>
      <w:r w:rsidR="002C03C5">
        <w:rPr>
          <w:rFonts w:ascii="Arial" w:hAnsi="Arial" w:cs="Arial"/>
          <w:sz w:val="24"/>
          <w:szCs w:val="24"/>
        </w:rPr>
        <w:t xml:space="preserve"> as this </w:t>
      </w:r>
      <w:r w:rsidR="008D7695">
        <w:rPr>
          <w:rFonts w:ascii="Arial" w:hAnsi="Arial" w:cs="Arial"/>
          <w:sz w:val="24"/>
          <w:szCs w:val="24"/>
        </w:rPr>
        <w:t>will</w:t>
      </w:r>
      <w:r w:rsidR="002C03C5">
        <w:rPr>
          <w:rFonts w:ascii="Arial" w:hAnsi="Arial" w:cs="Arial"/>
          <w:sz w:val="24"/>
          <w:szCs w:val="24"/>
        </w:rPr>
        <w:t xml:space="preserve"> a</w:t>
      </w:r>
      <w:r w:rsidR="00770B7C">
        <w:rPr>
          <w:rFonts w:ascii="Arial" w:hAnsi="Arial" w:cs="Arial"/>
          <w:sz w:val="24"/>
          <w:szCs w:val="24"/>
        </w:rPr>
        <w:t xml:space="preserve">ffect </w:t>
      </w:r>
      <w:r w:rsidR="002C03C5">
        <w:rPr>
          <w:rFonts w:ascii="Arial" w:hAnsi="Arial" w:cs="Arial"/>
          <w:sz w:val="24"/>
          <w:szCs w:val="24"/>
        </w:rPr>
        <w:t xml:space="preserve">those </w:t>
      </w:r>
      <w:r w:rsidR="00770B7C">
        <w:rPr>
          <w:rFonts w:ascii="Arial" w:hAnsi="Arial" w:cs="Arial"/>
          <w:sz w:val="24"/>
          <w:szCs w:val="24"/>
        </w:rPr>
        <w:t xml:space="preserve">entitled to be assignees. </w:t>
      </w:r>
    </w:p>
    <w:p w:rsidR="00E56522" w:rsidRDefault="00E56522" w:rsidP="00DC16DD">
      <w:pPr>
        <w:pStyle w:val="NoSpacing"/>
        <w:spacing w:line="480" w:lineRule="auto"/>
        <w:jc w:val="both"/>
        <w:rPr>
          <w:rFonts w:ascii="Arial" w:hAnsi="Arial" w:cs="Arial"/>
          <w:sz w:val="24"/>
          <w:szCs w:val="24"/>
        </w:rPr>
      </w:pPr>
    </w:p>
    <w:p w:rsidR="00DC567A" w:rsidRPr="00DC567A" w:rsidRDefault="002C03C5" w:rsidP="00DC16DD">
      <w:pPr>
        <w:pStyle w:val="NoSpacing"/>
        <w:spacing w:line="480" w:lineRule="auto"/>
        <w:jc w:val="both"/>
        <w:rPr>
          <w:rFonts w:ascii="Arial" w:hAnsi="Arial" w:cs="Arial"/>
          <w:sz w:val="24"/>
          <w:szCs w:val="24"/>
          <w:u w:val="single"/>
        </w:rPr>
      </w:pPr>
      <w:r>
        <w:rPr>
          <w:rFonts w:ascii="Arial" w:hAnsi="Arial" w:cs="Arial"/>
          <w:sz w:val="24"/>
          <w:szCs w:val="24"/>
          <w:u w:val="single"/>
        </w:rPr>
        <w:t>Counter-</w:t>
      </w:r>
      <w:r w:rsidR="00DC567A" w:rsidRPr="00DC567A">
        <w:rPr>
          <w:rFonts w:ascii="Arial" w:hAnsi="Arial" w:cs="Arial"/>
          <w:sz w:val="24"/>
          <w:szCs w:val="24"/>
          <w:u w:val="single"/>
        </w:rPr>
        <w:t>application</w:t>
      </w:r>
    </w:p>
    <w:p w:rsidR="00DC16DD" w:rsidRDefault="0006081C" w:rsidP="00DC16D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Because of the conclusion reached in respect of the main application</w:t>
      </w:r>
      <w:r w:rsidR="002C03C5">
        <w:rPr>
          <w:rFonts w:ascii="Arial" w:hAnsi="Arial" w:cs="Arial"/>
          <w:sz w:val="24"/>
          <w:szCs w:val="24"/>
        </w:rPr>
        <w:t>,</w:t>
      </w:r>
      <w:r>
        <w:rPr>
          <w:rFonts w:ascii="Arial" w:hAnsi="Arial" w:cs="Arial"/>
          <w:sz w:val="24"/>
          <w:szCs w:val="24"/>
        </w:rPr>
        <w:t xml:space="preserve"> it is not strictly speaking necessary to deal with the coun</w:t>
      </w:r>
      <w:r w:rsidR="002C03C5">
        <w:rPr>
          <w:rFonts w:ascii="Arial" w:hAnsi="Arial" w:cs="Arial"/>
          <w:sz w:val="24"/>
          <w:szCs w:val="24"/>
        </w:rPr>
        <w:t>ter-</w:t>
      </w:r>
      <w:r>
        <w:rPr>
          <w:rFonts w:ascii="Arial" w:hAnsi="Arial" w:cs="Arial"/>
          <w:sz w:val="24"/>
          <w:szCs w:val="24"/>
        </w:rPr>
        <w:t xml:space="preserve">application as the court </w:t>
      </w:r>
      <w:r w:rsidRPr="0006081C">
        <w:rPr>
          <w:rFonts w:ascii="Arial" w:hAnsi="Arial" w:cs="Arial"/>
          <w:i/>
          <w:sz w:val="24"/>
          <w:szCs w:val="24"/>
        </w:rPr>
        <w:t>a quo</w:t>
      </w:r>
      <w:r>
        <w:rPr>
          <w:rFonts w:ascii="Arial" w:hAnsi="Arial" w:cs="Arial"/>
          <w:sz w:val="24"/>
          <w:szCs w:val="24"/>
        </w:rPr>
        <w:t xml:space="preserve"> held it was an irregular application and thus did not deal with it</w:t>
      </w:r>
      <w:r w:rsidR="002C03C5">
        <w:rPr>
          <w:rFonts w:ascii="Arial" w:hAnsi="Arial" w:cs="Arial"/>
          <w:sz w:val="24"/>
          <w:szCs w:val="24"/>
        </w:rPr>
        <w:t>,</w:t>
      </w:r>
      <w:r>
        <w:rPr>
          <w:rFonts w:ascii="Arial" w:hAnsi="Arial" w:cs="Arial"/>
          <w:sz w:val="24"/>
          <w:szCs w:val="24"/>
        </w:rPr>
        <w:t xml:space="preserve"> I do </w:t>
      </w:r>
      <w:r w:rsidR="004350E2">
        <w:rPr>
          <w:rFonts w:ascii="Arial" w:hAnsi="Arial" w:cs="Arial"/>
          <w:sz w:val="24"/>
          <w:szCs w:val="24"/>
        </w:rPr>
        <w:t xml:space="preserve">so </w:t>
      </w:r>
      <w:r>
        <w:rPr>
          <w:rFonts w:ascii="Arial" w:hAnsi="Arial" w:cs="Arial"/>
          <w:sz w:val="24"/>
          <w:szCs w:val="24"/>
        </w:rPr>
        <w:t>briefly.</w:t>
      </w:r>
    </w:p>
    <w:p w:rsidR="00DC16DD" w:rsidRDefault="00DC16DD" w:rsidP="00DC16DD">
      <w:pPr>
        <w:pStyle w:val="NoSpacing"/>
        <w:spacing w:line="480" w:lineRule="auto"/>
        <w:jc w:val="both"/>
        <w:rPr>
          <w:rFonts w:ascii="Arial" w:hAnsi="Arial" w:cs="Arial"/>
          <w:sz w:val="24"/>
          <w:szCs w:val="24"/>
        </w:rPr>
      </w:pPr>
    </w:p>
    <w:p w:rsidR="00DC16DD" w:rsidRDefault="0006081C" w:rsidP="00DC16D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is correct that there is no notice of motion accompanying the counter application that sets out the relief sought</w:t>
      </w:r>
      <w:r w:rsidR="00525A5F">
        <w:rPr>
          <w:rFonts w:ascii="Arial" w:hAnsi="Arial" w:cs="Arial"/>
          <w:sz w:val="24"/>
          <w:szCs w:val="24"/>
        </w:rPr>
        <w:t>. T</w:t>
      </w:r>
      <w:r>
        <w:rPr>
          <w:rFonts w:ascii="Arial" w:hAnsi="Arial" w:cs="Arial"/>
          <w:sz w:val="24"/>
          <w:szCs w:val="24"/>
        </w:rPr>
        <w:t xml:space="preserve">he basis for the counterclaim is </w:t>
      </w:r>
      <w:r w:rsidR="000455DA">
        <w:rPr>
          <w:rFonts w:ascii="Arial" w:hAnsi="Arial" w:cs="Arial"/>
          <w:sz w:val="24"/>
          <w:szCs w:val="24"/>
        </w:rPr>
        <w:t xml:space="preserve">laid in the answering affidavit and not in </w:t>
      </w:r>
      <w:r w:rsidR="004350E2">
        <w:rPr>
          <w:rFonts w:ascii="Arial" w:hAnsi="Arial" w:cs="Arial"/>
          <w:sz w:val="24"/>
          <w:szCs w:val="24"/>
        </w:rPr>
        <w:t>a separate</w:t>
      </w:r>
      <w:r w:rsidR="000455DA">
        <w:rPr>
          <w:rFonts w:ascii="Arial" w:hAnsi="Arial" w:cs="Arial"/>
          <w:sz w:val="24"/>
          <w:szCs w:val="24"/>
        </w:rPr>
        <w:t xml:space="preserve"> founding affidavit which can confuse the time limits for its finalisation because it is not clear whether the respondent in the main application must in reply deal with the counter application that form</w:t>
      </w:r>
      <w:r w:rsidR="002C03C5">
        <w:rPr>
          <w:rFonts w:ascii="Arial" w:hAnsi="Arial" w:cs="Arial"/>
          <w:sz w:val="24"/>
          <w:szCs w:val="24"/>
        </w:rPr>
        <w:t>s</w:t>
      </w:r>
      <w:r w:rsidR="000455DA">
        <w:rPr>
          <w:rFonts w:ascii="Arial" w:hAnsi="Arial" w:cs="Arial"/>
          <w:sz w:val="24"/>
          <w:szCs w:val="24"/>
        </w:rPr>
        <w:t xml:space="preserve"> part of the answering affidavit</w:t>
      </w:r>
      <w:r w:rsidR="002C03C5">
        <w:rPr>
          <w:rFonts w:ascii="Arial" w:hAnsi="Arial" w:cs="Arial"/>
          <w:sz w:val="24"/>
          <w:szCs w:val="24"/>
        </w:rPr>
        <w:t>,</w:t>
      </w:r>
      <w:r w:rsidR="000455DA">
        <w:rPr>
          <w:rFonts w:ascii="Arial" w:hAnsi="Arial" w:cs="Arial"/>
          <w:sz w:val="24"/>
          <w:szCs w:val="24"/>
        </w:rPr>
        <w:t xml:space="preserve"> or whether two affidavits in response to the answering affidavit ha</w:t>
      </w:r>
      <w:r w:rsidR="00525A5F">
        <w:rPr>
          <w:rFonts w:ascii="Arial" w:hAnsi="Arial" w:cs="Arial"/>
          <w:sz w:val="24"/>
          <w:szCs w:val="24"/>
        </w:rPr>
        <w:t>d</w:t>
      </w:r>
      <w:r w:rsidR="000455DA">
        <w:rPr>
          <w:rFonts w:ascii="Arial" w:hAnsi="Arial" w:cs="Arial"/>
          <w:sz w:val="24"/>
          <w:szCs w:val="24"/>
        </w:rPr>
        <w:t xml:space="preserve"> to be filed</w:t>
      </w:r>
      <w:r w:rsidR="002C03C5">
        <w:rPr>
          <w:rFonts w:ascii="Arial" w:hAnsi="Arial" w:cs="Arial"/>
          <w:sz w:val="24"/>
          <w:szCs w:val="24"/>
        </w:rPr>
        <w:t>,</w:t>
      </w:r>
      <w:r w:rsidR="000455DA">
        <w:rPr>
          <w:rFonts w:ascii="Arial" w:hAnsi="Arial" w:cs="Arial"/>
          <w:sz w:val="24"/>
          <w:szCs w:val="24"/>
        </w:rPr>
        <w:t xml:space="preserve"> namely</w:t>
      </w:r>
      <w:r w:rsidR="002C03C5">
        <w:rPr>
          <w:rFonts w:ascii="Arial" w:hAnsi="Arial" w:cs="Arial"/>
          <w:sz w:val="24"/>
          <w:szCs w:val="24"/>
        </w:rPr>
        <w:t>,</w:t>
      </w:r>
      <w:r w:rsidR="000455DA">
        <w:rPr>
          <w:rFonts w:ascii="Arial" w:hAnsi="Arial" w:cs="Arial"/>
          <w:sz w:val="24"/>
          <w:szCs w:val="24"/>
        </w:rPr>
        <w:t xml:space="preserve"> </w:t>
      </w:r>
      <w:r w:rsidR="00525A5F">
        <w:rPr>
          <w:rFonts w:ascii="Arial" w:hAnsi="Arial" w:cs="Arial"/>
          <w:sz w:val="24"/>
          <w:szCs w:val="24"/>
        </w:rPr>
        <w:t xml:space="preserve">a </w:t>
      </w:r>
      <w:r w:rsidR="000455DA">
        <w:rPr>
          <w:rFonts w:ascii="Arial" w:hAnsi="Arial" w:cs="Arial"/>
          <w:sz w:val="24"/>
          <w:szCs w:val="24"/>
        </w:rPr>
        <w:t>replying affidavit to the answering affidavit</w:t>
      </w:r>
      <w:r w:rsidR="002C03C5">
        <w:rPr>
          <w:rFonts w:ascii="Arial" w:hAnsi="Arial" w:cs="Arial"/>
          <w:sz w:val="24"/>
          <w:szCs w:val="24"/>
        </w:rPr>
        <w:t>,</w:t>
      </w:r>
      <w:r w:rsidR="000455DA">
        <w:rPr>
          <w:rFonts w:ascii="Arial" w:hAnsi="Arial" w:cs="Arial"/>
          <w:sz w:val="24"/>
          <w:szCs w:val="24"/>
        </w:rPr>
        <w:t xml:space="preserve"> and the answering affidavit to the </w:t>
      </w:r>
      <w:r w:rsidR="00BD6BD6">
        <w:rPr>
          <w:rFonts w:ascii="Arial" w:hAnsi="Arial" w:cs="Arial"/>
          <w:sz w:val="24"/>
          <w:szCs w:val="24"/>
        </w:rPr>
        <w:t>counter application which would then lead to a replying affidavit on the counter application.</w:t>
      </w:r>
    </w:p>
    <w:p w:rsidR="00DC16DD" w:rsidRDefault="00DC16DD" w:rsidP="00DC16DD">
      <w:pPr>
        <w:pStyle w:val="NoSpacing"/>
        <w:spacing w:line="480" w:lineRule="auto"/>
        <w:jc w:val="both"/>
        <w:rPr>
          <w:rFonts w:ascii="Arial" w:hAnsi="Arial" w:cs="Arial"/>
          <w:sz w:val="24"/>
          <w:szCs w:val="24"/>
        </w:rPr>
      </w:pPr>
    </w:p>
    <w:p w:rsidR="00DC16DD" w:rsidRDefault="006B765B" w:rsidP="00DC16D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is thus</w:t>
      </w:r>
      <w:r w:rsidR="00525A5F">
        <w:rPr>
          <w:rFonts w:ascii="Arial" w:hAnsi="Arial" w:cs="Arial"/>
          <w:sz w:val="24"/>
          <w:szCs w:val="24"/>
        </w:rPr>
        <w:t xml:space="preserve"> also</w:t>
      </w:r>
      <w:r>
        <w:rPr>
          <w:rFonts w:ascii="Arial" w:hAnsi="Arial" w:cs="Arial"/>
          <w:sz w:val="24"/>
          <w:szCs w:val="24"/>
        </w:rPr>
        <w:t xml:space="preserve"> correct that</w:t>
      </w:r>
      <w:r w:rsidR="002C03C5">
        <w:rPr>
          <w:rFonts w:ascii="Arial" w:hAnsi="Arial" w:cs="Arial"/>
          <w:sz w:val="24"/>
          <w:szCs w:val="24"/>
        </w:rPr>
        <w:t>,</w:t>
      </w:r>
      <w:r>
        <w:rPr>
          <w:rFonts w:ascii="Arial" w:hAnsi="Arial" w:cs="Arial"/>
          <w:sz w:val="24"/>
          <w:szCs w:val="24"/>
        </w:rPr>
        <w:t xml:space="preserve"> the counter application did not procedurally follow the usual practise and was irregular. This does </w:t>
      </w:r>
      <w:r w:rsidR="00755613">
        <w:rPr>
          <w:rFonts w:ascii="Arial" w:hAnsi="Arial" w:cs="Arial"/>
          <w:sz w:val="24"/>
          <w:szCs w:val="24"/>
        </w:rPr>
        <w:t xml:space="preserve">not </w:t>
      </w:r>
      <w:r>
        <w:rPr>
          <w:rFonts w:ascii="Arial" w:hAnsi="Arial" w:cs="Arial"/>
          <w:sz w:val="24"/>
          <w:szCs w:val="24"/>
        </w:rPr>
        <w:t>mean it was a nullity and unless Johannes could show prejudice because of the manner in which the counter application was brought</w:t>
      </w:r>
      <w:r w:rsidR="002C03C5">
        <w:rPr>
          <w:rFonts w:ascii="Arial" w:hAnsi="Arial" w:cs="Arial"/>
          <w:sz w:val="24"/>
          <w:szCs w:val="24"/>
        </w:rPr>
        <w:t>,</w:t>
      </w:r>
      <w:r>
        <w:rPr>
          <w:rFonts w:ascii="Arial" w:hAnsi="Arial" w:cs="Arial"/>
          <w:sz w:val="24"/>
          <w:szCs w:val="24"/>
        </w:rPr>
        <w:t xml:space="preserve"> it should not have been disregarded. Here it must be borne in mind that Johannes was legally represented and that the counter application and how to respond thereto might have caused confusion or prejudice to a layperson does not follow</w:t>
      </w:r>
      <w:r w:rsidR="002C03C5">
        <w:rPr>
          <w:rFonts w:ascii="Arial" w:hAnsi="Arial" w:cs="Arial"/>
          <w:sz w:val="24"/>
          <w:szCs w:val="24"/>
        </w:rPr>
        <w:t>,</w:t>
      </w:r>
      <w:r>
        <w:rPr>
          <w:rFonts w:ascii="Arial" w:hAnsi="Arial" w:cs="Arial"/>
          <w:sz w:val="24"/>
          <w:szCs w:val="24"/>
        </w:rPr>
        <w:t xml:space="preserve"> it had the same effect in this matter. </w:t>
      </w:r>
    </w:p>
    <w:p w:rsidR="00DC16DD" w:rsidRDefault="00DC16DD" w:rsidP="00DC16DD">
      <w:pPr>
        <w:pStyle w:val="NoSpacing"/>
        <w:spacing w:line="480" w:lineRule="auto"/>
        <w:jc w:val="both"/>
        <w:rPr>
          <w:rFonts w:ascii="Arial" w:hAnsi="Arial" w:cs="Arial"/>
          <w:sz w:val="24"/>
          <w:szCs w:val="24"/>
        </w:rPr>
      </w:pPr>
    </w:p>
    <w:p w:rsidR="00DC16DD" w:rsidRDefault="00E56522" w:rsidP="00DC16D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the answering affidavit to the main application</w:t>
      </w:r>
      <w:r w:rsidR="002C03C5">
        <w:rPr>
          <w:rFonts w:ascii="Arial" w:hAnsi="Arial" w:cs="Arial"/>
          <w:sz w:val="24"/>
          <w:szCs w:val="24"/>
        </w:rPr>
        <w:t>,</w:t>
      </w:r>
      <w:r>
        <w:rPr>
          <w:rFonts w:ascii="Arial" w:hAnsi="Arial" w:cs="Arial"/>
          <w:sz w:val="24"/>
          <w:szCs w:val="24"/>
        </w:rPr>
        <w:t xml:space="preserve"> Johannes was expressly forewarned that the answering affidavit in ‘Part II’ thereof </w:t>
      </w:r>
      <w:r w:rsidR="008D7695">
        <w:rPr>
          <w:rFonts w:ascii="Arial" w:hAnsi="Arial" w:cs="Arial"/>
          <w:sz w:val="24"/>
          <w:szCs w:val="24"/>
        </w:rPr>
        <w:t>will</w:t>
      </w:r>
      <w:r>
        <w:rPr>
          <w:rFonts w:ascii="Arial" w:hAnsi="Arial" w:cs="Arial"/>
          <w:sz w:val="24"/>
          <w:szCs w:val="24"/>
        </w:rPr>
        <w:t xml:space="preserve"> deal </w:t>
      </w:r>
      <w:r w:rsidR="004350E2">
        <w:rPr>
          <w:rFonts w:ascii="Arial" w:hAnsi="Arial" w:cs="Arial"/>
          <w:sz w:val="24"/>
          <w:szCs w:val="24"/>
        </w:rPr>
        <w:t xml:space="preserve">with a </w:t>
      </w:r>
      <w:r w:rsidR="00834A0B">
        <w:rPr>
          <w:rFonts w:ascii="Arial" w:hAnsi="Arial" w:cs="Arial"/>
          <w:sz w:val="24"/>
          <w:szCs w:val="24"/>
        </w:rPr>
        <w:t xml:space="preserve">counter application and the relief sought pursuant thereto. In ‘Part I’ of the answering affidavit the </w:t>
      </w:r>
      <w:r w:rsidR="00155808">
        <w:rPr>
          <w:rFonts w:ascii="Arial" w:hAnsi="Arial" w:cs="Arial"/>
          <w:sz w:val="24"/>
          <w:szCs w:val="24"/>
        </w:rPr>
        <w:t>founding affidavit is dealt with seriatim with reference to its paragraphs at the end whereof a prayer is sought seeking the dismissal of the application. Immediately thereafter</w:t>
      </w:r>
      <w:r w:rsidR="002C03C5">
        <w:rPr>
          <w:rFonts w:ascii="Arial" w:hAnsi="Arial" w:cs="Arial"/>
          <w:sz w:val="24"/>
          <w:szCs w:val="24"/>
        </w:rPr>
        <w:t>,</w:t>
      </w:r>
      <w:r w:rsidR="00155808">
        <w:rPr>
          <w:rFonts w:ascii="Arial" w:hAnsi="Arial" w:cs="Arial"/>
          <w:sz w:val="24"/>
          <w:szCs w:val="24"/>
        </w:rPr>
        <w:t xml:space="preserve"> under the heading</w:t>
      </w:r>
      <w:r w:rsidR="00A124DE">
        <w:rPr>
          <w:rFonts w:ascii="Arial" w:hAnsi="Arial" w:cs="Arial"/>
          <w:sz w:val="24"/>
          <w:szCs w:val="24"/>
        </w:rPr>
        <w:t>s</w:t>
      </w:r>
      <w:r w:rsidR="00155808">
        <w:rPr>
          <w:rFonts w:ascii="Arial" w:hAnsi="Arial" w:cs="Arial"/>
          <w:sz w:val="24"/>
          <w:szCs w:val="24"/>
        </w:rPr>
        <w:t xml:space="preserve"> ‘Part II</w:t>
      </w:r>
      <w:r w:rsidR="002C03C5">
        <w:rPr>
          <w:rFonts w:ascii="Arial" w:hAnsi="Arial" w:cs="Arial"/>
          <w:sz w:val="24"/>
          <w:szCs w:val="24"/>
        </w:rPr>
        <w:t>’</w:t>
      </w:r>
      <w:r w:rsidR="00155808">
        <w:rPr>
          <w:rFonts w:ascii="Arial" w:hAnsi="Arial" w:cs="Arial"/>
          <w:sz w:val="24"/>
          <w:szCs w:val="24"/>
        </w:rPr>
        <w:t xml:space="preserve"> and ‘Counter Application’</w:t>
      </w:r>
      <w:r w:rsidR="002C03C5">
        <w:rPr>
          <w:rFonts w:ascii="Arial" w:hAnsi="Arial" w:cs="Arial"/>
          <w:sz w:val="24"/>
          <w:szCs w:val="24"/>
        </w:rPr>
        <w:t>,</w:t>
      </w:r>
      <w:r w:rsidR="00155808">
        <w:rPr>
          <w:rFonts w:ascii="Arial" w:hAnsi="Arial" w:cs="Arial"/>
          <w:sz w:val="24"/>
          <w:szCs w:val="24"/>
        </w:rPr>
        <w:t xml:space="preserve"> and without reference to the founding affidavit at all</w:t>
      </w:r>
      <w:r w:rsidR="002C03C5">
        <w:rPr>
          <w:rFonts w:ascii="Arial" w:hAnsi="Arial" w:cs="Arial"/>
          <w:sz w:val="24"/>
          <w:szCs w:val="24"/>
        </w:rPr>
        <w:t>, the counter-</w:t>
      </w:r>
      <w:r w:rsidR="00155808">
        <w:rPr>
          <w:rFonts w:ascii="Arial" w:hAnsi="Arial" w:cs="Arial"/>
          <w:sz w:val="24"/>
          <w:szCs w:val="24"/>
        </w:rPr>
        <w:t xml:space="preserve">application is </w:t>
      </w:r>
      <w:r w:rsidR="00A124DE">
        <w:rPr>
          <w:rFonts w:ascii="Arial" w:hAnsi="Arial" w:cs="Arial"/>
          <w:sz w:val="24"/>
          <w:szCs w:val="24"/>
        </w:rPr>
        <w:t>articulated in 34 paragraphs. After the articulat</w:t>
      </w:r>
      <w:r w:rsidR="002C03C5">
        <w:rPr>
          <w:rFonts w:ascii="Arial" w:hAnsi="Arial" w:cs="Arial"/>
          <w:sz w:val="24"/>
          <w:szCs w:val="24"/>
        </w:rPr>
        <w:t>ion of the case for the counter-</w:t>
      </w:r>
      <w:r w:rsidR="00A124DE">
        <w:rPr>
          <w:rFonts w:ascii="Arial" w:hAnsi="Arial" w:cs="Arial"/>
          <w:sz w:val="24"/>
          <w:szCs w:val="24"/>
        </w:rPr>
        <w:t>claim</w:t>
      </w:r>
      <w:r w:rsidR="002C03C5">
        <w:rPr>
          <w:rFonts w:ascii="Arial" w:hAnsi="Arial" w:cs="Arial"/>
          <w:sz w:val="24"/>
          <w:szCs w:val="24"/>
        </w:rPr>
        <w:t>,</w:t>
      </w:r>
      <w:r w:rsidR="00A124DE">
        <w:rPr>
          <w:rFonts w:ascii="Arial" w:hAnsi="Arial" w:cs="Arial"/>
          <w:sz w:val="24"/>
          <w:szCs w:val="24"/>
        </w:rPr>
        <w:t xml:space="preserve"> the affidavit deals with the paragraphs containing prayers based on the facts and allegations made </w:t>
      </w:r>
      <w:r w:rsidR="0022020E">
        <w:rPr>
          <w:rFonts w:ascii="Arial" w:hAnsi="Arial" w:cs="Arial"/>
          <w:sz w:val="24"/>
          <w:szCs w:val="24"/>
        </w:rPr>
        <w:t>in</w:t>
      </w:r>
      <w:r w:rsidR="00A124DE">
        <w:rPr>
          <w:rFonts w:ascii="Arial" w:hAnsi="Arial" w:cs="Arial"/>
          <w:sz w:val="24"/>
          <w:szCs w:val="24"/>
        </w:rPr>
        <w:t xml:space="preserve"> the counter</w:t>
      </w:r>
      <w:r w:rsidR="0022020E">
        <w:rPr>
          <w:rFonts w:ascii="Arial" w:hAnsi="Arial" w:cs="Arial"/>
          <w:sz w:val="24"/>
          <w:szCs w:val="24"/>
        </w:rPr>
        <w:t xml:space="preserve"> application</w:t>
      </w:r>
      <w:r w:rsidR="00A124DE">
        <w:rPr>
          <w:rFonts w:ascii="Arial" w:hAnsi="Arial" w:cs="Arial"/>
          <w:sz w:val="24"/>
          <w:szCs w:val="24"/>
        </w:rPr>
        <w:t>.</w:t>
      </w:r>
    </w:p>
    <w:p w:rsidR="00DC16DD" w:rsidRDefault="00DC16DD" w:rsidP="00DC16DD">
      <w:pPr>
        <w:pStyle w:val="NoSpacing"/>
        <w:spacing w:line="480" w:lineRule="auto"/>
        <w:jc w:val="both"/>
        <w:rPr>
          <w:rFonts w:ascii="Arial" w:hAnsi="Arial" w:cs="Arial"/>
          <w:sz w:val="24"/>
          <w:szCs w:val="24"/>
        </w:rPr>
      </w:pPr>
    </w:p>
    <w:p w:rsidR="00DC16DD" w:rsidRDefault="00A124DE" w:rsidP="00DC16D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is not surprising that in the above context</w:t>
      </w:r>
      <w:r w:rsidR="002C03C5">
        <w:rPr>
          <w:rFonts w:ascii="Arial" w:hAnsi="Arial" w:cs="Arial"/>
          <w:sz w:val="24"/>
          <w:szCs w:val="24"/>
        </w:rPr>
        <w:t>,</w:t>
      </w:r>
      <w:r>
        <w:rPr>
          <w:rFonts w:ascii="Arial" w:hAnsi="Arial" w:cs="Arial"/>
          <w:sz w:val="24"/>
          <w:szCs w:val="24"/>
        </w:rPr>
        <w:t xml:space="preserve"> nothing was said suggesting that Johannes was prejudiced by the irregular manner in which the counterclaim was brought. In the absence of even an allegation of prejudice</w:t>
      </w:r>
      <w:r w:rsidR="002C03C5">
        <w:rPr>
          <w:rFonts w:ascii="Arial" w:hAnsi="Arial" w:cs="Arial"/>
          <w:sz w:val="24"/>
          <w:szCs w:val="24"/>
        </w:rPr>
        <w:t>,</w:t>
      </w:r>
      <w:r>
        <w:rPr>
          <w:rFonts w:ascii="Arial" w:hAnsi="Arial" w:cs="Arial"/>
          <w:sz w:val="24"/>
          <w:szCs w:val="24"/>
        </w:rPr>
        <w:t xml:space="preserve"> I am of the view that the counterclaim should have been dealt with.</w:t>
      </w:r>
    </w:p>
    <w:p w:rsidR="00DC16DD" w:rsidRDefault="00DC16DD" w:rsidP="00DC16DD">
      <w:pPr>
        <w:pStyle w:val="NoSpacing"/>
        <w:spacing w:line="480" w:lineRule="auto"/>
        <w:jc w:val="both"/>
        <w:rPr>
          <w:rFonts w:ascii="Arial" w:hAnsi="Arial" w:cs="Arial"/>
          <w:sz w:val="24"/>
          <w:szCs w:val="24"/>
        </w:rPr>
      </w:pPr>
    </w:p>
    <w:p w:rsidR="00DC16DD" w:rsidRDefault="00B97017" w:rsidP="00DC16D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counter application however does not add anything to what I have already stated. It seeks an or</w:t>
      </w:r>
      <w:r w:rsidR="002C03C5">
        <w:rPr>
          <w:rFonts w:ascii="Arial" w:hAnsi="Arial" w:cs="Arial"/>
          <w:sz w:val="24"/>
          <w:szCs w:val="24"/>
        </w:rPr>
        <w:t xml:space="preserve">der to declare the ‘purported’ </w:t>
      </w:r>
      <w:r w:rsidR="004267EC">
        <w:rPr>
          <w:rFonts w:ascii="Arial" w:hAnsi="Arial" w:cs="Arial"/>
          <w:sz w:val="24"/>
          <w:szCs w:val="24"/>
        </w:rPr>
        <w:t>w</w:t>
      </w:r>
      <w:r w:rsidR="008D7695">
        <w:rPr>
          <w:rFonts w:ascii="Arial" w:hAnsi="Arial" w:cs="Arial"/>
          <w:sz w:val="24"/>
          <w:szCs w:val="24"/>
        </w:rPr>
        <w:t>ill</w:t>
      </w:r>
      <w:r>
        <w:rPr>
          <w:rFonts w:ascii="Arial" w:hAnsi="Arial" w:cs="Arial"/>
          <w:sz w:val="24"/>
          <w:szCs w:val="24"/>
        </w:rPr>
        <w:t xml:space="preserve"> of the deceased invalid. For the reasons already mentioned</w:t>
      </w:r>
      <w:r w:rsidR="002C03C5">
        <w:rPr>
          <w:rFonts w:ascii="Arial" w:hAnsi="Arial" w:cs="Arial"/>
          <w:sz w:val="24"/>
          <w:szCs w:val="24"/>
        </w:rPr>
        <w:t>,</w:t>
      </w:r>
      <w:r>
        <w:rPr>
          <w:rFonts w:ascii="Arial" w:hAnsi="Arial" w:cs="Arial"/>
          <w:sz w:val="24"/>
          <w:szCs w:val="24"/>
        </w:rPr>
        <w:t xml:space="preserve"> </w:t>
      </w:r>
      <w:r w:rsidR="00755613">
        <w:rPr>
          <w:rFonts w:ascii="Arial" w:hAnsi="Arial" w:cs="Arial"/>
          <w:sz w:val="24"/>
          <w:szCs w:val="24"/>
        </w:rPr>
        <w:t xml:space="preserve">the validity of the </w:t>
      </w:r>
      <w:r w:rsidR="004267EC">
        <w:rPr>
          <w:rFonts w:ascii="Arial" w:hAnsi="Arial" w:cs="Arial"/>
          <w:sz w:val="24"/>
          <w:szCs w:val="24"/>
        </w:rPr>
        <w:t>w</w:t>
      </w:r>
      <w:r w:rsidR="008D7695">
        <w:rPr>
          <w:rFonts w:ascii="Arial" w:hAnsi="Arial" w:cs="Arial"/>
          <w:sz w:val="24"/>
          <w:szCs w:val="24"/>
        </w:rPr>
        <w:t>ill</w:t>
      </w:r>
      <w:r>
        <w:rPr>
          <w:rFonts w:ascii="Arial" w:hAnsi="Arial" w:cs="Arial"/>
          <w:sz w:val="24"/>
          <w:szCs w:val="24"/>
        </w:rPr>
        <w:t xml:space="preserve"> was not established as there is a factual dispute in this regard that needs to be reso</w:t>
      </w:r>
      <w:r w:rsidR="00AA4F5C">
        <w:rPr>
          <w:rFonts w:ascii="Arial" w:hAnsi="Arial" w:cs="Arial"/>
          <w:sz w:val="24"/>
          <w:szCs w:val="24"/>
        </w:rPr>
        <w:t>lved. It seeks books of account</w:t>
      </w:r>
      <w:r>
        <w:rPr>
          <w:rFonts w:ascii="Arial" w:hAnsi="Arial" w:cs="Arial"/>
          <w:sz w:val="24"/>
          <w:szCs w:val="24"/>
        </w:rPr>
        <w:t xml:space="preserve"> and vouchers from Johannes </w:t>
      </w:r>
      <w:r w:rsidR="00AA4F5C">
        <w:rPr>
          <w:rFonts w:ascii="Arial" w:hAnsi="Arial" w:cs="Arial"/>
          <w:sz w:val="24"/>
          <w:szCs w:val="24"/>
        </w:rPr>
        <w:t xml:space="preserve">to prove the expenditure he incurred in improving the farm that forms the subject matter of the lease. This is irrelevant to the dispute under consideration as Johannes does not claim anything in this regard in the main application. The order to review </w:t>
      </w:r>
      <w:r w:rsidR="00A80E19">
        <w:rPr>
          <w:rFonts w:ascii="Arial" w:hAnsi="Arial" w:cs="Arial"/>
          <w:sz w:val="24"/>
          <w:szCs w:val="24"/>
        </w:rPr>
        <w:t>the M</w:t>
      </w:r>
      <w:r w:rsidR="0022020E">
        <w:rPr>
          <w:rFonts w:ascii="Arial" w:hAnsi="Arial" w:cs="Arial"/>
          <w:sz w:val="24"/>
          <w:szCs w:val="24"/>
        </w:rPr>
        <w:t>inister</w:t>
      </w:r>
      <w:r w:rsidR="00A80E19">
        <w:rPr>
          <w:rFonts w:ascii="Arial" w:hAnsi="Arial" w:cs="Arial"/>
          <w:sz w:val="24"/>
          <w:szCs w:val="24"/>
        </w:rPr>
        <w:t>’s decision to withdraw the leasehold is of no moment as Johannes sought the order and the order is supported, albeit based on different considerations</w:t>
      </w:r>
      <w:r w:rsidR="0022020E">
        <w:rPr>
          <w:rFonts w:ascii="Arial" w:hAnsi="Arial" w:cs="Arial"/>
          <w:sz w:val="24"/>
          <w:szCs w:val="24"/>
        </w:rPr>
        <w:t>,</w:t>
      </w:r>
      <w:r w:rsidR="00A80E19">
        <w:rPr>
          <w:rFonts w:ascii="Arial" w:hAnsi="Arial" w:cs="Arial"/>
          <w:sz w:val="24"/>
          <w:szCs w:val="24"/>
        </w:rPr>
        <w:t xml:space="preserve"> by Maria and </w:t>
      </w:r>
      <w:r w:rsidR="002C03C5">
        <w:rPr>
          <w:rFonts w:ascii="Arial" w:hAnsi="Arial" w:cs="Arial"/>
          <w:sz w:val="24"/>
          <w:szCs w:val="24"/>
        </w:rPr>
        <w:t>her</w:t>
      </w:r>
      <w:r w:rsidR="00A80E19">
        <w:rPr>
          <w:rFonts w:ascii="Arial" w:hAnsi="Arial" w:cs="Arial"/>
          <w:sz w:val="24"/>
          <w:szCs w:val="24"/>
        </w:rPr>
        <w:t xml:space="preserve"> children. The order sought against the Commission </w:t>
      </w:r>
      <w:r w:rsidR="00D1172B">
        <w:rPr>
          <w:rFonts w:ascii="Arial" w:hAnsi="Arial" w:cs="Arial"/>
          <w:sz w:val="24"/>
          <w:szCs w:val="24"/>
        </w:rPr>
        <w:t>and the Minister to revisit their decision</w:t>
      </w:r>
      <w:r w:rsidR="0022020E">
        <w:rPr>
          <w:rFonts w:ascii="Arial" w:hAnsi="Arial" w:cs="Arial"/>
          <w:sz w:val="24"/>
          <w:szCs w:val="24"/>
        </w:rPr>
        <w:t xml:space="preserve">s </w:t>
      </w:r>
      <w:r w:rsidR="0022020E" w:rsidRPr="004350E2">
        <w:rPr>
          <w:rFonts w:ascii="Arial" w:hAnsi="Arial" w:cs="Arial"/>
          <w:sz w:val="24"/>
          <w:szCs w:val="24"/>
        </w:rPr>
        <w:t>is</w:t>
      </w:r>
      <w:r w:rsidR="00D1172B">
        <w:rPr>
          <w:rFonts w:ascii="Arial" w:hAnsi="Arial" w:cs="Arial"/>
          <w:sz w:val="24"/>
          <w:szCs w:val="24"/>
        </w:rPr>
        <w:t xml:space="preserve"> without merit as the assignee (Maria) forwarded to them </w:t>
      </w:r>
      <w:r w:rsidR="0022020E">
        <w:rPr>
          <w:rFonts w:ascii="Arial" w:hAnsi="Arial" w:cs="Arial"/>
          <w:sz w:val="24"/>
          <w:szCs w:val="24"/>
        </w:rPr>
        <w:t xml:space="preserve">by the executrix </w:t>
      </w:r>
      <w:r w:rsidR="00D1172B">
        <w:rPr>
          <w:rFonts w:ascii="Arial" w:hAnsi="Arial" w:cs="Arial"/>
          <w:sz w:val="24"/>
          <w:szCs w:val="24"/>
        </w:rPr>
        <w:t xml:space="preserve">for approval was not properly done as already indicated and correctly held by the court </w:t>
      </w:r>
      <w:r w:rsidR="00D1172B" w:rsidRPr="00D1172B">
        <w:rPr>
          <w:rFonts w:ascii="Arial" w:hAnsi="Arial" w:cs="Arial"/>
          <w:i/>
          <w:sz w:val="24"/>
          <w:szCs w:val="24"/>
        </w:rPr>
        <w:t>a quo</w:t>
      </w:r>
      <w:r w:rsidR="00D1172B">
        <w:rPr>
          <w:rFonts w:ascii="Arial" w:hAnsi="Arial" w:cs="Arial"/>
          <w:sz w:val="24"/>
          <w:szCs w:val="24"/>
        </w:rPr>
        <w:t xml:space="preserve"> </w:t>
      </w:r>
      <w:r w:rsidR="0022020E">
        <w:rPr>
          <w:rFonts w:ascii="Arial" w:hAnsi="Arial" w:cs="Arial"/>
          <w:sz w:val="24"/>
          <w:szCs w:val="24"/>
        </w:rPr>
        <w:t>to be i</w:t>
      </w:r>
      <w:r w:rsidR="00D1172B">
        <w:rPr>
          <w:rFonts w:ascii="Arial" w:hAnsi="Arial" w:cs="Arial"/>
          <w:sz w:val="24"/>
          <w:szCs w:val="24"/>
        </w:rPr>
        <w:t>neffectual. The order that the estate remains vested in the executrix pending the resolution of the application for approval as assignee simply follows from the fact that the assignment process has not been finalised as a matter of law and s</w:t>
      </w:r>
      <w:r w:rsidR="0022020E">
        <w:rPr>
          <w:rFonts w:ascii="Arial" w:hAnsi="Arial" w:cs="Arial"/>
          <w:sz w:val="24"/>
          <w:szCs w:val="24"/>
        </w:rPr>
        <w:t>uch order was thus unnecessary.</w:t>
      </w:r>
      <w:r w:rsidR="0022020E">
        <w:rPr>
          <w:rStyle w:val="FootnoteReference"/>
          <w:rFonts w:ascii="Arial" w:hAnsi="Arial" w:cs="Arial"/>
          <w:sz w:val="24"/>
          <w:szCs w:val="24"/>
        </w:rPr>
        <w:footnoteReference w:id="24"/>
      </w:r>
    </w:p>
    <w:p w:rsidR="00DC16DD" w:rsidRDefault="00DC16DD" w:rsidP="00DC16DD">
      <w:pPr>
        <w:pStyle w:val="NoSpacing"/>
        <w:spacing w:line="480" w:lineRule="auto"/>
        <w:jc w:val="both"/>
        <w:rPr>
          <w:rFonts w:ascii="Arial" w:hAnsi="Arial" w:cs="Arial"/>
          <w:sz w:val="24"/>
          <w:szCs w:val="24"/>
        </w:rPr>
      </w:pPr>
    </w:p>
    <w:p w:rsidR="00DC16DD" w:rsidRDefault="00264E2B" w:rsidP="00DC16D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follows </w:t>
      </w:r>
      <w:r w:rsidR="00D1172B">
        <w:rPr>
          <w:rFonts w:ascii="Arial" w:hAnsi="Arial" w:cs="Arial"/>
          <w:sz w:val="24"/>
          <w:szCs w:val="24"/>
        </w:rPr>
        <w:t>the fact that</w:t>
      </w:r>
      <w:r w:rsidR="002C03C5">
        <w:rPr>
          <w:rFonts w:ascii="Arial" w:hAnsi="Arial" w:cs="Arial"/>
          <w:sz w:val="24"/>
          <w:szCs w:val="24"/>
        </w:rPr>
        <w:t>,</w:t>
      </w:r>
      <w:r w:rsidR="00D1172B">
        <w:rPr>
          <w:rFonts w:ascii="Arial" w:hAnsi="Arial" w:cs="Arial"/>
          <w:sz w:val="24"/>
          <w:szCs w:val="24"/>
        </w:rPr>
        <w:t xml:space="preserve"> the court </w:t>
      </w:r>
      <w:r w:rsidR="00D1172B" w:rsidRPr="00D1172B">
        <w:rPr>
          <w:rFonts w:ascii="Arial" w:hAnsi="Arial" w:cs="Arial"/>
          <w:i/>
          <w:sz w:val="24"/>
          <w:szCs w:val="24"/>
        </w:rPr>
        <w:t>a quo</w:t>
      </w:r>
      <w:r w:rsidR="00D1172B">
        <w:rPr>
          <w:rFonts w:ascii="Arial" w:hAnsi="Arial" w:cs="Arial"/>
          <w:sz w:val="24"/>
          <w:szCs w:val="24"/>
        </w:rPr>
        <w:t xml:space="preserve"> </w:t>
      </w:r>
      <w:r w:rsidR="009D3890">
        <w:rPr>
          <w:rFonts w:ascii="Arial" w:hAnsi="Arial" w:cs="Arial"/>
          <w:sz w:val="24"/>
          <w:szCs w:val="24"/>
        </w:rPr>
        <w:t xml:space="preserve">did </w:t>
      </w:r>
      <w:r w:rsidR="00D1172B">
        <w:rPr>
          <w:rFonts w:ascii="Arial" w:hAnsi="Arial" w:cs="Arial"/>
          <w:sz w:val="24"/>
          <w:szCs w:val="24"/>
        </w:rPr>
        <w:t>not deal</w:t>
      </w:r>
      <w:r w:rsidR="00867626">
        <w:rPr>
          <w:rFonts w:ascii="Arial" w:hAnsi="Arial" w:cs="Arial"/>
          <w:sz w:val="24"/>
          <w:szCs w:val="24"/>
        </w:rPr>
        <w:t xml:space="preserve"> </w:t>
      </w:r>
      <w:r w:rsidR="00D1172B">
        <w:rPr>
          <w:rFonts w:ascii="Arial" w:hAnsi="Arial" w:cs="Arial"/>
          <w:sz w:val="24"/>
          <w:szCs w:val="24"/>
        </w:rPr>
        <w:t>with the counter application was not to the detriment of the appellant</w:t>
      </w:r>
      <w:r w:rsidR="009D3890">
        <w:rPr>
          <w:rFonts w:ascii="Arial" w:hAnsi="Arial" w:cs="Arial"/>
          <w:sz w:val="24"/>
          <w:szCs w:val="24"/>
        </w:rPr>
        <w:t>s</w:t>
      </w:r>
      <w:r w:rsidR="00D1172B">
        <w:rPr>
          <w:rFonts w:ascii="Arial" w:hAnsi="Arial" w:cs="Arial"/>
          <w:sz w:val="24"/>
          <w:szCs w:val="24"/>
        </w:rPr>
        <w:t xml:space="preserve"> as it was without merit in any event. </w:t>
      </w:r>
    </w:p>
    <w:p w:rsidR="00DC16DD" w:rsidRDefault="00DC16DD" w:rsidP="00DC16DD">
      <w:pPr>
        <w:pStyle w:val="NoSpacing"/>
        <w:spacing w:line="480" w:lineRule="auto"/>
        <w:jc w:val="both"/>
        <w:rPr>
          <w:rFonts w:ascii="Arial" w:hAnsi="Arial" w:cs="Arial"/>
          <w:sz w:val="24"/>
          <w:szCs w:val="24"/>
        </w:rPr>
      </w:pPr>
    </w:p>
    <w:p w:rsidR="00D1172B" w:rsidRPr="00D1172B" w:rsidRDefault="00D1172B" w:rsidP="00DC16DD">
      <w:pPr>
        <w:pStyle w:val="NoSpacing"/>
        <w:spacing w:line="480" w:lineRule="auto"/>
        <w:jc w:val="both"/>
        <w:rPr>
          <w:rFonts w:ascii="Arial" w:hAnsi="Arial" w:cs="Arial"/>
          <w:sz w:val="24"/>
          <w:szCs w:val="24"/>
          <w:u w:val="single"/>
        </w:rPr>
      </w:pPr>
      <w:r w:rsidRPr="00D1172B">
        <w:rPr>
          <w:rFonts w:ascii="Arial" w:hAnsi="Arial" w:cs="Arial"/>
          <w:sz w:val="24"/>
          <w:szCs w:val="24"/>
          <w:u w:val="single"/>
        </w:rPr>
        <w:t>Conclusion</w:t>
      </w:r>
    </w:p>
    <w:p w:rsidR="00DC16DD" w:rsidRDefault="00D1172B" w:rsidP="00DC16D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As the Minister’s decision to withdraw the lease ha</w:t>
      </w:r>
      <w:r w:rsidR="00264E2B">
        <w:rPr>
          <w:rFonts w:ascii="Arial" w:hAnsi="Arial" w:cs="Arial"/>
          <w:sz w:val="24"/>
          <w:szCs w:val="24"/>
        </w:rPr>
        <w:t>s</w:t>
      </w:r>
      <w:r>
        <w:rPr>
          <w:rFonts w:ascii="Arial" w:hAnsi="Arial" w:cs="Arial"/>
          <w:sz w:val="24"/>
          <w:szCs w:val="24"/>
        </w:rPr>
        <w:t xml:space="preserve"> been </w:t>
      </w:r>
      <w:r w:rsidR="004A1B90">
        <w:rPr>
          <w:rFonts w:ascii="Arial" w:hAnsi="Arial" w:cs="Arial"/>
          <w:sz w:val="24"/>
          <w:szCs w:val="24"/>
        </w:rPr>
        <w:t>set aside</w:t>
      </w:r>
      <w:r w:rsidR="002C03C5">
        <w:rPr>
          <w:rFonts w:ascii="Arial" w:hAnsi="Arial" w:cs="Arial"/>
          <w:sz w:val="24"/>
          <w:szCs w:val="24"/>
        </w:rPr>
        <w:t>,</w:t>
      </w:r>
      <w:r w:rsidR="004A1B90">
        <w:rPr>
          <w:rFonts w:ascii="Arial" w:hAnsi="Arial" w:cs="Arial"/>
          <w:sz w:val="24"/>
          <w:szCs w:val="24"/>
        </w:rPr>
        <w:t xml:space="preserve"> it follows that the lease is still in p</w:t>
      </w:r>
      <w:r w:rsidR="00264E2B">
        <w:rPr>
          <w:rFonts w:ascii="Arial" w:hAnsi="Arial" w:cs="Arial"/>
          <w:sz w:val="24"/>
          <w:szCs w:val="24"/>
        </w:rPr>
        <w:t>lace and vested in the execut</w:t>
      </w:r>
      <w:r w:rsidR="0022020E">
        <w:rPr>
          <w:rFonts w:ascii="Arial" w:hAnsi="Arial" w:cs="Arial"/>
          <w:sz w:val="24"/>
          <w:szCs w:val="24"/>
        </w:rPr>
        <w:t>rix</w:t>
      </w:r>
      <w:r w:rsidR="004A1B90">
        <w:rPr>
          <w:rFonts w:ascii="Arial" w:hAnsi="Arial" w:cs="Arial"/>
          <w:sz w:val="24"/>
          <w:szCs w:val="24"/>
        </w:rPr>
        <w:t xml:space="preserve"> of the estate. </w:t>
      </w:r>
    </w:p>
    <w:p w:rsidR="00DC16DD" w:rsidRDefault="00DC16DD" w:rsidP="00DC16DD">
      <w:pPr>
        <w:pStyle w:val="NoSpacing"/>
        <w:spacing w:line="480" w:lineRule="auto"/>
        <w:jc w:val="both"/>
        <w:rPr>
          <w:rFonts w:ascii="Arial" w:hAnsi="Arial" w:cs="Arial"/>
          <w:sz w:val="24"/>
          <w:szCs w:val="24"/>
        </w:rPr>
      </w:pPr>
    </w:p>
    <w:p w:rsidR="00DC16DD" w:rsidRDefault="00264E2B" w:rsidP="00DC16D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As both applications to be recognis</w:t>
      </w:r>
      <w:r w:rsidR="0022020E">
        <w:rPr>
          <w:rFonts w:ascii="Arial" w:hAnsi="Arial" w:cs="Arial"/>
          <w:sz w:val="24"/>
          <w:szCs w:val="24"/>
        </w:rPr>
        <w:t>ed as assignees of the lease</w:t>
      </w:r>
      <w:r>
        <w:rPr>
          <w:rFonts w:ascii="Arial" w:hAnsi="Arial" w:cs="Arial"/>
          <w:sz w:val="24"/>
          <w:szCs w:val="24"/>
        </w:rPr>
        <w:t xml:space="preserve"> did not comply with the law relating to succession </w:t>
      </w:r>
      <w:r w:rsidR="000D433C">
        <w:rPr>
          <w:rFonts w:ascii="Arial" w:hAnsi="Arial" w:cs="Arial"/>
          <w:sz w:val="24"/>
          <w:szCs w:val="24"/>
        </w:rPr>
        <w:t>they were</w:t>
      </w:r>
      <w:r>
        <w:rPr>
          <w:rFonts w:ascii="Arial" w:hAnsi="Arial" w:cs="Arial"/>
          <w:sz w:val="24"/>
          <w:szCs w:val="24"/>
        </w:rPr>
        <w:t xml:space="preserve"> defective and should not have been considered by either the Commission or the Minister. </w:t>
      </w:r>
    </w:p>
    <w:p w:rsidR="004350E2" w:rsidRDefault="004350E2" w:rsidP="004350E2">
      <w:pPr>
        <w:pStyle w:val="NoSpacing"/>
        <w:spacing w:line="480" w:lineRule="auto"/>
        <w:jc w:val="both"/>
        <w:rPr>
          <w:rFonts w:ascii="Arial" w:hAnsi="Arial" w:cs="Arial"/>
          <w:sz w:val="24"/>
          <w:szCs w:val="24"/>
        </w:rPr>
      </w:pPr>
    </w:p>
    <w:p w:rsidR="00DC16DD" w:rsidRDefault="000D433C" w:rsidP="00DC16D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Because the lease forms part of the joint estate created by the marriage in community of property between Maria and the deceased</w:t>
      </w:r>
      <w:r w:rsidR="00511123">
        <w:rPr>
          <w:rFonts w:ascii="Arial" w:hAnsi="Arial" w:cs="Arial"/>
          <w:sz w:val="24"/>
          <w:szCs w:val="24"/>
        </w:rPr>
        <w:t>,</w:t>
      </w:r>
      <w:r>
        <w:rPr>
          <w:rFonts w:ascii="Arial" w:hAnsi="Arial" w:cs="Arial"/>
          <w:sz w:val="24"/>
          <w:szCs w:val="24"/>
        </w:rPr>
        <w:t xml:space="preserve"> she is entitled to be an assignee to </w:t>
      </w:r>
      <w:r w:rsidR="0022020E">
        <w:rPr>
          <w:rFonts w:ascii="Arial" w:hAnsi="Arial" w:cs="Arial"/>
          <w:sz w:val="24"/>
          <w:szCs w:val="24"/>
        </w:rPr>
        <w:t>at least</w:t>
      </w:r>
      <w:r>
        <w:rPr>
          <w:rFonts w:ascii="Arial" w:hAnsi="Arial" w:cs="Arial"/>
          <w:sz w:val="24"/>
          <w:szCs w:val="24"/>
        </w:rPr>
        <w:t xml:space="preserve"> 50</w:t>
      </w:r>
      <w:r w:rsidR="007F2A7D">
        <w:rPr>
          <w:rFonts w:ascii="Arial" w:hAnsi="Arial" w:cs="Arial"/>
          <w:sz w:val="24"/>
          <w:szCs w:val="24"/>
        </w:rPr>
        <w:t xml:space="preserve"> per cent</w:t>
      </w:r>
      <w:r>
        <w:rPr>
          <w:rFonts w:ascii="Arial" w:hAnsi="Arial" w:cs="Arial"/>
          <w:sz w:val="24"/>
          <w:szCs w:val="24"/>
        </w:rPr>
        <w:t xml:space="preserve"> interest in the lease.</w:t>
      </w:r>
    </w:p>
    <w:p w:rsidR="00DC16DD" w:rsidRDefault="00DC16DD" w:rsidP="00DC16DD">
      <w:pPr>
        <w:pStyle w:val="NoSpacing"/>
        <w:spacing w:line="480" w:lineRule="auto"/>
        <w:jc w:val="both"/>
        <w:rPr>
          <w:rFonts w:ascii="Arial" w:hAnsi="Arial" w:cs="Arial"/>
          <w:sz w:val="24"/>
          <w:szCs w:val="24"/>
        </w:rPr>
      </w:pPr>
    </w:p>
    <w:p w:rsidR="00DC16DD" w:rsidRDefault="000D433C" w:rsidP="00DC16DD">
      <w:pPr>
        <w:pStyle w:val="NoSpacing"/>
        <w:numPr>
          <w:ilvl w:val="0"/>
          <w:numId w:val="1"/>
        </w:numPr>
        <w:spacing w:line="480" w:lineRule="auto"/>
        <w:ind w:left="0" w:firstLine="0"/>
        <w:jc w:val="both"/>
        <w:rPr>
          <w:rFonts w:ascii="Arial" w:hAnsi="Arial" w:cs="Arial"/>
          <w:sz w:val="24"/>
          <w:szCs w:val="24"/>
        </w:rPr>
      </w:pPr>
      <w:r w:rsidRPr="00590918">
        <w:rPr>
          <w:rFonts w:ascii="Arial" w:hAnsi="Arial" w:cs="Arial"/>
          <w:sz w:val="24"/>
          <w:szCs w:val="24"/>
        </w:rPr>
        <w:t>As far as the 50</w:t>
      </w:r>
      <w:r w:rsidR="007F2A7D" w:rsidRPr="00590918">
        <w:rPr>
          <w:rFonts w:ascii="Arial" w:hAnsi="Arial" w:cs="Arial"/>
          <w:sz w:val="24"/>
          <w:szCs w:val="24"/>
        </w:rPr>
        <w:t xml:space="preserve"> per cent</w:t>
      </w:r>
      <w:r w:rsidRPr="00590918">
        <w:rPr>
          <w:rFonts w:ascii="Arial" w:hAnsi="Arial" w:cs="Arial"/>
          <w:sz w:val="24"/>
          <w:szCs w:val="24"/>
        </w:rPr>
        <w:t xml:space="preserve"> </w:t>
      </w:r>
      <w:r w:rsidR="0022020E" w:rsidRPr="00590918">
        <w:rPr>
          <w:rFonts w:ascii="Arial" w:hAnsi="Arial" w:cs="Arial"/>
          <w:sz w:val="24"/>
          <w:szCs w:val="24"/>
        </w:rPr>
        <w:t xml:space="preserve">interest </w:t>
      </w:r>
      <w:r w:rsidRPr="00590918">
        <w:rPr>
          <w:rFonts w:ascii="Arial" w:hAnsi="Arial" w:cs="Arial"/>
          <w:sz w:val="24"/>
          <w:szCs w:val="24"/>
        </w:rPr>
        <w:t>of the deceased in the lease is concerned</w:t>
      </w:r>
      <w:r w:rsidR="0001028D">
        <w:rPr>
          <w:rFonts w:ascii="Arial" w:hAnsi="Arial" w:cs="Arial"/>
          <w:sz w:val="24"/>
          <w:szCs w:val="24"/>
        </w:rPr>
        <w:t>,</w:t>
      </w:r>
      <w:r w:rsidRPr="00590918">
        <w:rPr>
          <w:rFonts w:ascii="Arial" w:hAnsi="Arial" w:cs="Arial"/>
          <w:sz w:val="24"/>
          <w:szCs w:val="24"/>
        </w:rPr>
        <w:t xml:space="preserve"> the persons entitled to be assignees in respect thereof are to be determined by the law</w:t>
      </w:r>
      <w:r w:rsidR="00511123">
        <w:rPr>
          <w:rFonts w:ascii="Arial" w:hAnsi="Arial" w:cs="Arial"/>
          <w:sz w:val="24"/>
          <w:szCs w:val="24"/>
        </w:rPr>
        <w:t xml:space="preserve"> of succession. If the alleged </w:t>
      </w:r>
      <w:r w:rsidR="004267EC">
        <w:rPr>
          <w:rFonts w:ascii="Arial" w:hAnsi="Arial" w:cs="Arial"/>
          <w:sz w:val="24"/>
          <w:szCs w:val="24"/>
        </w:rPr>
        <w:t>w</w:t>
      </w:r>
      <w:r w:rsidR="008D7695">
        <w:rPr>
          <w:rFonts w:ascii="Arial" w:hAnsi="Arial" w:cs="Arial"/>
          <w:sz w:val="24"/>
          <w:szCs w:val="24"/>
        </w:rPr>
        <w:t>ill</w:t>
      </w:r>
      <w:r w:rsidRPr="00590918">
        <w:rPr>
          <w:rFonts w:ascii="Arial" w:hAnsi="Arial" w:cs="Arial"/>
          <w:sz w:val="24"/>
          <w:szCs w:val="24"/>
        </w:rPr>
        <w:t xml:space="preserve"> is accepted as valid and applicable</w:t>
      </w:r>
      <w:r w:rsidR="00511123">
        <w:rPr>
          <w:rFonts w:ascii="Arial" w:hAnsi="Arial" w:cs="Arial"/>
          <w:sz w:val="24"/>
          <w:szCs w:val="24"/>
        </w:rPr>
        <w:t>,</w:t>
      </w:r>
      <w:r w:rsidRPr="00590918">
        <w:rPr>
          <w:rFonts w:ascii="Arial" w:hAnsi="Arial" w:cs="Arial"/>
          <w:sz w:val="24"/>
          <w:szCs w:val="24"/>
        </w:rPr>
        <w:t xml:space="preserve"> then Johannes </w:t>
      </w:r>
      <w:r w:rsidR="008D7695">
        <w:rPr>
          <w:rFonts w:ascii="Arial" w:hAnsi="Arial" w:cs="Arial"/>
          <w:sz w:val="24"/>
          <w:szCs w:val="24"/>
        </w:rPr>
        <w:t>will</w:t>
      </w:r>
      <w:r w:rsidRPr="00590918">
        <w:rPr>
          <w:rFonts w:ascii="Arial" w:hAnsi="Arial" w:cs="Arial"/>
          <w:sz w:val="24"/>
          <w:szCs w:val="24"/>
        </w:rPr>
        <w:t xml:space="preserve"> be entitled to be the assignee in respect of the full 50</w:t>
      </w:r>
      <w:r w:rsidR="004350E2" w:rsidRPr="00590918">
        <w:rPr>
          <w:rFonts w:ascii="Arial" w:hAnsi="Arial" w:cs="Arial"/>
          <w:sz w:val="24"/>
          <w:szCs w:val="24"/>
        </w:rPr>
        <w:t xml:space="preserve"> per cent</w:t>
      </w:r>
      <w:r w:rsidRPr="00590918">
        <w:rPr>
          <w:rFonts w:ascii="Arial" w:hAnsi="Arial" w:cs="Arial"/>
          <w:sz w:val="24"/>
          <w:szCs w:val="24"/>
        </w:rPr>
        <w:t xml:space="preserve"> interest that the deceased had in the lease. If the </w:t>
      </w:r>
      <w:r w:rsidR="00935069" w:rsidRPr="00590918">
        <w:rPr>
          <w:rFonts w:ascii="Arial" w:hAnsi="Arial" w:cs="Arial"/>
          <w:sz w:val="24"/>
          <w:szCs w:val="24"/>
        </w:rPr>
        <w:t>assignees are</w:t>
      </w:r>
      <w:r w:rsidRPr="00590918">
        <w:rPr>
          <w:rFonts w:ascii="Arial" w:hAnsi="Arial" w:cs="Arial"/>
          <w:sz w:val="24"/>
          <w:szCs w:val="24"/>
        </w:rPr>
        <w:t xml:space="preserve"> to be determined on an intestate </w:t>
      </w:r>
      <w:r w:rsidR="00590918">
        <w:rPr>
          <w:rFonts w:ascii="Arial" w:hAnsi="Arial" w:cs="Arial"/>
          <w:sz w:val="24"/>
          <w:szCs w:val="24"/>
        </w:rPr>
        <w:t xml:space="preserve">succession </w:t>
      </w:r>
      <w:r w:rsidRPr="00590918">
        <w:rPr>
          <w:rFonts w:ascii="Arial" w:hAnsi="Arial" w:cs="Arial"/>
          <w:sz w:val="24"/>
          <w:szCs w:val="24"/>
        </w:rPr>
        <w:t>basis</w:t>
      </w:r>
      <w:r w:rsidR="00511123">
        <w:rPr>
          <w:rFonts w:ascii="Arial" w:hAnsi="Arial" w:cs="Arial"/>
          <w:sz w:val="24"/>
          <w:szCs w:val="24"/>
        </w:rPr>
        <w:t>,</w:t>
      </w:r>
      <w:r w:rsidRPr="00590918">
        <w:rPr>
          <w:rFonts w:ascii="Arial" w:hAnsi="Arial" w:cs="Arial"/>
          <w:sz w:val="24"/>
          <w:szCs w:val="24"/>
        </w:rPr>
        <w:t xml:space="preserve"> </w:t>
      </w:r>
      <w:r w:rsidR="00935069" w:rsidRPr="00590918">
        <w:rPr>
          <w:rFonts w:ascii="Arial" w:hAnsi="Arial" w:cs="Arial"/>
          <w:sz w:val="24"/>
          <w:szCs w:val="24"/>
        </w:rPr>
        <w:t xml:space="preserve">the deceased’s </w:t>
      </w:r>
      <w:r w:rsidRPr="00590918">
        <w:rPr>
          <w:rFonts w:ascii="Arial" w:hAnsi="Arial" w:cs="Arial"/>
          <w:sz w:val="24"/>
          <w:szCs w:val="24"/>
        </w:rPr>
        <w:t xml:space="preserve">children and spouse (Maria) </w:t>
      </w:r>
      <w:r w:rsidR="008D7695">
        <w:rPr>
          <w:rFonts w:ascii="Arial" w:hAnsi="Arial" w:cs="Arial"/>
          <w:sz w:val="24"/>
          <w:szCs w:val="24"/>
        </w:rPr>
        <w:t>will</w:t>
      </w:r>
      <w:r w:rsidRPr="00590918">
        <w:rPr>
          <w:rFonts w:ascii="Arial" w:hAnsi="Arial" w:cs="Arial"/>
          <w:sz w:val="24"/>
          <w:szCs w:val="24"/>
        </w:rPr>
        <w:t xml:space="preserve"> be entitled </w:t>
      </w:r>
      <w:r w:rsidR="00B81AB4" w:rsidRPr="00590918">
        <w:rPr>
          <w:rFonts w:ascii="Arial" w:hAnsi="Arial" w:cs="Arial"/>
          <w:sz w:val="24"/>
          <w:szCs w:val="24"/>
        </w:rPr>
        <w:t>to be assignees in the deceased’s 50</w:t>
      </w:r>
      <w:r w:rsidR="004350E2" w:rsidRPr="00590918">
        <w:rPr>
          <w:rFonts w:ascii="Arial" w:hAnsi="Arial" w:cs="Arial"/>
          <w:sz w:val="24"/>
          <w:szCs w:val="24"/>
        </w:rPr>
        <w:t xml:space="preserve"> per cent</w:t>
      </w:r>
      <w:r w:rsidR="00B81AB4" w:rsidRPr="00590918">
        <w:rPr>
          <w:rFonts w:ascii="Arial" w:hAnsi="Arial" w:cs="Arial"/>
          <w:sz w:val="24"/>
          <w:szCs w:val="24"/>
        </w:rPr>
        <w:t xml:space="preserve"> interest of the lease and the proportion they would be entitled to must be determined by the law of intestate succession. </w:t>
      </w:r>
    </w:p>
    <w:p w:rsidR="00590918" w:rsidRPr="00590918" w:rsidRDefault="00590918" w:rsidP="00590918">
      <w:pPr>
        <w:pStyle w:val="NoSpacing"/>
        <w:spacing w:line="480" w:lineRule="auto"/>
        <w:jc w:val="both"/>
        <w:rPr>
          <w:rFonts w:ascii="Arial" w:hAnsi="Arial" w:cs="Arial"/>
          <w:sz w:val="24"/>
          <w:szCs w:val="24"/>
        </w:rPr>
      </w:pPr>
    </w:p>
    <w:p w:rsidR="00DC16DD" w:rsidRDefault="00B81AB4" w:rsidP="00DC16DD">
      <w:pPr>
        <w:pStyle w:val="NoSpacing"/>
        <w:numPr>
          <w:ilvl w:val="0"/>
          <w:numId w:val="1"/>
        </w:numPr>
        <w:spacing w:line="480" w:lineRule="auto"/>
        <w:ind w:left="0" w:firstLine="0"/>
        <w:jc w:val="both"/>
        <w:rPr>
          <w:rFonts w:ascii="Arial" w:hAnsi="Arial" w:cs="Arial"/>
          <w:sz w:val="24"/>
          <w:szCs w:val="24"/>
        </w:rPr>
      </w:pPr>
      <w:r w:rsidRPr="00935069">
        <w:rPr>
          <w:rFonts w:ascii="Arial" w:hAnsi="Arial" w:cs="Arial"/>
          <w:sz w:val="24"/>
          <w:szCs w:val="24"/>
        </w:rPr>
        <w:t>It follows that</w:t>
      </w:r>
      <w:r w:rsidR="00511123">
        <w:rPr>
          <w:rFonts w:ascii="Arial" w:hAnsi="Arial" w:cs="Arial"/>
          <w:sz w:val="24"/>
          <w:szCs w:val="24"/>
        </w:rPr>
        <w:t>,</w:t>
      </w:r>
      <w:r w:rsidRPr="00935069">
        <w:rPr>
          <w:rFonts w:ascii="Arial" w:hAnsi="Arial" w:cs="Arial"/>
          <w:sz w:val="24"/>
          <w:szCs w:val="24"/>
        </w:rPr>
        <w:t xml:space="preserve"> it is essential that the validity an</w:t>
      </w:r>
      <w:r w:rsidR="00511123">
        <w:rPr>
          <w:rFonts w:ascii="Arial" w:hAnsi="Arial" w:cs="Arial"/>
          <w:sz w:val="24"/>
          <w:szCs w:val="24"/>
        </w:rPr>
        <w:t xml:space="preserve">d applicability of the alleged </w:t>
      </w:r>
      <w:r w:rsidR="004267EC">
        <w:rPr>
          <w:rFonts w:ascii="Arial" w:hAnsi="Arial" w:cs="Arial"/>
          <w:sz w:val="24"/>
          <w:szCs w:val="24"/>
        </w:rPr>
        <w:t>w</w:t>
      </w:r>
      <w:r w:rsidR="008D7695">
        <w:rPr>
          <w:rFonts w:ascii="Arial" w:hAnsi="Arial" w:cs="Arial"/>
          <w:sz w:val="24"/>
          <w:szCs w:val="24"/>
        </w:rPr>
        <w:t>ill</w:t>
      </w:r>
      <w:r w:rsidRPr="00935069">
        <w:rPr>
          <w:rFonts w:ascii="Arial" w:hAnsi="Arial" w:cs="Arial"/>
          <w:sz w:val="24"/>
          <w:szCs w:val="24"/>
        </w:rPr>
        <w:t xml:space="preserve"> be determined as soon as possible as this </w:t>
      </w:r>
      <w:r w:rsidR="008D7695">
        <w:rPr>
          <w:rFonts w:ascii="Arial" w:hAnsi="Arial" w:cs="Arial"/>
          <w:sz w:val="24"/>
          <w:szCs w:val="24"/>
        </w:rPr>
        <w:t>will</w:t>
      </w:r>
      <w:r w:rsidRPr="00935069">
        <w:rPr>
          <w:rFonts w:ascii="Arial" w:hAnsi="Arial" w:cs="Arial"/>
          <w:sz w:val="24"/>
          <w:szCs w:val="24"/>
        </w:rPr>
        <w:t xml:space="preserve"> affect the number of persons entitled to be assignees and their portions and also, possibly, considerations of </w:t>
      </w:r>
      <w:r w:rsidR="00935069" w:rsidRPr="00935069">
        <w:rPr>
          <w:rFonts w:ascii="Arial" w:hAnsi="Arial" w:cs="Arial"/>
          <w:sz w:val="24"/>
          <w:szCs w:val="24"/>
        </w:rPr>
        <w:t>th</w:t>
      </w:r>
      <w:r w:rsidR="007F2A7D">
        <w:rPr>
          <w:rFonts w:ascii="Arial" w:hAnsi="Arial" w:cs="Arial"/>
          <w:sz w:val="24"/>
          <w:szCs w:val="24"/>
        </w:rPr>
        <w:t xml:space="preserve">e </w:t>
      </w:r>
      <w:r w:rsidRPr="00935069">
        <w:rPr>
          <w:rFonts w:ascii="Arial" w:hAnsi="Arial" w:cs="Arial"/>
          <w:sz w:val="24"/>
          <w:szCs w:val="24"/>
        </w:rPr>
        <w:t xml:space="preserve">necessity for a redistribution agreement or other </w:t>
      </w:r>
      <w:r w:rsidR="00935069" w:rsidRPr="00935069">
        <w:rPr>
          <w:rFonts w:ascii="Arial" w:hAnsi="Arial" w:cs="Arial"/>
          <w:sz w:val="24"/>
          <w:szCs w:val="24"/>
        </w:rPr>
        <w:t xml:space="preserve">legal </w:t>
      </w:r>
      <w:r w:rsidRPr="00935069">
        <w:rPr>
          <w:rFonts w:ascii="Arial" w:hAnsi="Arial" w:cs="Arial"/>
          <w:sz w:val="24"/>
          <w:szCs w:val="24"/>
        </w:rPr>
        <w:t xml:space="preserve">arrangements to ensure that the multiple assignees </w:t>
      </w:r>
      <w:r w:rsidR="00E5173A" w:rsidRPr="00935069">
        <w:rPr>
          <w:rFonts w:ascii="Arial" w:hAnsi="Arial" w:cs="Arial"/>
          <w:sz w:val="24"/>
          <w:szCs w:val="24"/>
        </w:rPr>
        <w:t xml:space="preserve">with concomitant small and (maybe) uneconomical portions do not scupper the approval by the Minister because </w:t>
      </w:r>
      <w:r w:rsidR="00935069" w:rsidRPr="00935069">
        <w:rPr>
          <w:rFonts w:ascii="Arial" w:hAnsi="Arial" w:cs="Arial"/>
          <w:sz w:val="24"/>
          <w:szCs w:val="24"/>
        </w:rPr>
        <w:t xml:space="preserve">such proliferation of assignees </w:t>
      </w:r>
      <w:r w:rsidR="008D7695">
        <w:rPr>
          <w:rFonts w:ascii="Arial" w:hAnsi="Arial" w:cs="Arial"/>
          <w:sz w:val="24"/>
          <w:szCs w:val="24"/>
        </w:rPr>
        <w:t>will</w:t>
      </w:r>
      <w:r w:rsidR="00935069" w:rsidRPr="00935069">
        <w:rPr>
          <w:rFonts w:ascii="Arial" w:hAnsi="Arial" w:cs="Arial"/>
          <w:sz w:val="24"/>
          <w:szCs w:val="24"/>
        </w:rPr>
        <w:t xml:space="preserve"> not be in line with the objectives of </w:t>
      </w:r>
      <w:r w:rsidR="00511123">
        <w:rPr>
          <w:rFonts w:ascii="Arial" w:hAnsi="Arial" w:cs="Arial"/>
          <w:sz w:val="24"/>
          <w:szCs w:val="24"/>
        </w:rPr>
        <w:t xml:space="preserve">the </w:t>
      </w:r>
      <w:r w:rsidR="00935069">
        <w:rPr>
          <w:rFonts w:ascii="Arial" w:hAnsi="Arial" w:cs="Arial"/>
          <w:sz w:val="24"/>
          <w:szCs w:val="24"/>
        </w:rPr>
        <w:t>ACLRA.</w:t>
      </w:r>
    </w:p>
    <w:p w:rsidR="00DC16DD" w:rsidRDefault="00B85AA5" w:rsidP="00DC16D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Neither party seeks costs against the other party and in the circumstances there </w:t>
      </w:r>
      <w:r w:rsidR="008D7695">
        <w:rPr>
          <w:rFonts w:ascii="Arial" w:hAnsi="Arial" w:cs="Arial"/>
          <w:sz w:val="24"/>
          <w:szCs w:val="24"/>
        </w:rPr>
        <w:t>will</w:t>
      </w:r>
      <w:r>
        <w:rPr>
          <w:rFonts w:ascii="Arial" w:hAnsi="Arial" w:cs="Arial"/>
          <w:sz w:val="24"/>
          <w:szCs w:val="24"/>
        </w:rPr>
        <w:t xml:space="preserve"> be no costs order as far as the costs of appeal are concerned. In the court </w:t>
      </w:r>
      <w:r w:rsidRPr="00B85AA5">
        <w:rPr>
          <w:rFonts w:ascii="Arial" w:hAnsi="Arial" w:cs="Arial"/>
          <w:i/>
          <w:sz w:val="24"/>
          <w:szCs w:val="24"/>
        </w:rPr>
        <w:t>a quo</w:t>
      </w:r>
      <w:r w:rsidR="00511123">
        <w:rPr>
          <w:rFonts w:ascii="Arial" w:hAnsi="Arial" w:cs="Arial"/>
          <w:i/>
          <w:sz w:val="24"/>
          <w:szCs w:val="24"/>
        </w:rPr>
        <w:t>,</w:t>
      </w:r>
      <w:r>
        <w:rPr>
          <w:rFonts w:ascii="Arial" w:hAnsi="Arial" w:cs="Arial"/>
          <w:sz w:val="24"/>
          <w:szCs w:val="24"/>
        </w:rPr>
        <w:t xml:space="preserve"> </w:t>
      </w:r>
      <w:r w:rsidR="00511123">
        <w:rPr>
          <w:rFonts w:ascii="Arial" w:hAnsi="Arial" w:cs="Arial"/>
          <w:sz w:val="24"/>
          <w:szCs w:val="24"/>
        </w:rPr>
        <w:t xml:space="preserve">a costs </w:t>
      </w:r>
      <w:r>
        <w:rPr>
          <w:rFonts w:ascii="Arial" w:hAnsi="Arial" w:cs="Arial"/>
          <w:sz w:val="24"/>
          <w:szCs w:val="24"/>
        </w:rPr>
        <w:t>order was granted against the Minister and the current appellants. The Minister is not a party to this appeal an</w:t>
      </w:r>
      <w:r w:rsidR="00935069">
        <w:rPr>
          <w:rFonts w:ascii="Arial" w:hAnsi="Arial" w:cs="Arial"/>
          <w:sz w:val="24"/>
          <w:szCs w:val="24"/>
        </w:rPr>
        <w:t>d the order against him remains</w:t>
      </w:r>
      <w:r>
        <w:rPr>
          <w:rFonts w:ascii="Arial" w:hAnsi="Arial" w:cs="Arial"/>
          <w:sz w:val="24"/>
          <w:szCs w:val="24"/>
        </w:rPr>
        <w:t>. However</w:t>
      </w:r>
      <w:r w:rsidR="00277339">
        <w:rPr>
          <w:rFonts w:ascii="Arial" w:hAnsi="Arial" w:cs="Arial"/>
          <w:sz w:val="24"/>
          <w:szCs w:val="24"/>
        </w:rPr>
        <w:t>,</w:t>
      </w:r>
      <w:r>
        <w:rPr>
          <w:rFonts w:ascii="Arial" w:hAnsi="Arial" w:cs="Arial"/>
          <w:sz w:val="24"/>
          <w:szCs w:val="24"/>
        </w:rPr>
        <w:t xml:space="preserve"> as far as the appellants are concerned</w:t>
      </w:r>
      <w:r w:rsidR="00511123">
        <w:rPr>
          <w:rFonts w:ascii="Arial" w:hAnsi="Arial" w:cs="Arial"/>
          <w:sz w:val="24"/>
          <w:szCs w:val="24"/>
        </w:rPr>
        <w:t>,</w:t>
      </w:r>
      <w:r>
        <w:rPr>
          <w:rFonts w:ascii="Arial" w:hAnsi="Arial" w:cs="Arial"/>
          <w:sz w:val="24"/>
          <w:szCs w:val="24"/>
        </w:rPr>
        <w:t xml:space="preserve"> they are </w:t>
      </w:r>
      <w:r w:rsidR="00277339">
        <w:rPr>
          <w:rFonts w:ascii="Arial" w:hAnsi="Arial" w:cs="Arial"/>
          <w:sz w:val="24"/>
          <w:szCs w:val="24"/>
        </w:rPr>
        <w:t xml:space="preserve">substantially successful as far as the appeal is concerned and the costs order against them in the court </w:t>
      </w:r>
      <w:r w:rsidR="00277339" w:rsidRPr="00277339">
        <w:rPr>
          <w:rFonts w:ascii="Arial" w:hAnsi="Arial" w:cs="Arial"/>
          <w:i/>
          <w:sz w:val="24"/>
          <w:szCs w:val="24"/>
        </w:rPr>
        <w:t>a quo</w:t>
      </w:r>
      <w:r w:rsidR="00277339">
        <w:rPr>
          <w:rFonts w:ascii="Arial" w:hAnsi="Arial" w:cs="Arial"/>
          <w:sz w:val="24"/>
          <w:szCs w:val="24"/>
        </w:rPr>
        <w:t xml:space="preserve"> should be altered so as not to </w:t>
      </w:r>
      <w:r w:rsidR="00F820EE">
        <w:rPr>
          <w:rFonts w:ascii="Arial" w:hAnsi="Arial" w:cs="Arial"/>
          <w:sz w:val="24"/>
          <w:szCs w:val="24"/>
        </w:rPr>
        <w:t xml:space="preserve">mulct </w:t>
      </w:r>
      <w:r w:rsidR="00277339">
        <w:rPr>
          <w:rFonts w:ascii="Arial" w:hAnsi="Arial" w:cs="Arial"/>
          <w:sz w:val="24"/>
          <w:szCs w:val="24"/>
        </w:rPr>
        <w:t xml:space="preserve">them with costs. They likewise do not seek a costs order in the court </w:t>
      </w:r>
      <w:r w:rsidR="00277339" w:rsidRPr="00277339">
        <w:rPr>
          <w:rFonts w:ascii="Arial" w:hAnsi="Arial" w:cs="Arial"/>
          <w:i/>
          <w:sz w:val="24"/>
          <w:szCs w:val="24"/>
        </w:rPr>
        <w:t>a quo</w:t>
      </w:r>
      <w:r w:rsidR="00277339">
        <w:rPr>
          <w:rFonts w:ascii="Arial" w:hAnsi="Arial" w:cs="Arial"/>
          <w:sz w:val="24"/>
          <w:szCs w:val="24"/>
        </w:rPr>
        <w:t xml:space="preserve"> against Johannes and </w:t>
      </w:r>
      <w:r w:rsidR="00935069">
        <w:rPr>
          <w:rFonts w:ascii="Arial" w:hAnsi="Arial" w:cs="Arial"/>
          <w:sz w:val="24"/>
          <w:szCs w:val="24"/>
        </w:rPr>
        <w:t xml:space="preserve">I </w:t>
      </w:r>
      <w:r w:rsidR="008D7695">
        <w:rPr>
          <w:rFonts w:ascii="Arial" w:hAnsi="Arial" w:cs="Arial"/>
          <w:sz w:val="24"/>
          <w:szCs w:val="24"/>
        </w:rPr>
        <w:t>will</w:t>
      </w:r>
      <w:r w:rsidR="00935069">
        <w:rPr>
          <w:rFonts w:ascii="Arial" w:hAnsi="Arial" w:cs="Arial"/>
          <w:sz w:val="24"/>
          <w:szCs w:val="24"/>
        </w:rPr>
        <w:t xml:space="preserve"> thus not make such order.</w:t>
      </w:r>
    </w:p>
    <w:p w:rsidR="00935069" w:rsidRDefault="00935069" w:rsidP="00935069">
      <w:pPr>
        <w:pStyle w:val="NoSpacing"/>
        <w:spacing w:line="480" w:lineRule="auto"/>
        <w:jc w:val="both"/>
        <w:rPr>
          <w:rFonts w:ascii="Arial" w:hAnsi="Arial" w:cs="Arial"/>
          <w:sz w:val="24"/>
          <w:szCs w:val="24"/>
        </w:rPr>
      </w:pPr>
    </w:p>
    <w:p w:rsidR="00DC16DD" w:rsidRPr="00277339" w:rsidRDefault="00277339" w:rsidP="00DC16DD">
      <w:pPr>
        <w:pStyle w:val="NoSpacing"/>
        <w:spacing w:line="480" w:lineRule="auto"/>
        <w:jc w:val="both"/>
        <w:rPr>
          <w:rFonts w:ascii="Arial" w:hAnsi="Arial" w:cs="Arial"/>
          <w:sz w:val="24"/>
          <w:szCs w:val="24"/>
          <w:u w:val="single"/>
        </w:rPr>
      </w:pPr>
      <w:r w:rsidRPr="00277339">
        <w:rPr>
          <w:rFonts w:ascii="Arial" w:hAnsi="Arial" w:cs="Arial"/>
          <w:sz w:val="24"/>
          <w:szCs w:val="24"/>
          <w:u w:val="single"/>
        </w:rPr>
        <w:t>Order</w:t>
      </w:r>
    </w:p>
    <w:p w:rsidR="00DC16DD" w:rsidRDefault="00277339" w:rsidP="00DC16D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the result, the following order is made:</w:t>
      </w:r>
    </w:p>
    <w:p w:rsidR="00277339" w:rsidRDefault="00277339" w:rsidP="00FD7AF8">
      <w:pPr>
        <w:pStyle w:val="NoSpacing"/>
        <w:spacing w:line="480" w:lineRule="auto"/>
        <w:ind w:left="720"/>
        <w:jc w:val="both"/>
        <w:rPr>
          <w:rFonts w:ascii="Arial" w:hAnsi="Arial" w:cs="Arial"/>
          <w:sz w:val="24"/>
          <w:szCs w:val="24"/>
        </w:rPr>
      </w:pPr>
    </w:p>
    <w:p w:rsidR="00DC16DD" w:rsidRDefault="00A60A47" w:rsidP="00277339">
      <w:pPr>
        <w:pStyle w:val="NoSpacing"/>
        <w:numPr>
          <w:ilvl w:val="0"/>
          <w:numId w:val="5"/>
        </w:numPr>
        <w:spacing w:line="480" w:lineRule="auto"/>
        <w:jc w:val="both"/>
        <w:rPr>
          <w:rFonts w:ascii="Arial" w:hAnsi="Arial" w:cs="Arial"/>
          <w:sz w:val="24"/>
          <w:szCs w:val="24"/>
        </w:rPr>
      </w:pPr>
      <w:r>
        <w:rPr>
          <w:rFonts w:ascii="Arial" w:hAnsi="Arial" w:cs="Arial"/>
          <w:sz w:val="24"/>
          <w:szCs w:val="24"/>
        </w:rPr>
        <w:t xml:space="preserve">The appeal succeeds and the order of the court </w:t>
      </w:r>
      <w:r w:rsidRPr="00A60A47">
        <w:rPr>
          <w:rFonts w:ascii="Arial" w:hAnsi="Arial" w:cs="Arial"/>
          <w:i/>
          <w:sz w:val="24"/>
          <w:szCs w:val="24"/>
        </w:rPr>
        <w:t>a quo</w:t>
      </w:r>
      <w:r>
        <w:rPr>
          <w:rFonts w:ascii="Arial" w:hAnsi="Arial" w:cs="Arial"/>
          <w:sz w:val="24"/>
          <w:szCs w:val="24"/>
        </w:rPr>
        <w:t xml:space="preserve"> is substituted with the following order:</w:t>
      </w:r>
    </w:p>
    <w:p w:rsidR="00277339" w:rsidRDefault="00277339" w:rsidP="00277339">
      <w:pPr>
        <w:pStyle w:val="NoSpacing"/>
        <w:spacing w:line="480" w:lineRule="auto"/>
        <w:ind w:left="1440"/>
        <w:jc w:val="both"/>
        <w:rPr>
          <w:rFonts w:ascii="Arial" w:hAnsi="Arial" w:cs="Arial"/>
          <w:sz w:val="24"/>
          <w:szCs w:val="24"/>
        </w:rPr>
      </w:pPr>
    </w:p>
    <w:p w:rsidR="00511123" w:rsidRDefault="0001028D" w:rsidP="0001028D">
      <w:pPr>
        <w:pStyle w:val="NoSpacing"/>
        <w:spacing w:line="480" w:lineRule="auto"/>
        <w:ind w:left="2160" w:hanging="720"/>
        <w:jc w:val="both"/>
        <w:rPr>
          <w:rFonts w:ascii="Arial" w:hAnsi="Arial" w:cs="Arial"/>
          <w:sz w:val="24"/>
          <w:szCs w:val="24"/>
        </w:rPr>
      </w:pPr>
      <w:r>
        <w:rPr>
          <w:rFonts w:ascii="Arial" w:hAnsi="Arial" w:cs="Arial"/>
          <w:sz w:val="24"/>
          <w:szCs w:val="24"/>
        </w:rPr>
        <w:t>‘(i)</w:t>
      </w:r>
      <w:r>
        <w:rPr>
          <w:rFonts w:ascii="Arial" w:hAnsi="Arial" w:cs="Arial"/>
          <w:sz w:val="24"/>
          <w:szCs w:val="24"/>
        </w:rPr>
        <w:tab/>
      </w:r>
      <w:r w:rsidR="00A60A47">
        <w:rPr>
          <w:rFonts w:ascii="Arial" w:hAnsi="Arial" w:cs="Arial"/>
          <w:sz w:val="24"/>
          <w:szCs w:val="24"/>
        </w:rPr>
        <w:t>The decision of the Minister of Land Reform to the effect of withdrawing the lease of Unit A</w:t>
      </w:r>
      <w:r w:rsidR="003A6C80">
        <w:rPr>
          <w:rFonts w:ascii="Arial" w:hAnsi="Arial" w:cs="Arial"/>
          <w:sz w:val="24"/>
          <w:szCs w:val="24"/>
        </w:rPr>
        <w:t xml:space="preserve"> of farm Okorusu No. 88, Otjiwarongo district, Otjozondjupa region, Namibia, is hereby reviewed and set aside as being invalid and of no force and effect. </w:t>
      </w:r>
    </w:p>
    <w:p w:rsidR="0078590A" w:rsidRDefault="0078590A" w:rsidP="0001028D">
      <w:pPr>
        <w:pStyle w:val="NoSpacing"/>
        <w:spacing w:line="480" w:lineRule="auto"/>
        <w:jc w:val="both"/>
        <w:rPr>
          <w:rFonts w:ascii="Arial" w:hAnsi="Arial" w:cs="Arial"/>
          <w:sz w:val="24"/>
          <w:szCs w:val="24"/>
        </w:rPr>
      </w:pPr>
    </w:p>
    <w:p w:rsidR="00277339" w:rsidRDefault="0001028D" w:rsidP="0001028D">
      <w:pPr>
        <w:pStyle w:val="NoSpacing"/>
        <w:spacing w:line="480" w:lineRule="auto"/>
        <w:ind w:left="2160" w:hanging="720"/>
        <w:jc w:val="both"/>
        <w:rPr>
          <w:rFonts w:ascii="Arial" w:hAnsi="Arial" w:cs="Arial"/>
          <w:sz w:val="24"/>
          <w:szCs w:val="24"/>
        </w:rPr>
      </w:pPr>
      <w:r>
        <w:rPr>
          <w:rFonts w:ascii="Arial" w:hAnsi="Arial" w:cs="Arial"/>
          <w:sz w:val="24"/>
          <w:szCs w:val="24"/>
        </w:rPr>
        <w:t>(ii)</w:t>
      </w:r>
      <w:r>
        <w:rPr>
          <w:rFonts w:ascii="Arial" w:hAnsi="Arial" w:cs="Arial"/>
          <w:sz w:val="24"/>
          <w:szCs w:val="24"/>
        </w:rPr>
        <w:tab/>
      </w:r>
      <w:r w:rsidR="003A6C80" w:rsidRPr="0078590A">
        <w:rPr>
          <w:rFonts w:ascii="Arial" w:hAnsi="Arial" w:cs="Arial"/>
          <w:sz w:val="24"/>
          <w:szCs w:val="24"/>
        </w:rPr>
        <w:t>The applicant Johannes Damaseb is to lodge with the Master of the High Court the</w:t>
      </w:r>
      <w:r w:rsidR="00511123">
        <w:rPr>
          <w:rFonts w:ascii="Arial" w:hAnsi="Arial" w:cs="Arial"/>
          <w:sz w:val="24"/>
          <w:szCs w:val="24"/>
        </w:rPr>
        <w:t xml:space="preserve"> document he alleges is the last </w:t>
      </w:r>
      <w:r w:rsidR="008D7695">
        <w:rPr>
          <w:rFonts w:ascii="Arial" w:hAnsi="Arial" w:cs="Arial"/>
          <w:sz w:val="24"/>
          <w:szCs w:val="24"/>
        </w:rPr>
        <w:t>will</w:t>
      </w:r>
      <w:r w:rsidR="003A6C80" w:rsidRPr="0078590A">
        <w:rPr>
          <w:rFonts w:ascii="Arial" w:hAnsi="Arial" w:cs="Arial"/>
          <w:sz w:val="24"/>
          <w:szCs w:val="24"/>
        </w:rPr>
        <w:t xml:space="preserve"> and </w:t>
      </w:r>
      <w:r w:rsidR="008D7695">
        <w:rPr>
          <w:rFonts w:ascii="Arial" w:hAnsi="Arial" w:cs="Arial"/>
          <w:sz w:val="24"/>
          <w:szCs w:val="24"/>
        </w:rPr>
        <w:t>testament</w:t>
      </w:r>
      <w:r w:rsidR="003A6C80" w:rsidRPr="0078590A">
        <w:rPr>
          <w:rFonts w:ascii="Arial" w:hAnsi="Arial" w:cs="Arial"/>
          <w:sz w:val="24"/>
          <w:szCs w:val="24"/>
        </w:rPr>
        <w:t xml:space="preserve"> of the late Daniel Shalukeni within 14 days of this order to be dealt with in terms of the Administration of Estates Act 66 of 1965 </w:t>
      </w:r>
      <w:r w:rsidR="00B113F1" w:rsidRPr="0078590A">
        <w:rPr>
          <w:rFonts w:ascii="Arial" w:hAnsi="Arial" w:cs="Arial"/>
          <w:sz w:val="24"/>
          <w:szCs w:val="24"/>
        </w:rPr>
        <w:t>failing which the estate of the late Daniel Shalukeni shall be deemed to be an intestate estate.</w:t>
      </w:r>
    </w:p>
    <w:p w:rsidR="0001028D" w:rsidRDefault="0001028D" w:rsidP="0001028D">
      <w:pPr>
        <w:pStyle w:val="NoSpacing"/>
        <w:spacing w:line="480" w:lineRule="auto"/>
        <w:ind w:left="2160" w:hanging="720"/>
        <w:jc w:val="both"/>
        <w:rPr>
          <w:rFonts w:ascii="Arial" w:hAnsi="Arial" w:cs="Arial"/>
          <w:sz w:val="24"/>
          <w:szCs w:val="24"/>
        </w:rPr>
      </w:pPr>
    </w:p>
    <w:p w:rsidR="00277339" w:rsidRDefault="0001028D" w:rsidP="0001028D">
      <w:pPr>
        <w:pStyle w:val="NoSpacing"/>
        <w:spacing w:line="480" w:lineRule="auto"/>
        <w:ind w:left="2160" w:hanging="720"/>
        <w:jc w:val="both"/>
        <w:rPr>
          <w:rFonts w:ascii="Arial" w:hAnsi="Arial" w:cs="Arial"/>
          <w:sz w:val="24"/>
          <w:szCs w:val="24"/>
        </w:rPr>
      </w:pPr>
      <w:r>
        <w:rPr>
          <w:rFonts w:ascii="Arial" w:hAnsi="Arial" w:cs="Arial"/>
          <w:sz w:val="24"/>
          <w:szCs w:val="24"/>
        </w:rPr>
        <w:t>(iii)</w:t>
      </w:r>
      <w:r>
        <w:rPr>
          <w:rFonts w:ascii="Arial" w:hAnsi="Arial" w:cs="Arial"/>
          <w:sz w:val="24"/>
          <w:szCs w:val="24"/>
        </w:rPr>
        <w:tab/>
      </w:r>
      <w:r w:rsidR="00B113F1" w:rsidRPr="0078590A">
        <w:rPr>
          <w:rFonts w:ascii="Arial" w:hAnsi="Arial" w:cs="Arial"/>
          <w:sz w:val="24"/>
          <w:szCs w:val="24"/>
        </w:rPr>
        <w:t>The executrix of the estate of the lat</w:t>
      </w:r>
      <w:r w:rsidR="0078590A">
        <w:rPr>
          <w:rFonts w:ascii="Arial" w:hAnsi="Arial" w:cs="Arial"/>
          <w:sz w:val="24"/>
          <w:szCs w:val="24"/>
        </w:rPr>
        <w:t xml:space="preserve">e Daniel Shalukeni shall within 14 </w:t>
      </w:r>
      <w:r w:rsidR="00B113F1" w:rsidRPr="0078590A">
        <w:rPr>
          <w:rFonts w:ascii="Arial" w:hAnsi="Arial" w:cs="Arial"/>
          <w:sz w:val="24"/>
          <w:szCs w:val="24"/>
        </w:rPr>
        <w:t>days of the final determination envisaged in para (</w:t>
      </w:r>
      <w:r w:rsidR="0022020E">
        <w:rPr>
          <w:rFonts w:ascii="Arial" w:hAnsi="Arial" w:cs="Arial"/>
          <w:sz w:val="24"/>
          <w:szCs w:val="24"/>
        </w:rPr>
        <w:t>ii</w:t>
      </w:r>
      <w:r w:rsidR="00B113F1" w:rsidRPr="0078590A">
        <w:rPr>
          <w:rFonts w:ascii="Arial" w:hAnsi="Arial" w:cs="Arial"/>
          <w:sz w:val="24"/>
          <w:szCs w:val="24"/>
        </w:rPr>
        <w:t xml:space="preserve">) above </w:t>
      </w:r>
      <w:r w:rsidR="00935069">
        <w:rPr>
          <w:rFonts w:ascii="Arial" w:hAnsi="Arial" w:cs="Arial"/>
          <w:sz w:val="24"/>
          <w:szCs w:val="24"/>
        </w:rPr>
        <w:t>submit</w:t>
      </w:r>
      <w:r w:rsidR="00B113F1" w:rsidRPr="0078590A">
        <w:rPr>
          <w:rFonts w:ascii="Arial" w:hAnsi="Arial" w:cs="Arial"/>
          <w:sz w:val="24"/>
          <w:szCs w:val="24"/>
        </w:rPr>
        <w:t xml:space="preserve"> the name</w:t>
      </w:r>
      <w:r w:rsidR="00935069">
        <w:rPr>
          <w:rFonts w:ascii="Arial" w:hAnsi="Arial" w:cs="Arial"/>
          <w:sz w:val="24"/>
          <w:szCs w:val="24"/>
        </w:rPr>
        <w:t xml:space="preserve">(s) </w:t>
      </w:r>
      <w:r w:rsidR="00B113F1" w:rsidRPr="0078590A">
        <w:rPr>
          <w:rFonts w:ascii="Arial" w:hAnsi="Arial" w:cs="Arial"/>
          <w:sz w:val="24"/>
          <w:szCs w:val="24"/>
        </w:rPr>
        <w:t xml:space="preserve">of the </w:t>
      </w:r>
      <w:r w:rsidR="00935069">
        <w:rPr>
          <w:rFonts w:ascii="Arial" w:hAnsi="Arial" w:cs="Arial"/>
          <w:sz w:val="24"/>
          <w:szCs w:val="24"/>
        </w:rPr>
        <w:t xml:space="preserve">intended </w:t>
      </w:r>
      <w:r w:rsidR="00B113F1" w:rsidRPr="0078590A">
        <w:rPr>
          <w:rFonts w:ascii="Arial" w:hAnsi="Arial" w:cs="Arial"/>
          <w:sz w:val="24"/>
          <w:szCs w:val="24"/>
        </w:rPr>
        <w:t>assignee</w:t>
      </w:r>
      <w:r w:rsidR="00935069">
        <w:rPr>
          <w:rFonts w:ascii="Arial" w:hAnsi="Arial" w:cs="Arial"/>
          <w:sz w:val="24"/>
          <w:szCs w:val="24"/>
        </w:rPr>
        <w:t>(</w:t>
      </w:r>
      <w:r w:rsidR="00B113F1" w:rsidRPr="0078590A">
        <w:rPr>
          <w:rFonts w:ascii="Arial" w:hAnsi="Arial" w:cs="Arial"/>
          <w:sz w:val="24"/>
          <w:szCs w:val="24"/>
        </w:rPr>
        <w:t>s</w:t>
      </w:r>
      <w:r w:rsidR="00935069">
        <w:rPr>
          <w:rFonts w:ascii="Arial" w:hAnsi="Arial" w:cs="Arial"/>
          <w:sz w:val="24"/>
          <w:szCs w:val="24"/>
        </w:rPr>
        <w:t>)</w:t>
      </w:r>
      <w:r w:rsidR="00B113F1" w:rsidRPr="0078590A">
        <w:rPr>
          <w:rFonts w:ascii="Arial" w:hAnsi="Arial" w:cs="Arial"/>
          <w:sz w:val="24"/>
          <w:szCs w:val="24"/>
        </w:rPr>
        <w:t xml:space="preserve"> to the Land Reform Advisory Commission </w:t>
      </w:r>
      <w:r w:rsidR="00935069">
        <w:rPr>
          <w:rFonts w:ascii="Arial" w:hAnsi="Arial" w:cs="Arial"/>
          <w:sz w:val="24"/>
          <w:szCs w:val="24"/>
        </w:rPr>
        <w:t xml:space="preserve">together with the </w:t>
      </w:r>
      <w:r w:rsidR="00935069" w:rsidRPr="00590918">
        <w:rPr>
          <w:rFonts w:ascii="Arial" w:hAnsi="Arial" w:cs="Arial"/>
          <w:sz w:val="24"/>
          <w:szCs w:val="24"/>
        </w:rPr>
        <w:t>reasons</w:t>
      </w:r>
      <w:r w:rsidR="00935069">
        <w:rPr>
          <w:rFonts w:ascii="Arial" w:hAnsi="Arial" w:cs="Arial"/>
          <w:sz w:val="24"/>
          <w:szCs w:val="24"/>
        </w:rPr>
        <w:t xml:space="preserve"> for submitting the mentioned assignee(s) </w:t>
      </w:r>
      <w:r w:rsidR="00B113F1" w:rsidRPr="0078590A">
        <w:rPr>
          <w:rFonts w:ascii="Arial" w:hAnsi="Arial" w:cs="Arial"/>
          <w:sz w:val="24"/>
          <w:szCs w:val="24"/>
        </w:rPr>
        <w:t>who shall consider same and make recommendations to the Minister of Land Reform for consideration pursuant to s 53 of the Agricultural (Commercial) Land Reform Act 6 of 1995.</w:t>
      </w:r>
    </w:p>
    <w:p w:rsidR="0001028D" w:rsidRDefault="0001028D" w:rsidP="0001028D">
      <w:pPr>
        <w:pStyle w:val="NoSpacing"/>
        <w:spacing w:line="480" w:lineRule="auto"/>
        <w:ind w:left="2160" w:hanging="720"/>
        <w:jc w:val="both"/>
        <w:rPr>
          <w:rFonts w:ascii="Arial" w:hAnsi="Arial" w:cs="Arial"/>
          <w:sz w:val="24"/>
          <w:szCs w:val="24"/>
        </w:rPr>
      </w:pPr>
    </w:p>
    <w:p w:rsidR="00277339" w:rsidRDefault="0001028D" w:rsidP="0001028D">
      <w:pPr>
        <w:pStyle w:val="NoSpacing"/>
        <w:spacing w:line="480" w:lineRule="auto"/>
        <w:ind w:left="2160" w:hanging="720"/>
        <w:jc w:val="both"/>
        <w:rPr>
          <w:rFonts w:ascii="Arial" w:hAnsi="Arial" w:cs="Arial"/>
          <w:sz w:val="24"/>
          <w:szCs w:val="24"/>
        </w:rPr>
      </w:pPr>
      <w:r>
        <w:rPr>
          <w:rFonts w:ascii="Arial" w:hAnsi="Arial" w:cs="Arial"/>
          <w:sz w:val="24"/>
          <w:szCs w:val="24"/>
        </w:rPr>
        <w:t>(iv)</w:t>
      </w:r>
      <w:r>
        <w:rPr>
          <w:rFonts w:ascii="Arial" w:hAnsi="Arial" w:cs="Arial"/>
          <w:sz w:val="24"/>
          <w:szCs w:val="24"/>
        </w:rPr>
        <w:tab/>
      </w:r>
      <w:r w:rsidR="00B113F1" w:rsidRPr="0078590A">
        <w:rPr>
          <w:rFonts w:ascii="Arial" w:hAnsi="Arial" w:cs="Arial"/>
          <w:sz w:val="24"/>
          <w:szCs w:val="24"/>
        </w:rPr>
        <w:t>Pending the decision of the Minist</w:t>
      </w:r>
      <w:r w:rsidR="0022020E">
        <w:rPr>
          <w:rFonts w:ascii="Arial" w:hAnsi="Arial" w:cs="Arial"/>
          <w:sz w:val="24"/>
          <w:szCs w:val="24"/>
        </w:rPr>
        <w:t>er</w:t>
      </w:r>
      <w:r w:rsidR="00B113F1" w:rsidRPr="0078590A">
        <w:rPr>
          <w:rFonts w:ascii="Arial" w:hAnsi="Arial" w:cs="Arial"/>
          <w:sz w:val="24"/>
          <w:szCs w:val="24"/>
        </w:rPr>
        <w:t xml:space="preserve"> of Land Reform mentioned above the lease shall vest in the execut</w:t>
      </w:r>
      <w:r w:rsidR="0022020E">
        <w:rPr>
          <w:rFonts w:ascii="Arial" w:hAnsi="Arial" w:cs="Arial"/>
          <w:sz w:val="24"/>
          <w:szCs w:val="24"/>
        </w:rPr>
        <w:t>rix</w:t>
      </w:r>
      <w:r w:rsidR="00B113F1" w:rsidRPr="0078590A">
        <w:rPr>
          <w:rFonts w:ascii="Arial" w:hAnsi="Arial" w:cs="Arial"/>
          <w:sz w:val="24"/>
          <w:szCs w:val="24"/>
        </w:rPr>
        <w:t xml:space="preserve"> of the estate of the late Daniel Shalukeni.</w:t>
      </w:r>
    </w:p>
    <w:p w:rsidR="0078590A" w:rsidRDefault="0001028D" w:rsidP="0001028D">
      <w:pPr>
        <w:pStyle w:val="ListParagraph"/>
        <w:spacing w:after="0" w:line="480" w:lineRule="auto"/>
        <w:jc w:val="both"/>
        <w:rPr>
          <w:rFonts w:ascii="Arial" w:hAnsi="Arial" w:cs="Arial"/>
          <w:sz w:val="24"/>
          <w:szCs w:val="24"/>
        </w:rPr>
      </w:pPr>
      <w:r>
        <w:rPr>
          <w:rFonts w:ascii="Arial" w:hAnsi="Arial" w:cs="Arial"/>
          <w:sz w:val="24"/>
          <w:szCs w:val="24"/>
        </w:rPr>
        <w:tab/>
      </w:r>
    </w:p>
    <w:p w:rsidR="00277339" w:rsidRPr="0078590A" w:rsidRDefault="0001028D" w:rsidP="0001028D">
      <w:pPr>
        <w:pStyle w:val="ListParagraph"/>
        <w:spacing w:after="0" w:line="480" w:lineRule="auto"/>
        <w:ind w:left="2160" w:hanging="720"/>
        <w:jc w:val="both"/>
        <w:rPr>
          <w:rFonts w:ascii="Arial" w:hAnsi="Arial" w:cs="Arial"/>
          <w:sz w:val="24"/>
          <w:szCs w:val="24"/>
        </w:rPr>
      </w:pPr>
      <w:r>
        <w:rPr>
          <w:rFonts w:ascii="Arial" w:hAnsi="Arial" w:cs="Arial"/>
          <w:sz w:val="24"/>
          <w:szCs w:val="24"/>
        </w:rPr>
        <w:t>(v)</w:t>
      </w:r>
      <w:r>
        <w:rPr>
          <w:rFonts w:ascii="Arial" w:hAnsi="Arial" w:cs="Arial"/>
          <w:sz w:val="24"/>
          <w:szCs w:val="24"/>
        </w:rPr>
        <w:tab/>
      </w:r>
      <w:r w:rsidR="0078590A" w:rsidRPr="0078590A">
        <w:rPr>
          <w:rFonts w:ascii="Arial" w:hAnsi="Arial" w:cs="Arial"/>
          <w:sz w:val="24"/>
          <w:szCs w:val="24"/>
        </w:rPr>
        <w:t>The Minister of Land Reform is to pay</w:t>
      </w:r>
      <w:r w:rsidR="00511123">
        <w:rPr>
          <w:rFonts w:ascii="Arial" w:hAnsi="Arial" w:cs="Arial"/>
          <w:sz w:val="24"/>
          <w:szCs w:val="24"/>
        </w:rPr>
        <w:t xml:space="preserve"> the costs of this application.'</w:t>
      </w:r>
    </w:p>
    <w:p w:rsidR="0078590A" w:rsidRDefault="0078590A" w:rsidP="0001028D">
      <w:pPr>
        <w:pStyle w:val="ListParagraph"/>
        <w:jc w:val="both"/>
        <w:rPr>
          <w:rFonts w:ascii="Arial" w:hAnsi="Arial" w:cs="Arial"/>
          <w:sz w:val="24"/>
          <w:szCs w:val="24"/>
        </w:rPr>
      </w:pPr>
    </w:p>
    <w:p w:rsidR="0078590A" w:rsidRDefault="0078590A" w:rsidP="00277339">
      <w:pPr>
        <w:pStyle w:val="NoSpacing"/>
        <w:numPr>
          <w:ilvl w:val="0"/>
          <w:numId w:val="5"/>
        </w:numPr>
        <w:spacing w:line="480" w:lineRule="auto"/>
        <w:jc w:val="both"/>
        <w:rPr>
          <w:rFonts w:ascii="Arial" w:hAnsi="Arial" w:cs="Arial"/>
          <w:sz w:val="24"/>
          <w:szCs w:val="24"/>
        </w:rPr>
      </w:pPr>
      <w:r>
        <w:rPr>
          <w:rFonts w:ascii="Arial" w:hAnsi="Arial" w:cs="Arial"/>
          <w:sz w:val="24"/>
          <w:szCs w:val="24"/>
        </w:rPr>
        <w:t>There shall be no costs order in this appeal.</w:t>
      </w:r>
    </w:p>
    <w:p w:rsidR="000940E1" w:rsidRPr="00991107" w:rsidRDefault="000940E1" w:rsidP="000940E1">
      <w:pPr>
        <w:pStyle w:val="NoSpacing"/>
        <w:rPr>
          <w:rFonts w:ascii="Arial" w:hAnsi="Arial" w:cs="Arial"/>
          <w:b/>
          <w:sz w:val="24"/>
          <w:szCs w:val="24"/>
        </w:rPr>
      </w:pPr>
    </w:p>
    <w:p w:rsidR="000940E1" w:rsidRDefault="000940E1" w:rsidP="000940E1">
      <w:pPr>
        <w:pStyle w:val="NoSpacing"/>
        <w:rPr>
          <w:rFonts w:ascii="Arial" w:hAnsi="Arial" w:cs="Arial"/>
          <w:b/>
          <w:sz w:val="24"/>
          <w:szCs w:val="24"/>
        </w:rPr>
      </w:pPr>
    </w:p>
    <w:p w:rsidR="000940E1" w:rsidRDefault="000940E1" w:rsidP="000940E1">
      <w:pPr>
        <w:pStyle w:val="NoSpacing"/>
        <w:rPr>
          <w:rFonts w:ascii="Arial" w:hAnsi="Arial" w:cs="Arial"/>
          <w:b/>
          <w:sz w:val="24"/>
          <w:szCs w:val="24"/>
        </w:rPr>
      </w:pPr>
    </w:p>
    <w:p w:rsidR="000940E1" w:rsidRDefault="000940E1" w:rsidP="000940E1">
      <w:pPr>
        <w:pStyle w:val="NoSpacing"/>
        <w:rPr>
          <w:rFonts w:ascii="Arial" w:hAnsi="Arial" w:cs="Arial"/>
          <w:b/>
          <w:sz w:val="24"/>
          <w:szCs w:val="24"/>
        </w:rPr>
      </w:pPr>
    </w:p>
    <w:p w:rsidR="000940E1" w:rsidRDefault="000940E1" w:rsidP="000940E1">
      <w:pPr>
        <w:pStyle w:val="NoSpacing"/>
        <w:rPr>
          <w:rFonts w:ascii="Arial" w:hAnsi="Arial" w:cs="Arial"/>
          <w:b/>
          <w:sz w:val="24"/>
          <w:szCs w:val="24"/>
        </w:rPr>
      </w:pPr>
    </w:p>
    <w:p w:rsidR="000940E1" w:rsidRDefault="000940E1" w:rsidP="000940E1">
      <w:pPr>
        <w:pStyle w:val="NoSpacing"/>
        <w:rPr>
          <w:rFonts w:ascii="Arial" w:hAnsi="Arial" w:cs="Arial"/>
          <w:b/>
          <w:sz w:val="24"/>
          <w:szCs w:val="24"/>
        </w:rPr>
      </w:pPr>
    </w:p>
    <w:p w:rsidR="000940E1" w:rsidRPr="00991107" w:rsidRDefault="000940E1" w:rsidP="000940E1">
      <w:pPr>
        <w:pStyle w:val="NoSpacing"/>
        <w:rPr>
          <w:rFonts w:ascii="Arial" w:hAnsi="Arial" w:cs="Arial"/>
          <w:b/>
          <w:sz w:val="24"/>
          <w:szCs w:val="24"/>
        </w:rPr>
      </w:pPr>
    </w:p>
    <w:p w:rsidR="000940E1" w:rsidRPr="00F4471E" w:rsidRDefault="000940E1" w:rsidP="000940E1">
      <w:pPr>
        <w:spacing w:after="0" w:line="276" w:lineRule="auto"/>
        <w:jc w:val="both"/>
        <w:rPr>
          <w:rFonts w:ascii="Arial" w:hAnsi="Arial" w:cs="Arial"/>
          <w:b/>
          <w:sz w:val="24"/>
          <w:szCs w:val="24"/>
        </w:rPr>
      </w:pPr>
      <w:r>
        <w:rPr>
          <w:rFonts w:ascii="Arial" w:hAnsi="Arial" w:cs="Arial"/>
          <w:b/>
          <w:sz w:val="24"/>
          <w:szCs w:val="24"/>
        </w:rPr>
        <w:t>__________________</w:t>
      </w:r>
    </w:p>
    <w:p w:rsidR="000940E1" w:rsidRDefault="00400733" w:rsidP="000940E1">
      <w:pPr>
        <w:spacing w:after="0" w:line="240" w:lineRule="auto"/>
        <w:jc w:val="both"/>
        <w:rPr>
          <w:rFonts w:ascii="Arial" w:hAnsi="Arial" w:cs="Arial"/>
          <w:b/>
          <w:sz w:val="24"/>
          <w:szCs w:val="24"/>
        </w:rPr>
      </w:pPr>
      <w:r>
        <w:rPr>
          <w:rFonts w:ascii="Arial" w:hAnsi="Arial" w:cs="Arial"/>
          <w:b/>
          <w:sz w:val="24"/>
          <w:szCs w:val="24"/>
        </w:rPr>
        <w:t>FRANK AJA</w:t>
      </w:r>
    </w:p>
    <w:p w:rsidR="000940E1" w:rsidRDefault="000940E1" w:rsidP="000940E1">
      <w:pPr>
        <w:spacing w:after="0" w:line="240" w:lineRule="auto"/>
        <w:jc w:val="both"/>
        <w:rPr>
          <w:rFonts w:ascii="Arial" w:hAnsi="Arial" w:cs="Arial"/>
          <w:b/>
          <w:sz w:val="24"/>
          <w:szCs w:val="24"/>
        </w:rPr>
      </w:pPr>
    </w:p>
    <w:p w:rsidR="000940E1" w:rsidRDefault="000940E1" w:rsidP="000940E1">
      <w:pPr>
        <w:spacing w:after="0" w:line="240" w:lineRule="auto"/>
        <w:jc w:val="both"/>
        <w:rPr>
          <w:rFonts w:ascii="Arial" w:hAnsi="Arial" w:cs="Arial"/>
          <w:b/>
          <w:sz w:val="24"/>
          <w:szCs w:val="24"/>
        </w:rPr>
      </w:pPr>
    </w:p>
    <w:p w:rsidR="000940E1" w:rsidRDefault="000940E1" w:rsidP="000940E1">
      <w:pPr>
        <w:spacing w:after="0" w:line="240" w:lineRule="auto"/>
        <w:jc w:val="both"/>
        <w:rPr>
          <w:rFonts w:ascii="Arial" w:hAnsi="Arial" w:cs="Arial"/>
          <w:b/>
          <w:sz w:val="24"/>
          <w:szCs w:val="24"/>
        </w:rPr>
      </w:pPr>
    </w:p>
    <w:p w:rsidR="0001028D" w:rsidRDefault="0001028D" w:rsidP="000940E1">
      <w:pPr>
        <w:spacing w:after="0" w:line="240" w:lineRule="auto"/>
        <w:jc w:val="both"/>
        <w:rPr>
          <w:rFonts w:ascii="Arial" w:hAnsi="Arial" w:cs="Arial"/>
          <w:b/>
          <w:sz w:val="24"/>
          <w:szCs w:val="24"/>
        </w:rPr>
      </w:pPr>
    </w:p>
    <w:p w:rsidR="000940E1" w:rsidRDefault="000940E1" w:rsidP="000940E1">
      <w:pPr>
        <w:spacing w:after="0" w:line="240" w:lineRule="auto"/>
        <w:jc w:val="both"/>
        <w:rPr>
          <w:rFonts w:ascii="Arial" w:hAnsi="Arial" w:cs="Arial"/>
          <w:b/>
          <w:sz w:val="24"/>
          <w:szCs w:val="24"/>
        </w:rPr>
      </w:pPr>
    </w:p>
    <w:p w:rsidR="00FB301C" w:rsidRDefault="00FB301C" w:rsidP="000940E1">
      <w:pPr>
        <w:spacing w:after="0" w:line="240" w:lineRule="auto"/>
        <w:jc w:val="both"/>
        <w:rPr>
          <w:rFonts w:ascii="Arial" w:hAnsi="Arial" w:cs="Arial"/>
          <w:b/>
          <w:sz w:val="24"/>
          <w:szCs w:val="24"/>
        </w:rPr>
      </w:pPr>
    </w:p>
    <w:p w:rsidR="000940E1" w:rsidRDefault="000940E1" w:rsidP="000940E1">
      <w:pPr>
        <w:spacing w:after="0" w:line="240" w:lineRule="auto"/>
        <w:jc w:val="both"/>
        <w:rPr>
          <w:rFonts w:ascii="Arial" w:hAnsi="Arial" w:cs="Arial"/>
          <w:b/>
          <w:sz w:val="24"/>
          <w:szCs w:val="24"/>
        </w:rPr>
      </w:pPr>
    </w:p>
    <w:p w:rsidR="000940E1" w:rsidRDefault="000940E1" w:rsidP="000940E1">
      <w:pPr>
        <w:spacing w:after="0" w:line="240" w:lineRule="auto"/>
        <w:jc w:val="both"/>
        <w:rPr>
          <w:rFonts w:ascii="Arial" w:hAnsi="Arial" w:cs="Arial"/>
          <w:b/>
          <w:sz w:val="24"/>
          <w:szCs w:val="24"/>
        </w:rPr>
      </w:pPr>
      <w:r>
        <w:rPr>
          <w:rFonts w:ascii="Arial" w:hAnsi="Arial" w:cs="Arial"/>
          <w:b/>
          <w:sz w:val="24"/>
          <w:szCs w:val="24"/>
        </w:rPr>
        <w:t>__________________</w:t>
      </w:r>
    </w:p>
    <w:p w:rsidR="000940E1" w:rsidRDefault="000940E1" w:rsidP="000940E1">
      <w:pPr>
        <w:spacing w:after="0" w:line="240" w:lineRule="auto"/>
        <w:jc w:val="both"/>
        <w:rPr>
          <w:rFonts w:ascii="Arial" w:hAnsi="Arial" w:cs="Arial"/>
          <w:b/>
          <w:sz w:val="24"/>
          <w:szCs w:val="24"/>
        </w:rPr>
      </w:pPr>
      <w:r>
        <w:rPr>
          <w:rFonts w:ascii="Arial" w:hAnsi="Arial" w:cs="Arial"/>
          <w:b/>
          <w:sz w:val="24"/>
          <w:szCs w:val="24"/>
        </w:rPr>
        <w:t>SHIVUTE CJ</w:t>
      </w:r>
    </w:p>
    <w:p w:rsidR="000940E1" w:rsidRDefault="000940E1" w:rsidP="000940E1">
      <w:pPr>
        <w:spacing w:after="0" w:line="240" w:lineRule="auto"/>
        <w:jc w:val="both"/>
        <w:rPr>
          <w:rFonts w:ascii="Arial" w:hAnsi="Arial" w:cs="Arial"/>
          <w:b/>
          <w:sz w:val="24"/>
          <w:szCs w:val="24"/>
        </w:rPr>
      </w:pPr>
    </w:p>
    <w:p w:rsidR="000940E1" w:rsidRDefault="000940E1" w:rsidP="000940E1">
      <w:pPr>
        <w:spacing w:after="0" w:line="240" w:lineRule="auto"/>
        <w:jc w:val="both"/>
        <w:rPr>
          <w:rFonts w:ascii="Arial" w:hAnsi="Arial" w:cs="Arial"/>
          <w:b/>
          <w:sz w:val="24"/>
          <w:szCs w:val="24"/>
        </w:rPr>
      </w:pPr>
    </w:p>
    <w:p w:rsidR="000940E1" w:rsidRDefault="000940E1" w:rsidP="000940E1">
      <w:pPr>
        <w:spacing w:after="0" w:line="240" w:lineRule="auto"/>
        <w:jc w:val="both"/>
        <w:rPr>
          <w:rFonts w:ascii="Arial" w:hAnsi="Arial" w:cs="Arial"/>
          <w:b/>
          <w:sz w:val="24"/>
          <w:szCs w:val="24"/>
        </w:rPr>
      </w:pPr>
    </w:p>
    <w:p w:rsidR="000940E1" w:rsidRDefault="000940E1" w:rsidP="000940E1">
      <w:pPr>
        <w:spacing w:after="0" w:line="240" w:lineRule="auto"/>
        <w:jc w:val="both"/>
        <w:rPr>
          <w:rFonts w:ascii="Arial" w:hAnsi="Arial" w:cs="Arial"/>
          <w:b/>
          <w:sz w:val="24"/>
          <w:szCs w:val="24"/>
        </w:rPr>
      </w:pPr>
    </w:p>
    <w:p w:rsidR="000940E1" w:rsidRDefault="000940E1" w:rsidP="000940E1">
      <w:pPr>
        <w:spacing w:after="0" w:line="240" w:lineRule="auto"/>
        <w:jc w:val="both"/>
        <w:rPr>
          <w:rFonts w:ascii="Arial" w:hAnsi="Arial" w:cs="Arial"/>
          <w:b/>
          <w:sz w:val="24"/>
          <w:szCs w:val="24"/>
        </w:rPr>
      </w:pPr>
    </w:p>
    <w:p w:rsidR="000940E1" w:rsidRDefault="000940E1" w:rsidP="000940E1">
      <w:pPr>
        <w:spacing w:after="0" w:line="240" w:lineRule="auto"/>
        <w:jc w:val="both"/>
        <w:rPr>
          <w:rFonts w:ascii="Arial" w:hAnsi="Arial" w:cs="Arial"/>
          <w:b/>
          <w:sz w:val="24"/>
          <w:szCs w:val="24"/>
        </w:rPr>
      </w:pPr>
    </w:p>
    <w:p w:rsidR="000940E1" w:rsidRDefault="000940E1" w:rsidP="000940E1">
      <w:pPr>
        <w:spacing w:after="0" w:line="240" w:lineRule="auto"/>
        <w:jc w:val="both"/>
        <w:rPr>
          <w:rFonts w:ascii="Arial" w:hAnsi="Arial" w:cs="Arial"/>
          <w:b/>
          <w:sz w:val="24"/>
          <w:szCs w:val="24"/>
        </w:rPr>
      </w:pPr>
      <w:r>
        <w:rPr>
          <w:rFonts w:ascii="Arial" w:hAnsi="Arial" w:cs="Arial"/>
          <w:b/>
          <w:sz w:val="24"/>
          <w:szCs w:val="24"/>
        </w:rPr>
        <w:t>__________________</w:t>
      </w:r>
    </w:p>
    <w:p w:rsidR="000940E1" w:rsidRDefault="00400733" w:rsidP="00400733">
      <w:pPr>
        <w:spacing w:after="0" w:line="240" w:lineRule="auto"/>
        <w:jc w:val="both"/>
        <w:rPr>
          <w:rFonts w:ascii="Arial" w:hAnsi="Arial" w:cs="Arial"/>
        </w:rPr>
      </w:pPr>
      <w:r>
        <w:rPr>
          <w:rFonts w:ascii="Arial" w:hAnsi="Arial" w:cs="Arial"/>
          <w:b/>
          <w:sz w:val="24"/>
          <w:szCs w:val="24"/>
        </w:rPr>
        <w:t>HOFF JA</w:t>
      </w:r>
    </w:p>
    <w:p w:rsidR="000940E1" w:rsidRDefault="000940E1" w:rsidP="000940E1">
      <w:pPr>
        <w:pStyle w:val="BodyText"/>
        <w:autoSpaceDE w:val="0"/>
        <w:autoSpaceDN w:val="0"/>
        <w:adjustRightInd w:val="0"/>
        <w:spacing w:line="480" w:lineRule="auto"/>
        <w:jc w:val="both"/>
        <w:rPr>
          <w:rFonts w:ascii="Arial" w:hAnsi="Arial" w:cs="Arial"/>
        </w:rPr>
      </w:pPr>
    </w:p>
    <w:p w:rsidR="000940E1" w:rsidRDefault="000940E1" w:rsidP="000940E1">
      <w:pPr>
        <w:pStyle w:val="BodyText"/>
        <w:autoSpaceDE w:val="0"/>
        <w:autoSpaceDN w:val="0"/>
        <w:adjustRightInd w:val="0"/>
        <w:spacing w:line="480" w:lineRule="auto"/>
        <w:jc w:val="both"/>
        <w:rPr>
          <w:rFonts w:ascii="Arial" w:hAnsi="Arial" w:cs="Arial"/>
        </w:rPr>
      </w:pPr>
    </w:p>
    <w:p w:rsidR="00FB301C" w:rsidRDefault="00FB301C" w:rsidP="000940E1">
      <w:pPr>
        <w:pStyle w:val="BodyText"/>
        <w:autoSpaceDE w:val="0"/>
        <w:autoSpaceDN w:val="0"/>
        <w:adjustRightInd w:val="0"/>
        <w:spacing w:line="480" w:lineRule="auto"/>
        <w:jc w:val="both"/>
        <w:rPr>
          <w:rFonts w:ascii="Arial" w:hAnsi="Arial" w:cs="Arial"/>
        </w:rPr>
      </w:pPr>
    </w:p>
    <w:p w:rsidR="00FB301C" w:rsidRDefault="00FB301C" w:rsidP="000940E1">
      <w:pPr>
        <w:pStyle w:val="BodyText"/>
        <w:autoSpaceDE w:val="0"/>
        <w:autoSpaceDN w:val="0"/>
        <w:adjustRightInd w:val="0"/>
        <w:spacing w:line="480" w:lineRule="auto"/>
        <w:jc w:val="both"/>
        <w:rPr>
          <w:rFonts w:ascii="Arial" w:hAnsi="Arial" w:cs="Arial"/>
        </w:rPr>
      </w:pPr>
    </w:p>
    <w:p w:rsidR="00FB301C" w:rsidRDefault="00FB301C" w:rsidP="000940E1">
      <w:pPr>
        <w:pStyle w:val="BodyText"/>
        <w:autoSpaceDE w:val="0"/>
        <w:autoSpaceDN w:val="0"/>
        <w:adjustRightInd w:val="0"/>
        <w:spacing w:line="480" w:lineRule="auto"/>
        <w:jc w:val="both"/>
        <w:rPr>
          <w:rFonts w:ascii="Arial" w:hAnsi="Arial" w:cs="Arial"/>
        </w:rPr>
      </w:pPr>
    </w:p>
    <w:p w:rsidR="00FB301C" w:rsidRDefault="00FB301C" w:rsidP="000940E1">
      <w:pPr>
        <w:pStyle w:val="BodyText"/>
        <w:autoSpaceDE w:val="0"/>
        <w:autoSpaceDN w:val="0"/>
        <w:adjustRightInd w:val="0"/>
        <w:spacing w:line="480" w:lineRule="auto"/>
        <w:jc w:val="both"/>
        <w:rPr>
          <w:rFonts w:ascii="Arial" w:hAnsi="Arial" w:cs="Arial"/>
        </w:rPr>
      </w:pPr>
    </w:p>
    <w:p w:rsidR="00FB301C" w:rsidRDefault="00FB301C" w:rsidP="000940E1">
      <w:pPr>
        <w:pStyle w:val="BodyText"/>
        <w:autoSpaceDE w:val="0"/>
        <w:autoSpaceDN w:val="0"/>
        <w:adjustRightInd w:val="0"/>
        <w:spacing w:line="480" w:lineRule="auto"/>
        <w:jc w:val="both"/>
        <w:rPr>
          <w:rFonts w:ascii="Arial" w:hAnsi="Arial" w:cs="Arial"/>
        </w:rPr>
      </w:pPr>
    </w:p>
    <w:p w:rsidR="00FB301C" w:rsidRDefault="00FB301C" w:rsidP="000940E1">
      <w:pPr>
        <w:pStyle w:val="BodyText"/>
        <w:autoSpaceDE w:val="0"/>
        <w:autoSpaceDN w:val="0"/>
        <w:adjustRightInd w:val="0"/>
        <w:spacing w:line="480" w:lineRule="auto"/>
        <w:jc w:val="both"/>
        <w:rPr>
          <w:rFonts w:ascii="Arial" w:hAnsi="Arial" w:cs="Arial"/>
        </w:rPr>
      </w:pPr>
    </w:p>
    <w:p w:rsidR="00FB301C" w:rsidRDefault="00FB301C" w:rsidP="000940E1">
      <w:pPr>
        <w:pStyle w:val="BodyText"/>
        <w:autoSpaceDE w:val="0"/>
        <w:autoSpaceDN w:val="0"/>
        <w:adjustRightInd w:val="0"/>
        <w:spacing w:line="480" w:lineRule="auto"/>
        <w:jc w:val="both"/>
        <w:rPr>
          <w:rFonts w:ascii="Arial" w:hAnsi="Arial" w:cs="Arial"/>
        </w:rPr>
      </w:pPr>
    </w:p>
    <w:p w:rsidR="00FB301C" w:rsidRDefault="00FB301C" w:rsidP="000940E1">
      <w:pPr>
        <w:pStyle w:val="BodyText"/>
        <w:autoSpaceDE w:val="0"/>
        <w:autoSpaceDN w:val="0"/>
        <w:adjustRightInd w:val="0"/>
        <w:spacing w:line="480" w:lineRule="auto"/>
        <w:jc w:val="both"/>
        <w:rPr>
          <w:rFonts w:ascii="Arial" w:hAnsi="Arial" w:cs="Arial"/>
        </w:rPr>
      </w:pPr>
    </w:p>
    <w:p w:rsidR="00FB301C" w:rsidRDefault="00FB301C" w:rsidP="000940E1">
      <w:pPr>
        <w:pStyle w:val="BodyText"/>
        <w:autoSpaceDE w:val="0"/>
        <w:autoSpaceDN w:val="0"/>
        <w:adjustRightInd w:val="0"/>
        <w:spacing w:line="480" w:lineRule="auto"/>
        <w:jc w:val="both"/>
        <w:rPr>
          <w:rFonts w:ascii="Arial" w:hAnsi="Arial" w:cs="Arial"/>
        </w:rPr>
      </w:pPr>
    </w:p>
    <w:p w:rsidR="00FB301C" w:rsidRDefault="00FB301C" w:rsidP="000940E1">
      <w:pPr>
        <w:pStyle w:val="BodyText"/>
        <w:autoSpaceDE w:val="0"/>
        <w:autoSpaceDN w:val="0"/>
        <w:adjustRightInd w:val="0"/>
        <w:spacing w:line="480" w:lineRule="auto"/>
        <w:jc w:val="both"/>
        <w:rPr>
          <w:rFonts w:ascii="Arial" w:hAnsi="Arial" w:cs="Arial"/>
        </w:rPr>
      </w:pPr>
    </w:p>
    <w:p w:rsidR="00FB301C" w:rsidRDefault="00FB301C" w:rsidP="000940E1">
      <w:pPr>
        <w:pStyle w:val="BodyText"/>
        <w:autoSpaceDE w:val="0"/>
        <w:autoSpaceDN w:val="0"/>
        <w:adjustRightInd w:val="0"/>
        <w:spacing w:line="480" w:lineRule="auto"/>
        <w:jc w:val="both"/>
        <w:rPr>
          <w:rFonts w:ascii="Arial" w:hAnsi="Arial" w:cs="Arial"/>
        </w:rPr>
      </w:pPr>
    </w:p>
    <w:p w:rsidR="00FB301C" w:rsidRDefault="00FB301C" w:rsidP="000940E1">
      <w:pPr>
        <w:pStyle w:val="BodyText"/>
        <w:autoSpaceDE w:val="0"/>
        <w:autoSpaceDN w:val="0"/>
        <w:adjustRightInd w:val="0"/>
        <w:spacing w:line="480" w:lineRule="auto"/>
        <w:jc w:val="both"/>
        <w:rPr>
          <w:rFonts w:ascii="Arial" w:hAnsi="Arial" w:cs="Arial"/>
        </w:rPr>
      </w:pPr>
    </w:p>
    <w:p w:rsidR="00FB301C" w:rsidRDefault="00FB301C" w:rsidP="000940E1">
      <w:pPr>
        <w:pStyle w:val="BodyText"/>
        <w:autoSpaceDE w:val="0"/>
        <w:autoSpaceDN w:val="0"/>
        <w:adjustRightInd w:val="0"/>
        <w:spacing w:line="480" w:lineRule="auto"/>
        <w:jc w:val="both"/>
        <w:rPr>
          <w:rFonts w:ascii="Arial" w:hAnsi="Arial" w:cs="Arial"/>
        </w:rPr>
      </w:pPr>
    </w:p>
    <w:p w:rsidR="00FB301C" w:rsidRDefault="00FB301C" w:rsidP="000940E1">
      <w:pPr>
        <w:pStyle w:val="BodyText"/>
        <w:autoSpaceDE w:val="0"/>
        <w:autoSpaceDN w:val="0"/>
        <w:adjustRightInd w:val="0"/>
        <w:spacing w:line="480" w:lineRule="auto"/>
        <w:jc w:val="both"/>
        <w:rPr>
          <w:rFonts w:ascii="Arial" w:hAnsi="Arial" w:cs="Arial"/>
        </w:rPr>
      </w:pPr>
    </w:p>
    <w:p w:rsidR="000940E1" w:rsidRDefault="000940E1" w:rsidP="000940E1">
      <w:pPr>
        <w:pStyle w:val="BodyText"/>
        <w:autoSpaceDE w:val="0"/>
        <w:autoSpaceDN w:val="0"/>
        <w:adjustRightInd w:val="0"/>
        <w:spacing w:line="480" w:lineRule="auto"/>
        <w:jc w:val="both"/>
        <w:rPr>
          <w:rFonts w:ascii="Arial" w:hAnsi="Arial" w:cs="Arial"/>
        </w:rPr>
      </w:pPr>
      <w:r>
        <w:rPr>
          <w:rFonts w:ascii="Arial" w:hAnsi="Arial" w:cs="Arial"/>
        </w:rPr>
        <w:t>APPEARANCES</w:t>
      </w:r>
    </w:p>
    <w:p w:rsidR="000940E1" w:rsidRDefault="000940E1" w:rsidP="000940E1">
      <w:pPr>
        <w:pStyle w:val="BodyText"/>
        <w:autoSpaceDE w:val="0"/>
        <w:autoSpaceDN w:val="0"/>
        <w:adjustRightInd w:val="0"/>
        <w:spacing w:line="480"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0940E1" w:rsidTr="00D074C2">
        <w:tc>
          <w:tcPr>
            <w:tcW w:w="4555" w:type="dxa"/>
          </w:tcPr>
          <w:p w:rsidR="000940E1" w:rsidRDefault="000940E1" w:rsidP="00D074C2">
            <w:pPr>
              <w:pStyle w:val="BodyText"/>
              <w:autoSpaceDE w:val="0"/>
              <w:autoSpaceDN w:val="0"/>
              <w:adjustRightInd w:val="0"/>
              <w:spacing w:line="480" w:lineRule="auto"/>
              <w:ind w:left="-113"/>
              <w:jc w:val="both"/>
              <w:rPr>
                <w:rFonts w:ascii="Arial" w:hAnsi="Arial" w:cs="Arial"/>
              </w:rPr>
            </w:pPr>
            <w:r>
              <w:rPr>
                <w:rFonts w:ascii="Arial" w:hAnsi="Arial" w:cs="Arial"/>
              </w:rPr>
              <w:t>APPELLANT</w:t>
            </w:r>
            <w:r w:rsidR="00D67C57">
              <w:rPr>
                <w:rFonts w:ascii="Arial" w:hAnsi="Arial" w:cs="Arial"/>
              </w:rPr>
              <w:t>S</w:t>
            </w:r>
            <w:r>
              <w:rPr>
                <w:rFonts w:ascii="Arial" w:hAnsi="Arial" w:cs="Arial"/>
              </w:rPr>
              <w:t>:</w:t>
            </w:r>
          </w:p>
        </w:tc>
        <w:tc>
          <w:tcPr>
            <w:tcW w:w="4556" w:type="dxa"/>
          </w:tcPr>
          <w:p w:rsidR="000940E1" w:rsidRDefault="005432C1" w:rsidP="00B97017">
            <w:pPr>
              <w:pStyle w:val="BodyText"/>
              <w:autoSpaceDE w:val="0"/>
              <w:autoSpaceDN w:val="0"/>
              <w:adjustRightInd w:val="0"/>
              <w:spacing w:line="480" w:lineRule="auto"/>
              <w:jc w:val="left"/>
              <w:rPr>
                <w:rFonts w:ascii="Arial" w:hAnsi="Arial" w:cs="Arial"/>
              </w:rPr>
            </w:pPr>
            <w:r>
              <w:rPr>
                <w:rFonts w:ascii="Arial" w:hAnsi="Arial" w:cs="Arial"/>
              </w:rPr>
              <w:t xml:space="preserve">C </w:t>
            </w:r>
            <w:r w:rsidR="0078590A">
              <w:rPr>
                <w:rFonts w:ascii="Arial" w:hAnsi="Arial" w:cs="Arial"/>
              </w:rPr>
              <w:t xml:space="preserve">J </w:t>
            </w:r>
            <w:r>
              <w:rPr>
                <w:rFonts w:ascii="Arial" w:hAnsi="Arial" w:cs="Arial"/>
              </w:rPr>
              <w:t>van Wyk</w:t>
            </w:r>
          </w:p>
        </w:tc>
      </w:tr>
      <w:tr w:rsidR="000940E1" w:rsidTr="00D074C2">
        <w:tc>
          <w:tcPr>
            <w:tcW w:w="4555" w:type="dxa"/>
          </w:tcPr>
          <w:p w:rsidR="000940E1" w:rsidRDefault="000940E1" w:rsidP="00D074C2">
            <w:pPr>
              <w:pStyle w:val="BodyText"/>
              <w:autoSpaceDE w:val="0"/>
              <w:autoSpaceDN w:val="0"/>
              <w:adjustRightInd w:val="0"/>
              <w:spacing w:line="480" w:lineRule="auto"/>
              <w:ind w:left="-113"/>
              <w:jc w:val="both"/>
              <w:rPr>
                <w:rFonts w:ascii="Arial" w:hAnsi="Arial" w:cs="Arial"/>
              </w:rPr>
            </w:pPr>
          </w:p>
        </w:tc>
        <w:tc>
          <w:tcPr>
            <w:tcW w:w="4556" w:type="dxa"/>
          </w:tcPr>
          <w:p w:rsidR="000940E1" w:rsidRPr="005432C1" w:rsidRDefault="005432C1" w:rsidP="005432C1">
            <w:pPr>
              <w:pStyle w:val="BodyText"/>
              <w:autoSpaceDE w:val="0"/>
              <w:autoSpaceDN w:val="0"/>
              <w:adjustRightInd w:val="0"/>
              <w:spacing w:line="480" w:lineRule="auto"/>
              <w:jc w:val="left"/>
              <w:rPr>
                <w:rFonts w:ascii="Arial" w:hAnsi="Arial" w:cs="Arial"/>
              </w:rPr>
            </w:pPr>
            <w:r w:rsidRPr="005432C1">
              <w:rPr>
                <w:rFonts w:ascii="Arial" w:hAnsi="Arial" w:cs="Arial"/>
              </w:rPr>
              <w:t xml:space="preserve">Of </w:t>
            </w:r>
            <w:r w:rsidR="00D67C57" w:rsidRPr="005432C1">
              <w:rPr>
                <w:rFonts w:ascii="Arial" w:hAnsi="Arial" w:cs="Arial"/>
              </w:rPr>
              <w:t>Legal Assistance Centre, Windhoek</w:t>
            </w:r>
          </w:p>
        </w:tc>
      </w:tr>
      <w:tr w:rsidR="000940E1" w:rsidTr="00D074C2">
        <w:tc>
          <w:tcPr>
            <w:tcW w:w="4555" w:type="dxa"/>
          </w:tcPr>
          <w:p w:rsidR="000940E1" w:rsidRDefault="000940E1" w:rsidP="00D074C2">
            <w:pPr>
              <w:pStyle w:val="BodyText"/>
              <w:autoSpaceDE w:val="0"/>
              <w:autoSpaceDN w:val="0"/>
              <w:adjustRightInd w:val="0"/>
              <w:spacing w:line="480" w:lineRule="auto"/>
              <w:ind w:left="-113"/>
              <w:jc w:val="both"/>
              <w:rPr>
                <w:rFonts w:ascii="Arial" w:hAnsi="Arial" w:cs="Arial"/>
              </w:rPr>
            </w:pPr>
          </w:p>
        </w:tc>
        <w:tc>
          <w:tcPr>
            <w:tcW w:w="4556" w:type="dxa"/>
          </w:tcPr>
          <w:p w:rsidR="000940E1" w:rsidRDefault="000940E1" w:rsidP="00B97017">
            <w:pPr>
              <w:pStyle w:val="BodyText"/>
              <w:autoSpaceDE w:val="0"/>
              <w:autoSpaceDN w:val="0"/>
              <w:adjustRightInd w:val="0"/>
              <w:spacing w:line="480" w:lineRule="auto"/>
              <w:jc w:val="left"/>
              <w:rPr>
                <w:rFonts w:ascii="Arial" w:hAnsi="Arial" w:cs="Arial"/>
              </w:rPr>
            </w:pPr>
          </w:p>
        </w:tc>
      </w:tr>
      <w:tr w:rsidR="000940E1" w:rsidTr="00D074C2">
        <w:tc>
          <w:tcPr>
            <w:tcW w:w="4555" w:type="dxa"/>
          </w:tcPr>
          <w:p w:rsidR="000940E1" w:rsidRDefault="000940E1" w:rsidP="00D074C2">
            <w:pPr>
              <w:pStyle w:val="BodyText"/>
              <w:autoSpaceDE w:val="0"/>
              <w:autoSpaceDN w:val="0"/>
              <w:adjustRightInd w:val="0"/>
              <w:spacing w:line="480" w:lineRule="auto"/>
              <w:ind w:left="-113"/>
              <w:jc w:val="both"/>
              <w:rPr>
                <w:rFonts w:ascii="Arial" w:hAnsi="Arial" w:cs="Arial"/>
              </w:rPr>
            </w:pPr>
          </w:p>
        </w:tc>
        <w:tc>
          <w:tcPr>
            <w:tcW w:w="4556" w:type="dxa"/>
          </w:tcPr>
          <w:p w:rsidR="000940E1" w:rsidRDefault="000940E1" w:rsidP="00B97017">
            <w:pPr>
              <w:pStyle w:val="BodyText"/>
              <w:autoSpaceDE w:val="0"/>
              <w:autoSpaceDN w:val="0"/>
              <w:adjustRightInd w:val="0"/>
              <w:spacing w:line="480" w:lineRule="auto"/>
              <w:jc w:val="left"/>
              <w:rPr>
                <w:rFonts w:ascii="Arial" w:hAnsi="Arial" w:cs="Arial"/>
              </w:rPr>
            </w:pPr>
          </w:p>
        </w:tc>
      </w:tr>
      <w:tr w:rsidR="000940E1" w:rsidTr="00D074C2">
        <w:tc>
          <w:tcPr>
            <w:tcW w:w="4555" w:type="dxa"/>
          </w:tcPr>
          <w:p w:rsidR="000940E1" w:rsidRDefault="00D67C57" w:rsidP="00D074C2">
            <w:pPr>
              <w:pStyle w:val="BodyText"/>
              <w:autoSpaceDE w:val="0"/>
              <w:autoSpaceDN w:val="0"/>
              <w:adjustRightInd w:val="0"/>
              <w:spacing w:line="480" w:lineRule="auto"/>
              <w:ind w:left="-113"/>
              <w:jc w:val="both"/>
              <w:rPr>
                <w:rFonts w:ascii="Arial" w:hAnsi="Arial" w:cs="Arial"/>
              </w:rPr>
            </w:pPr>
            <w:r>
              <w:rPr>
                <w:rFonts w:ascii="Arial" w:hAnsi="Arial" w:cs="Arial"/>
              </w:rPr>
              <w:t xml:space="preserve">FIRST </w:t>
            </w:r>
            <w:r w:rsidR="000940E1">
              <w:rPr>
                <w:rFonts w:ascii="Arial" w:hAnsi="Arial" w:cs="Arial"/>
              </w:rPr>
              <w:t>RESPONDENT:</w:t>
            </w:r>
          </w:p>
        </w:tc>
        <w:tc>
          <w:tcPr>
            <w:tcW w:w="4556" w:type="dxa"/>
          </w:tcPr>
          <w:p w:rsidR="000940E1" w:rsidRDefault="005432C1" w:rsidP="00B97017">
            <w:pPr>
              <w:pStyle w:val="BodyText"/>
              <w:autoSpaceDE w:val="0"/>
              <w:autoSpaceDN w:val="0"/>
              <w:adjustRightInd w:val="0"/>
              <w:spacing w:line="480" w:lineRule="auto"/>
              <w:jc w:val="left"/>
              <w:rPr>
                <w:rFonts w:ascii="Arial" w:hAnsi="Arial" w:cs="Arial"/>
              </w:rPr>
            </w:pPr>
            <w:r>
              <w:rPr>
                <w:rFonts w:ascii="Arial" w:hAnsi="Arial" w:cs="Arial"/>
              </w:rPr>
              <w:t>N Tjombe</w:t>
            </w:r>
          </w:p>
        </w:tc>
      </w:tr>
      <w:tr w:rsidR="000940E1" w:rsidTr="00D074C2">
        <w:tc>
          <w:tcPr>
            <w:tcW w:w="4555" w:type="dxa"/>
          </w:tcPr>
          <w:p w:rsidR="000940E1" w:rsidRDefault="000940E1" w:rsidP="00D074C2">
            <w:pPr>
              <w:pStyle w:val="BodyText"/>
              <w:autoSpaceDE w:val="0"/>
              <w:autoSpaceDN w:val="0"/>
              <w:adjustRightInd w:val="0"/>
              <w:spacing w:line="480" w:lineRule="auto"/>
              <w:ind w:left="-113"/>
              <w:jc w:val="both"/>
              <w:rPr>
                <w:rFonts w:ascii="Arial" w:hAnsi="Arial" w:cs="Arial"/>
              </w:rPr>
            </w:pPr>
          </w:p>
        </w:tc>
        <w:tc>
          <w:tcPr>
            <w:tcW w:w="4556" w:type="dxa"/>
          </w:tcPr>
          <w:p w:rsidR="000940E1" w:rsidRDefault="00D67C57" w:rsidP="00C56111">
            <w:pPr>
              <w:pStyle w:val="BodyText"/>
              <w:autoSpaceDE w:val="0"/>
              <w:autoSpaceDN w:val="0"/>
              <w:adjustRightInd w:val="0"/>
              <w:spacing w:line="480" w:lineRule="auto"/>
              <w:jc w:val="left"/>
              <w:rPr>
                <w:rFonts w:ascii="Arial" w:hAnsi="Arial" w:cs="Arial"/>
              </w:rPr>
            </w:pPr>
            <w:r w:rsidRPr="005432C1">
              <w:rPr>
                <w:rFonts w:ascii="Arial" w:hAnsi="Arial" w:cs="Arial"/>
              </w:rPr>
              <w:t>Of</w:t>
            </w:r>
            <w:r w:rsidR="00C56111" w:rsidRPr="005432C1">
              <w:rPr>
                <w:rFonts w:ascii="Arial" w:hAnsi="Arial" w:cs="Arial"/>
              </w:rPr>
              <w:t xml:space="preserve"> Tjom</w:t>
            </w:r>
            <w:r w:rsidR="005432C1">
              <w:rPr>
                <w:rFonts w:ascii="Arial" w:hAnsi="Arial" w:cs="Arial"/>
              </w:rPr>
              <w:t>b</w:t>
            </w:r>
            <w:r w:rsidR="00C56111" w:rsidRPr="005432C1">
              <w:rPr>
                <w:rFonts w:ascii="Arial" w:hAnsi="Arial" w:cs="Arial"/>
              </w:rPr>
              <w:t>e</w:t>
            </w:r>
            <w:r w:rsidR="00C56111">
              <w:rPr>
                <w:rFonts w:ascii="Arial" w:hAnsi="Arial" w:cs="Arial"/>
              </w:rPr>
              <w:t xml:space="preserve"> – Elago </w:t>
            </w:r>
            <w:r>
              <w:rPr>
                <w:rFonts w:ascii="Arial" w:hAnsi="Arial" w:cs="Arial"/>
              </w:rPr>
              <w:t>Incorporated, Windhoek</w:t>
            </w:r>
          </w:p>
        </w:tc>
      </w:tr>
      <w:tr w:rsidR="000940E1" w:rsidTr="00D074C2">
        <w:tc>
          <w:tcPr>
            <w:tcW w:w="4555" w:type="dxa"/>
          </w:tcPr>
          <w:p w:rsidR="000940E1" w:rsidRDefault="000940E1" w:rsidP="00D074C2">
            <w:pPr>
              <w:pStyle w:val="BodyText"/>
              <w:autoSpaceDE w:val="0"/>
              <w:autoSpaceDN w:val="0"/>
              <w:adjustRightInd w:val="0"/>
              <w:spacing w:line="480" w:lineRule="auto"/>
              <w:ind w:left="-113"/>
              <w:jc w:val="both"/>
              <w:rPr>
                <w:rFonts w:ascii="Arial" w:hAnsi="Arial" w:cs="Arial"/>
              </w:rPr>
            </w:pPr>
          </w:p>
        </w:tc>
        <w:tc>
          <w:tcPr>
            <w:tcW w:w="4556" w:type="dxa"/>
          </w:tcPr>
          <w:p w:rsidR="000940E1" w:rsidRDefault="000940E1" w:rsidP="00B97017">
            <w:pPr>
              <w:pStyle w:val="BodyText"/>
              <w:autoSpaceDE w:val="0"/>
              <w:autoSpaceDN w:val="0"/>
              <w:adjustRightInd w:val="0"/>
              <w:spacing w:line="480" w:lineRule="auto"/>
              <w:jc w:val="left"/>
              <w:rPr>
                <w:rFonts w:ascii="Arial" w:hAnsi="Arial" w:cs="Arial"/>
              </w:rPr>
            </w:pPr>
          </w:p>
        </w:tc>
      </w:tr>
    </w:tbl>
    <w:p w:rsidR="002E63E8" w:rsidRDefault="002E63E8" w:rsidP="000940E1">
      <w:pPr>
        <w:pStyle w:val="BodyText"/>
        <w:autoSpaceDE w:val="0"/>
        <w:autoSpaceDN w:val="0"/>
        <w:adjustRightInd w:val="0"/>
        <w:spacing w:line="480" w:lineRule="auto"/>
        <w:jc w:val="both"/>
        <w:rPr>
          <w:rFonts w:ascii="Arial" w:hAnsi="Arial" w:cs="Arial"/>
        </w:rPr>
      </w:pPr>
    </w:p>
    <w:sectPr w:rsidR="002E63E8" w:rsidSect="000940E1">
      <w:headerReference w:type="even" r:id="rId13"/>
      <w:headerReference w:type="default" r:id="rId14"/>
      <w:pgSz w:w="12240" w:h="15840" w:code="1"/>
      <w:pgMar w:top="811" w:right="1418" w:bottom="1418" w:left="1701" w:header="811"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00F" w:rsidRDefault="00D0000F">
      <w:pPr>
        <w:spacing w:after="0" w:line="240" w:lineRule="auto"/>
      </w:pPr>
      <w:r>
        <w:separator/>
      </w:r>
    </w:p>
  </w:endnote>
  <w:endnote w:type="continuationSeparator" w:id="0">
    <w:p w:rsidR="00D0000F" w:rsidRDefault="00D00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00F" w:rsidRDefault="00D0000F">
      <w:pPr>
        <w:spacing w:after="0" w:line="240" w:lineRule="auto"/>
      </w:pPr>
      <w:r>
        <w:separator/>
      </w:r>
    </w:p>
  </w:footnote>
  <w:footnote w:type="continuationSeparator" w:id="0">
    <w:p w:rsidR="00D0000F" w:rsidRDefault="00D0000F">
      <w:pPr>
        <w:spacing w:after="0" w:line="240" w:lineRule="auto"/>
      </w:pPr>
      <w:r>
        <w:continuationSeparator/>
      </w:r>
    </w:p>
  </w:footnote>
  <w:footnote w:id="1">
    <w:p w:rsidR="00B97017" w:rsidRPr="00D074C2" w:rsidRDefault="00B97017">
      <w:pPr>
        <w:pStyle w:val="FootnoteText"/>
        <w:rPr>
          <w:rFonts w:ascii="Arial" w:hAnsi="Arial" w:cs="Arial"/>
        </w:rPr>
      </w:pPr>
      <w:r w:rsidRPr="00D074C2">
        <w:rPr>
          <w:rStyle w:val="FootnoteReference"/>
          <w:rFonts w:ascii="Arial" w:hAnsi="Arial" w:cs="Arial"/>
        </w:rPr>
        <w:footnoteRef/>
      </w:r>
      <w:r w:rsidRPr="00D074C2">
        <w:rPr>
          <w:rFonts w:ascii="Arial" w:hAnsi="Arial" w:cs="Arial"/>
        </w:rPr>
        <w:t xml:space="preserve"> Act 6 of 1995.</w:t>
      </w:r>
    </w:p>
  </w:footnote>
  <w:footnote w:id="2">
    <w:p w:rsidR="00B97017" w:rsidRPr="00FB51E1" w:rsidRDefault="00B97017" w:rsidP="00FB51E1">
      <w:pPr>
        <w:pStyle w:val="FootnoteText"/>
        <w:jc w:val="both"/>
        <w:rPr>
          <w:rFonts w:ascii="Arial" w:hAnsi="Arial" w:cs="Arial"/>
        </w:rPr>
      </w:pPr>
      <w:r w:rsidRPr="00FB51E1">
        <w:rPr>
          <w:rStyle w:val="FootnoteReference"/>
          <w:rFonts w:ascii="Arial" w:hAnsi="Arial" w:cs="Arial"/>
        </w:rPr>
        <w:footnoteRef/>
      </w:r>
      <w:r w:rsidRPr="00FB51E1">
        <w:rPr>
          <w:rFonts w:ascii="Arial" w:hAnsi="Arial" w:cs="Arial"/>
        </w:rPr>
        <w:t xml:space="preserve"> </w:t>
      </w:r>
      <w:r>
        <w:rPr>
          <w:rFonts w:ascii="Arial" w:hAnsi="Arial" w:cs="Arial"/>
        </w:rPr>
        <w:t xml:space="preserve">The counter application was disregarded by the court </w:t>
      </w:r>
      <w:r w:rsidRPr="00FB51E1">
        <w:rPr>
          <w:rFonts w:ascii="Arial" w:hAnsi="Arial" w:cs="Arial"/>
          <w:i/>
        </w:rPr>
        <w:t>a quo</w:t>
      </w:r>
      <w:r>
        <w:rPr>
          <w:rFonts w:ascii="Arial" w:hAnsi="Arial" w:cs="Arial"/>
        </w:rPr>
        <w:t xml:space="preserve"> as it held that it amounted to an irregularity.</w:t>
      </w:r>
    </w:p>
  </w:footnote>
  <w:footnote w:id="3">
    <w:p w:rsidR="00C51E2F" w:rsidRPr="00C51E2F" w:rsidRDefault="00C51E2F">
      <w:pPr>
        <w:pStyle w:val="FootnoteText"/>
        <w:rPr>
          <w:rFonts w:ascii="Arial" w:hAnsi="Arial" w:cs="Arial"/>
        </w:rPr>
      </w:pPr>
      <w:r w:rsidRPr="00C51E2F">
        <w:rPr>
          <w:rStyle w:val="FootnoteReference"/>
          <w:rFonts w:ascii="Arial" w:hAnsi="Arial" w:cs="Arial"/>
        </w:rPr>
        <w:footnoteRef/>
      </w:r>
      <w:r w:rsidRPr="00C51E2F">
        <w:rPr>
          <w:rFonts w:ascii="Arial" w:hAnsi="Arial" w:cs="Arial"/>
        </w:rPr>
        <w:t xml:space="preserve"> </w:t>
      </w:r>
      <w:r>
        <w:rPr>
          <w:rFonts w:ascii="Arial" w:hAnsi="Arial" w:cs="Arial"/>
        </w:rPr>
        <w:t xml:space="preserve">The judgment of the court </w:t>
      </w:r>
      <w:r w:rsidRPr="00C51E2F">
        <w:rPr>
          <w:rFonts w:ascii="Arial" w:hAnsi="Arial" w:cs="Arial"/>
          <w:i/>
        </w:rPr>
        <w:t>a quo</w:t>
      </w:r>
      <w:r>
        <w:rPr>
          <w:rFonts w:ascii="Arial" w:hAnsi="Arial" w:cs="Arial"/>
        </w:rPr>
        <w:t xml:space="preserve"> is reported as </w:t>
      </w:r>
      <w:r w:rsidRPr="00C51E2F">
        <w:rPr>
          <w:rFonts w:ascii="Arial" w:hAnsi="Arial" w:cs="Arial"/>
          <w:i/>
        </w:rPr>
        <w:t>Damaseb v Minister of Land Reform &amp; others</w:t>
      </w:r>
      <w:r>
        <w:rPr>
          <w:rFonts w:ascii="Arial" w:hAnsi="Arial" w:cs="Arial"/>
        </w:rPr>
        <w:t xml:space="preserve"> 2019 (3) NR 775 (HC) (</w:t>
      </w:r>
      <w:r w:rsidRPr="00C51E2F">
        <w:rPr>
          <w:rFonts w:ascii="Arial" w:hAnsi="Arial" w:cs="Arial"/>
          <w:i/>
        </w:rPr>
        <w:t>Damaseb</w:t>
      </w:r>
      <w:r>
        <w:rPr>
          <w:rFonts w:ascii="Arial" w:hAnsi="Arial" w:cs="Arial"/>
        </w:rPr>
        <w:t>).</w:t>
      </w:r>
    </w:p>
  </w:footnote>
  <w:footnote w:id="4">
    <w:p w:rsidR="00B97017" w:rsidRPr="0007460D" w:rsidRDefault="00B97017" w:rsidP="0007460D">
      <w:pPr>
        <w:pStyle w:val="NoSpacing"/>
        <w:rPr>
          <w:rFonts w:ascii="Arial" w:hAnsi="Arial" w:cs="Arial"/>
          <w:sz w:val="20"/>
          <w:szCs w:val="20"/>
        </w:rPr>
      </w:pPr>
      <w:r w:rsidRPr="0007460D">
        <w:rPr>
          <w:rStyle w:val="FootnoteReference"/>
          <w:rFonts w:ascii="Arial" w:hAnsi="Arial" w:cs="Arial"/>
          <w:sz w:val="20"/>
          <w:szCs w:val="20"/>
        </w:rPr>
        <w:footnoteRef/>
      </w:r>
      <w:r w:rsidRPr="0007460D">
        <w:rPr>
          <w:rFonts w:ascii="Arial" w:hAnsi="Arial" w:cs="Arial"/>
          <w:sz w:val="20"/>
          <w:szCs w:val="20"/>
        </w:rPr>
        <w:t xml:space="preserve"> 2015 (2) NR 526 (SC)</w:t>
      </w:r>
      <w:r w:rsidR="00B05E4C">
        <w:rPr>
          <w:rFonts w:ascii="Arial" w:hAnsi="Arial" w:cs="Arial"/>
          <w:sz w:val="20"/>
          <w:szCs w:val="20"/>
        </w:rPr>
        <w:t xml:space="preserve"> (</w:t>
      </w:r>
      <w:r w:rsidR="00B05E4C" w:rsidRPr="00B05E4C">
        <w:rPr>
          <w:rFonts w:ascii="Arial" w:hAnsi="Arial" w:cs="Arial"/>
          <w:i/>
          <w:sz w:val="20"/>
          <w:szCs w:val="20"/>
        </w:rPr>
        <w:t>Meroro</w:t>
      </w:r>
      <w:r w:rsidR="00B05E4C">
        <w:rPr>
          <w:rFonts w:ascii="Arial" w:hAnsi="Arial" w:cs="Arial"/>
          <w:sz w:val="20"/>
          <w:szCs w:val="20"/>
        </w:rPr>
        <w:t>).</w:t>
      </w:r>
    </w:p>
  </w:footnote>
  <w:footnote w:id="5">
    <w:p w:rsidR="00B97017" w:rsidRPr="005F2479" w:rsidRDefault="00B97017">
      <w:pPr>
        <w:pStyle w:val="FootnoteText"/>
        <w:rPr>
          <w:rFonts w:ascii="Arial" w:hAnsi="Arial" w:cs="Arial"/>
        </w:rPr>
      </w:pPr>
      <w:r w:rsidRPr="005F2479">
        <w:rPr>
          <w:rStyle w:val="FootnoteReference"/>
          <w:rFonts w:ascii="Arial" w:hAnsi="Arial" w:cs="Arial"/>
        </w:rPr>
        <w:footnoteRef/>
      </w:r>
      <w:r w:rsidRPr="005F2479">
        <w:rPr>
          <w:rFonts w:ascii="Arial" w:hAnsi="Arial" w:cs="Arial"/>
        </w:rPr>
        <w:t xml:space="preserve"> </w:t>
      </w:r>
      <w:r w:rsidRPr="008511DE">
        <w:rPr>
          <w:rFonts w:ascii="Arial" w:hAnsi="Arial" w:cs="Arial"/>
          <w:i/>
        </w:rPr>
        <w:t>Meroro</w:t>
      </w:r>
      <w:r>
        <w:rPr>
          <w:rFonts w:ascii="Arial" w:hAnsi="Arial" w:cs="Arial"/>
        </w:rPr>
        <w:t xml:space="preserve"> para 6.</w:t>
      </w:r>
    </w:p>
  </w:footnote>
  <w:footnote w:id="6">
    <w:p w:rsidR="00B97017" w:rsidRPr="005F2479" w:rsidRDefault="00B97017">
      <w:pPr>
        <w:pStyle w:val="FootnoteText"/>
        <w:rPr>
          <w:rFonts w:ascii="Arial" w:hAnsi="Arial" w:cs="Arial"/>
        </w:rPr>
      </w:pPr>
      <w:r w:rsidRPr="005F2479">
        <w:rPr>
          <w:rStyle w:val="FootnoteReference"/>
          <w:rFonts w:ascii="Arial" w:hAnsi="Arial" w:cs="Arial"/>
        </w:rPr>
        <w:footnoteRef/>
      </w:r>
      <w:r w:rsidRPr="005F2479">
        <w:rPr>
          <w:rFonts w:ascii="Arial" w:hAnsi="Arial" w:cs="Arial"/>
        </w:rPr>
        <w:t xml:space="preserve"> </w:t>
      </w:r>
      <w:r>
        <w:rPr>
          <w:rFonts w:ascii="Arial" w:hAnsi="Arial" w:cs="Arial"/>
        </w:rPr>
        <w:t xml:space="preserve">Section 53(2) of ACLRA and </w:t>
      </w:r>
      <w:r w:rsidRPr="005F2479">
        <w:rPr>
          <w:rFonts w:ascii="Arial" w:hAnsi="Arial" w:cs="Arial"/>
          <w:i/>
        </w:rPr>
        <w:t>Meroro</w:t>
      </w:r>
      <w:r>
        <w:rPr>
          <w:rFonts w:ascii="Arial" w:hAnsi="Arial" w:cs="Arial"/>
        </w:rPr>
        <w:t xml:space="preserve"> para 7.</w:t>
      </w:r>
    </w:p>
  </w:footnote>
  <w:footnote w:id="7">
    <w:p w:rsidR="00B97017" w:rsidRPr="00A526E9" w:rsidRDefault="00B97017">
      <w:pPr>
        <w:pStyle w:val="FootnoteText"/>
        <w:rPr>
          <w:rFonts w:ascii="Arial" w:hAnsi="Arial" w:cs="Arial"/>
        </w:rPr>
      </w:pPr>
      <w:r w:rsidRPr="00A526E9">
        <w:rPr>
          <w:rStyle w:val="FootnoteReference"/>
          <w:rFonts w:ascii="Arial" w:hAnsi="Arial" w:cs="Arial"/>
        </w:rPr>
        <w:footnoteRef/>
      </w:r>
      <w:r w:rsidRPr="00A526E9">
        <w:rPr>
          <w:rFonts w:ascii="Arial" w:hAnsi="Arial" w:cs="Arial"/>
        </w:rPr>
        <w:t xml:space="preserve"> </w:t>
      </w:r>
      <w:r w:rsidRPr="00840AB4">
        <w:rPr>
          <w:rFonts w:ascii="Arial" w:hAnsi="Arial" w:cs="Arial"/>
          <w:i/>
        </w:rPr>
        <w:t>Meroro</w:t>
      </w:r>
      <w:r>
        <w:rPr>
          <w:rFonts w:ascii="Arial" w:hAnsi="Arial" w:cs="Arial"/>
        </w:rPr>
        <w:t xml:space="preserve"> para 21. See also para 22.</w:t>
      </w:r>
    </w:p>
  </w:footnote>
  <w:footnote w:id="8">
    <w:p w:rsidR="00B97017" w:rsidRPr="00A55AA8" w:rsidRDefault="00B97017">
      <w:pPr>
        <w:pStyle w:val="FootnoteText"/>
        <w:rPr>
          <w:rFonts w:ascii="Arial" w:hAnsi="Arial" w:cs="Arial"/>
        </w:rPr>
      </w:pPr>
      <w:r w:rsidRPr="00A55AA8">
        <w:rPr>
          <w:rStyle w:val="FootnoteReference"/>
          <w:rFonts w:ascii="Arial" w:hAnsi="Arial" w:cs="Arial"/>
        </w:rPr>
        <w:footnoteRef/>
      </w:r>
      <w:r w:rsidRPr="00A55AA8">
        <w:rPr>
          <w:rFonts w:ascii="Arial" w:hAnsi="Arial" w:cs="Arial"/>
        </w:rPr>
        <w:t xml:space="preserve"> </w:t>
      </w:r>
      <w:r w:rsidRPr="00A55AA8">
        <w:rPr>
          <w:rFonts w:ascii="Arial" w:hAnsi="Arial" w:cs="Arial"/>
          <w:i/>
        </w:rPr>
        <w:t>Meroro</w:t>
      </w:r>
      <w:r w:rsidRPr="00A55AA8">
        <w:rPr>
          <w:rFonts w:ascii="Arial" w:hAnsi="Arial" w:cs="Arial"/>
        </w:rPr>
        <w:t xml:space="preserve"> para 24.</w:t>
      </w:r>
    </w:p>
  </w:footnote>
  <w:footnote w:id="9">
    <w:p w:rsidR="00B97017" w:rsidRPr="00A55AA8" w:rsidRDefault="00B97017">
      <w:pPr>
        <w:pStyle w:val="FootnoteText"/>
        <w:rPr>
          <w:rFonts w:ascii="Arial" w:hAnsi="Arial" w:cs="Arial"/>
        </w:rPr>
      </w:pPr>
      <w:r w:rsidRPr="00A55AA8">
        <w:rPr>
          <w:rStyle w:val="FootnoteReference"/>
          <w:rFonts w:ascii="Arial" w:hAnsi="Arial" w:cs="Arial"/>
        </w:rPr>
        <w:footnoteRef/>
      </w:r>
      <w:r w:rsidRPr="00A55AA8">
        <w:rPr>
          <w:rFonts w:ascii="Arial" w:hAnsi="Arial" w:cs="Arial"/>
        </w:rPr>
        <w:t xml:space="preserve"> </w:t>
      </w:r>
      <w:r>
        <w:rPr>
          <w:rFonts w:ascii="Arial" w:hAnsi="Arial" w:cs="Arial"/>
        </w:rPr>
        <w:t xml:space="preserve">Section 53(1) of </w:t>
      </w:r>
      <w:r w:rsidR="00B05E4C">
        <w:rPr>
          <w:rFonts w:ascii="Arial" w:hAnsi="Arial" w:cs="Arial"/>
        </w:rPr>
        <w:t xml:space="preserve">the </w:t>
      </w:r>
      <w:r>
        <w:rPr>
          <w:rFonts w:ascii="Arial" w:hAnsi="Arial" w:cs="Arial"/>
        </w:rPr>
        <w:t>ACLRA.</w:t>
      </w:r>
    </w:p>
  </w:footnote>
  <w:footnote w:id="10">
    <w:p w:rsidR="00B97017" w:rsidRPr="00802115" w:rsidRDefault="00B97017">
      <w:pPr>
        <w:pStyle w:val="FootnoteText"/>
        <w:rPr>
          <w:rFonts w:ascii="Arial" w:hAnsi="Arial" w:cs="Arial"/>
        </w:rPr>
      </w:pPr>
      <w:r w:rsidRPr="00802115">
        <w:rPr>
          <w:rStyle w:val="FootnoteReference"/>
          <w:rFonts w:ascii="Arial" w:hAnsi="Arial" w:cs="Arial"/>
        </w:rPr>
        <w:footnoteRef/>
      </w:r>
      <w:r w:rsidRPr="00802115">
        <w:rPr>
          <w:rFonts w:ascii="Arial" w:hAnsi="Arial" w:cs="Arial"/>
        </w:rPr>
        <w:t xml:space="preserve"> </w:t>
      </w:r>
      <w:r w:rsidRPr="00802115">
        <w:rPr>
          <w:rFonts w:ascii="Arial" w:hAnsi="Arial" w:cs="Arial"/>
          <w:i/>
        </w:rPr>
        <w:t xml:space="preserve">Meroro </w:t>
      </w:r>
      <w:r>
        <w:rPr>
          <w:rFonts w:ascii="Arial" w:hAnsi="Arial" w:cs="Arial"/>
        </w:rPr>
        <w:t>para 24.</w:t>
      </w:r>
    </w:p>
  </w:footnote>
  <w:footnote w:id="11">
    <w:p w:rsidR="00B97017" w:rsidRPr="00D374CC" w:rsidRDefault="00B97017">
      <w:pPr>
        <w:pStyle w:val="FootnoteText"/>
        <w:rPr>
          <w:rFonts w:ascii="Arial" w:hAnsi="Arial" w:cs="Arial"/>
        </w:rPr>
      </w:pPr>
      <w:r w:rsidRPr="00D374CC">
        <w:rPr>
          <w:rStyle w:val="FootnoteReference"/>
          <w:rFonts w:ascii="Arial" w:hAnsi="Arial" w:cs="Arial"/>
        </w:rPr>
        <w:footnoteRef/>
      </w:r>
      <w:r w:rsidRPr="00D374CC">
        <w:rPr>
          <w:rFonts w:ascii="Arial" w:hAnsi="Arial" w:cs="Arial"/>
        </w:rPr>
        <w:t xml:space="preserve"> </w:t>
      </w:r>
      <w:r w:rsidRPr="00D374CC">
        <w:rPr>
          <w:rFonts w:ascii="Arial" w:hAnsi="Arial" w:cs="Arial"/>
          <w:i/>
        </w:rPr>
        <w:t xml:space="preserve">Meroro </w:t>
      </w:r>
      <w:r>
        <w:rPr>
          <w:rFonts w:ascii="Arial" w:hAnsi="Arial" w:cs="Arial"/>
        </w:rPr>
        <w:t>para 24.</w:t>
      </w:r>
    </w:p>
  </w:footnote>
  <w:footnote w:id="12">
    <w:p w:rsidR="00B97017" w:rsidRPr="00EC6F97" w:rsidRDefault="00B97017">
      <w:pPr>
        <w:pStyle w:val="FootnoteText"/>
        <w:rPr>
          <w:rFonts w:ascii="Arial" w:hAnsi="Arial" w:cs="Arial"/>
        </w:rPr>
      </w:pPr>
      <w:r w:rsidRPr="00EC6F97">
        <w:rPr>
          <w:rStyle w:val="FootnoteReference"/>
          <w:rFonts w:ascii="Arial" w:hAnsi="Arial" w:cs="Arial"/>
        </w:rPr>
        <w:footnoteRef/>
      </w:r>
      <w:r w:rsidRPr="00EC6F97">
        <w:rPr>
          <w:rFonts w:ascii="Arial" w:hAnsi="Arial" w:cs="Arial"/>
        </w:rPr>
        <w:t xml:space="preserve"> </w:t>
      </w:r>
      <w:r>
        <w:rPr>
          <w:rFonts w:ascii="Arial" w:hAnsi="Arial" w:cs="Arial"/>
        </w:rPr>
        <w:t>At the stage the Commission was approached</w:t>
      </w:r>
      <w:r w:rsidR="00B05E4C">
        <w:rPr>
          <w:rFonts w:ascii="Arial" w:hAnsi="Arial" w:cs="Arial"/>
        </w:rPr>
        <w:t xml:space="preserve">, the </w:t>
      </w:r>
      <w:r w:rsidR="004267EC">
        <w:rPr>
          <w:rFonts w:ascii="Arial" w:hAnsi="Arial" w:cs="Arial"/>
        </w:rPr>
        <w:t>w</w:t>
      </w:r>
      <w:r w:rsidR="008D7695">
        <w:rPr>
          <w:rFonts w:ascii="Arial" w:hAnsi="Arial" w:cs="Arial"/>
        </w:rPr>
        <w:t>ill</w:t>
      </w:r>
      <w:r>
        <w:rPr>
          <w:rFonts w:ascii="Arial" w:hAnsi="Arial" w:cs="Arial"/>
        </w:rPr>
        <w:t xml:space="preserve"> had not yet been discovered or disclosed. </w:t>
      </w:r>
    </w:p>
  </w:footnote>
  <w:footnote w:id="13">
    <w:p w:rsidR="00B97017" w:rsidRPr="009C1938" w:rsidRDefault="00B97017" w:rsidP="00976C02">
      <w:pPr>
        <w:pStyle w:val="FootnoteText"/>
        <w:jc w:val="both"/>
        <w:rPr>
          <w:rFonts w:ascii="Arial" w:hAnsi="Arial" w:cs="Arial"/>
        </w:rPr>
      </w:pPr>
      <w:r w:rsidRPr="009C1938">
        <w:rPr>
          <w:rStyle w:val="FootnoteReference"/>
          <w:rFonts w:ascii="Arial" w:hAnsi="Arial" w:cs="Arial"/>
        </w:rPr>
        <w:footnoteRef/>
      </w:r>
      <w:r w:rsidRPr="009C1938">
        <w:rPr>
          <w:rFonts w:ascii="Arial" w:hAnsi="Arial" w:cs="Arial"/>
        </w:rPr>
        <w:t xml:space="preserve"> </w:t>
      </w:r>
      <w:r w:rsidR="00416230">
        <w:rPr>
          <w:rFonts w:ascii="Arial" w:hAnsi="Arial" w:cs="Arial"/>
        </w:rPr>
        <w:t>Section 26(1) of Act 5 of 2002.</w:t>
      </w:r>
    </w:p>
  </w:footnote>
  <w:footnote w:id="14">
    <w:p w:rsidR="00B81D8E" w:rsidRPr="00B81D8E" w:rsidRDefault="00B81D8E" w:rsidP="00976C02">
      <w:pPr>
        <w:pStyle w:val="FootnoteText"/>
        <w:jc w:val="both"/>
        <w:rPr>
          <w:rFonts w:ascii="Arial" w:hAnsi="Arial" w:cs="Arial"/>
        </w:rPr>
      </w:pPr>
      <w:r w:rsidRPr="00B81D8E">
        <w:rPr>
          <w:rStyle w:val="FootnoteReference"/>
          <w:rFonts w:ascii="Arial" w:hAnsi="Arial" w:cs="Arial"/>
        </w:rPr>
        <w:footnoteRef/>
      </w:r>
      <w:r w:rsidRPr="00B81D8E">
        <w:rPr>
          <w:rFonts w:ascii="Arial" w:hAnsi="Arial" w:cs="Arial"/>
        </w:rPr>
        <w:t xml:space="preserve"> </w:t>
      </w:r>
      <w:r w:rsidRPr="00B81D8E">
        <w:rPr>
          <w:rFonts w:ascii="Arial" w:hAnsi="Arial" w:cs="Arial"/>
          <w:i/>
        </w:rPr>
        <w:t xml:space="preserve">Damaseb </w:t>
      </w:r>
      <w:r>
        <w:rPr>
          <w:rFonts w:ascii="Arial" w:hAnsi="Arial" w:cs="Arial"/>
        </w:rPr>
        <w:t>para 51.</w:t>
      </w:r>
    </w:p>
  </w:footnote>
  <w:footnote w:id="15">
    <w:p w:rsidR="00B97017" w:rsidRPr="00E762F4" w:rsidRDefault="00B97017" w:rsidP="00976C02">
      <w:pPr>
        <w:pStyle w:val="FootnoteText"/>
        <w:jc w:val="both"/>
        <w:rPr>
          <w:rFonts w:ascii="Arial" w:hAnsi="Arial" w:cs="Arial"/>
        </w:rPr>
      </w:pPr>
      <w:r w:rsidRPr="00E762F4">
        <w:rPr>
          <w:rStyle w:val="FootnoteReference"/>
          <w:rFonts w:ascii="Arial" w:hAnsi="Arial" w:cs="Arial"/>
        </w:rPr>
        <w:footnoteRef/>
      </w:r>
      <w:r w:rsidRPr="00E762F4">
        <w:rPr>
          <w:rFonts w:ascii="Arial" w:hAnsi="Arial" w:cs="Arial"/>
        </w:rPr>
        <w:t xml:space="preserve"> </w:t>
      </w:r>
      <w:r w:rsidR="00B81D8E">
        <w:rPr>
          <w:rFonts w:ascii="Arial" w:hAnsi="Arial" w:cs="Arial"/>
        </w:rPr>
        <w:t xml:space="preserve">C G Hall and E A </w:t>
      </w:r>
      <w:r>
        <w:rPr>
          <w:rFonts w:ascii="Arial" w:hAnsi="Arial" w:cs="Arial"/>
        </w:rPr>
        <w:t xml:space="preserve">Kellaway </w:t>
      </w:r>
      <w:r w:rsidRPr="00E762F4">
        <w:rPr>
          <w:rFonts w:ascii="Arial" w:hAnsi="Arial" w:cs="Arial"/>
          <w:i/>
        </w:rPr>
        <w:t>Servitudes</w:t>
      </w:r>
      <w:r>
        <w:rPr>
          <w:rFonts w:ascii="Arial" w:hAnsi="Arial" w:cs="Arial"/>
        </w:rPr>
        <w:t xml:space="preserve"> 3 ed </w:t>
      </w:r>
      <w:r w:rsidR="00B81D8E">
        <w:rPr>
          <w:rFonts w:ascii="Arial" w:hAnsi="Arial" w:cs="Arial"/>
        </w:rPr>
        <w:t xml:space="preserve">(1973) at </w:t>
      </w:r>
      <w:r>
        <w:rPr>
          <w:rFonts w:ascii="Arial" w:hAnsi="Arial" w:cs="Arial"/>
        </w:rPr>
        <w:t>165 as the cases there cited.</w:t>
      </w:r>
    </w:p>
  </w:footnote>
  <w:footnote w:id="16">
    <w:p w:rsidR="00B97017" w:rsidRPr="0047361B" w:rsidRDefault="00B97017" w:rsidP="00976C02">
      <w:pPr>
        <w:pStyle w:val="FootnoteText"/>
        <w:jc w:val="both"/>
        <w:rPr>
          <w:rFonts w:ascii="Arial" w:hAnsi="Arial" w:cs="Arial"/>
        </w:rPr>
      </w:pPr>
      <w:r w:rsidRPr="0047361B">
        <w:rPr>
          <w:rStyle w:val="FootnoteReference"/>
          <w:rFonts w:ascii="Arial" w:hAnsi="Arial" w:cs="Arial"/>
        </w:rPr>
        <w:footnoteRef/>
      </w:r>
      <w:r w:rsidRPr="0047361B">
        <w:rPr>
          <w:rFonts w:ascii="Arial" w:hAnsi="Arial" w:cs="Arial"/>
        </w:rPr>
        <w:t xml:space="preserve"> </w:t>
      </w:r>
      <w:r>
        <w:rPr>
          <w:rFonts w:ascii="Arial" w:hAnsi="Arial" w:cs="Arial"/>
        </w:rPr>
        <w:t xml:space="preserve">A J Kerr </w:t>
      </w:r>
      <w:r w:rsidRPr="0047361B">
        <w:rPr>
          <w:rFonts w:ascii="Arial" w:hAnsi="Arial" w:cs="Arial"/>
          <w:i/>
        </w:rPr>
        <w:t>The Law of Sale and Lease</w:t>
      </w:r>
      <w:r>
        <w:rPr>
          <w:rFonts w:ascii="Arial" w:hAnsi="Arial" w:cs="Arial"/>
        </w:rPr>
        <w:t xml:space="preserve"> 3 ed </w:t>
      </w:r>
      <w:r w:rsidR="00B81D8E">
        <w:rPr>
          <w:rFonts w:ascii="Arial" w:hAnsi="Arial" w:cs="Arial"/>
        </w:rPr>
        <w:t>(2004) at</w:t>
      </w:r>
      <w:r>
        <w:rPr>
          <w:rFonts w:ascii="Arial" w:hAnsi="Arial" w:cs="Arial"/>
        </w:rPr>
        <w:t xml:space="preserve"> 492 and </w:t>
      </w:r>
      <w:r w:rsidR="00B81D8E">
        <w:rPr>
          <w:rFonts w:ascii="Arial" w:hAnsi="Arial" w:cs="Arial"/>
        </w:rPr>
        <w:t>E Newman and D J McQ</w:t>
      </w:r>
      <w:r w:rsidR="00976C02">
        <w:rPr>
          <w:rFonts w:ascii="Arial" w:hAnsi="Arial" w:cs="Arial"/>
        </w:rPr>
        <w:t xml:space="preserve">uoid-Mason in </w:t>
      </w:r>
      <w:r>
        <w:rPr>
          <w:rFonts w:ascii="Arial" w:hAnsi="Arial" w:cs="Arial"/>
        </w:rPr>
        <w:t xml:space="preserve">Lee and Honore </w:t>
      </w:r>
      <w:r w:rsidRPr="0047361B">
        <w:rPr>
          <w:rFonts w:ascii="Arial" w:hAnsi="Arial" w:cs="Arial"/>
          <w:i/>
        </w:rPr>
        <w:t>The South African Law of Obligations</w:t>
      </w:r>
      <w:r>
        <w:rPr>
          <w:rFonts w:ascii="Arial" w:hAnsi="Arial" w:cs="Arial"/>
        </w:rPr>
        <w:t xml:space="preserve"> 2 ed </w:t>
      </w:r>
      <w:r w:rsidR="00B81D8E">
        <w:rPr>
          <w:rFonts w:ascii="Arial" w:hAnsi="Arial" w:cs="Arial"/>
        </w:rPr>
        <w:t xml:space="preserve">(1978) </w:t>
      </w:r>
      <w:r>
        <w:rPr>
          <w:rFonts w:ascii="Arial" w:hAnsi="Arial" w:cs="Arial"/>
        </w:rPr>
        <w:t>para 323.</w:t>
      </w:r>
    </w:p>
  </w:footnote>
  <w:footnote w:id="17">
    <w:p w:rsidR="00B97017" w:rsidRPr="0047361B" w:rsidRDefault="00B97017" w:rsidP="00840AB4">
      <w:pPr>
        <w:pStyle w:val="FootnoteText"/>
        <w:jc w:val="both"/>
        <w:rPr>
          <w:rFonts w:ascii="Arial" w:hAnsi="Arial" w:cs="Arial"/>
        </w:rPr>
      </w:pPr>
      <w:r w:rsidRPr="0047361B">
        <w:rPr>
          <w:rStyle w:val="FootnoteReference"/>
          <w:rFonts w:ascii="Arial" w:hAnsi="Arial" w:cs="Arial"/>
        </w:rPr>
        <w:footnoteRef/>
      </w:r>
      <w:r w:rsidRPr="0047361B">
        <w:rPr>
          <w:rFonts w:ascii="Arial" w:hAnsi="Arial" w:cs="Arial"/>
        </w:rPr>
        <w:t xml:space="preserve"> </w:t>
      </w:r>
      <w:r w:rsidRPr="0047361B">
        <w:rPr>
          <w:rFonts w:ascii="Arial" w:hAnsi="Arial" w:cs="Arial"/>
          <w:i/>
        </w:rPr>
        <w:t>Meroro</w:t>
      </w:r>
      <w:r>
        <w:rPr>
          <w:rFonts w:ascii="Arial" w:hAnsi="Arial" w:cs="Arial"/>
        </w:rPr>
        <w:t xml:space="preserve"> para 6.</w:t>
      </w:r>
    </w:p>
  </w:footnote>
  <w:footnote w:id="18">
    <w:p w:rsidR="00B97017" w:rsidRPr="00D7541A" w:rsidRDefault="00B97017" w:rsidP="00840AB4">
      <w:pPr>
        <w:pStyle w:val="FootnoteText"/>
        <w:jc w:val="both"/>
        <w:rPr>
          <w:rFonts w:ascii="Arial" w:hAnsi="Arial" w:cs="Arial"/>
        </w:rPr>
      </w:pPr>
      <w:r w:rsidRPr="00D7541A">
        <w:rPr>
          <w:rStyle w:val="FootnoteReference"/>
          <w:rFonts w:ascii="Arial" w:hAnsi="Arial" w:cs="Arial"/>
        </w:rPr>
        <w:footnoteRef/>
      </w:r>
      <w:r w:rsidRPr="00D7541A">
        <w:rPr>
          <w:rFonts w:ascii="Arial" w:hAnsi="Arial" w:cs="Arial"/>
        </w:rPr>
        <w:t xml:space="preserve"> </w:t>
      </w:r>
      <w:r w:rsidRPr="00D7541A">
        <w:rPr>
          <w:rFonts w:ascii="Arial" w:hAnsi="Arial" w:cs="Arial"/>
          <w:i/>
        </w:rPr>
        <w:t xml:space="preserve">Meroro </w:t>
      </w:r>
      <w:r>
        <w:rPr>
          <w:rFonts w:ascii="Arial" w:hAnsi="Arial" w:cs="Arial"/>
        </w:rPr>
        <w:t>para 24 and especially footnote 24 and para 33.</w:t>
      </w:r>
    </w:p>
  </w:footnote>
  <w:footnote w:id="19">
    <w:p w:rsidR="00D553A5" w:rsidRPr="00D553A5" w:rsidRDefault="00D553A5">
      <w:pPr>
        <w:pStyle w:val="FootnoteText"/>
        <w:rPr>
          <w:rFonts w:ascii="Arial" w:hAnsi="Arial" w:cs="Arial"/>
        </w:rPr>
      </w:pPr>
      <w:r w:rsidRPr="00D553A5">
        <w:rPr>
          <w:rStyle w:val="FootnoteReference"/>
          <w:rFonts w:ascii="Arial" w:hAnsi="Arial" w:cs="Arial"/>
        </w:rPr>
        <w:footnoteRef/>
      </w:r>
      <w:r w:rsidRPr="00D553A5">
        <w:rPr>
          <w:rFonts w:ascii="Arial" w:hAnsi="Arial" w:cs="Arial"/>
        </w:rPr>
        <w:t xml:space="preserve"> </w:t>
      </w:r>
      <w:r w:rsidRPr="00D553A5">
        <w:rPr>
          <w:rFonts w:ascii="Arial" w:hAnsi="Arial" w:cs="Arial"/>
          <w:i/>
        </w:rPr>
        <w:t>Meroro</w:t>
      </w:r>
      <w:r>
        <w:rPr>
          <w:rFonts w:ascii="Arial" w:hAnsi="Arial" w:cs="Arial"/>
        </w:rPr>
        <w:t xml:space="preserve"> para 5.</w:t>
      </w:r>
    </w:p>
  </w:footnote>
  <w:footnote w:id="20">
    <w:p w:rsidR="00B97017" w:rsidRPr="00A87801" w:rsidRDefault="00B97017" w:rsidP="00840AB4">
      <w:pPr>
        <w:pStyle w:val="FootnoteText"/>
        <w:jc w:val="both"/>
        <w:rPr>
          <w:rFonts w:ascii="Arial" w:hAnsi="Arial" w:cs="Arial"/>
        </w:rPr>
      </w:pPr>
      <w:r w:rsidRPr="00A87801">
        <w:rPr>
          <w:rStyle w:val="FootnoteReference"/>
          <w:rFonts w:ascii="Arial" w:hAnsi="Arial" w:cs="Arial"/>
        </w:rPr>
        <w:footnoteRef/>
      </w:r>
      <w:r w:rsidRPr="00A87801">
        <w:rPr>
          <w:rFonts w:ascii="Arial" w:hAnsi="Arial" w:cs="Arial"/>
        </w:rPr>
        <w:t xml:space="preserve"> </w:t>
      </w:r>
      <w:r w:rsidRPr="00A87801">
        <w:rPr>
          <w:rFonts w:ascii="Arial" w:hAnsi="Arial" w:cs="Arial"/>
          <w:i/>
        </w:rPr>
        <w:t>Meroro</w:t>
      </w:r>
      <w:r>
        <w:rPr>
          <w:rFonts w:ascii="Arial" w:hAnsi="Arial" w:cs="Arial"/>
        </w:rPr>
        <w:t xml:space="preserve"> para 5 and footnote 14.</w:t>
      </w:r>
      <w:r w:rsidR="00840AB4">
        <w:rPr>
          <w:rFonts w:ascii="Arial" w:hAnsi="Arial" w:cs="Arial"/>
        </w:rPr>
        <w:t xml:space="preserve"> See also </w:t>
      </w:r>
      <w:r w:rsidR="00840AB4" w:rsidRPr="00840AB4">
        <w:rPr>
          <w:rFonts w:ascii="Arial" w:hAnsi="Arial" w:cs="Arial"/>
          <w:i/>
        </w:rPr>
        <w:t>Tjamuaha &amp; another v Master of the High Court &amp; others</w:t>
      </w:r>
      <w:r w:rsidR="00840AB4" w:rsidRPr="00840AB4">
        <w:rPr>
          <w:rFonts w:ascii="Arial" w:hAnsi="Arial" w:cs="Arial"/>
        </w:rPr>
        <w:t xml:space="preserve"> 2018 (3) NR 605 (SC)</w:t>
      </w:r>
      <w:r w:rsidR="00840AB4">
        <w:rPr>
          <w:rFonts w:ascii="Arial" w:hAnsi="Arial" w:cs="Arial"/>
        </w:rPr>
        <w:t xml:space="preserve"> para 17 from which case it is clear that where one is </w:t>
      </w:r>
      <w:r w:rsidR="00904878">
        <w:rPr>
          <w:rFonts w:ascii="Arial" w:hAnsi="Arial" w:cs="Arial"/>
        </w:rPr>
        <w:t>dealing</w:t>
      </w:r>
      <w:r w:rsidR="00840AB4" w:rsidRPr="00904878">
        <w:rPr>
          <w:rFonts w:ascii="Arial" w:hAnsi="Arial" w:cs="Arial"/>
        </w:rPr>
        <w:t xml:space="preserve"> with a joint estate that arose from a marriage</w:t>
      </w:r>
      <w:r w:rsidR="00D553A5">
        <w:rPr>
          <w:rFonts w:ascii="Arial" w:hAnsi="Arial" w:cs="Arial"/>
        </w:rPr>
        <w:t>,</w:t>
      </w:r>
      <w:r w:rsidR="00840AB4" w:rsidRPr="00904878">
        <w:rPr>
          <w:rFonts w:ascii="Arial" w:hAnsi="Arial" w:cs="Arial"/>
        </w:rPr>
        <w:t xml:space="preserve"> the executor or executrix of such estate has a </w:t>
      </w:r>
      <w:r w:rsidR="00904878">
        <w:rPr>
          <w:rFonts w:ascii="Arial" w:hAnsi="Arial" w:cs="Arial"/>
        </w:rPr>
        <w:t>dual role</w:t>
      </w:r>
      <w:r w:rsidR="00840AB4" w:rsidRPr="00904878">
        <w:rPr>
          <w:rFonts w:ascii="Arial" w:hAnsi="Arial" w:cs="Arial"/>
        </w:rPr>
        <w:t>, namely to divide the joint estate and to distribute the other half of the estate (the deceased’s estate).</w:t>
      </w:r>
    </w:p>
  </w:footnote>
  <w:footnote w:id="21">
    <w:p w:rsidR="00B97017" w:rsidRPr="00782D76" w:rsidRDefault="00B97017">
      <w:pPr>
        <w:pStyle w:val="FootnoteText"/>
        <w:rPr>
          <w:rFonts w:ascii="Arial" w:hAnsi="Arial" w:cs="Arial"/>
        </w:rPr>
      </w:pPr>
      <w:r w:rsidRPr="00634DBB">
        <w:rPr>
          <w:rStyle w:val="FootnoteReference"/>
          <w:rFonts w:ascii="Arial" w:hAnsi="Arial" w:cs="Arial"/>
        </w:rPr>
        <w:footnoteRef/>
      </w:r>
      <w:r w:rsidRPr="00634DBB">
        <w:rPr>
          <w:rFonts w:ascii="Arial" w:hAnsi="Arial" w:cs="Arial"/>
        </w:rPr>
        <w:t xml:space="preserve"> </w:t>
      </w:r>
      <w:r w:rsidRPr="00782D76">
        <w:rPr>
          <w:rFonts w:ascii="Arial" w:hAnsi="Arial" w:cs="Arial"/>
          <w:i/>
        </w:rPr>
        <w:t>Ex parte Malan NO</w:t>
      </w:r>
      <w:r w:rsidRPr="00782D76">
        <w:rPr>
          <w:rFonts w:ascii="Arial" w:hAnsi="Arial" w:cs="Arial"/>
        </w:rPr>
        <w:t xml:space="preserve"> 1951 (3) SA 715 (O) at 719D-720A</w:t>
      </w:r>
      <w:r>
        <w:rPr>
          <w:rFonts w:ascii="Arial" w:hAnsi="Arial" w:cs="Arial"/>
        </w:rPr>
        <w:t xml:space="preserve">. See also </w:t>
      </w:r>
      <w:r w:rsidRPr="00840AB4">
        <w:rPr>
          <w:rFonts w:ascii="Arial" w:hAnsi="Arial" w:cs="Arial"/>
          <w:i/>
        </w:rPr>
        <w:t>Peacock NO v Peacock NO</w:t>
      </w:r>
      <w:r>
        <w:rPr>
          <w:rFonts w:ascii="Arial" w:hAnsi="Arial" w:cs="Arial"/>
        </w:rPr>
        <w:t xml:space="preserve"> 1956 (1) SA 413 (T) at 415D-G and on appeal </w:t>
      </w:r>
      <w:r w:rsidRPr="00840AB4">
        <w:rPr>
          <w:rFonts w:ascii="Arial" w:hAnsi="Arial" w:cs="Arial"/>
          <w:i/>
        </w:rPr>
        <w:t>Peacock NO v Peacock NO</w:t>
      </w:r>
      <w:r>
        <w:rPr>
          <w:rFonts w:ascii="Arial" w:hAnsi="Arial" w:cs="Arial"/>
        </w:rPr>
        <w:t xml:space="preserve"> 1956 (3) </w:t>
      </w:r>
      <w:r w:rsidR="00D553A5">
        <w:rPr>
          <w:rFonts w:ascii="Arial" w:hAnsi="Arial" w:cs="Arial"/>
        </w:rPr>
        <w:t>SA</w:t>
      </w:r>
      <w:r>
        <w:rPr>
          <w:rFonts w:ascii="Arial" w:hAnsi="Arial" w:cs="Arial"/>
        </w:rPr>
        <w:t xml:space="preserve"> 136 (A) at 140B.</w:t>
      </w:r>
    </w:p>
  </w:footnote>
  <w:footnote w:id="22">
    <w:p w:rsidR="000C685C" w:rsidRPr="000C685C" w:rsidRDefault="000C685C">
      <w:pPr>
        <w:pStyle w:val="FootnoteText"/>
        <w:rPr>
          <w:rFonts w:ascii="Arial" w:hAnsi="Arial" w:cs="Arial"/>
        </w:rPr>
      </w:pPr>
      <w:r w:rsidRPr="000C685C">
        <w:rPr>
          <w:rStyle w:val="FootnoteReference"/>
          <w:rFonts w:ascii="Arial" w:hAnsi="Arial" w:cs="Arial"/>
        </w:rPr>
        <w:footnoteRef/>
      </w:r>
      <w:r w:rsidRPr="000C685C">
        <w:rPr>
          <w:rFonts w:ascii="Arial" w:hAnsi="Arial" w:cs="Arial"/>
        </w:rPr>
        <w:t xml:space="preserve"> </w:t>
      </w:r>
      <w:r>
        <w:rPr>
          <w:rFonts w:ascii="Arial" w:hAnsi="Arial" w:cs="Arial"/>
        </w:rPr>
        <w:t xml:space="preserve">Section 8(1) of </w:t>
      </w:r>
      <w:r w:rsidR="00A21814">
        <w:rPr>
          <w:rFonts w:ascii="Arial" w:hAnsi="Arial" w:cs="Arial"/>
        </w:rPr>
        <w:t>the Administration of Estates Act 66 of 1965 (the Administration of Estates Act).</w:t>
      </w:r>
    </w:p>
  </w:footnote>
  <w:footnote w:id="23">
    <w:p w:rsidR="00B97017" w:rsidRPr="00F27AC3" w:rsidRDefault="00B97017">
      <w:pPr>
        <w:pStyle w:val="FootnoteText"/>
        <w:rPr>
          <w:rFonts w:ascii="Arial" w:hAnsi="Arial" w:cs="Arial"/>
        </w:rPr>
      </w:pPr>
      <w:r w:rsidRPr="00F27AC3">
        <w:rPr>
          <w:rStyle w:val="FootnoteReference"/>
          <w:rFonts w:ascii="Arial" w:hAnsi="Arial" w:cs="Arial"/>
        </w:rPr>
        <w:footnoteRef/>
      </w:r>
      <w:r w:rsidRPr="00F27AC3">
        <w:rPr>
          <w:rFonts w:ascii="Arial" w:hAnsi="Arial" w:cs="Arial"/>
        </w:rPr>
        <w:t xml:space="preserve"> </w:t>
      </w:r>
      <w:r>
        <w:rPr>
          <w:rFonts w:ascii="Arial" w:hAnsi="Arial" w:cs="Arial"/>
        </w:rPr>
        <w:t xml:space="preserve">31 </w:t>
      </w:r>
      <w:r w:rsidRPr="00F27AC3">
        <w:rPr>
          <w:rFonts w:ascii="Arial" w:hAnsi="Arial" w:cs="Arial"/>
          <w:i/>
        </w:rPr>
        <w:t xml:space="preserve">Lawsa </w:t>
      </w:r>
      <w:r>
        <w:rPr>
          <w:rFonts w:ascii="Arial" w:hAnsi="Arial" w:cs="Arial"/>
        </w:rPr>
        <w:t xml:space="preserve">para 199 and cases there cited. </w:t>
      </w:r>
    </w:p>
  </w:footnote>
  <w:footnote w:id="24">
    <w:p w:rsidR="0022020E" w:rsidRPr="0022020E" w:rsidRDefault="0022020E">
      <w:pPr>
        <w:pStyle w:val="FootnoteText"/>
        <w:rPr>
          <w:rFonts w:ascii="Arial" w:hAnsi="Arial" w:cs="Arial"/>
        </w:rPr>
      </w:pPr>
      <w:r w:rsidRPr="0022020E">
        <w:rPr>
          <w:rStyle w:val="FootnoteReference"/>
          <w:rFonts w:ascii="Arial" w:hAnsi="Arial" w:cs="Arial"/>
        </w:rPr>
        <w:footnoteRef/>
      </w:r>
      <w:r w:rsidRPr="0022020E">
        <w:rPr>
          <w:rFonts w:ascii="Arial" w:hAnsi="Arial" w:cs="Arial"/>
        </w:rPr>
        <w:t xml:space="preserve"> </w:t>
      </w:r>
      <w:r>
        <w:rPr>
          <w:rFonts w:ascii="Arial" w:hAnsi="Arial" w:cs="Arial"/>
        </w:rPr>
        <w:t xml:space="preserve">Section 53(2) of </w:t>
      </w:r>
      <w:r w:rsidR="002C03C5">
        <w:rPr>
          <w:rFonts w:ascii="Arial" w:hAnsi="Arial" w:cs="Arial"/>
        </w:rPr>
        <w:t xml:space="preserve">the </w:t>
      </w:r>
      <w:r>
        <w:rPr>
          <w:rFonts w:ascii="Arial" w:hAnsi="Arial" w:cs="Arial"/>
        </w:rPr>
        <w:t>ACLRA.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215326"/>
      <w:docPartObj>
        <w:docPartGallery w:val="Page Numbers (Top of Page)"/>
        <w:docPartUnique/>
      </w:docPartObj>
    </w:sdtPr>
    <w:sdtEndPr>
      <w:rPr>
        <w:noProof/>
      </w:rPr>
    </w:sdtEndPr>
    <w:sdtContent>
      <w:p w:rsidR="00B97017" w:rsidRDefault="00B9701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B97017" w:rsidRDefault="00B970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169284777"/>
      <w:docPartObj>
        <w:docPartGallery w:val="Page Numbers (Top of Page)"/>
        <w:docPartUnique/>
      </w:docPartObj>
    </w:sdtPr>
    <w:sdtEndPr>
      <w:rPr>
        <w:noProof/>
      </w:rPr>
    </w:sdtEndPr>
    <w:sdtContent>
      <w:p w:rsidR="00B97017" w:rsidRPr="003177C3" w:rsidRDefault="00B97017">
        <w:pPr>
          <w:pStyle w:val="Header"/>
          <w:jc w:val="right"/>
          <w:rPr>
            <w:rFonts w:ascii="Arial" w:hAnsi="Arial" w:cs="Arial"/>
            <w:sz w:val="24"/>
            <w:szCs w:val="24"/>
          </w:rPr>
        </w:pPr>
        <w:r w:rsidRPr="003177C3">
          <w:rPr>
            <w:rFonts w:ascii="Arial" w:hAnsi="Arial" w:cs="Arial"/>
            <w:sz w:val="24"/>
            <w:szCs w:val="24"/>
          </w:rPr>
          <w:fldChar w:fldCharType="begin"/>
        </w:r>
        <w:r w:rsidRPr="003177C3">
          <w:rPr>
            <w:rFonts w:ascii="Arial" w:hAnsi="Arial" w:cs="Arial"/>
            <w:sz w:val="24"/>
            <w:szCs w:val="24"/>
          </w:rPr>
          <w:instrText xml:space="preserve"> PAGE   \* MERGEFORMAT </w:instrText>
        </w:r>
        <w:r w:rsidRPr="003177C3">
          <w:rPr>
            <w:rFonts w:ascii="Arial" w:hAnsi="Arial" w:cs="Arial"/>
            <w:sz w:val="24"/>
            <w:szCs w:val="24"/>
          </w:rPr>
          <w:fldChar w:fldCharType="separate"/>
        </w:r>
        <w:r w:rsidR="00DE5AA6">
          <w:rPr>
            <w:rFonts w:ascii="Arial" w:hAnsi="Arial" w:cs="Arial"/>
            <w:noProof/>
            <w:sz w:val="24"/>
            <w:szCs w:val="24"/>
          </w:rPr>
          <w:t>3</w:t>
        </w:r>
        <w:r w:rsidRPr="003177C3">
          <w:rPr>
            <w:rFonts w:ascii="Arial" w:hAnsi="Arial" w:cs="Arial"/>
            <w:noProof/>
            <w:sz w:val="24"/>
            <w:szCs w:val="24"/>
          </w:rPr>
          <w:fldChar w:fldCharType="end"/>
        </w:r>
      </w:p>
    </w:sdtContent>
  </w:sdt>
  <w:p w:rsidR="00B97017" w:rsidRPr="003177C3" w:rsidRDefault="00B97017">
    <w:pPr>
      <w:pStyle w:val="Head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46D4D"/>
    <w:multiLevelType w:val="hybridMultilevel"/>
    <w:tmpl w:val="4530A6DE"/>
    <w:lvl w:ilvl="0" w:tplc="BF047E2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2A2752CA"/>
    <w:multiLevelType w:val="hybridMultilevel"/>
    <w:tmpl w:val="4F20E836"/>
    <w:lvl w:ilvl="0" w:tplc="8FBA7A8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2D4D18C1"/>
    <w:multiLevelType w:val="hybridMultilevel"/>
    <w:tmpl w:val="A7DE854C"/>
    <w:lvl w:ilvl="0" w:tplc="86142A92">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32581D3E"/>
    <w:multiLevelType w:val="hybridMultilevel"/>
    <w:tmpl w:val="34FE5F26"/>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BF971CE"/>
    <w:multiLevelType w:val="hybridMultilevel"/>
    <w:tmpl w:val="E1BA3906"/>
    <w:lvl w:ilvl="0" w:tplc="070809A8">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15:restartNumberingAfterBreak="0">
    <w:nsid w:val="73763FFB"/>
    <w:multiLevelType w:val="hybridMultilevel"/>
    <w:tmpl w:val="DA2EC7C0"/>
    <w:lvl w:ilvl="0" w:tplc="EE5CBF8C">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7E2D6664"/>
    <w:multiLevelType w:val="hybridMultilevel"/>
    <w:tmpl w:val="D20C9CF6"/>
    <w:lvl w:ilvl="0" w:tplc="40F2F4D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
  </w:num>
  <w:num w:numId="2">
    <w:abstractNumId w:val="6"/>
  </w:num>
  <w:num w:numId="3">
    <w:abstractNumId w:val="0"/>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E1"/>
    <w:rsid w:val="0000518C"/>
    <w:rsid w:val="0001028D"/>
    <w:rsid w:val="00010C62"/>
    <w:rsid w:val="00032592"/>
    <w:rsid w:val="000366E6"/>
    <w:rsid w:val="000455DA"/>
    <w:rsid w:val="00052E4D"/>
    <w:rsid w:val="00054FC5"/>
    <w:rsid w:val="0006081C"/>
    <w:rsid w:val="0007460D"/>
    <w:rsid w:val="000764D6"/>
    <w:rsid w:val="000940E1"/>
    <w:rsid w:val="00097B34"/>
    <w:rsid w:val="000A0FB4"/>
    <w:rsid w:val="000B3999"/>
    <w:rsid w:val="000C0C02"/>
    <w:rsid w:val="000C685C"/>
    <w:rsid w:val="000C7063"/>
    <w:rsid w:val="000D0A08"/>
    <w:rsid w:val="000D433C"/>
    <w:rsid w:val="000D62D6"/>
    <w:rsid w:val="000E3773"/>
    <w:rsid w:val="00104B31"/>
    <w:rsid w:val="00107475"/>
    <w:rsid w:val="0010796D"/>
    <w:rsid w:val="001222AC"/>
    <w:rsid w:val="001435C5"/>
    <w:rsid w:val="00145522"/>
    <w:rsid w:val="00152CB4"/>
    <w:rsid w:val="00155808"/>
    <w:rsid w:val="001634AD"/>
    <w:rsid w:val="001841DD"/>
    <w:rsid w:val="00184805"/>
    <w:rsid w:val="0019351A"/>
    <w:rsid w:val="00194056"/>
    <w:rsid w:val="001A42A4"/>
    <w:rsid w:val="001D1E11"/>
    <w:rsid w:val="001D21E7"/>
    <w:rsid w:val="00204164"/>
    <w:rsid w:val="0022020E"/>
    <w:rsid w:val="00226D2E"/>
    <w:rsid w:val="00264E2B"/>
    <w:rsid w:val="00277339"/>
    <w:rsid w:val="002A2473"/>
    <w:rsid w:val="002B1046"/>
    <w:rsid w:val="002C03C5"/>
    <w:rsid w:val="002D3B58"/>
    <w:rsid w:val="002E10B4"/>
    <w:rsid w:val="002E1516"/>
    <w:rsid w:val="002E613F"/>
    <w:rsid w:val="002E63E8"/>
    <w:rsid w:val="0032622F"/>
    <w:rsid w:val="00332549"/>
    <w:rsid w:val="00340483"/>
    <w:rsid w:val="00344097"/>
    <w:rsid w:val="00352563"/>
    <w:rsid w:val="003618E2"/>
    <w:rsid w:val="00372BB2"/>
    <w:rsid w:val="003816C3"/>
    <w:rsid w:val="003A6C80"/>
    <w:rsid w:val="003C00A5"/>
    <w:rsid w:val="003C72C3"/>
    <w:rsid w:val="003D03AE"/>
    <w:rsid w:val="00400733"/>
    <w:rsid w:val="00416230"/>
    <w:rsid w:val="004267EC"/>
    <w:rsid w:val="00430078"/>
    <w:rsid w:val="0043446D"/>
    <w:rsid w:val="004350E2"/>
    <w:rsid w:val="00462C23"/>
    <w:rsid w:val="004634DD"/>
    <w:rsid w:val="0047361B"/>
    <w:rsid w:val="00484B74"/>
    <w:rsid w:val="004A1B90"/>
    <w:rsid w:val="004A5FDF"/>
    <w:rsid w:val="004D12AF"/>
    <w:rsid w:val="004E772D"/>
    <w:rsid w:val="00511123"/>
    <w:rsid w:val="005128FC"/>
    <w:rsid w:val="00525A5F"/>
    <w:rsid w:val="005432C1"/>
    <w:rsid w:val="00590918"/>
    <w:rsid w:val="005B1CE2"/>
    <w:rsid w:val="005E5EAA"/>
    <w:rsid w:val="005F127C"/>
    <w:rsid w:val="005F2479"/>
    <w:rsid w:val="006008B8"/>
    <w:rsid w:val="0060331C"/>
    <w:rsid w:val="0060622E"/>
    <w:rsid w:val="006271E6"/>
    <w:rsid w:val="00634DBB"/>
    <w:rsid w:val="00654A0F"/>
    <w:rsid w:val="0066737B"/>
    <w:rsid w:val="0069171C"/>
    <w:rsid w:val="006B0B9D"/>
    <w:rsid w:val="006B765B"/>
    <w:rsid w:val="006C007C"/>
    <w:rsid w:val="006E1C0A"/>
    <w:rsid w:val="006E6833"/>
    <w:rsid w:val="00755613"/>
    <w:rsid w:val="007601C0"/>
    <w:rsid w:val="00770B7C"/>
    <w:rsid w:val="00782D76"/>
    <w:rsid w:val="0078590A"/>
    <w:rsid w:val="0079103F"/>
    <w:rsid w:val="007C2DA4"/>
    <w:rsid w:val="007E0305"/>
    <w:rsid w:val="007F1363"/>
    <w:rsid w:val="007F242E"/>
    <w:rsid w:val="007F2A7D"/>
    <w:rsid w:val="007F38BD"/>
    <w:rsid w:val="00802115"/>
    <w:rsid w:val="008038BD"/>
    <w:rsid w:val="00815BE7"/>
    <w:rsid w:val="00831439"/>
    <w:rsid w:val="00834A0B"/>
    <w:rsid w:val="00834BDD"/>
    <w:rsid w:val="00840AB4"/>
    <w:rsid w:val="00843CF1"/>
    <w:rsid w:val="008511DE"/>
    <w:rsid w:val="00867626"/>
    <w:rsid w:val="00887FBC"/>
    <w:rsid w:val="008D06EB"/>
    <w:rsid w:val="008D2A06"/>
    <w:rsid w:val="008D4EFA"/>
    <w:rsid w:val="008D7695"/>
    <w:rsid w:val="008F14B5"/>
    <w:rsid w:val="008F3B63"/>
    <w:rsid w:val="00903328"/>
    <w:rsid w:val="00904878"/>
    <w:rsid w:val="0091638A"/>
    <w:rsid w:val="009176F4"/>
    <w:rsid w:val="00934FD3"/>
    <w:rsid w:val="00935069"/>
    <w:rsid w:val="0094173D"/>
    <w:rsid w:val="00950174"/>
    <w:rsid w:val="00971ED9"/>
    <w:rsid w:val="00976C02"/>
    <w:rsid w:val="009A6230"/>
    <w:rsid w:val="009C09E2"/>
    <w:rsid w:val="009C1938"/>
    <w:rsid w:val="009D3890"/>
    <w:rsid w:val="009D71B9"/>
    <w:rsid w:val="00A01855"/>
    <w:rsid w:val="00A124DE"/>
    <w:rsid w:val="00A21814"/>
    <w:rsid w:val="00A247E7"/>
    <w:rsid w:val="00A51E06"/>
    <w:rsid w:val="00A526E9"/>
    <w:rsid w:val="00A55AA8"/>
    <w:rsid w:val="00A60A47"/>
    <w:rsid w:val="00A80E19"/>
    <w:rsid w:val="00A846D7"/>
    <w:rsid w:val="00A87801"/>
    <w:rsid w:val="00AA1D30"/>
    <w:rsid w:val="00AA4F5C"/>
    <w:rsid w:val="00AB3D28"/>
    <w:rsid w:val="00AB7659"/>
    <w:rsid w:val="00AC4A1F"/>
    <w:rsid w:val="00AE1B16"/>
    <w:rsid w:val="00AE47F3"/>
    <w:rsid w:val="00AE7877"/>
    <w:rsid w:val="00AF69BB"/>
    <w:rsid w:val="00B05E4C"/>
    <w:rsid w:val="00B113F1"/>
    <w:rsid w:val="00B3467A"/>
    <w:rsid w:val="00B67994"/>
    <w:rsid w:val="00B814B0"/>
    <w:rsid w:val="00B81AB4"/>
    <w:rsid w:val="00B81D8E"/>
    <w:rsid w:val="00B85AA5"/>
    <w:rsid w:val="00B90DB7"/>
    <w:rsid w:val="00B95E08"/>
    <w:rsid w:val="00B97017"/>
    <w:rsid w:val="00BA3767"/>
    <w:rsid w:val="00BB01B9"/>
    <w:rsid w:val="00BB5C07"/>
    <w:rsid w:val="00BB6B68"/>
    <w:rsid w:val="00BD4610"/>
    <w:rsid w:val="00BD6BD6"/>
    <w:rsid w:val="00BE2397"/>
    <w:rsid w:val="00C2561B"/>
    <w:rsid w:val="00C510E3"/>
    <w:rsid w:val="00C51E2F"/>
    <w:rsid w:val="00C56111"/>
    <w:rsid w:val="00C663F9"/>
    <w:rsid w:val="00C76569"/>
    <w:rsid w:val="00C808C4"/>
    <w:rsid w:val="00C83903"/>
    <w:rsid w:val="00C92F72"/>
    <w:rsid w:val="00CA1461"/>
    <w:rsid w:val="00CF20AF"/>
    <w:rsid w:val="00CF6CDC"/>
    <w:rsid w:val="00D0000F"/>
    <w:rsid w:val="00D0174A"/>
    <w:rsid w:val="00D074C2"/>
    <w:rsid w:val="00D1172B"/>
    <w:rsid w:val="00D1182E"/>
    <w:rsid w:val="00D326D4"/>
    <w:rsid w:val="00D374CC"/>
    <w:rsid w:val="00D4541D"/>
    <w:rsid w:val="00D4599A"/>
    <w:rsid w:val="00D553A5"/>
    <w:rsid w:val="00D67C57"/>
    <w:rsid w:val="00D7541A"/>
    <w:rsid w:val="00D76902"/>
    <w:rsid w:val="00D928A9"/>
    <w:rsid w:val="00D92ED8"/>
    <w:rsid w:val="00DA1BA8"/>
    <w:rsid w:val="00DB3DF8"/>
    <w:rsid w:val="00DC00F6"/>
    <w:rsid w:val="00DC16DD"/>
    <w:rsid w:val="00DC255B"/>
    <w:rsid w:val="00DC567A"/>
    <w:rsid w:val="00DE5AA6"/>
    <w:rsid w:val="00DE68FB"/>
    <w:rsid w:val="00E14A88"/>
    <w:rsid w:val="00E20D71"/>
    <w:rsid w:val="00E376A6"/>
    <w:rsid w:val="00E5173A"/>
    <w:rsid w:val="00E547A1"/>
    <w:rsid w:val="00E56522"/>
    <w:rsid w:val="00E610DF"/>
    <w:rsid w:val="00E72F82"/>
    <w:rsid w:val="00E762F4"/>
    <w:rsid w:val="00E90F2B"/>
    <w:rsid w:val="00E95345"/>
    <w:rsid w:val="00EA7D14"/>
    <w:rsid w:val="00EC6734"/>
    <w:rsid w:val="00EC6F97"/>
    <w:rsid w:val="00EE6568"/>
    <w:rsid w:val="00F020C8"/>
    <w:rsid w:val="00F055D8"/>
    <w:rsid w:val="00F27AC3"/>
    <w:rsid w:val="00F371DF"/>
    <w:rsid w:val="00F75676"/>
    <w:rsid w:val="00F820EE"/>
    <w:rsid w:val="00F9687D"/>
    <w:rsid w:val="00FA50E0"/>
    <w:rsid w:val="00FB301C"/>
    <w:rsid w:val="00FB51E1"/>
    <w:rsid w:val="00FC427C"/>
    <w:rsid w:val="00FD7AF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89107-E86A-4D42-8DC4-507EEDE1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0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40E1"/>
    <w:pPr>
      <w:spacing w:after="0" w:line="240" w:lineRule="auto"/>
    </w:pPr>
  </w:style>
  <w:style w:type="paragraph" w:styleId="BodyText">
    <w:name w:val="Body Text"/>
    <w:basedOn w:val="Normal"/>
    <w:link w:val="BodyTextChar"/>
    <w:rsid w:val="000940E1"/>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0940E1"/>
    <w:rPr>
      <w:rFonts w:ascii="Times New Roman" w:eastAsia="Times New Roman" w:hAnsi="Times New Roman" w:cs="Times New Roman"/>
      <w:sz w:val="24"/>
      <w:szCs w:val="24"/>
      <w:lang w:val="en-GB"/>
    </w:rPr>
  </w:style>
  <w:style w:type="table" w:styleId="TableGrid">
    <w:name w:val="Table Grid"/>
    <w:basedOn w:val="TableNormal"/>
    <w:uiPriority w:val="39"/>
    <w:rsid w:val="00094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40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0E1"/>
  </w:style>
  <w:style w:type="paragraph" w:styleId="FootnoteText">
    <w:name w:val="footnote text"/>
    <w:basedOn w:val="Normal"/>
    <w:link w:val="FootnoteTextChar"/>
    <w:uiPriority w:val="99"/>
    <w:semiHidden/>
    <w:unhideWhenUsed/>
    <w:rsid w:val="00D074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74C2"/>
    <w:rPr>
      <w:sz w:val="20"/>
      <w:szCs w:val="20"/>
    </w:rPr>
  </w:style>
  <w:style w:type="character" w:styleId="FootnoteReference">
    <w:name w:val="footnote reference"/>
    <w:basedOn w:val="DefaultParagraphFont"/>
    <w:uiPriority w:val="99"/>
    <w:semiHidden/>
    <w:unhideWhenUsed/>
    <w:rsid w:val="00D074C2"/>
    <w:rPr>
      <w:vertAlign w:val="superscript"/>
    </w:rPr>
  </w:style>
  <w:style w:type="paragraph" w:styleId="ListParagraph">
    <w:name w:val="List Paragraph"/>
    <w:basedOn w:val="Normal"/>
    <w:uiPriority w:val="34"/>
    <w:qFormat/>
    <w:rsid w:val="00F020C8"/>
    <w:pPr>
      <w:ind w:left="720"/>
      <w:contextualSpacing/>
    </w:pPr>
  </w:style>
  <w:style w:type="paragraph" w:styleId="Footer">
    <w:name w:val="footer"/>
    <w:basedOn w:val="Normal"/>
    <w:link w:val="FooterChar"/>
    <w:uiPriority w:val="99"/>
    <w:unhideWhenUsed/>
    <w:rsid w:val="002E63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3E8"/>
  </w:style>
  <w:style w:type="paragraph" w:styleId="BalloonText">
    <w:name w:val="Balloon Text"/>
    <w:basedOn w:val="Normal"/>
    <w:link w:val="BalloonTextChar"/>
    <w:uiPriority w:val="99"/>
    <w:semiHidden/>
    <w:unhideWhenUsed/>
    <w:rsid w:val="001455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5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2020-12-03T18:30:00+00:00</Judgment_x0020_Date>
    <Year xmlns="63bdd487-88aa-4c54-b893-ddaa81ed2e7c">2020</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16638-E1A5-48D3-BA41-17CD77D58902}">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2.xml><?xml version="1.0" encoding="utf-8"?>
<ds:datastoreItem xmlns:ds="http://schemas.openxmlformats.org/officeDocument/2006/customXml" ds:itemID="{05E7D6A9-A633-486E-828A-FF1729F14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289011-C529-451D-8470-3A9AAECE2987}">
  <ds:schemaRefs>
    <ds:schemaRef ds:uri="http://schemas.microsoft.com/sharepoint/v3/contenttype/forms"/>
  </ds:schemaRefs>
</ds:datastoreItem>
</file>

<file path=customXml/itemProps4.xml><?xml version="1.0" encoding="utf-8"?>
<ds:datastoreItem xmlns:ds="http://schemas.openxmlformats.org/officeDocument/2006/customXml" ds:itemID="{5B6C326F-E649-44E5-A76C-3010EE9A4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5657</Words>
  <Characters>32248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Shalukeni v Damaseb</vt:lpstr>
    </vt:vector>
  </TitlesOfParts>
  <Company/>
  <LinksUpToDate>false</LinksUpToDate>
  <CharactersWithSpaces>37830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Shalukeni v Damaseb</dc:title>
  <dc:subject/>
  <dc:creator>Juboltine Risuro</dc:creator>
  <cp:keywords/>
  <dc:description/>
  <cp:lastModifiedBy>HOME</cp:lastModifiedBy>
  <cp:revision>2</cp:revision>
  <cp:lastPrinted>2020-12-02T14:07:00Z</cp:lastPrinted>
  <dcterms:created xsi:type="dcterms:W3CDTF">2021-07-20T11:13:00Z</dcterms:created>
  <dcterms:modified xsi:type="dcterms:W3CDTF">2021-07-20T11:13:00Z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