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ED" w:rsidRPr="006A55DD" w:rsidRDefault="00A931ED" w:rsidP="00A931ED">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AFA845B" wp14:editId="27B47F9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A931ED" w:rsidRDefault="008D0107" w:rsidP="00A931ED">
      <w:pPr>
        <w:pStyle w:val="NoSpacing"/>
        <w:jc w:val="right"/>
        <w:rPr>
          <w:rFonts w:ascii="Arial" w:hAnsi="Arial" w:cs="Arial"/>
          <w:b/>
          <w:sz w:val="24"/>
          <w:szCs w:val="24"/>
        </w:rPr>
      </w:pPr>
      <w:r>
        <w:rPr>
          <w:rFonts w:ascii="Arial" w:hAnsi="Arial" w:cs="Arial"/>
          <w:b/>
          <w:sz w:val="24"/>
          <w:szCs w:val="24"/>
        </w:rPr>
        <w:t>NOT REPORTABLE</w:t>
      </w:r>
    </w:p>
    <w:p w:rsidR="00A931ED" w:rsidRDefault="00A931ED" w:rsidP="00A931ED">
      <w:pPr>
        <w:pStyle w:val="NoSpacing"/>
        <w:jc w:val="right"/>
        <w:rPr>
          <w:rFonts w:ascii="Arial" w:hAnsi="Arial" w:cs="Arial"/>
          <w:sz w:val="24"/>
          <w:szCs w:val="24"/>
        </w:rPr>
      </w:pPr>
    </w:p>
    <w:p w:rsidR="00A931ED" w:rsidRDefault="00A931ED" w:rsidP="00A931ED">
      <w:pPr>
        <w:pStyle w:val="NoSpacing"/>
        <w:jc w:val="right"/>
        <w:rPr>
          <w:rFonts w:ascii="Arial" w:hAnsi="Arial" w:cs="Arial"/>
          <w:sz w:val="24"/>
          <w:szCs w:val="24"/>
        </w:rPr>
      </w:pPr>
      <w:r>
        <w:rPr>
          <w:rFonts w:ascii="Arial" w:hAnsi="Arial" w:cs="Arial"/>
          <w:sz w:val="24"/>
          <w:szCs w:val="24"/>
        </w:rPr>
        <w:t xml:space="preserve">CASE NO: SA </w:t>
      </w:r>
      <w:r w:rsidR="001141EB">
        <w:rPr>
          <w:rFonts w:ascii="Arial" w:hAnsi="Arial" w:cs="Arial"/>
          <w:sz w:val="24"/>
          <w:szCs w:val="24"/>
        </w:rPr>
        <w:t>34/2018</w:t>
      </w:r>
    </w:p>
    <w:p w:rsidR="00A931ED" w:rsidRDefault="00A931ED" w:rsidP="00A931ED">
      <w:pPr>
        <w:pStyle w:val="NoSpacing"/>
        <w:rPr>
          <w:rFonts w:ascii="Arial" w:hAnsi="Arial" w:cs="Arial"/>
          <w:sz w:val="24"/>
          <w:szCs w:val="24"/>
        </w:rPr>
      </w:pPr>
    </w:p>
    <w:p w:rsidR="00A931ED" w:rsidRPr="00991107" w:rsidRDefault="00A931ED" w:rsidP="00A931ED">
      <w:pPr>
        <w:pStyle w:val="NoSpacing"/>
        <w:rPr>
          <w:rFonts w:ascii="Arial" w:hAnsi="Arial" w:cs="Arial"/>
          <w:sz w:val="24"/>
          <w:szCs w:val="24"/>
        </w:rPr>
      </w:pPr>
    </w:p>
    <w:p w:rsidR="00A931ED" w:rsidRPr="00970591" w:rsidRDefault="00A931ED" w:rsidP="00A931ED">
      <w:pPr>
        <w:pStyle w:val="NoSpacing"/>
        <w:rPr>
          <w:rFonts w:ascii="Arial" w:hAnsi="Arial" w:cs="Arial"/>
          <w:b/>
          <w:sz w:val="24"/>
          <w:szCs w:val="24"/>
        </w:rPr>
      </w:pPr>
      <w:r w:rsidRPr="00970591">
        <w:rPr>
          <w:rFonts w:ascii="Arial" w:hAnsi="Arial" w:cs="Arial"/>
          <w:b/>
          <w:sz w:val="24"/>
          <w:szCs w:val="24"/>
        </w:rPr>
        <w:t>IN THE SUPREME COURT OF NAMIBIA</w:t>
      </w:r>
    </w:p>
    <w:p w:rsidR="00A931ED" w:rsidRDefault="00A931ED" w:rsidP="00A931ED">
      <w:pPr>
        <w:pStyle w:val="NoSpacing"/>
        <w:rPr>
          <w:rFonts w:ascii="Arial" w:hAnsi="Arial" w:cs="Arial"/>
          <w:sz w:val="24"/>
          <w:szCs w:val="24"/>
        </w:rPr>
      </w:pPr>
    </w:p>
    <w:p w:rsidR="00A931ED" w:rsidRDefault="00A931ED" w:rsidP="00A931ED">
      <w:pPr>
        <w:pStyle w:val="NoSpacing"/>
        <w:rPr>
          <w:rFonts w:ascii="Arial" w:hAnsi="Arial" w:cs="Arial"/>
          <w:sz w:val="24"/>
          <w:szCs w:val="24"/>
        </w:rPr>
      </w:pPr>
    </w:p>
    <w:p w:rsidR="00A931ED" w:rsidRDefault="00A931ED" w:rsidP="00A931ED">
      <w:pPr>
        <w:pStyle w:val="NoSpacing"/>
        <w:rPr>
          <w:rFonts w:ascii="Arial" w:hAnsi="Arial" w:cs="Arial"/>
          <w:sz w:val="24"/>
          <w:szCs w:val="24"/>
        </w:rPr>
      </w:pPr>
      <w:r>
        <w:rPr>
          <w:rFonts w:ascii="Arial" w:hAnsi="Arial" w:cs="Arial"/>
          <w:sz w:val="24"/>
          <w:szCs w:val="24"/>
        </w:rPr>
        <w:t>In the matter between:</w:t>
      </w:r>
    </w:p>
    <w:p w:rsidR="00A931ED" w:rsidRDefault="00A931ED" w:rsidP="00A931ED">
      <w:pPr>
        <w:pStyle w:val="NoSpacing"/>
        <w:rPr>
          <w:rFonts w:ascii="Arial" w:hAnsi="Arial" w:cs="Arial"/>
          <w:sz w:val="24"/>
          <w:szCs w:val="24"/>
        </w:rPr>
      </w:pPr>
    </w:p>
    <w:p w:rsidR="00A931ED" w:rsidRPr="00991107" w:rsidRDefault="00A931ED" w:rsidP="00A931ED">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A931ED" w:rsidRPr="00825AEF" w:rsidTr="00E24D15">
        <w:tc>
          <w:tcPr>
            <w:tcW w:w="6091" w:type="dxa"/>
          </w:tcPr>
          <w:p w:rsidR="00A931ED" w:rsidRPr="00825AEF" w:rsidRDefault="001141EB" w:rsidP="00191A18">
            <w:pPr>
              <w:pStyle w:val="NoSpacing"/>
              <w:spacing w:line="360" w:lineRule="auto"/>
              <w:ind w:left="-108"/>
              <w:rPr>
                <w:rFonts w:ascii="Arial" w:hAnsi="Arial" w:cs="Arial"/>
                <w:b/>
                <w:sz w:val="24"/>
                <w:szCs w:val="24"/>
              </w:rPr>
            </w:pPr>
            <w:r>
              <w:rPr>
                <w:rFonts w:ascii="Arial" w:hAnsi="Arial" w:cs="Arial"/>
                <w:b/>
                <w:sz w:val="24"/>
                <w:szCs w:val="24"/>
              </w:rPr>
              <w:t>GOVERNMENT OF THE REPUBLIC OF NAMIBIA</w:t>
            </w:r>
          </w:p>
        </w:tc>
        <w:tc>
          <w:tcPr>
            <w:tcW w:w="3020" w:type="dxa"/>
          </w:tcPr>
          <w:p w:rsidR="00A931ED" w:rsidRPr="00825AEF" w:rsidRDefault="00A931ED" w:rsidP="00191A18">
            <w:pPr>
              <w:pStyle w:val="NoSpacing"/>
              <w:spacing w:line="360" w:lineRule="auto"/>
              <w:jc w:val="right"/>
              <w:rPr>
                <w:rFonts w:ascii="Arial" w:hAnsi="Arial" w:cs="Arial"/>
                <w:b/>
                <w:sz w:val="24"/>
                <w:szCs w:val="24"/>
              </w:rPr>
            </w:pPr>
            <w:r w:rsidRPr="00825AEF">
              <w:rPr>
                <w:rFonts w:ascii="Arial" w:hAnsi="Arial" w:cs="Arial"/>
                <w:b/>
                <w:sz w:val="24"/>
                <w:szCs w:val="24"/>
              </w:rPr>
              <w:t>Appellant</w:t>
            </w:r>
          </w:p>
        </w:tc>
      </w:tr>
      <w:tr w:rsidR="00A931ED" w:rsidTr="00E24D15">
        <w:tc>
          <w:tcPr>
            <w:tcW w:w="6091" w:type="dxa"/>
          </w:tcPr>
          <w:p w:rsidR="00A931ED" w:rsidRDefault="00A931ED" w:rsidP="00191A18">
            <w:pPr>
              <w:pStyle w:val="NoSpacing"/>
              <w:spacing w:line="360" w:lineRule="auto"/>
              <w:ind w:left="-108"/>
              <w:rPr>
                <w:rFonts w:ascii="Arial" w:hAnsi="Arial" w:cs="Arial"/>
                <w:sz w:val="24"/>
                <w:szCs w:val="24"/>
              </w:rPr>
            </w:pPr>
          </w:p>
        </w:tc>
        <w:tc>
          <w:tcPr>
            <w:tcW w:w="3020" w:type="dxa"/>
          </w:tcPr>
          <w:p w:rsidR="00A931ED" w:rsidRDefault="00A931ED" w:rsidP="00191A18">
            <w:pPr>
              <w:pStyle w:val="NoSpacing"/>
              <w:spacing w:line="360" w:lineRule="auto"/>
              <w:jc w:val="right"/>
              <w:rPr>
                <w:rFonts w:ascii="Arial" w:hAnsi="Arial" w:cs="Arial"/>
                <w:sz w:val="24"/>
                <w:szCs w:val="24"/>
              </w:rPr>
            </w:pPr>
          </w:p>
        </w:tc>
      </w:tr>
      <w:tr w:rsidR="00A931ED" w:rsidTr="00E24D15">
        <w:tc>
          <w:tcPr>
            <w:tcW w:w="6091" w:type="dxa"/>
          </w:tcPr>
          <w:p w:rsidR="00A931ED" w:rsidRDefault="00A931ED" w:rsidP="00191A18">
            <w:pPr>
              <w:pStyle w:val="NoSpacing"/>
              <w:spacing w:line="360" w:lineRule="auto"/>
              <w:ind w:left="-108"/>
              <w:rPr>
                <w:rFonts w:ascii="Arial" w:hAnsi="Arial" w:cs="Arial"/>
                <w:sz w:val="24"/>
                <w:szCs w:val="24"/>
              </w:rPr>
            </w:pPr>
            <w:r>
              <w:rPr>
                <w:rFonts w:ascii="Arial" w:hAnsi="Arial" w:cs="Arial"/>
                <w:sz w:val="24"/>
                <w:szCs w:val="24"/>
              </w:rPr>
              <w:t>and</w:t>
            </w:r>
          </w:p>
        </w:tc>
        <w:tc>
          <w:tcPr>
            <w:tcW w:w="3020" w:type="dxa"/>
          </w:tcPr>
          <w:p w:rsidR="00A931ED" w:rsidRDefault="00A931ED" w:rsidP="00191A18">
            <w:pPr>
              <w:pStyle w:val="NoSpacing"/>
              <w:spacing w:line="360" w:lineRule="auto"/>
              <w:jc w:val="right"/>
              <w:rPr>
                <w:rFonts w:ascii="Arial" w:hAnsi="Arial" w:cs="Arial"/>
                <w:sz w:val="24"/>
                <w:szCs w:val="24"/>
              </w:rPr>
            </w:pPr>
          </w:p>
        </w:tc>
      </w:tr>
      <w:tr w:rsidR="00A931ED" w:rsidTr="00E24D15">
        <w:tc>
          <w:tcPr>
            <w:tcW w:w="6091" w:type="dxa"/>
          </w:tcPr>
          <w:p w:rsidR="00A931ED" w:rsidRDefault="00A931ED" w:rsidP="00191A18">
            <w:pPr>
              <w:pStyle w:val="NoSpacing"/>
              <w:spacing w:line="360" w:lineRule="auto"/>
              <w:ind w:left="-108"/>
              <w:rPr>
                <w:rFonts w:ascii="Arial" w:hAnsi="Arial" w:cs="Arial"/>
                <w:sz w:val="24"/>
                <w:szCs w:val="24"/>
              </w:rPr>
            </w:pPr>
          </w:p>
        </w:tc>
        <w:tc>
          <w:tcPr>
            <w:tcW w:w="3020" w:type="dxa"/>
          </w:tcPr>
          <w:p w:rsidR="00A931ED" w:rsidRDefault="00A931ED" w:rsidP="00191A18">
            <w:pPr>
              <w:pStyle w:val="NoSpacing"/>
              <w:spacing w:line="360" w:lineRule="auto"/>
              <w:jc w:val="right"/>
              <w:rPr>
                <w:rFonts w:ascii="Arial" w:hAnsi="Arial" w:cs="Arial"/>
                <w:sz w:val="24"/>
                <w:szCs w:val="24"/>
              </w:rPr>
            </w:pPr>
          </w:p>
        </w:tc>
      </w:tr>
      <w:tr w:rsidR="00A931ED" w:rsidRPr="00825AEF" w:rsidTr="00E24D15">
        <w:tc>
          <w:tcPr>
            <w:tcW w:w="6091" w:type="dxa"/>
          </w:tcPr>
          <w:p w:rsidR="00A931ED" w:rsidRPr="00825AEF" w:rsidRDefault="001141EB" w:rsidP="00191A18">
            <w:pPr>
              <w:pStyle w:val="NoSpacing"/>
              <w:spacing w:line="360" w:lineRule="auto"/>
              <w:ind w:left="-108"/>
              <w:rPr>
                <w:rFonts w:ascii="Arial" w:hAnsi="Arial" w:cs="Arial"/>
                <w:b/>
                <w:sz w:val="24"/>
                <w:szCs w:val="24"/>
              </w:rPr>
            </w:pPr>
            <w:r>
              <w:rPr>
                <w:rFonts w:ascii="Arial" w:hAnsi="Arial" w:cs="Arial"/>
                <w:b/>
                <w:sz w:val="24"/>
                <w:szCs w:val="24"/>
              </w:rPr>
              <w:t>NAMIBIA NATIONAL TEACHERS UNION</w:t>
            </w:r>
          </w:p>
        </w:tc>
        <w:tc>
          <w:tcPr>
            <w:tcW w:w="3020" w:type="dxa"/>
          </w:tcPr>
          <w:p w:rsidR="00A931ED" w:rsidRPr="00825AEF" w:rsidRDefault="001141EB" w:rsidP="00191A18">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A931ED" w:rsidRPr="00825AEF">
              <w:rPr>
                <w:rFonts w:ascii="Arial" w:hAnsi="Arial" w:cs="Arial"/>
                <w:b/>
                <w:sz w:val="24"/>
                <w:szCs w:val="24"/>
              </w:rPr>
              <w:t>Respondent</w:t>
            </w:r>
          </w:p>
        </w:tc>
      </w:tr>
      <w:tr w:rsidR="001141EB" w:rsidRPr="00825AEF" w:rsidTr="00E24D15">
        <w:tc>
          <w:tcPr>
            <w:tcW w:w="6091" w:type="dxa"/>
          </w:tcPr>
          <w:p w:rsidR="001141EB" w:rsidRDefault="001141EB" w:rsidP="00191A18">
            <w:pPr>
              <w:pStyle w:val="NoSpacing"/>
              <w:spacing w:line="360" w:lineRule="auto"/>
              <w:ind w:left="-108"/>
              <w:rPr>
                <w:rFonts w:ascii="Arial" w:hAnsi="Arial" w:cs="Arial"/>
                <w:b/>
                <w:sz w:val="24"/>
                <w:szCs w:val="24"/>
              </w:rPr>
            </w:pPr>
            <w:r>
              <w:rPr>
                <w:rFonts w:ascii="Arial" w:hAnsi="Arial" w:cs="Arial"/>
                <w:b/>
                <w:sz w:val="24"/>
                <w:szCs w:val="24"/>
              </w:rPr>
              <w:t>LABOUR COMMISSIONER</w:t>
            </w:r>
          </w:p>
        </w:tc>
        <w:tc>
          <w:tcPr>
            <w:tcW w:w="3020" w:type="dxa"/>
          </w:tcPr>
          <w:p w:rsidR="001141EB" w:rsidRPr="00825AEF" w:rsidRDefault="001141EB" w:rsidP="00191A18">
            <w:pPr>
              <w:pStyle w:val="NoSpacing"/>
              <w:spacing w:line="360" w:lineRule="auto"/>
              <w:jc w:val="right"/>
              <w:rPr>
                <w:rFonts w:ascii="Arial" w:hAnsi="Arial" w:cs="Arial"/>
                <w:b/>
                <w:sz w:val="24"/>
                <w:szCs w:val="24"/>
              </w:rPr>
            </w:pPr>
            <w:r>
              <w:rPr>
                <w:rFonts w:ascii="Arial" w:hAnsi="Arial" w:cs="Arial"/>
                <w:b/>
                <w:sz w:val="24"/>
                <w:szCs w:val="24"/>
              </w:rPr>
              <w:t>Second Respondent</w:t>
            </w:r>
          </w:p>
        </w:tc>
      </w:tr>
      <w:tr w:rsidR="001141EB" w:rsidRPr="00825AEF" w:rsidTr="00E24D15">
        <w:tc>
          <w:tcPr>
            <w:tcW w:w="6091" w:type="dxa"/>
          </w:tcPr>
          <w:p w:rsidR="001141EB" w:rsidRDefault="001141EB" w:rsidP="00191A18">
            <w:pPr>
              <w:pStyle w:val="NoSpacing"/>
              <w:spacing w:line="360" w:lineRule="auto"/>
              <w:ind w:left="-108"/>
              <w:rPr>
                <w:rFonts w:ascii="Arial" w:hAnsi="Arial" w:cs="Arial"/>
                <w:b/>
                <w:sz w:val="24"/>
                <w:szCs w:val="24"/>
              </w:rPr>
            </w:pPr>
            <w:r>
              <w:rPr>
                <w:rFonts w:ascii="Arial" w:hAnsi="Arial" w:cs="Arial"/>
                <w:b/>
                <w:sz w:val="24"/>
                <w:szCs w:val="24"/>
              </w:rPr>
              <w:t>NICHOLAS MOUERS N.O.</w:t>
            </w:r>
          </w:p>
        </w:tc>
        <w:tc>
          <w:tcPr>
            <w:tcW w:w="3020" w:type="dxa"/>
          </w:tcPr>
          <w:p w:rsidR="001141EB" w:rsidRPr="00825AEF" w:rsidRDefault="001141EB" w:rsidP="00191A18">
            <w:pPr>
              <w:pStyle w:val="NoSpacing"/>
              <w:spacing w:line="360" w:lineRule="auto"/>
              <w:jc w:val="right"/>
              <w:rPr>
                <w:rFonts w:ascii="Arial" w:hAnsi="Arial" w:cs="Arial"/>
                <w:b/>
                <w:sz w:val="24"/>
                <w:szCs w:val="24"/>
              </w:rPr>
            </w:pPr>
            <w:r>
              <w:rPr>
                <w:rFonts w:ascii="Arial" w:hAnsi="Arial" w:cs="Arial"/>
                <w:b/>
                <w:sz w:val="24"/>
                <w:szCs w:val="24"/>
              </w:rPr>
              <w:t>Third Respondent</w:t>
            </w:r>
          </w:p>
        </w:tc>
      </w:tr>
    </w:tbl>
    <w:p w:rsidR="00A931ED" w:rsidRDefault="00A931ED" w:rsidP="00A931ED">
      <w:pPr>
        <w:pStyle w:val="NoSpacing"/>
        <w:rPr>
          <w:rFonts w:ascii="Arial" w:hAnsi="Arial" w:cs="Arial"/>
          <w:sz w:val="24"/>
          <w:szCs w:val="24"/>
        </w:rPr>
      </w:pPr>
    </w:p>
    <w:p w:rsidR="00A931ED" w:rsidRPr="00991107" w:rsidRDefault="00A931ED" w:rsidP="00A931ED">
      <w:pPr>
        <w:pStyle w:val="NoSpacing"/>
        <w:rPr>
          <w:rFonts w:ascii="Arial" w:hAnsi="Arial" w:cs="Arial"/>
          <w:sz w:val="24"/>
          <w:szCs w:val="24"/>
        </w:rPr>
      </w:pPr>
    </w:p>
    <w:p w:rsidR="00A931ED" w:rsidRDefault="00A931ED" w:rsidP="00A931ED">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1141EB">
        <w:rPr>
          <w:rFonts w:ascii="Arial" w:hAnsi="Arial" w:cs="Arial"/>
          <w:sz w:val="24"/>
          <w:szCs w:val="24"/>
        </w:rPr>
        <w:t>MAINGA JA, SMUTS JA</w:t>
      </w:r>
      <w:r>
        <w:rPr>
          <w:rFonts w:ascii="Arial" w:hAnsi="Arial" w:cs="Arial"/>
          <w:sz w:val="24"/>
          <w:szCs w:val="24"/>
        </w:rPr>
        <w:t xml:space="preserve"> and </w:t>
      </w:r>
      <w:r w:rsidR="001141EB">
        <w:rPr>
          <w:rFonts w:ascii="Arial" w:hAnsi="Arial" w:cs="Arial"/>
          <w:sz w:val="24"/>
          <w:szCs w:val="24"/>
        </w:rPr>
        <w:t>HOFF JA</w:t>
      </w:r>
    </w:p>
    <w:p w:rsidR="00A931ED" w:rsidRPr="00466830" w:rsidRDefault="00A931ED" w:rsidP="00A931ED">
      <w:pPr>
        <w:pStyle w:val="NoSpacing"/>
        <w:rPr>
          <w:rFonts w:ascii="Arial" w:hAnsi="Arial" w:cs="Arial"/>
          <w:b/>
          <w:sz w:val="24"/>
          <w:szCs w:val="24"/>
        </w:rPr>
      </w:pPr>
    </w:p>
    <w:p w:rsidR="00A931ED" w:rsidRPr="00466830" w:rsidRDefault="00A931ED" w:rsidP="00A931ED">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A86273">
        <w:rPr>
          <w:rFonts w:ascii="Arial" w:hAnsi="Arial" w:cs="Arial"/>
          <w:b/>
          <w:sz w:val="24"/>
          <w:szCs w:val="24"/>
        </w:rPr>
        <w:t>19 June</w:t>
      </w:r>
      <w:r>
        <w:rPr>
          <w:rFonts w:ascii="Arial" w:hAnsi="Arial" w:cs="Arial"/>
          <w:b/>
          <w:sz w:val="24"/>
          <w:szCs w:val="24"/>
        </w:rPr>
        <w:t xml:space="preserve"> 2020</w:t>
      </w:r>
    </w:p>
    <w:p w:rsidR="00A931ED" w:rsidRPr="00466830" w:rsidRDefault="00A931ED" w:rsidP="00A931ED">
      <w:pPr>
        <w:pStyle w:val="NoSpacing"/>
        <w:rPr>
          <w:rFonts w:ascii="Arial" w:hAnsi="Arial" w:cs="Arial"/>
          <w:b/>
          <w:sz w:val="24"/>
          <w:szCs w:val="24"/>
        </w:rPr>
      </w:pPr>
    </w:p>
    <w:p w:rsidR="00A931ED" w:rsidRPr="00466830" w:rsidRDefault="00A931ED" w:rsidP="00A931ED">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181664">
        <w:rPr>
          <w:rFonts w:ascii="Arial" w:hAnsi="Arial" w:cs="Arial"/>
          <w:b/>
          <w:sz w:val="24"/>
          <w:szCs w:val="24"/>
        </w:rPr>
        <w:t xml:space="preserve">29 </w:t>
      </w:r>
      <w:r w:rsidR="00133A59">
        <w:rPr>
          <w:rFonts w:ascii="Arial" w:hAnsi="Arial" w:cs="Arial"/>
          <w:b/>
          <w:sz w:val="24"/>
          <w:szCs w:val="24"/>
        </w:rPr>
        <w:t>April 2021</w:t>
      </w:r>
    </w:p>
    <w:p w:rsidR="00A931ED" w:rsidRDefault="00A931ED" w:rsidP="00A931ED">
      <w:pPr>
        <w:pStyle w:val="NoSpacing"/>
        <w:rPr>
          <w:rFonts w:ascii="Arial" w:hAnsi="Arial" w:cs="Arial"/>
          <w:sz w:val="24"/>
          <w:szCs w:val="24"/>
        </w:rPr>
      </w:pPr>
    </w:p>
    <w:p w:rsidR="00A931ED" w:rsidRDefault="00A931ED" w:rsidP="00A931ED">
      <w:pPr>
        <w:pStyle w:val="NoSpacing"/>
        <w:rPr>
          <w:rFonts w:ascii="Arial" w:hAnsi="Arial" w:cs="Arial"/>
          <w:sz w:val="24"/>
          <w:szCs w:val="24"/>
        </w:rPr>
      </w:pPr>
    </w:p>
    <w:p w:rsidR="00B11F58" w:rsidRDefault="00B11F58" w:rsidP="00A931ED">
      <w:pPr>
        <w:pStyle w:val="NoSpacing"/>
        <w:rPr>
          <w:rFonts w:ascii="Arial" w:hAnsi="Arial" w:cs="Arial"/>
          <w:sz w:val="24"/>
          <w:szCs w:val="24"/>
        </w:rPr>
      </w:pPr>
    </w:p>
    <w:p w:rsidR="00A931ED" w:rsidRPr="00CE641F" w:rsidRDefault="00A931ED" w:rsidP="00CE641F">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CE641F" w:rsidRPr="00CE641F">
        <w:rPr>
          <w:rFonts w:ascii="Arial" w:hAnsi="Arial" w:cs="Arial"/>
          <w:sz w:val="24"/>
          <w:szCs w:val="24"/>
        </w:rPr>
        <w:t xml:space="preserve">In a </w:t>
      </w:r>
      <w:r w:rsidR="00CE641F">
        <w:rPr>
          <w:rFonts w:ascii="Arial" w:hAnsi="Arial" w:cs="Arial"/>
          <w:sz w:val="24"/>
          <w:szCs w:val="24"/>
        </w:rPr>
        <w:t>dispute between the parties</w:t>
      </w:r>
      <w:r w:rsidR="009873FE">
        <w:rPr>
          <w:rFonts w:ascii="Arial" w:hAnsi="Arial" w:cs="Arial"/>
          <w:sz w:val="24"/>
          <w:szCs w:val="24"/>
        </w:rPr>
        <w:t>,</w:t>
      </w:r>
      <w:r w:rsidR="00CE641F">
        <w:rPr>
          <w:rFonts w:ascii="Arial" w:hAnsi="Arial" w:cs="Arial"/>
          <w:sz w:val="24"/>
          <w:szCs w:val="24"/>
        </w:rPr>
        <w:t xml:space="preserve"> the first respondent’s interpretation of the documents forming the foundation of the agreements took the position that its members are entitled to benefits under a collective agreement initially reached between the parties as well as the same benefits under a subsequent collective agreement. The appellant eschewed a different position namely that the first agreement lapsed on the implementation of the subsequent agreement ‘thus harmonising the two incentives into </w:t>
      </w:r>
      <w:r w:rsidR="00CE641F">
        <w:rPr>
          <w:rFonts w:ascii="Arial" w:hAnsi="Arial" w:cs="Arial"/>
          <w:sz w:val="24"/>
          <w:szCs w:val="24"/>
        </w:rPr>
        <w:lastRenderedPageBreak/>
        <w:t xml:space="preserve">one’ and that the members of the first respondent </w:t>
      </w:r>
      <w:r w:rsidR="00BD3EB0">
        <w:rPr>
          <w:rFonts w:ascii="Arial" w:hAnsi="Arial" w:cs="Arial"/>
          <w:sz w:val="24"/>
          <w:szCs w:val="24"/>
        </w:rPr>
        <w:t>are</w:t>
      </w:r>
      <w:r w:rsidR="00CE641F">
        <w:rPr>
          <w:rFonts w:ascii="Arial" w:hAnsi="Arial" w:cs="Arial"/>
          <w:sz w:val="24"/>
          <w:szCs w:val="24"/>
        </w:rPr>
        <w:t xml:space="preserve"> therefore not entitled to double benefits. </w:t>
      </w:r>
    </w:p>
    <w:p w:rsidR="00A931ED" w:rsidRPr="00CE641F" w:rsidRDefault="00A931ED" w:rsidP="00CE641F">
      <w:pPr>
        <w:pStyle w:val="NoSpacing"/>
        <w:spacing w:line="360" w:lineRule="auto"/>
        <w:jc w:val="both"/>
        <w:rPr>
          <w:rFonts w:ascii="Arial" w:hAnsi="Arial" w:cs="Arial"/>
          <w:sz w:val="24"/>
          <w:szCs w:val="24"/>
        </w:rPr>
      </w:pPr>
    </w:p>
    <w:p w:rsidR="00A931ED" w:rsidRPr="00CE641F" w:rsidRDefault="00CE641F" w:rsidP="00CE641F">
      <w:pPr>
        <w:pStyle w:val="NoSpacing"/>
        <w:spacing w:line="360" w:lineRule="auto"/>
        <w:jc w:val="both"/>
        <w:rPr>
          <w:rFonts w:ascii="Arial" w:hAnsi="Arial" w:cs="Arial"/>
          <w:sz w:val="24"/>
          <w:szCs w:val="24"/>
        </w:rPr>
      </w:pPr>
      <w:r>
        <w:rPr>
          <w:rFonts w:ascii="Arial" w:hAnsi="Arial" w:cs="Arial"/>
          <w:sz w:val="24"/>
          <w:szCs w:val="24"/>
        </w:rPr>
        <w:t>The approach by this court</w:t>
      </w:r>
      <w:r w:rsidR="009873FE">
        <w:rPr>
          <w:rFonts w:ascii="Arial" w:hAnsi="Arial" w:cs="Arial"/>
          <w:sz w:val="24"/>
          <w:szCs w:val="24"/>
        </w:rPr>
        <w:t>,</w:t>
      </w:r>
      <w:r>
        <w:rPr>
          <w:rFonts w:ascii="Arial" w:hAnsi="Arial" w:cs="Arial"/>
          <w:sz w:val="24"/>
          <w:szCs w:val="24"/>
        </w:rPr>
        <w:t xml:space="preserve"> in considering the interpretation of contracts or other instruments</w:t>
      </w:r>
      <w:r w:rsidR="009873FE">
        <w:rPr>
          <w:rFonts w:ascii="Arial" w:hAnsi="Arial" w:cs="Arial"/>
          <w:sz w:val="24"/>
          <w:szCs w:val="24"/>
        </w:rPr>
        <w:t>, i</w:t>
      </w:r>
      <w:r w:rsidR="00EA0CBF">
        <w:rPr>
          <w:rFonts w:ascii="Arial" w:hAnsi="Arial" w:cs="Arial"/>
          <w:sz w:val="24"/>
          <w:szCs w:val="24"/>
        </w:rPr>
        <w:t>s</w:t>
      </w:r>
      <w:r w:rsidR="009873FE">
        <w:rPr>
          <w:rFonts w:ascii="Arial" w:hAnsi="Arial" w:cs="Arial"/>
          <w:sz w:val="24"/>
          <w:szCs w:val="24"/>
        </w:rPr>
        <w:t xml:space="preserve"> that </w:t>
      </w:r>
      <w:r>
        <w:rPr>
          <w:rFonts w:ascii="Arial" w:hAnsi="Arial" w:cs="Arial"/>
          <w:sz w:val="24"/>
          <w:szCs w:val="24"/>
        </w:rPr>
        <w:t xml:space="preserve">a contextual interpretation is to be preferred, is confirmed. </w:t>
      </w:r>
    </w:p>
    <w:p w:rsidR="00A931ED" w:rsidRPr="00CE641F" w:rsidRDefault="00A931ED" w:rsidP="00CE641F">
      <w:pPr>
        <w:pStyle w:val="NoSpacing"/>
        <w:spacing w:line="360" w:lineRule="auto"/>
        <w:jc w:val="both"/>
        <w:rPr>
          <w:rFonts w:ascii="Arial" w:hAnsi="Arial" w:cs="Arial"/>
          <w:sz w:val="24"/>
          <w:szCs w:val="24"/>
        </w:rPr>
      </w:pPr>
    </w:p>
    <w:p w:rsidR="00A931ED" w:rsidRPr="00CE641F" w:rsidRDefault="00CE641F" w:rsidP="00EC3146">
      <w:pPr>
        <w:pStyle w:val="NoSpacing"/>
        <w:spacing w:line="360" w:lineRule="auto"/>
        <w:jc w:val="both"/>
        <w:rPr>
          <w:rFonts w:ascii="Arial" w:hAnsi="Arial" w:cs="Arial"/>
          <w:sz w:val="24"/>
          <w:szCs w:val="24"/>
        </w:rPr>
      </w:pPr>
      <w:r>
        <w:rPr>
          <w:rFonts w:ascii="Arial" w:hAnsi="Arial" w:cs="Arial"/>
          <w:sz w:val="24"/>
          <w:szCs w:val="24"/>
        </w:rPr>
        <w:t xml:space="preserve">Interpretation is a unitary exercise in which both text and context are relevant to </w:t>
      </w:r>
      <w:r w:rsidR="00EC3146">
        <w:rPr>
          <w:rFonts w:ascii="Arial" w:hAnsi="Arial" w:cs="Arial"/>
          <w:sz w:val="24"/>
          <w:szCs w:val="24"/>
        </w:rPr>
        <w:t>construing the contract. Interpretation is a matter for the court and not for witnesses.</w:t>
      </w:r>
    </w:p>
    <w:p w:rsidR="00A931ED" w:rsidRPr="00CE641F" w:rsidRDefault="00A931ED" w:rsidP="00EC3146">
      <w:pPr>
        <w:pStyle w:val="NoSpacing"/>
        <w:spacing w:line="360" w:lineRule="auto"/>
        <w:jc w:val="both"/>
        <w:rPr>
          <w:rFonts w:ascii="Arial" w:hAnsi="Arial" w:cs="Arial"/>
          <w:sz w:val="24"/>
          <w:szCs w:val="24"/>
        </w:rPr>
      </w:pPr>
    </w:p>
    <w:p w:rsidR="00A931ED" w:rsidRPr="00CE641F" w:rsidRDefault="00EC3146" w:rsidP="00EC3146">
      <w:pPr>
        <w:pStyle w:val="NoSpacing"/>
        <w:spacing w:line="360" w:lineRule="auto"/>
        <w:jc w:val="both"/>
        <w:rPr>
          <w:rFonts w:ascii="Arial" w:hAnsi="Arial" w:cs="Arial"/>
          <w:sz w:val="24"/>
          <w:szCs w:val="24"/>
        </w:rPr>
      </w:pPr>
      <w:r w:rsidRPr="00EC3146">
        <w:rPr>
          <w:rFonts w:ascii="Arial" w:hAnsi="Arial" w:cs="Arial"/>
          <w:i/>
          <w:sz w:val="24"/>
          <w:szCs w:val="24"/>
        </w:rPr>
        <w:t>Held</w:t>
      </w:r>
      <w:r>
        <w:rPr>
          <w:rFonts w:ascii="Arial" w:hAnsi="Arial" w:cs="Arial"/>
          <w:sz w:val="24"/>
          <w:szCs w:val="24"/>
        </w:rPr>
        <w:t>, in successive collective agreements</w:t>
      </w:r>
      <w:r w:rsidR="009873FE">
        <w:rPr>
          <w:rFonts w:ascii="Arial" w:hAnsi="Arial" w:cs="Arial"/>
          <w:sz w:val="24"/>
          <w:szCs w:val="24"/>
        </w:rPr>
        <w:t>,</w:t>
      </w:r>
      <w:r w:rsidR="006531CE">
        <w:rPr>
          <w:rFonts w:ascii="Arial" w:hAnsi="Arial" w:cs="Arial"/>
          <w:sz w:val="24"/>
          <w:szCs w:val="24"/>
        </w:rPr>
        <w:t xml:space="preserve"> a la</w:t>
      </w:r>
      <w:r>
        <w:rPr>
          <w:rFonts w:ascii="Arial" w:hAnsi="Arial" w:cs="Arial"/>
          <w:sz w:val="24"/>
          <w:szCs w:val="24"/>
        </w:rPr>
        <w:t xml:space="preserve">ter agreement as </w:t>
      </w:r>
      <w:r w:rsidR="009873FE">
        <w:rPr>
          <w:rFonts w:ascii="Arial" w:hAnsi="Arial" w:cs="Arial"/>
          <w:sz w:val="24"/>
          <w:szCs w:val="24"/>
        </w:rPr>
        <w:t xml:space="preserve">a </w:t>
      </w:r>
      <w:r>
        <w:rPr>
          <w:rFonts w:ascii="Arial" w:hAnsi="Arial" w:cs="Arial"/>
          <w:sz w:val="24"/>
          <w:szCs w:val="24"/>
        </w:rPr>
        <w:t xml:space="preserve">matter of common </w:t>
      </w:r>
      <w:r w:rsidR="008D0107">
        <w:rPr>
          <w:rFonts w:ascii="Arial" w:hAnsi="Arial" w:cs="Arial"/>
          <w:sz w:val="24"/>
          <w:szCs w:val="24"/>
        </w:rPr>
        <w:t xml:space="preserve">sense and </w:t>
      </w:r>
      <w:r>
        <w:rPr>
          <w:rFonts w:ascii="Arial" w:hAnsi="Arial" w:cs="Arial"/>
          <w:sz w:val="24"/>
          <w:szCs w:val="24"/>
        </w:rPr>
        <w:t>logic supersedes or replaces a previous agreement where the agreements deal with exactly the same subject matter.</w:t>
      </w:r>
    </w:p>
    <w:p w:rsidR="00A931ED" w:rsidRPr="00CE641F" w:rsidRDefault="00A931ED" w:rsidP="00EC3146">
      <w:pPr>
        <w:pStyle w:val="NoSpacing"/>
        <w:spacing w:line="360" w:lineRule="auto"/>
        <w:jc w:val="both"/>
        <w:rPr>
          <w:rFonts w:ascii="Arial" w:hAnsi="Arial" w:cs="Arial"/>
          <w:sz w:val="24"/>
          <w:szCs w:val="24"/>
        </w:rPr>
      </w:pPr>
    </w:p>
    <w:p w:rsidR="00A931ED" w:rsidRDefault="00EC3146" w:rsidP="00EC3146">
      <w:pPr>
        <w:pStyle w:val="NoSpacing"/>
        <w:spacing w:line="360" w:lineRule="auto"/>
        <w:jc w:val="both"/>
        <w:rPr>
          <w:rFonts w:ascii="Arial" w:hAnsi="Arial" w:cs="Arial"/>
          <w:sz w:val="24"/>
          <w:szCs w:val="24"/>
        </w:rPr>
      </w:pPr>
      <w:r w:rsidRPr="00EC3146">
        <w:rPr>
          <w:rFonts w:ascii="Arial" w:hAnsi="Arial" w:cs="Arial"/>
          <w:i/>
          <w:sz w:val="24"/>
          <w:szCs w:val="24"/>
        </w:rPr>
        <w:t>Held</w:t>
      </w:r>
      <w:r>
        <w:rPr>
          <w:rFonts w:ascii="Arial" w:hAnsi="Arial" w:cs="Arial"/>
          <w:i/>
          <w:sz w:val="24"/>
          <w:szCs w:val="24"/>
        </w:rPr>
        <w:t>,</w:t>
      </w:r>
      <w:r>
        <w:rPr>
          <w:rFonts w:ascii="Arial" w:hAnsi="Arial" w:cs="Arial"/>
          <w:sz w:val="24"/>
          <w:szCs w:val="24"/>
        </w:rPr>
        <w:t xml:space="preserve"> in the circumstances the members of the first respondent are not entitled to benefits under both agreements – ie not entitle</w:t>
      </w:r>
      <w:r w:rsidR="009873FE">
        <w:rPr>
          <w:rFonts w:ascii="Arial" w:hAnsi="Arial" w:cs="Arial"/>
          <w:sz w:val="24"/>
          <w:szCs w:val="24"/>
        </w:rPr>
        <w:t>d</w:t>
      </w:r>
      <w:r>
        <w:rPr>
          <w:rFonts w:ascii="Arial" w:hAnsi="Arial" w:cs="Arial"/>
          <w:sz w:val="24"/>
          <w:szCs w:val="24"/>
        </w:rPr>
        <w:t xml:space="preserve"> to double benefits.</w:t>
      </w:r>
    </w:p>
    <w:p w:rsidR="00EC3146" w:rsidRDefault="00EC3146" w:rsidP="00EC3146">
      <w:pPr>
        <w:pStyle w:val="NoSpacing"/>
        <w:spacing w:line="360" w:lineRule="auto"/>
        <w:jc w:val="both"/>
        <w:rPr>
          <w:rFonts w:ascii="Arial" w:hAnsi="Arial" w:cs="Arial"/>
          <w:sz w:val="24"/>
          <w:szCs w:val="24"/>
        </w:rPr>
      </w:pPr>
    </w:p>
    <w:p w:rsidR="00EC3146" w:rsidRPr="00CE641F" w:rsidRDefault="00EC3146" w:rsidP="00EC3146">
      <w:pPr>
        <w:pStyle w:val="NoSpacing"/>
        <w:spacing w:line="360" w:lineRule="auto"/>
        <w:jc w:val="both"/>
        <w:rPr>
          <w:rFonts w:ascii="Arial" w:hAnsi="Arial" w:cs="Arial"/>
          <w:sz w:val="24"/>
          <w:szCs w:val="24"/>
        </w:rPr>
      </w:pPr>
      <w:r w:rsidRPr="00EC3146">
        <w:rPr>
          <w:rFonts w:ascii="Arial" w:hAnsi="Arial" w:cs="Arial"/>
          <w:i/>
          <w:sz w:val="24"/>
          <w:szCs w:val="24"/>
        </w:rPr>
        <w:t>Held</w:t>
      </w:r>
      <w:r w:rsidR="009D6571">
        <w:rPr>
          <w:rFonts w:ascii="Arial" w:hAnsi="Arial" w:cs="Arial"/>
          <w:i/>
          <w:sz w:val="24"/>
          <w:szCs w:val="24"/>
        </w:rPr>
        <w:t>,</w:t>
      </w:r>
      <w:r>
        <w:rPr>
          <w:rFonts w:ascii="Arial" w:hAnsi="Arial" w:cs="Arial"/>
          <w:sz w:val="24"/>
          <w:szCs w:val="24"/>
        </w:rPr>
        <w:t xml:space="preserve"> the appeal succeeds with costs and the order of the court </w:t>
      </w:r>
      <w:r w:rsidRPr="00EC3146">
        <w:rPr>
          <w:rFonts w:ascii="Arial" w:hAnsi="Arial" w:cs="Arial"/>
          <w:i/>
          <w:sz w:val="24"/>
          <w:szCs w:val="24"/>
        </w:rPr>
        <w:t>a quo</w:t>
      </w:r>
      <w:r>
        <w:rPr>
          <w:rFonts w:ascii="Arial" w:hAnsi="Arial" w:cs="Arial"/>
          <w:sz w:val="24"/>
          <w:szCs w:val="24"/>
        </w:rPr>
        <w:t xml:space="preserve"> is set aside.</w:t>
      </w:r>
    </w:p>
    <w:p w:rsidR="00A931ED" w:rsidRPr="00991107" w:rsidRDefault="00A931ED" w:rsidP="00EC3146">
      <w:pPr>
        <w:pStyle w:val="NoSpacing"/>
        <w:spacing w:line="360" w:lineRule="auto"/>
        <w:rPr>
          <w:rFonts w:ascii="Arial" w:hAnsi="Arial" w:cs="Arial"/>
          <w:sz w:val="24"/>
          <w:szCs w:val="24"/>
        </w:rPr>
      </w:pPr>
    </w:p>
    <w:p w:rsidR="00A931ED" w:rsidRPr="00991107" w:rsidRDefault="00A931ED" w:rsidP="00EC3146">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A931ED" w:rsidRPr="00991107" w:rsidRDefault="00A931ED" w:rsidP="00A931ED">
      <w:pPr>
        <w:pStyle w:val="NoSpacing"/>
        <w:rPr>
          <w:rFonts w:ascii="Arial" w:hAnsi="Arial" w:cs="Arial"/>
          <w:sz w:val="24"/>
          <w:szCs w:val="24"/>
        </w:rPr>
      </w:pPr>
    </w:p>
    <w:p w:rsidR="00A931ED" w:rsidRPr="00970591" w:rsidRDefault="00A931ED" w:rsidP="00A931ED">
      <w:pPr>
        <w:pStyle w:val="NoSpacing"/>
        <w:jc w:val="center"/>
        <w:rPr>
          <w:rFonts w:ascii="Arial" w:hAnsi="Arial" w:cs="Arial"/>
          <w:b/>
          <w:sz w:val="24"/>
          <w:szCs w:val="24"/>
        </w:rPr>
      </w:pPr>
      <w:r w:rsidRPr="00970591">
        <w:rPr>
          <w:rFonts w:ascii="Arial" w:hAnsi="Arial" w:cs="Arial"/>
          <w:b/>
          <w:sz w:val="24"/>
          <w:szCs w:val="24"/>
        </w:rPr>
        <w:t>APPEAL JUDGMENT</w:t>
      </w:r>
    </w:p>
    <w:p w:rsidR="00A931ED" w:rsidRPr="00991107" w:rsidRDefault="00A931ED" w:rsidP="00A931ED">
      <w:pPr>
        <w:pStyle w:val="NoSpacing"/>
        <w:rPr>
          <w:rFonts w:ascii="Arial" w:hAnsi="Arial" w:cs="Arial"/>
          <w:sz w:val="24"/>
          <w:szCs w:val="24"/>
        </w:rPr>
      </w:pPr>
      <w:r>
        <w:rPr>
          <w:rFonts w:ascii="Arial" w:hAnsi="Arial" w:cs="Arial"/>
          <w:sz w:val="24"/>
          <w:szCs w:val="24"/>
        </w:rPr>
        <w:t>____________________________________________________________________</w:t>
      </w:r>
    </w:p>
    <w:p w:rsidR="00A931ED" w:rsidRDefault="00A931ED" w:rsidP="00A931ED">
      <w:pPr>
        <w:pStyle w:val="NoSpacing"/>
        <w:rPr>
          <w:rFonts w:ascii="Arial" w:hAnsi="Arial" w:cs="Arial"/>
          <w:sz w:val="24"/>
          <w:szCs w:val="24"/>
        </w:rPr>
      </w:pPr>
    </w:p>
    <w:p w:rsidR="00A931ED" w:rsidRPr="00991107" w:rsidRDefault="00A931ED" w:rsidP="00A931ED">
      <w:pPr>
        <w:pStyle w:val="NoSpacing"/>
        <w:rPr>
          <w:rFonts w:ascii="Arial" w:hAnsi="Arial" w:cs="Arial"/>
          <w:sz w:val="24"/>
          <w:szCs w:val="24"/>
        </w:rPr>
      </w:pPr>
    </w:p>
    <w:p w:rsidR="00A931ED" w:rsidRPr="00991107" w:rsidRDefault="00A931ED" w:rsidP="00A931ED">
      <w:pPr>
        <w:pStyle w:val="NoSpacing"/>
        <w:spacing w:line="480" w:lineRule="auto"/>
        <w:jc w:val="both"/>
        <w:rPr>
          <w:rFonts w:ascii="Arial" w:hAnsi="Arial" w:cs="Arial"/>
          <w:sz w:val="24"/>
          <w:szCs w:val="24"/>
        </w:rPr>
      </w:pPr>
      <w:r>
        <w:rPr>
          <w:rFonts w:ascii="Arial" w:hAnsi="Arial" w:cs="Arial"/>
          <w:sz w:val="24"/>
          <w:szCs w:val="24"/>
        </w:rPr>
        <w:t>HOFF JA (</w:t>
      </w:r>
      <w:r w:rsidR="001141EB">
        <w:rPr>
          <w:rFonts w:ascii="Arial" w:hAnsi="Arial" w:cs="Arial"/>
          <w:sz w:val="24"/>
          <w:szCs w:val="24"/>
        </w:rPr>
        <w:t>MAINGA JA</w:t>
      </w:r>
      <w:r>
        <w:rPr>
          <w:rFonts w:ascii="Arial" w:hAnsi="Arial" w:cs="Arial"/>
          <w:sz w:val="24"/>
          <w:szCs w:val="24"/>
        </w:rPr>
        <w:t xml:space="preserve"> and </w:t>
      </w:r>
      <w:r w:rsidR="001141EB">
        <w:rPr>
          <w:rFonts w:ascii="Arial" w:hAnsi="Arial" w:cs="Arial"/>
          <w:sz w:val="24"/>
          <w:szCs w:val="24"/>
        </w:rPr>
        <w:t>SMUTS JA</w:t>
      </w:r>
      <w:r>
        <w:rPr>
          <w:rFonts w:ascii="Arial" w:hAnsi="Arial" w:cs="Arial"/>
          <w:sz w:val="24"/>
          <w:szCs w:val="24"/>
        </w:rPr>
        <w:t xml:space="preserve"> concurring):</w:t>
      </w:r>
    </w:p>
    <w:p w:rsidR="00A931ED" w:rsidRDefault="0034762E"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is an appeal against the order of the Labour Court, sitting as an appeal court against an arbitrator’s </w:t>
      </w:r>
      <w:r w:rsidR="007431AC">
        <w:rPr>
          <w:rFonts w:ascii="Arial" w:hAnsi="Arial" w:cs="Arial"/>
          <w:sz w:val="24"/>
          <w:szCs w:val="24"/>
        </w:rPr>
        <w:t>award, reversing the award.</w:t>
      </w:r>
    </w:p>
    <w:p w:rsidR="00A931ED" w:rsidRDefault="00A931ED" w:rsidP="00A931ED">
      <w:pPr>
        <w:pStyle w:val="NoSpacing"/>
        <w:spacing w:line="480" w:lineRule="auto"/>
        <w:jc w:val="both"/>
        <w:rPr>
          <w:rFonts w:ascii="Arial" w:hAnsi="Arial" w:cs="Arial"/>
          <w:sz w:val="24"/>
          <w:szCs w:val="24"/>
        </w:rPr>
      </w:pPr>
    </w:p>
    <w:p w:rsidR="00A931ED" w:rsidRDefault="0034762E" w:rsidP="00543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respondent lodged a dispute with the Office of the Labour Commissioner </w:t>
      </w:r>
      <w:r w:rsidR="009873FE">
        <w:rPr>
          <w:rFonts w:ascii="Arial" w:hAnsi="Arial" w:cs="Arial"/>
          <w:sz w:val="24"/>
          <w:szCs w:val="24"/>
        </w:rPr>
        <w:t>regarding</w:t>
      </w:r>
      <w:r>
        <w:rPr>
          <w:rFonts w:ascii="Arial" w:hAnsi="Arial" w:cs="Arial"/>
          <w:sz w:val="24"/>
          <w:szCs w:val="24"/>
        </w:rPr>
        <w:t xml:space="preserve"> the interpretation/application of two collective agreements on behalf of its members claiming outstanding payments for certain incentives.</w:t>
      </w:r>
      <w:r w:rsidR="00842F4A">
        <w:rPr>
          <w:rFonts w:ascii="Arial" w:hAnsi="Arial" w:cs="Arial"/>
          <w:sz w:val="24"/>
          <w:szCs w:val="24"/>
        </w:rPr>
        <w:t xml:space="preserve"> </w:t>
      </w:r>
      <w:r>
        <w:rPr>
          <w:rFonts w:ascii="Arial" w:hAnsi="Arial" w:cs="Arial"/>
          <w:sz w:val="24"/>
          <w:szCs w:val="24"/>
        </w:rPr>
        <w:t xml:space="preserve">The </w:t>
      </w:r>
      <w:r>
        <w:rPr>
          <w:rFonts w:ascii="Arial" w:hAnsi="Arial" w:cs="Arial"/>
          <w:sz w:val="24"/>
          <w:szCs w:val="24"/>
        </w:rPr>
        <w:lastRenderedPageBreak/>
        <w:t xml:space="preserve">arbitrator, after hearing evidence, dismissed the dispute. The appeal </w:t>
      </w:r>
      <w:r w:rsidR="00717DAB">
        <w:rPr>
          <w:rFonts w:ascii="Arial" w:hAnsi="Arial" w:cs="Arial"/>
          <w:sz w:val="24"/>
          <w:szCs w:val="24"/>
        </w:rPr>
        <w:t xml:space="preserve">by the </w:t>
      </w:r>
      <w:r w:rsidR="00166A2F">
        <w:rPr>
          <w:rFonts w:ascii="Arial" w:hAnsi="Arial" w:cs="Arial"/>
          <w:sz w:val="24"/>
          <w:szCs w:val="24"/>
        </w:rPr>
        <w:t>first respondent against the arbitrator</w:t>
      </w:r>
      <w:r w:rsidR="00717DAB">
        <w:rPr>
          <w:rFonts w:ascii="Arial" w:hAnsi="Arial" w:cs="Arial"/>
          <w:sz w:val="24"/>
          <w:szCs w:val="24"/>
        </w:rPr>
        <w:t>’</w:t>
      </w:r>
      <w:r w:rsidR="00166A2F">
        <w:rPr>
          <w:rFonts w:ascii="Arial" w:hAnsi="Arial" w:cs="Arial"/>
          <w:sz w:val="24"/>
          <w:szCs w:val="24"/>
        </w:rPr>
        <w:t>s finding succeeded and the Labour Court ordered the present appellant to pay certain incentives in terms of the collective agreements between the parties. Dissatisfied with the orders of the Labour Court</w:t>
      </w:r>
      <w:r w:rsidR="00EA0CBF">
        <w:rPr>
          <w:rFonts w:ascii="Arial" w:hAnsi="Arial" w:cs="Arial"/>
          <w:sz w:val="24"/>
          <w:szCs w:val="24"/>
        </w:rPr>
        <w:t>,</w:t>
      </w:r>
      <w:r w:rsidR="00166A2F">
        <w:rPr>
          <w:rFonts w:ascii="Arial" w:hAnsi="Arial" w:cs="Arial"/>
          <w:sz w:val="24"/>
          <w:szCs w:val="24"/>
        </w:rPr>
        <w:t xml:space="preserve"> the appellant appealed against those orders.</w:t>
      </w:r>
    </w:p>
    <w:p w:rsidR="005432B7" w:rsidRPr="005432B7" w:rsidRDefault="005432B7" w:rsidP="005432B7">
      <w:pPr>
        <w:spacing w:after="0" w:line="480" w:lineRule="auto"/>
        <w:rPr>
          <w:rFonts w:ascii="Arial" w:hAnsi="Arial" w:cs="Arial"/>
          <w:sz w:val="24"/>
          <w:szCs w:val="24"/>
        </w:rPr>
      </w:pPr>
    </w:p>
    <w:p w:rsidR="005432B7" w:rsidRPr="005432B7" w:rsidRDefault="005432B7" w:rsidP="005432B7">
      <w:pPr>
        <w:spacing w:after="0" w:line="480" w:lineRule="auto"/>
        <w:rPr>
          <w:rFonts w:ascii="Arial" w:hAnsi="Arial" w:cs="Arial"/>
          <w:sz w:val="24"/>
          <w:szCs w:val="24"/>
          <w:u w:val="single"/>
        </w:rPr>
      </w:pPr>
      <w:r w:rsidRPr="005432B7">
        <w:rPr>
          <w:rFonts w:ascii="Arial" w:hAnsi="Arial" w:cs="Arial"/>
          <w:sz w:val="24"/>
          <w:szCs w:val="24"/>
          <w:u w:val="single"/>
        </w:rPr>
        <w:t>Condonation applications</w:t>
      </w:r>
    </w:p>
    <w:p w:rsidR="005432B7" w:rsidRDefault="005432B7" w:rsidP="00543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filed </w:t>
      </w:r>
      <w:r w:rsidR="0094755B">
        <w:rPr>
          <w:rFonts w:ascii="Arial" w:hAnsi="Arial" w:cs="Arial"/>
          <w:sz w:val="24"/>
          <w:szCs w:val="24"/>
        </w:rPr>
        <w:t>three</w:t>
      </w:r>
      <w:r>
        <w:rPr>
          <w:rFonts w:ascii="Arial" w:hAnsi="Arial" w:cs="Arial"/>
          <w:sz w:val="24"/>
          <w:szCs w:val="24"/>
        </w:rPr>
        <w:t xml:space="preserve"> condonation applications in respect of its non-complian</w:t>
      </w:r>
      <w:r w:rsidR="0094755B">
        <w:rPr>
          <w:rFonts w:ascii="Arial" w:hAnsi="Arial" w:cs="Arial"/>
          <w:sz w:val="24"/>
          <w:szCs w:val="24"/>
        </w:rPr>
        <w:t>ce with the rules of this court as well as an application for the reinstatement of the appeal.</w:t>
      </w:r>
    </w:p>
    <w:p w:rsidR="005432B7" w:rsidRDefault="005432B7" w:rsidP="005432B7">
      <w:pPr>
        <w:pStyle w:val="NoSpacing"/>
        <w:spacing w:line="480" w:lineRule="auto"/>
        <w:jc w:val="both"/>
        <w:rPr>
          <w:rFonts w:ascii="Arial" w:hAnsi="Arial" w:cs="Arial"/>
          <w:sz w:val="24"/>
          <w:szCs w:val="24"/>
        </w:rPr>
      </w:pPr>
    </w:p>
    <w:p w:rsidR="005432B7" w:rsidRDefault="005432B7" w:rsidP="00543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Firstly, appellant sought an order granting the appellant leave to file the exhibits</w:t>
      </w:r>
      <w:r w:rsidR="00E279F2">
        <w:rPr>
          <w:rFonts w:ascii="Arial" w:hAnsi="Arial" w:cs="Arial"/>
          <w:sz w:val="24"/>
          <w:szCs w:val="24"/>
        </w:rPr>
        <w:t>’</w:t>
      </w:r>
      <w:r>
        <w:rPr>
          <w:rFonts w:ascii="Arial" w:hAnsi="Arial" w:cs="Arial"/>
          <w:sz w:val="24"/>
          <w:szCs w:val="24"/>
        </w:rPr>
        <w:t xml:space="preserve"> volume of the appeal record which was inadvertently not filed. </w:t>
      </w:r>
    </w:p>
    <w:p w:rsidR="006F6EF1" w:rsidRDefault="006F6EF1" w:rsidP="006F6EF1">
      <w:pPr>
        <w:pStyle w:val="NoSpacing"/>
        <w:spacing w:line="480" w:lineRule="auto"/>
        <w:jc w:val="both"/>
        <w:rPr>
          <w:rFonts w:ascii="Arial" w:hAnsi="Arial" w:cs="Arial"/>
          <w:sz w:val="24"/>
          <w:szCs w:val="24"/>
        </w:rPr>
      </w:pPr>
    </w:p>
    <w:p w:rsidR="005432B7" w:rsidRDefault="00D164F6" w:rsidP="00543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Appellant’s</w:t>
      </w:r>
      <w:r w:rsidR="005432B7">
        <w:rPr>
          <w:rFonts w:ascii="Arial" w:hAnsi="Arial" w:cs="Arial"/>
          <w:sz w:val="24"/>
          <w:szCs w:val="24"/>
        </w:rPr>
        <w:t xml:space="preserve"> instructing attorney</w:t>
      </w:r>
      <w:r w:rsidR="0094755B">
        <w:rPr>
          <w:rFonts w:ascii="Arial" w:hAnsi="Arial" w:cs="Arial"/>
          <w:sz w:val="24"/>
          <w:szCs w:val="24"/>
        </w:rPr>
        <w:t>, Mr Ncube,</w:t>
      </w:r>
      <w:r w:rsidR="005432B7">
        <w:rPr>
          <w:rFonts w:ascii="Arial" w:hAnsi="Arial" w:cs="Arial"/>
          <w:sz w:val="24"/>
          <w:szCs w:val="24"/>
        </w:rPr>
        <w:t xml:space="preserve"> in his accompanying affidavit stated that</w:t>
      </w:r>
      <w:r>
        <w:rPr>
          <w:rFonts w:ascii="Arial" w:hAnsi="Arial" w:cs="Arial"/>
          <w:sz w:val="24"/>
          <w:szCs w:val="24"/>
        </w:rPr>
        <w:t xml:space="preserve"> on</w:t>
      </w:r>
      <w:r w:rsidR="00510CC2">
        <w:rPr>
          <w:rFonts w:ascii="Arial" w:hAnsi="Arial" w:cs="Arial"/>
          <w:sz w:val="24"/>
          <w:szCs w:val="24"/>
        </w:rPr>
        <w:t xml:space="preserve"> </w:t>
      </w:r>
      <w:r w:rsidR="005432B7" w:rsidRPr="006531CE">
        <w:rPr>
          <w:rFonts w:ascii="Arial" w:hAnsi="Arial" w:cs="Arial"/>
          <w:sz w:val="24"/>
          <w:szCs w:val="24"/>
        </w:rPr>
        <w:t>7 F</w:t>
      </w:r>
      <w:r w:rsidR="005432B7">
        <w:rPr>
          <w:rFonts w:ascii="Arial" w:hAnsi="Arial" w:cs="Arial"/>
          <w:sz w:val="24"/>
          <w:szCs w:val="24"/>
        </w:rPr>
        <w:t>ebruary 2020</w:t>
      </w:r>
      <w:r w:rsidR="00E279F2">
        <w:rPr>
          <w:rFonts w:ascii="Arial" w:hAnsi="Arial" w:cs="Arial"/>
          <w:sz w:val="24"/>
          <w:szCs w:val="24"/>
        </w:rPr>
        <w:t>,</w:t>
      </w:r>
      <w:r w:rsidR="005432B7">
        <w:rPr>
          <w:rFonts w:ascii="Arial" w:hAnsi="Arial" w:cs="Arial"/>
          <w:sz w:val="24"/>
          <w:szCs w:val="24"/>
        </w:rPr>
        <w:t xml:space="preserve"> when he consulted with appellant’s </w:t>
      </w:r>
      <w:r w:rsidR="00AF688C">
        <w:rPr>
          <w:rFonts w:ascii="Arial" w:hAnsi="Arial" w:cs="Arial"/>
          <w:sz w:val="24"/>
          <w:szCs w:val="24"/>
        </w:rPr>
        <w:t xml:space="preserve">instructed </w:t>
      </w:r>
      <w:r w:rsidR="005432B7">
        <w:rPr>
          <w:rFonts w:ascii="Arial" w:hAnsi="Arial" w:cs="Arial"/>
          <w:sz w:val="24"/>
          <w:szCs w:val="24"/>
        </w:rPr>
        <w:t>legal practitioner</w:t>
      </w:r>
      <w:r w:rsidR="00E279F2">
        <w:rPr>
          <w:rFonts w:ascii="Arial" w:hAnsi="Arial" w:cs="Arial"/>
          <w:sz w:val="24"/>
          <w:szCs w:val="24"/>
        </w:rPr>
        <w:t>,</w:t>
      </w:r>
      <w:r w:rsidR="005432B7">
        <w:rPr>
          <w:rFonts w:ascii="Arial" w:hAnsi="Arial" w:cs="Arial"/>
          <w:sz w:val="24"/>
          <w:szCs w:val="24"/>
        </w:rPr>
        <w:t xml:space="preserve"> his attention was drawn to 12 pages of the record which were missing. He explained that the missing documents are contained in a separate exhibits</w:t>
      </w:r>
      <w:r w:rsidR="00E279F2">
        <w:rPr>
          <w:rFonts w:ascii="Arial" w:hAnsi="Arial" w:cs="Arial"/>
          <w:sz w:val="24"/>
          <w:szCs w:val="24"/>
        </w:rPr>
        <w:t>’</w:t>
      </w:r>
      <w:r w:rsidR="005432B7">
        <w:rPr>
          <w:rFonts w:ascii="Arial" w:hAnsi="Arial" w:cs="Arial"/>
          <w:sz w:val="24"/>
          <w:szCs w:val="24"/>
        </w:rPr>
        <w:t xml:space="preserve"> </w:t>
      </w:r>
      <w:r w:rsidR="00CE2AEC">
        <w:rPr>
          <w:rFonts w:ascii="Arial" w:hAnsi="Arial" w:cs="Arial"/>
          <w:sz w:val="24"/>
          <w:szCs w:val="24"/>
        </w:rPr>
        <w:t>volume</w:t>
      </w:r>
      <w:r w:rsidR="005432B7">
        <w:rPr>
          <w:rFonts w:ascii="Arial" w:hAnsi="Arial" w:cs="Arial"/>
          <w:sz w:val="24"/>
          <w:szCs w:val="24"/>
        </w:rPr>
        <w:t xml:space="preserve"> which was not in his possession and had inadvertently not been filed as part of the appeal record. He stated that the appeal is of considerable importance to the parties and indeed the public and that the </w:t>
      </w:r>
      <w:r w:rsidR="00BD3EB0">
        <w:rPr>
          <w:rFonts w:ascii="Arial" w:hAnsi="Arial" w:cs="Arial"/>
          <w:sz w:val="24"/>
          <w:szCs w:val="24"/>
        </w:rPr>
        <w:t xml:space="preserve">first </w:t>
      </w:r>
      <w:r w:rsidR="005432B7">
        <w:rPr>
          <w:rFonts w:ascii="Arial" w:hAnsi="Arial" w:cs="Arial"/>
          <w:sz w:val="24"/>
          <w:szCs w:val="24"/>
        </w:rPr>
        <w:t xml:space="preserve">respondent would not be materially prejudiced by the oversight. </w:t>
      </w:r>
      <w:r w:rsidR="005432B7" w:rsidRPr="006531CE">
        <w:rPr>
          <w:rFonts w:ascii="Arial" w:hAnsi="Arial" w:cs="Arial"/>
          <w:sz w:val="24"/>
          <w:szCs w:val="24"/>
        </w:rPr>
        <w:t xml:space="preserve">It was alleged that during a meeting with the legal practitioner of the </w:t>
      </w:r>
      <w:r w:rsidR="00BD3EB0">
        <w:rPr>
          <w:rFonts w:ascii="Arial" w:hAnsi="Arial" w:cs="Arial"/>
          <w:sz w:val="24"/>
          <w:szCs w:val="24"/>
        </w:rPr>
        <w:t xml:space="preserve">first </w:t>
      </w:r>
      <w:r w:rsidR="005432B7" w:rsidRPr="006531CE">
        <w:rPr>
          <w:rFonts w:ascii="Arial" w:hAnsi="Arial" w:cs="Arial"/>
          <w:sz w:val="24"/>
          <w:szCs w:val="24"/>
        </w:rPr>
        <w:t>respondent,</w:t>
      </w:r>
      <w:r w:rsidR="0094755B" w:rsidRPr="006531CE">
        <w:rPr>
          <w:rFonts w:ascii="Arial" w:hAnsi="Arial" w:cs="Arial"/>
          <w:sz w:val="24"/>
          <w:szCs w:val="24"/>
        </w:rPr>
        <w:t xml:space="preserve"> Mr Beukes</w:t>
      </w:r>
      <w:r w:rsidR="009873FE" w:rsidRPr="006531CE">
        <w:rPr>
          <w:rFonts w:ascii="Arial" w:hAnsi="Arial" w:cs="Arial"/>
          <w:sz w:val="24"/>
          <w:szCs w:val="24"/>
        </w:rPr>
        <w:t xml:space="preserve">, </w:t>
      </w:r>
      <w:r w:rsidR="006531CE" w:rsidRPr="006531CE">
        <w:rPr>
          <w:rFonts w:ascii="Arial" w:hAnsi="Arial" w:cs="Arial"/>
          <w:sz w:val="24"/>
          <w:szCs w:val="24"/>
        </w:rPr>
        <w:t>the latter</w:t>
      </w:r>
      <w:r w:rsidR="006531CE">
        <w:rPr>
          <w:rFonts w:ascii="Arial" w:hAnsi="Arial" w:cs="Arial"/>
          <w:sz w:val="24"/>
          <w:szCs w:val="24"/>
        </w:rPr>
        <w:t xml:space="preserve"> h</w:t>
      </w:r>
      <w:r w:rsidR="005432B7">
        <w:rPr>
          <w:rFonts w:ascii="Arial" w:hAnsi="Arial" w:cs="Arial"/>
          <w:sz w:val="24"/>
          <w:szCs w:val="24"/>
        </w:rPr>
        <w:t xml:space="preserve">ad no objection to the filing of the missing </w:t>
      </w:r>
      <w:r w:rsidR="005432B7">
        <w:rPr>
          <w:rFonts w:ascii="Arial" w:hAnsi="Arial" w:cs="Arial"/>
          <w:sz w:val="24"/>
          <w:szCs w:val="24"/>
        </w:rPr>
        <w:lastRenderedPageBreak/>
        <w:t>exhibits</w:t>
      </w:r>
      <w:r w:rsidR="00E279F2">
        <w:rPr>
          <w:rFonts w:ascii="Arial" w:hAnsi="Arial" w:cs="Arial"/>
          <w:sz w:val="24"/>
          <w:szCs w:val="24"/>
        </w:rPr>
        <w:t>’</w:t>
      </w:r>
      <w:r w:rsidR="005432B7">
        <w:rPr>
          <w:rFonts w:ascii="Arial" w:hAnsi="Arial" w:cs="Arial"/>
          <w:sz w:val="24"/>
          <w:szCs w:val="24"/>
        </w:rPr>
        <w:t xml:space="preserve"> </w:t>
      </w:r>
      <w:r w:rsidR="008D0107">
        <w:rPr>
          <w:rFonts w:ascii="Arial" w:hAnsi="Arial" w:cs="Arial"/>
          <w:sz w:val="24"/>
          <w:szCs w:val="24"/>
        </w:rPr>
        <w:t>volume</w:t>
      </w:r>
      <w:r w:rsidR="005432B7">
        <w:rPr>
          <w:rFonts w:ascii="Arial" w:hAnsi="Arial" w:cs="Arial"/>
          <w:sz w:val="24"/>
          <w:szCs w:val="24"/>
        </w:rPr>
        <w:t xml:space="preserve"> and the annexures. </w:t>
      </w:r>
      <w:r w:rsidR="0094755B">
        <w:rPr>
          <w:rFonts w:ascii="Arial" w:hAnsi="Arial" w:cs="Arial"/>
          <w:sz w:val="24"/>
          <w:szCs w:val="24"/>
        </w:rPr>
        <w:t>Mr Ncube</w:t>
      </w:r>
      <w:r w:rsidR="005432B7">
        <w:rPr>
          <w:rFonts w:ascii="Arial" w:hAnsi="Arial" w:cs="Arial"/>
          <w:sz w:val="24"/>
          <w:szCs w:val="24"/>
        </w:rPr>
        <w:t xml:space="preserve"> apologised for the oversight and for any inconvenience caused by the oversight. </w:t>
      </w:r>
    </w:p>
    <w:p w:rsidR="00087B7A" w:rsidRDefault="00087B7A" w:rsidP="00087B7A">
      <w:pPr>
        <w:pStyle w:val="ListParagraph"/>
        <w:spacing w:after="0" w:line="480" w:lineRule="auto"/>
        <w:rPr>
          <w:rFonts w:ascii="Arial" w:hAnsi="Arial" w:cs="Arial"/>
          <w:sz w:val="24"/>
          <w:szCs w:val="24"/>
        </w:rPr>
      </w:pPr>
    </w:p>
    <w:p w:rsidR="00087B7A" w:rsidRDefault="00087B7A" w:rsidP="00087B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Secondly, appellant sought an order granting </w:t>
      </w:r>
      <w:r w:rsidR="00473997">
        <w:rPr>
          <w:rFonts w:ascii="Arial" w:hAnsi="Arial" w:cs="Arial"/>
          <w:sz w:val="24"/>
          <w:szCs w:val="24"/>
        </w:rPr>
        <w:t>it</w:t>
      </w:r>
      <w:r>
        <w:rPr>
          <w:rFonts w:ascii="Arial" w:hAnsi="Arial" w:cs="Arial"/>
          <w:sz w:val="24"/>
          <w:szCs w:val="24"/>
        </w:rPr>
        <w:t xml:space="preserve"> leave to file the application for leave to appeal dated 8 March 2018 and the notic</w:t>
      </w:r>
      <w:r w:rsidR="00473997">
        <w:rPr>
          <w:rFonts w:ascii="Arial" w:hAnsi="Arial" w:cs="Arial"/>
          <w:sz w:val="24"/>
          <w:szCs w:val="24"/>
        </w:rPr>
        <w:t xml:space="preserve">e to oppose dated </w:t>
      </w:r>
      <w:r>
        <w:rPr>
          <w:rFonts w:ascii="Arial" w:hAnsi="Arial" w:cs="Arial"/>
          <w:sz w:val="24"/>
          <w:szCs w:val="24"/>
        </w:rPr>
        <w:t>19 March 2018.</w:t>
      </w:r>
    </w:p>
    <w:p w:rsidR="00087B7A" w:rsidRDefault="00087B7A" w:rsidP="00087B7A">
      <w:pPr>
        <w:pStyle w:val="ListParagraph"/>
        <w:spacing w:after="0" w:line="480" w:lineRule="auto"/>
        <w:rPr>
          <w:rFonts w:ascii="Arial" w:hAnsi="Arial" w:cs="Arial"/>
          <w:sz w:val="24"/>
          <w:szCs w:val="24"/>
        </w:rPr>
      </w:pPr>
    </w:p>
    <w:p w:rsidR="00087B7A" w:rsidRPr="006531CE" w:rsidRDefault="0094755B" w:rsidP="00087B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Ncube</w:t>
      </w:r>
      <w:r w:rsidR="00510CC2">
        <w:rPr>
          <w:rFonts w:ascii="Arial" w:hAnsi="Arial" w:cs="Arial"/>
          <w:sz w:val="24"/>
          <w:szCs w:val="24"/>
        </w:rPr>
        <w:t xml:space="preserve"> explained in his aff</w:t>
      </w:r>
      <w:r>
        <w:rPr>
          <w:rFonts w:ascii="Arial" w:hAnsi="Arial" w:cs="Arial"/>
          <w:sz w:val="24"/>
          <w:szCs w:val="24"/>
        </w:rPr>
        <w:t xml:space="preserve">idavit that on </w:t>
      </w:r>
      <w:r w:rsidR="00510CC2">
        <w:rPr>
          <w:rFonts w:ascii="Arial" w:hAnsi="Arial" w:cs="Arial"/>
          <w:sz w:val="24"/>
          <w:szCs w:val="24"/>
        </w:rPr>
        <w:t>7 February 2020 during his consultation with the appellant’s instruct</w:t>
      </w:r>
      <w:r>
        <w:rPr>
          <w:rFonts w:ascii="Arial" w:hAnsi="Arial" w:cs="Arial"/>
          <w:sz w:val="24"/>
          <w:szCs w:val="24"/>
        </w:rPr>
        <w:t>ed</w:t>
      </w:r>
      <w:r w:rsidR="00510CC2">
        <w:rPr>
          <w:rFonts w:ascii="Arial" w:hAnsi="Arial" w:cs="Arial"/>
          <w:sz w:val="24"/>
          <w:szCs w:val="24"/>
        </w:rPr>
        <w:t xml:space="preserve"> legal practitioner, the exclusion of these pages w</w:t>
      </w:r>
      <w:r w:rsidR="00EA0CBF">
        <w:rPr>
          <w:rFonts w:ascii="Arial" w:hAnsi="Arial" w:cs="Arial"/>
          <w:sz w:val="24"/>
          <w:szCs w:val="24"/>
        </w:rPr>
        <w:t xml:space="preserve">ere </w:t>
      </w:r>
      <w:r w:rsidR="00510CC2">
        <w:rPr>
          <w:rFonts w:ascii="Arial" w:hAnsi="Arial" w:cs="Arial"/>
          <w:sz w:val="24"/>
          <w:szCs w:val="24"/>
        </w:rPr>
        <w:t>drawn to his attention</w:t>
      </w:r>
      <w:r>
        <w:rPr>
          <w:rFonts w:ascii="Arial" w:hAnsi="Arial" w:cs="Arial"/>
          <w:sz w:val="24"/>
          <w:szCs w:val="24"/>
        </w:rPr>
        <w:t xml:space="preserve">. </w:t>
      </w:r>
      <w:r w:rsidRPr="006531CE">
        <w:rPr>
          <w:rFonts w:ascii="Arial" w:hAnsi="Arial" w:cs="Arial"/>
          <w:sz w:val="24"/>
          <w:szCs w:val="24"/>
        </w:rPr>
        <w:t xml:space="preserve">On </w:t>
      </w:r>
      <w:r w:rsidR="00510CC2" w:rsidRPr="006531CE">
        <w:rPr>
          <w:rFonts w:ascii="Arial" w:hAnsi="Arial" w:cs="Arial"/>
          <w:sz w:val="24"/>
          <w:szCs w:val="24"/>
        </w:rPr>
        <w:t>10 February 2020</w:t>
      </w:r>
      <w:r w:rsidR="00952B65" w:rsidRPr="006531CE">
        <w:rPr>
          <w:rFonts w:ascii="Arial" w:hAnsi="Arial" w:cs="Arial"/>
          <w:sz w:val="24"/>
          <w:szCs w:val="24"/>
        </w:rPr>
        <w:t xml:space="preserve">, during his meeting with            </w:t>
      </w:r>
      <w:r w:rsidRPr="006531CE">
        <w:rPr>
          <w:rFonts w:ascii="Arial" w:hAnsi="Arial" w:cs="Arial"/>
          <w:sz w:val="24"/>
          <w:szCs w:val="24"/>
        </w:rPr>
        <w:t>Mr Beukes</w:t>
      </w:r>
      <w:r w:rsidR="00952B65" w:rsidRPr="006531CE">
        <w:rPr>
          <w:rFonts w:ascii="Arial" w:hAnsi="Arial" w:cs="Arial"/>
          <w:sz w:val="24"/>
          <w:szCs w:val="24"/>
        </w:rPr>
        <w:t>,</w:t>
      </w:r>
      <w:r w:rsidR="00642AB9" w:rsidRPr="006531CE">
        <w:rPr>
          <w:rFonts w:ascii="Arial" w:hAnsi="Arial" w:cs="Arial"/>
          <w:sz w:val="24"/>
          <w:szCs w:val="24"/>
        </w:rPr>
        <w:t xml:space="preserve"> </w:t>
      </w:r>
      <w:r w:rsidR="006531CE" w:rsidRPr="006531CE">
        <w:rPr>
          <w:rFonts w:ascii="Arial" w:hAnsi="Arial" w:cs="Arial"/>
          <w:sz w:val="24"/>
          <w:szCs w:val="24"/>
        </w:rPr>
        <w:t>the latter</w:t>
      </w:r>
      <w:r w:rsidR="00952B65" w:rsidRPr="006531CE">
        <w:rPr>
          <w:rFonts w:ascii="Arial" w:hAnsi="Arial" w:cs="Arial"/>
          <w:sz w:val="24"/>
          <w:szCs w:val="24"/>
        </w:rPr>
        <w:t>,</w:t>
      </w:r>
      <w:r w:rsidRPr="006531CE">
        <w:rPr>
          <w:rFonts w:ascii="Arial" w:hAnsi="Arial" w:cs="Arial"/>
          <w:sz w:val="24"/>
          <w:szCs w:val="24"/>
        </w:rPr>
        <w:t xml:space="preserve"> </w:t>
      </w:r>
      <w:r w:rsidR="00510CC2" w:rsidRPr="006531CE">
        <w:rPr>
          <w:rFonts w:ascii="Arial" w:hAnsi="Arial" w:cs="Arial"/>
          <w:sz w:val="24"/>
          <w:szCs w:val="24"/>
        </w:rPr>
        <w:t>had no objection to the filing of t</w:t>
      </w:r>
      <w:r w:rsidRPr="006531CE">
        <w:rPr>
          <w:rFonts w:ascii="Arial" w:hAnsi="Arial" w:cs="Arial"/>
          <w:sz w:val="24"/>
          <w:szCs w:val="24"/>
        </w:rPr>
        <w:t>he application for condonation for failing to file the application for leave to appeal and notice to oppose the application for leave to appeal.</w:t>
      </w:r>
    </w:p>
    <w:p w:rsidR="00087B7A" w:rsidRDefault="00087B7A" w:rsidP="00087B7A">
      <w:pPr>
        <w:pStyle w:val="ListParagraph"/>
        <w:spacing w:after="0" w:line="480" w:lineRule="auto"/>
        <w:rPr>
          <w:rFonts w:ascii="Arial" w:hAnsi="Arial" w:cs="Arial"/>
          <w:sz w:val="24"/>
          <w:szCs w:val="24"/>
        </w:rPr>
      </w:pPr>
    </w:p>
    <w:p w:rsidR="00087B7A" w:rsidRDefault="00510CC2" w:rsidP="00087B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Thirdly, the appellant sought an order granting the appellant leave to file page 33, Exhibit F, which was omi</w:t>
      </w:r>
      <w:r w:rsidR="00642AB9">
        <w:rPr>
          <w:rFonts w:ascii="Arial" w:hAnsi="Arial" w:cs="Arial"/>
          <w:sz w:val="24"/>
          <w:szCs w:val="24"/>
        </w:rPr>
        <w:t>tted from the exhibits</w:t>
      </w:r>
      <w:r w:rsidR="00E279F2">
        <w:rPr>
          <w:rFonts w:ascii="Arial" w:hAnsi="Arial" w:cs="Arial"/>
          <w:sz w:val="24"/>
          <w:szCs w:val="24"/>
        </w:rPr>
        <w:t>’</w:t>
      </w:r>
      <w:r w:rsidR="00642AB9">
        <w:rPr>
          <w:rFonts w:ascii="Arial" w:hAnsi="Arial" w:cs="Arial"/>
          <w:sz w:val="24"/>
          <w:szCs w:val="24"/>
        </w:rPr>
        <w:t xml:space="preserve"> </w:t>
      </w:r>
      <w:r w:rsidR="008D0107">
        <w:rPr>
          <w:rFonts w:ascii="Arial" w:hAnsi="Arial" w:cs="Arial"/>
          <w:sz w:val="24"/>
          <w:szCs w:val="24"/>
        </w:rPr>
        <w:t>volume</w:t>
      </w:r>
      <w:r w:rsidR="00642AB9">
        <w:rPr>
          <w:rFonts w:ascii="Arial" w:hAnsi="Arial" w:cs="Arial"/>
          <w:sz w:val="24"/>
          <w:szCs w:val="24"/>
        </w:rPr>
        <w:t>. Mr Ncube</w:t>
      </w:r>
      <w:r>
        <w:rPr>
          <w:rFonts w:ascii="Arial" w:hAnsi="Arial" w:cs="Arial"/>
          <w:sz w:val="24"/>
          <w:szCs w:val="24"/>
        </w:rPr>
        <w:t xml:space="preserve"> in his affidavit stated that on </w:t>
      </w:r>
      <w:r w:rsidR="00E01D1D">
        <w:rPr>
          <w:rFonts w:ascii="Arial" w:hAnsi="Arial" w:cs="Arial"/>
          <w:sz w:val="24"/>
          <w:szCs w:val="24"/>
        </w:rPr>
        <w:t xml:space="preserve">18 March 2020 </w:t>
      </w:r>
      <w:r w:rsidR="00642AB9">
        <w:rPr>
          <w:rFonts w:ascii="Arial" w:hAnsi="Arial" w:cs="Arial"/>
          <w:sz w:val="24"/>
          <w:szCs w:val="24"/>
        </w:rPr>
        <w:t>Mr Beukes</w:t>
      </w:r>
      <w:r w:rsidR="00E01D1D">
        <w:rPr>
          <w:rFonts w:ascii="Arial" w:hAnsi="Arial" w:cs="Arial"/>
          <w:sz w:val="24"/>
          <w:szCs w:val="24"/>
        </w:rPr>
        <w:t xml:space="preserve"> advised him that page 33 (Exhibit F) was missing from the record and</w:t>
      </w:r>
      <w:r w:rsidR="009873FE">
        <w:rPr>
          <w:rFonts w:ascii="Arial" w:hAnsi="Arial" w:cs="Arial"/>
          <w:sz w:val="24"/>
          <w:szCs w:val="24"/>
        </w:rPr>
        <w:t xml:space="preserve"> that this exhibit would be cit</w:t>
      </w:r>
      <w:r w:rsidR="00E01D1D">
        <w:rPr>
          <w:rFonts w:ascii="Arial" w:hAnsi="Arial" w:cs="Arial"/>
          <w:sz w:val="24"/>
          <w:szCs w:val="24"/>
        </w:rPr>
        <w:t xml:space="preserve">ed in their heads of argument. </w:t>
      </w:r>
      <w:r w:rsidR="00642AB9">
        <w:rPr>
          <w:rFonts w:ascii="Arial" w:hAnsi="Arial" w:cs="Arial"/>
          <w:sz w:val="24"/>
          <w:szCs w:val="24"/>
        </w:rPr>
        <w:t>Mr Ncube</w:t>
      </w:r>
      <w:r w:rsidR="00E01D1D">
        <w:rPr>
          <w:rFonts w:ascii="Arial" w:hAnsi="Arial" w:cs="Arial"/>
          <w:sz w:val="24"/>
          <w:szCs w:val="24"/>
        </w:rPr>
        <w:t xml:space="preserve"> stated that this was another unfortunate and accidental omission for which he took full responsibility for, apologised for the error and inconvenience caused to members of this court. He stated that in the circumstances, the interests of justice favour the condonation of this oversight. </w:t>
      </w:r>
    </w:p>
    <w:p w:rsidR="00087B7A" w:rsidRDefault="00087B7A" w:rsidP="00087B7A">
      <w:pPr>
        <w:pStyle w:val="ListParagraph"/>
        <w:spacing w:after="0" w:line="480" w:lineRule="auto"/>
        <w:rPr>
          <w:rFonts w:ascii="Arial" w:hAnsi="Arial" w:cs="Arial"/>
          <w:sz w:val="24"/>
          <w:szCs w:val="24"/>
        </w:rPr>
      </w:pPr>
    </w:p>
    <w:p w:rsidR="00087B7A" w:rsidRDefault="00E01D1D" w:rsidP="00087B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w:t>
      </w:r>
      <w:r w:rsidR="00AF688C">
        <w:rPr>
          <w:rFonts w:ascii="Arial" w:hAnsi="Arial" w:cs="Arial"/>
          <w:sz w:val="24"/>
          <w:szCs w:val="24"/>
        </w:rPr>
        <w:t>ourthly</w:t>
      </w:r>
      <w:r>
        <w:rPr>
          <w:rFonts w:ascii="Arial" w:hAnsi="Arial" w:cs="Arial"/>
          <w:sz w:val="24"/>
          <w:szCs w:val="24"/>
        </w:rPr>
        <w:t xml:space="preserve">, the appellant sought an order granting </w:t>
      </w:r>
      <w:r w:rsidR="00473997">
        <w:rPr>
          <w:rFonts w:ascii="Arial" w:hAnsi="Arial" w:cs="Arial"/>
          <w:sz w:val="24"/>
          <w:szCs w:val="24"/>
        </w:rPr>
        <w:t>it</w:t>
      </w:r>
      <w:r>
        <w:rPr>
          <w:rFonts w:ascii="Arial" w:hAnsi="Arial" w:cs="Arial"/>
          <w:sz w:val="24"/>
          <w:szCs w:val="24"/>
        </w:rPr>
        <w:t xml:space="preserve"> leave to reinstate the appeal. </w:t>
      </w:r>
      <w:r w:rsidR="00642AB9">
        <w:rPr>
          <w:rFonts w:ascii="Arial" w:hAnsi="Arial" w:cs="Arial"/>
          <w:sz w:val="24"/>
          <w:szCs w:val="24"/>
        </w:rPr>
        <w:t>Mr Ncube</w:t>
      </w:r>
      <w:r>
        <w:rPr>
          <w:rFonts w:ascii="Arial" w:hAnsi="Arial" w:cs="Arial"/>
          <w:sz w:val="24"/>
          <w:szCs w:val="24"/>
        </w:rPr>
        <w:t xml:space="preserve"> explained</w:t>
      </w:r>
      <w:r w:rsidR="00952B65">
        <w:rPr>
          <w:rFonts w:ascii="Arial" w:hAnsi="Arial" w:cs="Arial"/>
          <w:sz w:val="24"/>
          <w:szCs w:val="24"/>
        </w:rPr>
        <w:t xml:space="preserve"> in his accompanying affidavit </w:t>
      </w:r>
      <w:r>
        <w:rPr>
          <w:rFonts w:ascii="Arial" w:hAnsi="Arial" w:cs="Arial"/>
          <w:sz w:val="24"/>
          <w:szCs w:val="24"/>
        </w:rPr>
        <w:t xml:space="preserve">that after he had filed the application </w:t>
      </w:r>
      <w:r>
        <w:rPr>
          <w:rFonts w:ascii="Arial" w:hAnsi="Arial" w:cs="Arial"/>
          <w:sz w:val="24"/>
          <w:szCs w:val="24"/>
        </w:rPr>
        <w:lastRenderedPageBreak/>
        <w:t>for condonation in respect of the exhibits</w:t>
      </w:r>
      <w:r w:rsidR="00E279F2">
        <w:rPr>
          <w:rFonts w:ascii="Arial" w:hAnsi="Arial" w:cs="Arial"/>
          <w:sz w:val="24"/>
          <w:szCs w:val="24"/>
        </w:rPr>
        <w:t>’</w:t>
      </w:r>
      <w:r>
        <w:rPr>
          <w:rFonts w:ascii="Arial" w:hAnsi="Arial" w:cs="Arial"/>
          <w:sz w:val="24"/>
          <w:szCs w:val="24"/>
        </w:rPr>
        <w:t xml:space="preserve"> </w:t>
      </w:r>
      <w:r w:rsidR="008D0107">
        <w:rPr>
          <w:rFonts w:ascii="Arial" w:hAnsi="Arial" w:cs="Arial"/>
          <w:sz w:val="24"/>
          <w:szCs w:val="24"/>
        </w:rPr>
        <w:t>volume</w:t>
      </w:r>
      <w:r>
        <w:rPr>
          <w:rFonts w:ascii="Arial" w:hAnsi="Arial" w:cs="Arial"/>
          <w:sz w:val="24"/>
          <w:szCs w:val="24"/>
        </w:rPr>
        <w:t xml:space="preserve"> in February 2020 he was of the opinion that the defect in the record would be cured if an order was made giving leave to file the exhibits</w:t>
      </w:r>
      <w:r w:rsidR="00E279F2">
        <w:rPr>
          <w:rFonts w:ascii="Arial" w:hAnsi="Arial" w:cs="Arial"/>
          <w:sz w:val="24"/>
          <w:szCs w:val="24"/>
        </w:rPr>
        <w:t>’</w:t>
      </w:r>
      <w:r>
        <w:rPr>
          <w:rFonts w:ascii="Arial" w:hAnsi="Arial" w:cs="Arial"/>
          <w:sz w:val="24"/>
          <w:szCs w:val="24"/>
        </w:rPr>
        <w:t xml:space="preserve"> </w:t>
      </w:r>
      <w:r w:rsidR="008D0107">
        <w:rPr>
          <w:rFonts w:ascii="Arial" w:hAnsi="Arial" w:cs="Arial"/>
          <w:sz w:val="24"/>
          <w:szCs w:val="24"/>
        </w:rPr>
        <w:t>volume</w:t>
      </w:r>
      <w:r>
        <w:rPr>
          <w:rFonts w:ascii="Arial" w:hAnsi="Arial" w:cs="Arial"/>
          <w:sz w:val="24"/>
          <w:szCs w:val="24"/>
        </w:rPr>
        <w:t xml:space="preserve">. </w:t>
      </w:r>
    </w:p>
    <w:p w:rsidR="00842F4A" w:rsidRDefault="00842F4A" w:rsidP="00510CC2">
      <w:pPr>
        <w:pStyle w:val="NoSpacing"/>
        <w:spacing w:line="480" w:lineRule="auto"/>
        <w:ind w:left="720"/>
        <w:jc w:val="both"/>
        <w:rPr>
          <w:rFonts w:ascii="Arial" w:hAnsi="Arial" w:cs="Arial"/>
          <w:sz w:val="24"/>
          <w:szCs w:val="24"/>
        </w:rPr>
      </w:pPr>
    </w:p>
    <w:p w:rsidR="00510CC2" w:rsidRDefault="001435C8" w:rsidP="00510CC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has howeve</w:t>
      </w:r>
      <w:r w:rsidR="00D164F6">
        <w:rPr>
          <w:rFonts w:ascii="Arial" w:hAnsi="Arial" w:cs="Arial"/>
          <w:sz w:val="24"/>
          <w:szCs w:val="24"/>
        </w:rPr>
        <w:t xml:space="preserve">r noted that the </w:t>
      </w:r>
      <w:r w:rsidR="00BD3EB0">
        <w:rPr>
          <w:rFonts w:ascii="Arial" w:hAnsi="Arial" w:cs="Arial"/>
          <w:sz w:val="24"/>
          <w:szCs w:val="24"/>
        </w:rPr>
        <w:t xml:space="preserve">first </w:t>
      </w:r>
      <w:r w:rsidR="00D164F6">
        <w:rPr>
          <w:rFonts w:ascii="Arial" w:hAnsi="Arial" w:cs="Arial"/>
          <w:sz w:val="24"/>
          <w:szCs w:val="24"/>
        </w:rPr>
        <w:t>respondent</w:t>
      </w:r>
      <w:r w:rsidR="00952B65">
        <w:rPr>
          <w:rFonts w:ascii="Arial" w:hAnsi="Arial" w:cs="Arial"/>
          <w:sz w:val="24"/>
          <w:szCs w:val="24"/>
        </w:rPr>
        <w:t xml:space="preserve"> in its heads of argument</w:t>
      </w:r>
      <w:r>
        <w:rPr>
          <w:rFonts w:ascii="Arial" w:hAnsi="Arial" w:cs="Arial"/>
          <w:sz w:val="24"/>
          <w:szCs w:val="24"/>
        </w:rPr>
        <w:t xml:space="preserve"> </w:t>
      </w:r>
      <w:r w:rsidR="00D164F6">
        <w:rPr>
          <w:rFonts w:ascii="Arial" w:hAnsi="Arial" w:cs="Arial"/>
          <w:sz w:val="24"/>
          <w:szCs w:val="24"/>
        </w:rPr>
        <w:t xml:space="preserve">has </w:t>
      </w:r>
      <w:r>
        <w:rPr>
          <w:rFonts w:ascii="Arial" w:hAnsi="Arial" w:cs="Arial"/>
          <w:sz w:val="24"/>
          <w:szCs w:val="24"/>
        </w:rPr>
        <w:t>taken the position that the appeal has lapsed because the exhibits</w:t>
      </w:r>
      <w:r w:rsidR="00FD17CC">
        <w:rPr>
          <w:rFonts w:ascii="Arial" w:hAnsi="Arial" w:cs="Arial"/>
          <w:sz w:val="24"/>
          <w:szCs w:val="24"/>
        </w:rPr>
        <w:t>’</w:t>
      </w:r>
      <w:r>
        <w:rPr>
          <w:rFonts w:ascii="Arial" w:hAnsi="Arial" w:cs="Arial"/>
          <w:sz w:val="24"/>
          <w:szCs w:val="24"/>
        </w:rPr>
        <w:t xml:space="preserve"> volume was not separately certified by the registrar of the court </w:t>
      </w:r>
      <w:r w:rsidRPr="001435C8">
        <w:rPr>
          <w:rFonts w:ascii="Arial" w:hAnsi="Arial" w:cs="Arial"/>
          <w:i/>
          <w:sz w:val="24"/>
          <w:szCs w:val="24"/>
        </w:rPr>
        <w:t>a quo</w:t>
      </w:r>
      <w:r>
        <w:rPr>
          <w:rFonts w:ascii="Arial" w:hAnsi="Arial" w:cs="Arial"/>
          <w:sz w:val="24"/>
          <w:szCs w:val="24"/>
        </w:rPr>
        <w:t>. He stated that the</w:t>
      </w:r>
      <w:r w:rsidR="00BD3EB0">
        <w:rPr>
          <w:rFonts w:ascii="Arial" w:hAnsi="Arial" w:cs="Arial"/>
          <w:sz w:val="24"/>
          <w:szCs w:val="24"/>
        </w:rPr>
        <w:t xml:space="preserve"> first </w:t>
      </w:r>
      <w:r>
        <w:rPr>
          <w:rFonts w:ascii="Arial" w:hAnsi="Arial" w:cs="Arial"/>
          <w:sz w:val="24"/>
          <w:szCs w:val="24"/>
        </w:rPr>
        <w:t>respondent does not contend that the exhibits</w:t>
      </w:r>
      <w:r w:rsidR="00E279F2">
        <w:rPr>
          <w:rFonts w:ascii="Arial" w:hAnsi="Arial" w:cs="Arial"/>
          <w:sz w:val="24"/>
          <w:szCs w:val="24"/>
        </w:rPr>
        <w:t>’</w:t>
      </w:r>
      <w:r>
        <w:rPr>
          <w:rFonts w:ascii="Arial" w:hAnsi="Arial" w:cs="Arial"/>
          <w:sz w:val="24"/>
          <w:szCs w:val="24"/>
        </w:rPr>
        <w:t xml:space="preserve"> volume is not the record of the exhibits which were before the court </w:t>
      </w:r>
      <w:r w:rsidRPr="001435C8">
        <w:rPr>
          <w:rFonts w:ascii="Arial" w:hAnsi="Arial" w:cs="Arial"/>
          <w:i/>
          <w:sz w:val="24"/>
          <w:szCs w:val="24"/>
        </w:rPr>
        <w:t>a quo</w:t>
      </w:r>
      <w:r>
        <w:rPr>
          <w:rFonts w:ascii="Arial" w:hAnsi="Arial" w:cs="Arial"/>
          <w:sz w:val="24"/>
          <w:szCs w:val="24"/>
        </w:rPr>
        <w:t xml:space="preserve">. </w:t>
      </w:r>
    </w:p>
    <w:p w:rsidR="00510CC2" w:rsidRDefault="00510CC2" w:rsidP="001435C8">
      <w:pPr>
        <w:pStyle w:val="NoSpacing"/>
        <w:spacing w:line="480" w:lineRule="auto"/>
        <w:jc w:val="both"/>
        <w:rPr>
          <w:rFonts w:ascii="Arial" w:hAnsi="Arial" w:cs="Arial"/>
          <w:sz w:val="24"/>
          <w:szCs w:val="24"/>
        </w:rPr>
      </w:pPr>
    </w:p>
    <w:p w:rsidR="001435C8" w:rsidRDefault="00345B87"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w:t>
      </w:r>
      <w:r w:rsidR="007D20D0">
        <w:rPr>
          <w:rFonts w:ascii="Arial" w:hAnsi="Arial" w:cs="Arial"/>
          <w:sz w:val="24"/>
          <w:szCs w:val="24"/>
        </w:rPr>
        <w:t xml:space="preserve"> alleged</w:t>
      </w:r>
      <w:r>
        <w:rPr>
          <w:rFonts w:ascii="Arial" w:hAnsi="Arial" w:cs="Arial"/>
          <w:sz w:val="24"/>
          <w:szCs w:val="24"/>
        </w:rPr>
        <w:t xml:space="preserve"> by </w:t>
      </w:r>
      <w:r w:rsidR="00642AB9">
        <w:rPr>
          <w:rFonts w:ascii="Arial" w:hAnsi="Arial" w:cs="Arial"/>
          <w:sz w:val="24"/>
          <w:szCs w:val="24"/>
        </w:rPr>
        <w:t>Mr Ncube</w:t>
      </w:r>
      <w:r>
        <w:rPr>
          <w:rFonts w:ascii="Arial" w:hAnsi="Arial" w:cs="Arial"/>
          <w:sz w:val="24"/>
          <w:szCs w:val="24"/>
        </w:rPr>
        <w:t xml:space="preserve"> that prior to filing the various condonation applications, </w:t>
      </w:r>
      <w:r w:rsidR="00642AB9">
        <w:rPr>
          <w:rFonts w:ascii="Arial" w:hAnsi="Arial" w:cs="Arial"/>
          <w:sz w:val="24"/>
          <w:szCs w:val="24"/>
        </w:rPr>
        <w:t>Mr Beukes</w:t>
      </w:r>
      <w:r>
        <w:rPr>
          <w:rFonts w:ascii="Arial" w:hAnsi="Arial" w:cs="Arial"/>
          <w:sz w:val="24"/>
          <w:szCs w:val="24"/>
        </w:rPr>
        <w:t xml:space="preserve"> ‘highlighted’ that he had no objection to the filing of the missing exhibits</w:t>
      </w:r>
      <w:r w:rsidR="00E279F2">
        <w:rPr>
          <w:rFonts w:ascii="Arial" w:hAnsi="Arial" w:cs="Arial"/>
          <w:sz w:val="24"/>
          <w:szCs w:val="24"/>
        </w:rPr>
        <w:t>’</w:t>
      </w:r>
      <w:r>
        <w:rPr>
          <w:rFonts w:ascii="Arial" w:hAnsi="Arial" w:cs="Arial"/>
          <w:sz w:val="24"/>
          <w:szCs w:val="24"/>
        </w:rPr>
        <w:t xml:space="preserve"> </w:t>
      </w:r>
      <w:r w:rsidR="008D0107">
        <w:rPr>
          <w:rFonts w:ascii="Arial" w:hAnsi="Arial" w:cs="Arial"/>
          <w:sz w:val="24"/>
          <w:szCs w:val="24"/>
        </w:rPr>
        <w:t>volume</w:t>
      </w:r>
      <w:r>
        <w:rPr>
          <w:rFonts w:ascii="Arial" w:hAnsi="Arial" w:cs="Arial"/>
          <w:sz w:val="24"/>
          <w:szCs w:val="24"/>
        </w:rPr>
        <w:t xml:space="preserve"> and the annexures and </w:t>
      </w:r>
      <w:r w:rsidR="00642AB9">
        <w:rPr>
          <w:rFonts w:ascii="Arial" w:hAnsi="Arial" w:cs="Arial"/>
          <w:sz w:val="24"/>
          <w:szCs w:val="24"/>
        </w:rPr>
        <w:t xml:space="preserve">he </w:t>
      </w:r>
      <w:r>
        <w:rPr>
          <w:rFonts w:ascii="Arial" w:hAnsi="Arial" w:cs="Arial"/>
          <w:sz w:val="24"/>
          <w:szCs w:val="24"/>
        </w:rPr>
        <w:t xml:space="preserve">was therefore surprised that </w:t>
      </w:r>
      <w:r w:rsidR="00642AB9">
        <w:rPr>
          <w:rFonts w:ascii="Arial" w:hAnsi="Arial" w:cs="Arial"/>
          <w:sz w:val="24"/>
          <w:szCs w:val="24"/>
        </w:rPr>
        <w:t>Mr Beukes</w:t>
      </w:r>
      <w:r>
        <w:rPr>
          <w:rFonts w:ascii="Arial" w:hAnsi="Arial" w:cs="Arial"/>
          <w:sz w:val="24"/>
          <w:szCs w:val="24"/>
        </w:rPr>
        <w:t xml:space="preserve"> had raised the issue in the heads of argument. It was stated by </w:t>
      </w:r>
      <w:r w:rsidR="00642AB9">
        <w:rPr>
          <w:rFonts w:ascii="Arial" w:hAnsi="Arial" w:cs="Arial"/>
          <w:sz w:val="24"/>
          <w:szCs w:val="24"/>
        </w:rPr>
        <w:t>Mr Ncube</w:t>
      </w:r>
      <w:r>
        <w:rPr>
          <w:rFonts w:ascii="Arial" w:hAnsi="Arial" w:cs="Arial"/>
          <w:sz w:val="24"/>
          <w:szCs w:val="24"/>
        </w:rPr>
        <w:t xml:space="preserve"> that this application was brought </w:t>
      </w:r>
      <w:r w:rsidRPr="00345B87">
        <w:rPr>
          <w:rFonts w:ascii="Arial" w:hAnsi="Arial" w:cs="Arial"/>
          <w:i/>
          <w:sz w:val="24"/>
          <w:szCs w:val="24"/>
        </w:rPr>
        <w:t>ex abu</w:t>
      </w:r>
      <w:r w:rsidR="00CE07F3">
        <w:rPr>
          <w:rFonts w:ascii="Arial" w:hAnsi="Arial" w:cs="Arial"/>
          <w:i/>
          <w:sz w:val="24"/>
          <w:szCs w:val="24"/>
        </w:rPr>
        <w:t>n</w:t>
      </w:r>
      <w:r w:rsidRPr="00345B87">
        <w:rPr>
          <w:rFonts w:ascii="Arial" w:hAnsi="Arial" w:cs="Arial"/>
          <w:i/>
          <w:sz w:val="24"/>
          <w:szCs w:val="24"/>
        </w:rPr>
        <w:t>danti cautela</w:t>
      </w:r>
      <w:r>
        <w:rPr>
          <w:rFonts w:ascii="Arial" w:hAnsi="Arial" w:cs="Arial"/>
          <w:sz w:val="24"/>
          <w:szCs w:val="24"/>
        </w:rPr>
        <w:t xml:space="preserve"> and apologised for the oversight and inconvenience it may cause to members of this court.</w:t>
      </w:r>
    </w:p>
    <w:p w:rsidR="001435C8" w:rsidRDefault="001435C8" w:rsidP="001435C8">
      <w:pPr>
        <w:pStyle w:val="NoSpacing"/>
        <w:spacing w:line="480" w:lineRule="auto"/>
        <w:jc w:val="both"/>
        <w:rPr>
          <w:rFonts w:ascii="Arial" w:hAnsi="Arial" w:cs="Arial"/>
          <w:sz w:val="24"/>
          <w:szCs w:val="24"/>
        </w:rPr>
      </w:pPr>
    </w:p>
    <w:p w:rsidR="001435C8" w:rsidRDefault="002A5D65"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respondent opposed the condonation applications. </w:t>
      </w:r>
    </w:p>
    <w:p w:rsidR="001435C8" w:rsidRDefault="001435C8" w:rsidP="001435C8">
      <w:pPr>
        <w:pStyle w:val="NoSpacing"/>
        <w:spacing w:line="480" w:lineRule="auto"/>
        <w:jc w:val="both"/>
        <w:rPr>
          <w:rFonts w:ascii="Arial" w:hAnsi="Arial" w:cs="Arial"/>
          <w:sz w:val="24"/>
          <w:szCs w:val="24"/>
        </w:rPr>
      </w:pPr>
    </w:p>
    <w:p w:rsidR="001435C8" w:rsidRDefault="00642AB9"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Beukes</w:t>
      </w:r>
      <w:r w:rsidR="002A5D65">
        <w:rPr>
          <w:rFonts w:ascii="Arial" w:hAnsi="Arial" w:cs="Arial"/>
          <w:sz w:val="24"/>
          <w:szCs w:val="24"/>
        </w:rPr>
        <w:t xml:space="preserve"> pointed out in his opposing affidavit that first respondent in its heads of argument filed on 19 March 2020 raised the point that the record filed did not comply with rule 11(1)(a) in that the exhibits</w:t>
      </w:r>
      <w:r w:rsidR="00E279F2">
        <w:rPr>
          <w:rFonts w:ascii="Arial" w:hAnsi="Arial" w:cs="Arial"/>
          <w:sz w:val="24"/>
          <w:szCs w:val="24"/>
        </w:rPr>
        <w:t>’</w:t>
      </w:r>
      <w:r w:rsidR="002A5D65">
        <w:rPr>
          <w:rFonts w:ascii="Arial" w:hAnsi="Arial" w:cs="Arial"/>
          <w:sz w:val="24"/>
          <w:szCs w:val="24"/>
        </w:rPr>
        <w:t xml:space="preserve"> volume filed has not be</w:t>
      </w:r>
      <w:r>
        <w:rPr>
          <w:rFonts w:ascii="Arial" w:hAnsi="Arial" w:cs="Arial"/>
          <w:sz w:val="24"/>
          <w:szCs w:val="24"/>
        </w:rPr>
        <w:t xml:space="preserve">en certified as correct by </w:t>
      </w:r>
      <w:r w:rsidR="00B16A2E">
        <w:rPr>
          <w:rFonts w:ascii="Arial" w:hAnsi="Arial" w:cs="Arial"/>
          <w:sz w:val="24"/>
          <w:szCs w:val="24"/>
        </w:rPr>
        <w:t>the r</w:t>
      </w:r>
      <w:r>
        <w:rPr>
          <w:rFonts w:ascii="Arial" w:hAnsi="Arial" w:cs="Arial"/>
          <w:sz w:val="24"/>
          <w:szCs w:val="24"/>
        </w:rPr>
        <w:t>e</w:t>
      </w:r>
      <w:r w:rsidR="00B16A2E">
        <w:rPr>
          <w:rFonts w:ascii="Arial" w:hAnsi="Arial" w:cs="Arial"/>
          <w:sz w:val="24"/>
          <w:szCs w:val="24"/>
        </w:rPr>
        <w:t>gistrar of the c</w:t>
      </w:r>
      <w:r w:rsidR="002A5D65">
        <w:rPr>
          <w:rFonts w:ascii="Arial" w:hAnsi="Arial" w:cs="Arial"/>
          <w:sz w:val="24"/>
          <w:szCs w:val="24"/>
        </w:rPr>
        <w:t xml:space="preserve">ourt </w:t>
      </w:r>
      <w:r w:rsidR="002A5D65" w:rsidRPr="002A5D65">
        <w:rPr>
          <w:rFonts w:ascii="Arial" w:hAnsi="Arial" w:cs="Arial"/>
          <w:i/>
          <w:sz w:val="24"/>
          <w:szCs w:val="24"/>
        </w:rPr>
        <w:t>a quo</w:t>
      </w:r>
      <w:r w:rsidR="002A5D65">
        <w:rPr>
          <w:rFonts w:ascii="Arial" w:hAnsi="Arial" w:cs="Arial"/>
          <w:sz w:val="24"/>
          <w:szCs w:val="24"/>
        </w:rPr>
        <w:t xml:space="preserve"> and that the appellant has not attempted to comply with rule 11(1)(a) nor does it seek condonation for its non-compliance.</w:t>
      </w:r>
    </w:p>
    <w:p w:rsidR="001435C8" w:rsidRDefault="002A5D65"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first respondent in its heads of argument pointed out that the appellant in the first two condonation applications failed to file an application for the reinstatement of the appeal for the late filing of the complete record and that the appeal </w:t>
      </w:r>
      <w:r w:rsidR="00642AB9">
        <w:rPr>
          <w:rFonts w:ascii="Arial" w:hAnsi="Arial" w:cs="Arial"/>
          <w:sz w:val="24"/>
          <w:szCs w:val="24"/>
        </w:rPr>
        <w:t xml:space="preserve">had </w:t>
      </w:r>
      <w:r>
        <w:rPr>
          <w:rFonts w:ascii="Arial" w:hAnsi="Arial" w:cs="Arial"/>
          <w:sz w:val="24"/>
          <w:szCs w:val="24"/>
        </w:rPr>
        <w:t xml:space="preserve">lapsed because of appellant’s failure to file the complete record timeously. </w:t>
      </w:r>
    </w:p>
    <w:p w:rsidR="001435C8" w:rsidRDefault="001435C8" w:rsidP="001435C8">
      <w:pPr>
        <w:pStyle w:val="NoSpacing"/>
        <w:spacing w:line="480" w:lineRule="auto"/>
        <w:jc w:val="both"/>
        <w:rPr>
          <w:rFonts w:ascii="Arial" w:hAnsi="Arial" w:cs="Arial"/>
          <w:sz w:val="24"/>
          <w:szCs w:val="24"/>
        </w:rPr>
      </w:pPr>
    </w:p>
    <w:p w:rsidR="001435C8" w:rsidRPr="00D07912" w:rsidRDefault="00642AB9" w:rsidP="001435C8">
      <w:pPr>
        <w:pStyle w:val="NoSpacing"/>
        <w:numPr>
          <w:ilvl w:val="0"/>
          <w:numId w:val="1"/>
        </w:numPr>
        <w:spacing w:line="480" w:lineRule="auto"/>
        <w:ind w:left="0" w:firstLine="0"/>
        <w:jc w:val="both"/>
        <w:rPr>
          <w:rFonts w:ascii="Arial" w:hAnsi="Arial" w:cs="Arial"/>
          <w:sz w:val="24"/>
          <w:szCs w:val="24"/>
        </w:rPr>
      </w:pPr>
      <w:r w:rsidRPr="00D07912">
        <w:rPr>
          <w:rFonts w:ascii="Arial" w:hAnsi="Arial" w:cs="Arial"/>
          <w:sz w:val="24"/>
          <w:szCs w:val="24"/>
        </w:rPr>
        <w:t>Mr Beukes stated that on 1</w:t>
      </w:r>
      <w:r w:rsidR="002A5D65" w:rsidRPr="00D07912">
        <w:rPr>
          <w:rFonts w:ascii="Arial" w:hAnsi="Arial" w:cs="Arial"/>
          <w:sz w:val="24"/>
          <w:szCs w:val="24"/>
        </w:rPr>
        <w:t xml:space="preserve">0 February 2020 </w:t>
      </w:r>
      <w:r w:rsidRPr="00D07912">
        <w:rPr>
          <w:rFonts w:ascii="Arial" w:hAnsi="Arial" w:cs="Arial"/>
          <w:sz w:val="24"/>
          <w:szCs w:val="24"/>
        </w:rPr>
        <w:t xml:space="preserve">he </w:t>
      </w:r>
      <w:r w:rsidR="002A5D65" w:rsidRPr="00D07912">
        <w:rPr>
          <w:rFonts w:ascii="Arial" w:hAnsi="Arial" w:cs="Arial"/>
          <w:sz w:val="24"/>
          <w:szCs w:val="24"/>
        </w:rPr>
        <w:t xml:space="preserve">had a meeting with </w:t>
      </w:r>
      <w:r w:rsidRPr="00D07912">
        <w:rPr>
          <w:rFonts w:ascii="Arial" w:hAnsi="Arial" w:cs="Arial"/>
          <w:sz w:val="24"/>
          <w:szCs w:val="24"/>
        </w:rPr>
        <w:t>Mr Ncube</w:t>
      </w:r>
      <w:r w:rsidR="002A5D65" w:rsidRPr="00D07912">
        <w:rPr>
          <w:rFonts w:ascii="Arial" w:hAnsi="Arial" w:cs="Arial"/>
          <w:sz w:val="24"/>
          <w:szCs w:val="24"/>
        </w:rPr>
        <w:t xml:space="preserve"> during which</w:t>
      </w:r>
      <w:r w:rsidR="001C0C0A" w:rsidRPr="00D07912">
        <w:rPr>
          <w:rFonts w:ascii="Arial" w:hAnsi="Arial" w:cs="Arial"/>
          <w:sz w:val="24"/>
          <w:szCs w:val="24"/>
        </w:rPr>
        <w:t xml:space="preserve"> he</w:t>
      </w:r>
      <w:r w:rsidR="002A5D65" w:rsidRPr="00D07912">
        <w:rPr>
          <w:rFonts w:ascii="Arial" w:hAnsi="Arial" w:cs="Arial"/>
          <w:sz w:val="24"/>
          <w:szCs w:val="24"/>
        </w:rPr>
        <w:t xml:space="preserve"> </w:t>
      </w:r>
      <w:r w:rsidR="00DF51DF" w:rsidRPr="00D07912">
        <w:rPr>
          <w:rFonts w:ascii="Arial" w:hAnsi="Arial" w:cs="Arial"/>
          <w:sz w:val="24"/>
          <w:szCs w:val="24"/>
        </w:rPr>
        <w:t>informed</w:t>
      </w:r>
      <w:r w:rsidR="001C0C0A" w:rsidRPr="00D07912">
        <w:rPr>
          <w:rFonts w:ascii="Arial" w:hAnsi="Arial" w:cs="Arial"/>
          <w:sz w:val="24"/>
          <w:szCs w:val="24"/>
        </w:rPr>
        <w:t xml:space="preserve"> Mr Ncube</w:t>
      </w:r>
      <w:r w:rsidR="00DF51DF" w:rsidRPr="00D07912">
        <w:rPr>
          <w:rFonts w:ascii="Arial" w:hAnsi="Arial" w:cs="Arial"/>
          <w:sz w:val="24"/>
          <w:szCs w:val="24"/>
        </w:rPr>
        <w:t xml:space="preserve"> that Exhibit C was missing from the record, that the exhibits</w:t>
      </w:r>
      <w:r w:rsidR="00E279F2">
        <w:rPr>
          <w:rFonts w:ascii="Arial" w:hAnsi="Arial" w:cs="Arial"/>
          <w:sz w:val="24"/>
          <w:szCs w:val="24"/>
        </w:rPr>
        <w:t>’</w:t>
      </w:r>
      <w:r w:rsidR="00DF51DF" w:rsidRPr="00D07912">
        <w:rPr>
          <w:rFonts w:ascii="Arial" w:hAnsi="Arial" w:cs="Arial"/>
          <w:sz w:val="24"/>
          <w:szCs w:val="24"/>
        </w:rPr>
        <w:t xml:space="preserve"> </w:t>
      </w:r>
      <w:r w:rsidR="00CE2AEC" w:rsidRPr="00D07912">
        <w:rPr>
          <w:rFonts w:ascii="Arial" w:hAnsi="Arial" w:cs="Arial"/>
          <w:sz w:val="24"/>
          <w:szCs w:val="24"/>
        </w:rPr>
        <w:t>volume</w:t>
      </w:r>
      <w:r w:rsidR="00DF51DF" w:rsidRPr="00D07912">
        <w:rPr>
          <w:rFonts w:ascii="Arial" w:hAnsi="Arial" w:cs="Arial"/>
          <w:sz w:val="24"/>
          <w:szCs w:val="24"/>
        </w:rPr>
        <w:t xml:space="preserve"> had not been filed, and that the application for leave to appeal is not part of the record and </w:t>
      </w:r>
      <w:r w:rsidR="001C0C0A" w:rsidRPr="00D07912">
        <w:rPr>
          <w:rFonts w:ascii="Arial" w:hAnsi="Arial" w:cs="Arial"/>
          <w:sz w:val="24"/>
          <w:szCs w:val="24"/>
        </w:rPr>
        <w:t xml:space="preserve">further </w:t>
      </w:r>
      <w:r w:rsidR="00DF51DF" w:rsidRPr="00D07912">
        <w:rPr>
          <w:rFonts w:ascii="Arial" w:hAnsi="Arial" w:cs="Arial"/>
          <w:sz w:val="24"/>
          <w:szCs w:val="24"/>
        </w:rPr>
        <w:t xml:space="preserve">that page </w:t>
      </w:r>
      <w:r w:rsidR="00DF51DF" w:rsidRPr="00391B78">
        <w:rPr>
          <w:rFonts w:ascii="Arial" w:hAnsi="Arial" w:cs="Arial"/>
          <w:sz w:val="24"/>
          <w:szCs w:val="24"/>
        </w:rPr>
        <w:t>36</w:t>
      </w:r>
      <w:r w:rsidR="00DF51DF" w:rsidRPr="00D07912">
        <w:rPr>
          <w:rFonts w:ascii="Arial" w:hAnsi="Arial" w:cs="Arial"/>
          <w:sz w:val="24"/>
          <w:szCs w:val="24"/>
        </w:rPr>
        <w:t xml:space="preserve"> is missing from the exhibits</w:t>
      </w:r>
      <w:r w:rsidR="00E279F2">
        <w:rPr>
          <w:rFonts w:ascii="Arial" w:hAnsi="Arial" w:cs="Arial"/>
          <w:sz w:val="24"/>
          <w:szCs w:val="24"/>
        </w:rPr>
        <w:t>’</w:t>
      </w:r>
      <w:r w:rsidR="00DF51DF" w:rsidRPr="00D07912">
        <w:rPr>
          <w:rFonts w:ascii="Arial" w:hAnsi="Arial" w:cs="Arial"/>
          <w:sz w:val="24"/>
          <w:szCs w:val="24"/>
        </w:rPr>
        <w:t xml:space="preserve"> </w:t>
      </w:r>
      <w:r w:rsidR="0075062E" w:rsidRPr="00D07912">
        <w:rPr>
          <w:rFonts w:ascii="Arial" w:hAnsi="Arial" w:cs="Arial"/>
          <w:sz w:val="24"/>
          <w:szCs w:val="24"/>
        </w:rPr>
        <w:t>volume</w:t>
      </w:r>
      <w:r w:rsidR="00DF51DF" w:rsidRPr="00D07912">
        <w:rPr>
          <w:rFonts w:ascii="Arial" w:hAnsi="Arial" w:cs="Arial"/>
          <w:sz w:val="24"/>
          <w:szCs w:val="24"/>
        </w:rPr>
        <w:t xml:space="preserve">. </w:t>
      </w:r>
      <w:r w:rsidR="001C0C0A" w:rsidRPr="00D07912">
        <w:rPr>
          <w:rFonts w:ascii="Arial" w:hAnsi="Arial" w:cs="Arial"/>
          <w:sz w:val="24"/>
          <w:szCs w:val="24"/>
        </w:rPr>
        <w:t xml:space="preserve">                Mr Beukes </w:t>
      </w:r>
      <w:r w:rsidR="00DF51DF" w:rsidRPr="00D07912">
        <w:rPr>
          <w:rFonts w:ascii="Arial" w:hAnsi="Arial" w:cs="Arial"/>
          <w:sz w:val="24"/>
          <w:szCs w:val="24"/>
        </w:rPr>
        <w:t>state</w:t>
      </w:r>
      <w:r w:rsidR="001C0C0A" w:rsidRPr="00D07912">
        <w:rPr>
          <w:rFonts w:ascii="Arial" w:hAnsi="Arial" w:cs="Arial"/>
          <w:sz w:val="24"/>
          <w:szCs w:val="24"/>
        </w:rPr>
        <w:t>d that he undertook to provide Mr Ncube</w:t>
      </w:r>
      <w:r w:rsidR="00DF51DF" w:rsidRPr="00D07912">
        <w:rPr>
          <w:rFonts w:ascii="Arial" w:hAnsi="Arial" w:cs="Arial"/>
          <w:sz w:val="24"/>
          <w:szCs w:val="24"/>
        </w:rPr>
        <w:t xml:space="preserve"> with his complete record which he </w:t>
      </w:r>
      <w:r w:rsidR="001C0C0A" w:rsidRPr="00D07912">
        <w:rPr>
          <w:rFonts w:ascii="Arial" w:hAnsi="Arial" w:cs="Arial"/>
          <w:sz w:val="24"/>
          <w:szCs w:val="24"/>
        </w:rPr>
        <w:t>subse</w:t>
      </w:r>
      <w:r w:rsidR="0077243D">
        <w:rPr>
          <w:rFonts w:ascii="Arial" w:hAnsi="Arial" w:cs="Arial"/>
          <w:sz w:val="24"/>
          <w:szCs w:val="24"/>
        </w:rPr>
        <w:t>quently did provide.</w:t>
      </w:r>
    </w:p>
    <w:p w:rsidR="001435C8" w:rsidRDefault="001435C8" w:rsidP="001435C8">
      <w:pPr>
        <w:pStyle w:val="NoSpacing"/>
        <w:spacing w:line="480" w:lineRule="auto"/>
        <w:jc w:val="both"/>
        <w:rPr>
          <w:rFonts w:ascii="Arial" w:hAnsi="Arial" w:cs="Arial"/>
          <w:sz w:val="24"/>
          <w:szCs w:val="24"/>
        </w:rPr>
      </w:pPr>
    </w:p>
    <w:p w:rsidR="001435C8" w:rsidRDefault="001C0C0A"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Beukes </w:t>
      </w:r>
      <w:r w:rsidR="00DF51DF">
        <w:rPr>
          <w:rFonts w:ascii="Arial" w:hAnsi="Arial" w:cs="Arial"/>
          <w:sz w:val="24"/>
          <w:szCs w:val="24"/>
        </w:rPr>
        <w:t>confirmed that he informed appellant’s legal practitioner that he would have no objection in respect of the filing of a condonation application, but added that he would only be able to make a decision once they have</w:t>
      </w:r>
      <w:r w:rsidR="00D164F6">
        <w:rPr>
          <w:rFonts w:ascii="Arial" w:hAnsi="Arial" w:cs="Arial"/>
          <w:sz w:val="24"/>
          <w:szCs w:val="24"/>
        </w:rPr>
        <w:t xml:space="preserve"> had</w:t>
      </w:r>
      <w:r w:rsidR="00DF51DF">
        <w:rPr>
          <w:rFonts w:ascii="Arial" w:hAnsi="Arial" w:cs="Arial"/>
          <w:sz w:val="24"/>
          <w:szCs w:val="24"/>
        </w:rPr>
        <w:t xml:space="preserve"> regard to the condonation application</w:t>
      </w:r>
      <w:r>
        <w:rPr>
          <w:rFonts w:ascii="Arial" w:hAnsi="Arial" w:cs="Arial"/>
          <w:sz w:val="24"/>
          <w:szCs w:val="24"/>
        </w:rPr>
        <w:t xml:space="preserve">, </w:t>
      </w:r>
      <w:r w:rsidR="00DF51DF">
        <w:rPr>
          <w:rFonts w:ascii="Arial" w:hAnsi="Arial" w:cs="Arial"/>
          <w:sz w:val="24"/>
          <w:szCs w:val="24"/>
        </w:rPr>
        <w:t xml:space="preserve">had discussed it with the instructed legal practitioner and had obtained instructions from the client. </w:t>
      </w:r>
    </w:p>
    <w:p w:rsidR="001435C8" w:rsidRDefault="001435C8" w:rsidP="001435C8">
      <w:pPr>
        <w:pStyle w:val="NoSpacing"/>
        <w:spacing w:line="480" w:lineRule="auto"/>
        <w:jc w:val="both"/>
        <w:rPr>
          <w:rFonts w:ascii="Arial" w:hAnsi="Arial" w:cs="Arial"/>
          <w:sz w:val="24"/>
          <w:szCs w:val="24"/>
        </w:rPr>
      </w:pPr>
    </w:p>
    <w:p w:rsidR="001435C8" w:rsidRDefault="00DF51DF"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w:t>
      </w:r>
      <w:r w:rsidR="001C0C0A">
        <w:rPr>
          <w:rFonts w:ascii="Arial" w:hAnsi="Arial" w:cs="Arial"/>
          <w:sz w:val="24"/>
          <w:szCs w:val="24"/>
        </w:rPr>
        <w:t>Mr Beukes</w:t>
      </w:r>
      <w:r w:rsidR="00B16A2E">
        <w:rPr>
          <w:rFonts w:ascii="Arial" w:hAnsi="Arial" w:cs="Arial"/>
          <w:sz w:val="24"/>
          <w:szCs w:val="24"/>
        </w:rPr>
        <w:t>,</w:t>
      </w:r>
      <w:r>
        <w:rPr>
          <w:rFonts w:ascii="Arial" w:hAnsi="Arial" w:cs="Arial"/>
          <w:sz w:val="24"/>
          <w:szCs w:val="24"/>
        </w:rPr>
        <w:t xml:space="preserve"> on 17 February 2020</w:t>
      </w:r>
      <w:r w:rsidR="00B16A2E">
        <w:rPr>
          <w:rFonts w:ascii="Arial" w:hAnsi="Arial" w:cs="Arial"/>
          <w:sz w:val="24"/>
          <w:szCs w:val="24"/>
        </w:rPr>
        <w:t>,</w:t>
      </w:r>
      <w:r>
        <w:rPr>
          <w:rFonts w:ascii="Arial" w:hAnsi="Arial" w:cs="Arial"/>
          <w:sz w:val="24"/>
          <w:szCs w:val="24"/>
        </w:rPr>
        <w:t xml:space="preserve"> he received an application for condonation from </w:t>
      </w:r>
      <w:r w:rsidR="00333C10">
        <w:rPr>
          <w:rFonts w:ascii="Arial" w:hAnsi="Arial" w:cs="Arial"/>
          <w:sz w:val="24"/>
          <w:szCs w:val="24"/>
        </w:rPr>
        <w:t>appellant for the late filing of the exhibits</w:t>
      </w:r>
      <w:r w:rsidR="00E279F2">
        <w:rPr>
          <w:rFonts w:ascii="Arial" w:hAnsi="Arial" w:cs="Arial"/>
          <w:sz w:val="24"/>
          <w:szCs w:val="24"/>
        </w:rPr>
        <w:t>’</w:t>
      </w:r>
      <w:r w:rsidR="00333C10">
        <w:rPr>
          <w:rFonts w:ascii="Arial" w:hAnsi="Arial" w:cs="Arial"/>
          <w:sz w:val="24"/>
          <w:szCs w:val="24"/>
        </w:rPr>
        <w:t xml:space="preserve"> </w:t>
      </w:r>
      <w:r w:rsidR="00CE2AEC">
        <w:rPr>
          <w:rFonts w:ascii="Arial" w:hAnsi="Arial" w:cs="Arial"/>
          <w:sz w:val="24"/>
          <w:szCs w:val="24"/>
        </w:rPr>
        <w:t>volume</w:t>
      </w:r>
      <w:r w:rsidR="00333C10">
        <w:rPr>
          <w:rFonts w:ascii="Arial" w:hAnsi="Arial" w:cs="Arial"/>
          <w:sz w:val="24"/>
          <w:szCs w:val="24"/>
        </w:rPr>
        <w:t xml:space="preserve"> and </w:t>
      </w:r>
      <w:r w:rsidR="001C0C0A">
        <w:rPr>
          <w:rFonts w:ascii="Arial" w:hAnsi="Arial" w:cs="Arial"/>
          <w:sz w:val="24"/>
          <w:szCs w:val="24"/>
        </w:rPr>
        <w:t xml:space="preserve">he </w:t>
      </w:r>
      <w:r w:rsidR="00333C10">
        <w:rPr>
          <w:rFonts w:ascii="Arial" w:hAnsi="Arial" w:cs="Arial"/>
          <w:sz w:val="24"/>
          <w:szCs w:val="24"/>
        </w:rPr>
        <w:t xml:space="preserve">on the same day informed </w:t>
      </w:r>
      <w:r w:rsidR="001C0C0A">
        <w:rPr>
          <w:rFonts w:ascii="Arial" w:hAnsi="Arial" w:cs="Arial"/>
          <w:sz w:val="24"/>
          <w:szCs w:val="24"/>
        </w:rPr>
        <w:t>Mr Ncube</w:t>
      </w:r>
      <w:r w:rsidR="00333C10">
        <w:rPr>
          <w:rFonts w:ascii="Arial" w:hAnsi="Arial" w:cs="Arial"/>
          <w:sz w:val="24"/>
          <w:szCs w:val="24"/>
        </w:rPr>
        <w:t xml:space="preserve"> that </w:t>
      </w:r>
      <w:r w:rsidR="0077243D">
        <w:rPr>
          <w:rFonts w:ascii="Arial" w:hAnsi="Arial" w:cs="Arial"/>
          <w:sz w:val="24"/>
          <w:szCs w:val="24"/>
        </w:rPr>
        <w:t>the latter</w:t>
      </w:r>
      <w:r w:rsidR="00333C10">
        <w:rPr>
          <w:rFonts w:ascii="Arial" w:hAnsi="Arial" w:cs="Arial"/>
          <w:sz w:val="24"/>
          <w:szCs w:val="24"/>
        </w:rPr>
        <w:t xml:space="preserve"> had not sought condonation for the application for l</w:t>
      </w:r>
      <w:r w:rsidR="001C0C0A">
        <w:rPr>
          <w:rFonts w:ascii="Arial" w:hAnsi="Arial" w:cs="Arial"/>
          <w:sz w:val="24"/>
          <w:szCs w:val="24"/>
        </w:rPr>
        <w:t>eave to appeal</w:t>
      </w:r>
      <w:r w:rsidR="00D164F6">
        <w:rPr>
          <w:rFonts w:ascii="Arial" w:hAnsi="Arial" w:cs="Arial"/>
          <w:sz w:val="24"/>
          <w:szCs w:val="24"/>
        </w:rPr>
        <w:t>,</w:t>
      </w:r>
      <w:r w:rsidR="001C0C0A">
        <w:rPr>
          <w:rFonts w:ascii="Arial" w:hAnsi="Arial" w:cs="Arial"/>
          <w:sz w:val="24"/>
          <w:szCs w:val="24"/>
        </w:rPr>
        <w:t xml:space="preserve"> </w:t>
      </w:r>
      <w:r w:rsidR="001C0C0A" w:rsidRPr="0042643B">
        <w:rPr>
          <w:rFonts w:ascii="Arial" w:hAnsi="Arial" w:cs="Arial"/>
          <w:sz w:val="24"/>
          <w:szCs w:val="24"/>
        </w:rPr>
        <w:t xml:space="preserve">resulting in </w:t>
      </w:r>
      <w:r w:rsidR="00952B65" w:rsidRPr="0042643B">
        <w:rPr>
          <w:rFonts w:ascii="Arial" w:hAnsi="Arial" w:cs="Arial"/>
          <w:sz w:val="24"/>
          <w:szCs w:val="24"/>
        </w:rPr>
        <w:t>the subsequent filing of a</w:t>
      </w:r>
      <w:r w:rsidR="00952B65">
        <w:rPr>
          <w:rFonts w:ascii="Arial" w:hAnsi="Arial" w:cs="Arial"/>
          <w:sz w:val="24"/>
          <w:szCs w:val="24"/>
        </w:rPr>
        <w:t xml:space="preserve"> </w:t>
      </w:r>
      <w:r w:rsidR="00333C10">
        <w:rPr>
          <w:rFonts w:ascii="Arial" w:hAnsi="Arial" w:cs="Arial"/>
          <w:sz w:val="24"/>
          <w:szCs w:val="24"/>
        </w:rPr>
        <w:t xml:space="preserve">second condonation application. </w:t>
      </w:r>
    </w:p>
    <w:p w:rsidR="001435C8" w:rsidRDefault="001435C8" w:rsidP="001435C8">
      <w:pPr>
        <w:pStyle w:val="NoSpacing"/>
        <w:spacing w:line="480" w:lineRule="auto"/>
        <w:jc w:val="both"/>
        <w:rPr>
          <w:rFonts w:ascii="Arial" w:hAnsi="Arial" w:cs="Arial"/>
          <w:sz w:val="24"/>
          <w:szCs w:val="24"/>
        </w:rPr>
      </w:pPr>
    </w:p>
    <w:p w:rsidR="001435C8" w:rsidRDefault="001C0C0A" w:rsidP="00143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Mr Beukes</w:t>
      </w:r>
      <w:r w:rsidR="00333C10">
        <w:rPr>
          <w:rFonts w:ascii="Arial" w:hAnsi="Arial" w:cs="Arial"/>
          <w:sz w:val="24"/>
          <w:szCs w:val="24"/>
        </w:rPr>
        <w:t xml:space="preserve"> stated that on 18 March 2020 </w:t>
      </w:r>
      <w:r>
        <w:rPr>
          <w:rFonts w:ascii="Arial" w:hAnsi="Arial" w:cs="Arial"/>
          <w:sz w:val="24"/>
          <w:szCs w:val="24"/>
        </w:rPr>
        <w:t xml:space="preserve">he </w:t>
      </w:r>
      <w:r w:rsidR="00333C10">
        <w:rPr>
          <w:rFonts w:ascii="Arial" w:hAnsi="Arial" w:cs="Arial"/>
          <w:sz w:val="24"/>
          <w:szCs w:val="24"/>
        </w:rPr>
        <w:t xml:space="preserve">informed </w:t>
      </w:r>
      <w:r>
        <w:rPr>
          <w:rFonts w:ascii="Arial" w:hAnsi="Arial" w:cs="Arial"/>
          <w:sz w:val="24"/>
          <w:szCs w:val="24"/>
        </w:rPr>
        <w:t>Mr Ncube</w:t>
      </w:r>
      <w:r w:rsidR="00333C10">
        <w:rPr>
          <w:rFonts w:ascii="Arial" w:hAnsi="Arial" w:cs="Arial"/>
          <w:sz w:val="24"/>
          <w:szCs w:val="24"/>
        </w:rPr>
        <w:t xml:space="preserve"> that page </w:t>
      </w:r>
      <w:r w:rsidR="00D14C41">
        <w:rPr>
          <w:rFonts w:ascii="Arial" w:hAnsi="Arial" w:cs="Arial"/>
          <w:sz w:val="24"/>
          <w:szCs w:val="24"/>
        </w:rPr>
        <w:t>33</w:t>
      </w:r>
      <w:r w:rsidR="00333C10">
        <w:rPr>
          <w:rFonts w:ascii="Arial" w:hAnsi="Arial" w:cs="Arial"/>
          <w:sz w:val="24"/>
          <w:szCs w:val="24"/>
        </w:rPr>
        <w:t xml:space="preserve"> was still missing from the exhibits</w:t>
      </w:r>
      <w:r w:rsidR="00E279F2">
        <w:rPr>
          <w:rFonts w:ascii="Arial" w:hAnsi="Arial" w:cs="Arial"/>
          <w:sz w:val="24"/>
          <w:szCs w:val="24"/>
        </w:rPr>
        <w:t>’</w:t>
      </w:r>
      <w:r w:rsidR="00333C10">
        <w:rPr>
          <w:rFonts w:ascii="Arial" w:hAnsi="Arial" w:cs="Arial"/>
          <w:sz w:val="24"/>
          <w:szCs w:val="24"/>
        </w:rPr>
        <w:t xml:space="preserve"> volume and enquired whether appellant had filed a bundle of authorities for first respondent. This prompted </w:t>
      </w:r>
      <w:r>
        <w:rPr>
          <w:rFonts w:ascii="Arial" w:hAnsi="Arial" w:cs="Arial"/>
          <w:sz w:val="24"/>
          <w:szCs w:val="24"/>
        </w:rPr>
        <w:t>Mr Ncube</w:t>
      </w:r>
      <w:r w:rsidR="00333C10">
        <w:rPr>
          <w:rFonts w:ascii="Arial" w:hAnsi="Arial" w:cs="Arial"/>
          <w:sz w:val="24"/>
          <w:szCs w:val="24"/>
        </w:rPr>
        <w:t xml:space="preserve"> on 19 March 2020 to file a third condonation application for leave to file page 33, Exhibit F</w:t>
      </w:r>
      <w:r w:rsidR="0077243D">
        <w:rPr>
          <w:rFonts w:ascii="Arial" w:hAnsi="Arial" w:cs="Arial"/>
          <w:sz w:val="24"/>
          <w:szCs w:val="24"/>
        </w:rPr>
        <w:t>,</w:t>
      </w:r>
      <w:r w:rsidR="00333C10">
        <w:rPr>
          <w:rFonts w:ascii="Arial" w:hAnsi="Arial" w:cs="Arial"/>
          <w:sz w:val="24"/>
          <w:szCs w:val="24"/>
        </w:rPr>
        <w:t xml:space="preserve"> which was omitted from the exhibits</w:t>
      </w:r>
      <w:r w:rsidR="00E279F2">
        <w:rPr>
          <w:rFonts w:ascii="Arial" w:hAnsi="Arial" w:cs="Arial"/>
          <w:sz w:val="24"/>
          <w:szCs w:val="24"/>
        </w:rPr>
        <w:t>’</w:t>
      </w:r>
      <w:r w:rsidR="00333C10">
        <w:rPr>
          <w:rFonts w:ascii="Arial" w:hAnsi="Arial" w:cs="Arial"/>
          <w:sz w:val="24"/>
          <w:szCs w:val="24"/>
        </w:rPr>
        <w:t xml:space="preserve"> volume. </w:t>
      </w:r>
    </w:p>
    <w:p w:rsidR="002A5D65" w:rsidRDefault="002A5D65" w:rsidP="002A5D65">
      <w:pPr>
        <w:pStyle w:val="NoSpacing"/>
        <w:spacing w:line="480" w:lineRule="auto"/>
        <w:jc w:val="both"/>
        <w:rPr>
          <w:rFonts w:ascii="Arial" w:hAnsi="Arial" w:cs="Arial"/>
          <w:sz w:val="24"/>
          <w:szCs w:val="24"/>
        </w:rPr>
      </w:pPr>
    </w:p>
    <w:p w:rsidR="002A5D65" w:rsidRDefault="001C0C0A"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Beukes pointe</w:t>
      </w:r>
      <w:r w:rsidR="00333C10">
        <w:rPr>
          <w:rFonts w:ascii="Arial" w:hAnsi="Arial" w:cs="Arial"/>
          <w:sz w:val="24"/>
          <w:szCs w:val="24"/>
        </w:rPr>
        <w:t>d out that appellant failed to deal with the condonation applications in its heads of argument.</w:t>
      </w:r>
    </w:p>
    <w:p w:rsidR="002A5D65" w:rsidRDefault="002A5D65" w:rsidP="002A5D65">
      <w:pPr>
        <w:pStyle w:val="NoSpacing"/>
        <w:spacing w:line="480" w:lineRule="auto"/>
        <w:jc w:val="both"/>
        <w:rPr>
          <w:rFonts w:ascii="Arial" w:hAnsi="Arial" w:cs="Arial"/>
          <w:sz w:val="24"/>
          <w:szCs w:val="24"/>
        </w:rPr>
      </w:pPr>
    </w:p>
    <w:p w:rsidR="002A5D65" w:rsidRDefault="001C0C0A"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must be mentioned that the </w:t>
      </w:r>
      <w:r w:rsidR="009B6072">
        <w:rPr>
          <w:rFonts w:ascii="Arial" w:hAnsi="Arial" w:cs="Arial"/>
          <w:sz w:val="24"/>
          <w:szCs w:val="24"/>
        </w:rPr>
        <w:t>r</w:t>
      </w:r>
      <w:r w:rsidR="00333C10">
        <w:rPr>
          <w:rFonts w:ascii="Arial" w:hAnsi="Arial" w:cs="Arial"/>
          <w:sz w:val="24"/>
          <w:szCs w:val="24"/>
        </w:rPr>
        <w:t>egistrar on 23 March 2020 informed the parties that the appeal hearing would be postponed and was later set down for 19 June 2020.</w:t>
      </w:r>
    </w:p>
    <w:p w:rsidR="002A5D65" w:rsidRDefault="002A5D65" w:rsidP="002A5D65">
      <w:pPr>
        <w:pStyle w:val="NoSpacing"/>
        <w:spacing w:line="480" w:lineRule="auto"/>
        <w:jc w:val="both"/>
        <w:rPr>
          <w:rFonts w:ascii="Arial" w:hAnsi="Arial" w:cs="Arial"/>
          <w:sz w:val="24"/>
          <w:szCs w:val="24"/>
        </w:rPr>
      </w:pPr>
    </w:p>
    <w:p w:rsidR="002A5D65" w:rsidRDefault="001C0C0A"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Beukes</w:t>
      </w:r>
      <w:r w:rsidR="00333C10">
        <w:rPr>
          <w:rFonts w:ascii="Arial" w:hAnsi="Arial" w:cs="Arial"/>
          <w:sz w:val="24"/>
          <w:szCs w:val="24"/>
        </w:rPr>
        <w:t xml:space="preserve"> further stated that appellant failed to comply with rule 21(1) of the Rules of the Supreme Court which provides that the appellant must lodge a bundle of authorities simultaneously with the lodging of its heads of argument</w:t>
      </w:r>
      <w:r>
        <w:rPr>
          <w:rFonts w:ascii="Arial" w:hAnsi="Arial" w:cs="Arial"/>
          <w:sz w:val="24"/>
          <w:szCs w:val="24"/>
        </w:rPr>
        <w:t xml:space="preserve"> which heads of argument was originally filed on 24 February 2020</w:t>
      </w:r>
      <w:r w:rsidR="00333C10">
        <w:rPr>
          <w:rFonts w:ascii="Arial" w:hAnsi="Arial" w:cs="Arial"/>
          <w:sz w:val="24"/>
          <w:szCs w:val="24"/>
        </w:rPr>
        <w:t xml:space="preserve">. </w:t>
      </w:r>
      <w:r>
        <w:rPr>
          <w:rFonts w:ascii="Arial" w:hAnsi="Arial" w:cs="Arial"/>
          <w:sz w:val="24"/>
          <w:szCs w:val="24"/>
        </w:rPr>
        <w:t>Mr Beukes</w:t>
      </w:r>
      <w:r w:rsidR="00333C10">
        <w:rPr>
          <w:rFonts w:ascii="Arial" w:hAnsi="Arial" w:cs="Arial"/>
          <w:sz w:val="24"/>
          <w:szCs w:val="24"/>
        </w:rPr>
        <w:t xml:space="preserve"> contended t</w:t>
      </w:r>
      <w:r w:rsidR="000A4230">
        <w:rPr>
          <w:rFonts w:ascii="Arial" w:hAnsi="Arial" w:cs="Arial"/>
          <w:sz w:val="24"/>
          <w:szCs w:val="24"/>
        </w:rPr>
        <w:t>hat</w:t>
      </w:r>
      <w:r>
        <w:rPr>
          <w:rFonts w:ascii="Arial" w:hAnsi="Arial" w:cs="Arial"/>
          <w:sz w:val="24"/>
          <w:szCs w:val="24"/>
        </w:rPr>
        <w:t xml:space="preserve"> only on </w:t>
      </w:r>
      <w:r w:rsidR="00333C10">
        <w:rPr>
          <w:rFonts w:ascii="Arial" w:hAnsi="Arial" w:cs="Arial"/>
          <w:sz w:val="24"/>
          <w:szCs w:val="24"/>
        </w:rPr>
        <w:t>3 June 2020</w:t>
      </w:r>
      <w:r w:rsidR="00391B78">
        <w:rPr>
          <w:rFonts w:ascii="Arial" w:hAnsi="Arial" w:cs="Arial"/>
          <w:sz w:val="24"/>
          <w:szCs w:val="24"/>
        </w:rPr>
        <w:t xml:space="preserve"> </w:t>
      </w:r>
      <w:r w:rsidR="00100760">
        <w:rPr>
          <w:rFonts w:ascii="Arial" w:hAnsi="Arial" w:cs="Arial"/>
          <w:sz w:val="24"/>
          <w:szCs w:val="24"/>
        </w:rPr>
        <w:t>did the appellant file</w:t>
      </w:r>
      <w:r w:rsidR="00333C10">
        <w:rPr>
          <w:rFonts w:ascii="Arial" w:hAnsi="Arial" w:cs="Arial"/>
          <w:sz w:val="24"/>
          <w:szCs w:val="24"/>
        </w:rPr>
        <w:t xml:space="preserve"> its proper</w:t>
      </w:r>
      <w:r>
        <w:rPr>
          <w:rFonts w:ascii="Arial" w:hAnsi="Arial" w:cs="Arial"/>
          <w:sz w:val="24"/>
          <w:szCs w:val="24"/>
        </w:rPr>
        <w:t>ly bound</w:t>
      </w:r>
      <w:r w:rsidR="00333C10">
        <w:rPr>
          <w:rFonts w:ascii="Arial" w:hAnsi="Arial" w:cs="Arial"/>
          <w:sz w:val="24"/>
          <w:szCs w:val="24"/>
        </w:rPr>
        <w:t xml:space="preserve"> heads of argument and bundle of </w:t>
      </w:r>
      <w:r w:rsidR="00157846">
        <w:rPr>
          <w:rFonts w:ascii="Arial" w:hAnsi="Arial" w:cs="Arial"/>
          <w:sz w:val="24"/>
          <w:szCs w:val="24"/>
        </w:rPr>
        <w:t>authorities but failed to seek condonation for its non-compliance with rule 21(1).</w:t>
      </w:r>
    </w:p>
    <w:p w:rsidR="002A5D65" w:rsidRDefault="002A5D65" w:rsidP="002A5D65">
      <w:pPr>
        <w:pStyle w:val="NoSpacing"/>
        <w:spacing w:line="480" w:lineRule="auto"/>
        <w:jc w:val="both"/>
        <w:rPr>
          <w:rFonts w:ascii="Arial" w:hAnsi="Arial" w:cs="Arial"/>
          <w:sz w:val="24"/>
          <w:szCs w:val="24"/>
        </w:rPr>
      </w:pPr>
    </w:p>
    <w:p w:rsidR="002A5D65" w:rsidRDefault="001C0C0A"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Beukes</w:t>
      </w:r>
      <w:r w:rsidR="00157846">
        <w:rPr>
          <w:rFonts w:ascii="Arial" w:hAnsi="Arial" w:cs="Arial"/>
          <w:sz w:val="24"/>
          <w:szCs w:val="24"/>
        </w:rPr>
        <w:t xml:space="preserve"> contended that the condonation application lacks the basic requirements for a party to be successful since the appellant firstly, failed to seek condonation for non-compliance, secondly, failed to offer an acceptable and reasonable explanation for the delay, including the timing of the application for reinstatement, and </w:t>
      </w:r>
      <w:r w:rsidR="00952B65" w:rsidRPr="00407F82">
        <w:rPr>
          <w:rFonts w:ascii="Arial" w:hAnsi="Arial" w:cs="Arial"/>
          <w:sz w:val="24"/>
          <w:szCs w:val="24"/>
        </w:rPr>
        <w:t>lastly</w:t>
      </w:r>
      <w:r w:rsidR="00952B65">
        <w:rPr>
          <w:rFonts w:ascii="Arial" w:hAnsi="Arial" w:cs="Arial"/>
          <w:sz w:val="24"/>
          <w:szCs w:val="24"/>
        </w:rPr>
        <w:t xml:space="preserve"> </w:t>
      </w:r>
      <w:r w:rsidR="00157846">
        <w:rPr>
          <w:rFonts w:ascii="Arial" w:hAnsi="Arial" w:cs="Arial"/>
          <w:sz w:val="24"/>
          <w:szCs w:val="24"/>
        </w:rPr>
        <w:t xml:space="preserve">appellant failed to deal with the prospects of success in the </w:t>
      </w:r>
      <w:r w:rsidR="00157846">
        <w:rPr>
          <w:rFonts w:ascii="Arial" w:hAnsi="Arial" w:cs="Arial"/>
          <w:sz w:val="24"/>
          <w:szCs w:val="24"/>
        </w:rPr>
        <w:lastRenderedPageBreak/>
        <w:t xml:space="preserve">appeal. </w:t>
      </w:r>
      <w:r w:rsidR="003E4DC1">
        <w:rPr>
          <w:rFonts w:ascii="Arial" w:hAnsi="Arial" w:cs="Arial"/>
          <w:sz w:val="24"/>
          <w:szCs w:val="24"/>
        </w:rPr>
        <w:t xml:space="preserve">Mr Beukes submitted that a case had not been made out for condonation for the non-compliance with rule 11(1)(a) and prayed for an order dismissing the reinstatement application with costs. </w:t>
      </w:r>
    </w:p>
    <w:p w:rsidR="002A5D65" w:rsidRDefault="002A5D65" w:rsidP="002A5D65">
      <w:pPr>
        <w:pStyle w:val="NoSpacing"/>
        <w:spacing w:line="480" w:lineRule="auto"/>
        <w:jc w:val="both"/>
        <w:rPr>
          <w:rFonts w:ascii="Arial" w:hAnsi="Arial" w:cs="Arial"/>
          <w:sz w:val="24"/>
          <w:szCs w:val="24"/>
        </w:rPr>
      </w:pPr>
    </w:p>
    <w:p w:rsidR="002A5D65" w:rsidRDefault="001C0C0A"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Beukes, however</w:t>
      </w:r>
      <w:r w:rsidR="003E4DC1">
        <w:rPr>
          <w:rFonts w:ascii="Arial" w:hAnsi="Arial" w:cs="Arial"/>
          <w:sz w:val="24"/>
          <w:szCs w:val="24"/>
        </w:rPr>
        <w:t>,</w:t>
      </w:r>
      <w:r w:rsidR="009B6072">
        <w:rPr>
          <w:rFonts w:ascii="Arial" w:hAnsi="Arial" w:cs="Arial"/>
          <w:sz w:val="24"/>
          <w:szCs w:val="24"/>
        </w:rPr>
        <w:t xml:space="preserve"> confirmed that first respondent would not be materially prejudiced by the appeal being reinstated, save for the fact that the appellant having filed at least </w:t>
      </w:r>
      <w:r w:rsidR="00952B65">
        <w:rPr>
          <w:rFonts w:ascii="Arial" w:hAnsi="Arial" w:cs="Arial"/>
          <w:sz w:val="24"/>
          <w:szCs w:val="24"/>
        </w:rPr>
        <w:t>four</w:t>
      </w:r>
      <w:r w:rsidR="009B6072">
        <w:rPr>
          <w:rFonts w:ascii="Arial" w:hAnsi="Arial" w:cs="Arial"/>
          <w:sz w:val="24"/>
          <w:szCs w:val="24"/>
        </w:rPr>
        <w:t xml:space="preserve"> interlocutory applications with the last one being filed </w:t>
      </w:r>
      <w:r w:rsidR="00952B65" w:rsidRPr="00407F82">
        <w:rPr>
          <w:rFonts w:ascii="Arial" w:hAnsi="Arial" w:cs="Arial"/>
          <w:sz w:val="24"/>
          <w:szCs w:val="24"/>
        </w:rPr>
        <w:t>at</w:t>
      </w:r>
      <w:r w:rsidR="009B6072">
        <w:rPr>
          <w:rFonts w:ascii="Arial" w:hAnsi="Arial" w:cs="Arial"/>
          <w:sz w:val="24"/>
          <w:szCs w:val="24"/>
        </w:rPr>
        <w:t xml:space="preserve"> the 11</w:t>
      </w:r>
      <w:r w:rsidR="009B6072" w:rsidRPr="009B6072">
        <w:rPr>
          <w:rFonts w:ascii="Arial" w:hAnsi="Arial" w:cs="Arial"/>
          <w:sz w:val="24"/>
          <w:szCs w:val="24"/>
          <w:vertAlign w:val="superscript"/>
        </w:rPr>
        <w:t>th</w:t>
      </w:r>
      <w:r w:rsidR="009B6072">
        <w:rPr>
          <w:rFonts w:ascii="Arial" w:hAnsi="Arial" w:cs="Arial"/>
          <w:sz w:val="24"/>
          <w:szCs w:val="24"/>
        </w:rPr>
        <w:t xml:space="preserve"> hour, resulting in first respondent having to consider same and address same instead of focusing on proper preparation for the appeal hearing. </w:t>
      </w:r>
    </w:p>
    <w:p w:rsidR="001C0C0A" w:rsidRDefault="001C0C0A" w:rsidP="001C0C0A">
      <w:pPr>
        <w:pStyle w:val="NoSpacing"/>
        <w:spacing w:line="480" w:lineRule="auto"/>
        <w:jc w:val="both"/>
        <w:rPr>
          <w:rFonts w:ascii="Arial" w:hAnsi="Arial" w:cs="Arial"/>
          <w:sz w:val="24"/>
          <w:szCs w:val="24"/>
        </w:rPr>
      </w:pPr>
    </w:p>
    <w:p w:rsidR="002A5D65" w:rsidRDefault="003D6706"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Budlender</w:t>
      </w:r>
      <w:r w:rsidR="003E4DC1">
        <w:rPr>
          <w:rFonts w:ascii="Arial" w:hAnsi="Arial" w:cs="Arial"/>
          <w:sz w:val="24"/>
          <w:szCs w:val="24"/>
        </w:rPr>
        <w:t>,</w:t>
      </w:r>
      <w:r>
        <w:rPr>
          <w:rFonts w:ascii="Arial" w:hAnsi="Arial" w:cs="Arial"/>
          <w:sz w:val="24"/>
          <w:szCs w:val="24"/>
        </w:rPr>
        <w:t xml:space="preserve"> who appeared on behalf of the appellant</w:t>
      </w:r>
      <w:r w:rsidR="003E4DC1">
        <w:rPr>
          <w:rFonts w:ascii="Arial" w:hAnsi="Arial" w:cs="Arial"/>
          <w:sz w:val="24"/>
          <w:szCs w:val="24"/>
        </w:rPr>
        <w:t>,</w:t>
      </w:r>
      <w:r>
        <w:rPr>
          <w:rFonts w:ascii="Arial" w:hAnsi="Arial" w:cs="Arial"/>
          <w:sz w:val="24"/>
          <w:szCs w:val="24"/>
        </w:rPr>
        <w:t xml:space="preserve"> submitted with reference to Mr Ncube’s affidavit, that the exhibits</w:t>
      </w:r>
      <w:r w:rsidR="00E279F2">
        <w:rPr>
          <w:rFonts w:ascii="Arial" w:hAnsi="Arial" w:cs="Arial"/>
          <w:sz w:val="24"/>
          <w:szCs w:val="24"/>
        </w:rPr>
        <w:t>’</w:t>
      </w:r>
      <w:r>
        <w:rPr>
          <w:rFonts w:ascii="Arial" w:hAnsi="Arial" w:cs="Arial"/>
          <w:sz w:val="24"/>
          <w:szCs w:val="24"/>
        </w:rPr>
        <w:t xml:space="preserve"> </w:t>
      </w:r>
      <w:r w:rsidR="00CE2AEC">
        <w:rPr>
          <w:rFonts w:ascii="Arial" w:hAnsi="Arial" w:cs="Arial"/>
          <w:sz w:val="24"/>
          <w:szCs w:val="24"/>
        </w:rPr>
        <w:t>volume</w:t>
      </w:r>
      <w:r>
        <w:rPr>
          <w:rFonts w:ascii="Arial" w:hAnsi="Arial" w:cs="Arial"/>
          <w:sz w:val="24"/>
          <w:szCs w:val="24"/>
        </w:rPr>
        <w:t xml:space="preserve"> was served timeously on the </w:t>
      </w:r>
      <w:r w:rsidR="00BD3EB0">
        <w:rPr>
          <w:rFonts w:ascii="Arial" w:hAnsi="Arial" w:cs="Arial"/>
          <w:sz w:val="24"/>
          <w:szCs w:val="24"/>
        </w:rPr>
        <w:t xml:space="preserve">first </w:t>
      </w:r>
      <w:r>
        <w:rPr>
          <w:rFonts w:ascii="Arial" w:hAnsi="Arial" w:cs="Arial"/>
          <w:sz w:val="24"/>
          <w:szCs w:val="24"/>
        </w:rPr>
        <w:t>respondent but through an oversight was not filed at the court when the rest of the record was filed. It was submitted that as soon as the oversight was discovered the appellant applied for condonation for leave to file the exhibits</w:t>
      </w:r>
      <w:r w:rsidR="00E279F2">
        <w:rPr>
          <w:rFonts w:ascii="Arial" w:hAnsi="Arial" w:cs="Arial"/>
          <w:sz w:val="24"/>
          <w:szCs w:val="24"/>
        </w:rPr>
        <w:t>’</w:t>
      </w:r>
      <w:r>
        <w:rPr>
          <w:rFonts w:ascii="Arial" w:hAnsi="Arial" w:cs="Arial"/>
          <w:sz w:val="24"/>
          <w:szCs w:val="24"/>
        </w:rPr>
        <w:t xml:space="preserve"> vo</w:t>
      </w:r>
      <w:r w:rsidR="00B16A2E">
        <w:rPr>
          <w:rFonts w:ascii="Arial" w:hAnsi="Arial" w:cs="Arial"/>
          <w:sz w:val="24"/>
          <w:szCs w:val="24"/>
        </w:rPr>
        <w:t>lume</w:t>
      </w:r>
      <w:r>
        <w:rPr>
          <w:rFonts w:ascii="Arial" w:hAnsi="Arial" w:cs="Arial"/>
          <w:sz w:val="24"/>
          <w:szCs w:val="24"/>
        </w:rPr>
        <w:t xml:space="preserve">. He submitted that there are reasonable prospects of success on the merits of the appeal and submitted that the appeal is of major public importance and that the first respondent has not opposed </w:t>
      </w:r>
      <w:r w:rsidR="003E4DC1">
        <w:rPr>
          <w:rFonts w:ascii="Arial" w:hAnsi="Arial" w:cs="Arial"/>
          <w:sz w:val="24"/>
          <w:szCs w:val="24"/>
        </w:rPr>
        <w:t xml:space="preserve">the admission of the </w:t>
      </w:r>
      <w:r w:rsidR="0042643B">
        <w:rPr>
          <w:rFonts w:ascii="Arial" w:hAnsi="Arial" w:cs="Arial"/>
          <w:sz w:val="24"/>
          <w:szCs w:val="24"/>
        </w:rPr>
        <w:t>exhibits</w:t>
      </w:r>
      <w:r w:rsidR="00E279F2">
        <w:rPr>
          <w:rFonts w:ascii="Arial" w:hAnsi="Arial" w:cs="Arial"/>
          <w:sz w:val="24"/>
          <w:szCs w:val="24"/>
        </w:rPr>
        <w:t>’</w:t>
      </w:r>
      <w:r w:rsidR="0042643B">
        <w:rPr>
          <w:rFonts w:ascii="Arial" w:hAnsi="Arial" w:cs="Arial"/>
          <w:sz w:val="24"/>
          <w:szCs w:val="24"/>
        </w:rPr>
        <w:t xml:space="preserve"> </w:t>
      </w:r>
      <w:r w:rsidR="003E4DC1" w:rsidRPr="0042643B">
        <w:rPr>
          <w:rFonts w:ascii="Arial" w:hAnsi="Arial" w:cs="Arial"/>
          <w:sz w:val="24"/>
          <w:szCs w:val="24"/>
        </w:rPr>
        <w:t>volume</w:t>
      </w:r>
      <w:r w:rsidR="003B3FF1">
        <w:rPr>
          <w:rFonts w:ascii="Arial" w:hAnsi="Arial" w:cs="Arial"/>
          <w:sz w:val="24"/>
          <w:szCs w:val="24"/>
        </w:rPr>
        <w:t xml:space="preserve">. </w:t>
      </w:r>
      <w:r>
        <w:rPr>
          <w:rFonts w:ascii="Arial" w:hAnsi="Arial" w:cs="Arial"/>
          <w:sz w:val="24"/>
          <w:szCs w:val="24"/>
        </w:rPr>
        <w:t>Mr Budlender tender</w:t>
      </w:r>
      <w:r w:rsidR="003E4DC1">
        <w:rPr>
          <w:rFonts w:ascii="Arial" w:hAnsi="Arial" w:cs="Arial"/>
          <w:sz w:val="24"/>
          <w:szCs w:val="24"/>
        </w:rPr>
        <w:t xml:space="preserve">ed costs on an unopposed basis because it was contended that the application was not opposed. </w:t>
      </w:r>
    </w:p>
    <w:p w:rsidR="002A5D65" w:rsidRDefault="002A5D65" w:rsidP="002A5D65">
      <w:pPr>
        <w:pStyle w:val="NoSpacing"/>
        <w:spacing w:line="480" w:lineRule="auto"/>
        <w:jc w:val="both"/>
        <w:rPr>
          <w:rFonts w:ascii="Arial" w:hAnsi="Arial" w:cs="Arial"/>
          <w:sz w:val="24"/>
          <w:szCs w:val="24"/>
        </w:rPr>
      </w:pPr>
    </w:p>
    <w:p w:rsidR="002A5D65" w:rsidRPr="003E4DC1" w:rsidRDefault="00674392" w:rsidP="003E4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Dealing with the point taken in first respondent’s heads of argument that the appeal has lapsed and there is no application for reinstatement of the appeal, based on the fact that the exhibits</w:t>
      </w:r>
      <w:r w:rsidR="00E279F2">
        <w:rPr>
          <w:rFonts w:ascii="Arial" w:hAnsi="Arial" w:cs="Arial"/>
          <w:sz w:val="24"/>
          <w:szCs w:val="24"/>
        </w:rPr>
        <w:t>’</w:t>
      </w:r>
      <w:r>
        <w:rPr>
          <w:rFonts w:ascii="Arial" w:hAnsi="Arial" w:cs="Arial"/>
          <w:sz w:val="24"/>
          <w:szCs w:val="24"/>
        </w:rPr>
        <w:t xml:space="preserve"> </w:t>
      </w:r>
      <w:r w:rsidR="0075062E">
        <w:rPr>
          <w:rFonts w:ascii="Arial" w:hAnsi="Arial" w:cs="Arial"/>
          <w:sz w:val="24"/>
          <w:szCs w:val="24"/>
        </w:rPr>
        <w:t>volume</w:t>
      </w:r>
      <w:r>
        <w:rPr>
          <w:rFonts w:ascii="Arial" w:hAnsi="Arial" w:cs="Arial"/>
          <w:sz w:val="24"/>
          <w:szCs w:val="24"/>
        </w:rPr>
        <w:t xml:space="preserve"> had not been separately certified by the registrar </w:t>
      </w:r>
      <w:r>
        <w:rPr>
          <w:rFonts w:ascii="Arial" w:hAnsi="Arial" w:cs="Arial"/>
          <w:sz w:val="24"/>
          <w:szCs w:val="24"/>
        </w:rPr>
        <w:lastRenderedPageBreak/>
        <w:t xml:space="preserve">of the court </w:t>
      </w:r>
      <w:r w:rsidRPr="00674392">
        <w:rPr>
          <w:rFonts w:ascii="Arial" w:hAnsi="Arial" w:cs="Arial"/>
          <w:i/>
          <w:sz w:val="24"/>
          <w:szCs w:val="24"/>
        </w:rPr>
        <w:t>a quo</w:t>
      </w:r>
      <w:r>
        <w:rPr>
          <w:rFonts w:ascii="Arial" w:hAnsi="Arial" w:cs="Arial"/>
          <w:sz w:val="24"/>
          <w:szCs w:val="24"/>
        </w:rPr>
        <w:t xml:space="preserve">, </w:t>
      </w:r>
      <w:r w:rsidR="003E4DC1">
        <w:rPr>
          <w:rFonts w:ascii="Arial" w:hAnsi="Arial" w:cs="Arial"/>
          <w:sz w:val="24"/>
          <w:szCs w:val="24"/>
        </w:rPr>
        <w:t xml:space="preserve">Mr Budlender submitted </w:t>
      </w:r>
      <w:r>
        <w:rPr>
          <w:rFonts w:ascii="Arial" w:hAnsi="Arial" w:cs="Arial"/>
          <w:sz w:val="24"/>
          <w:szCs w:val="24"/>
        </w:rPr>
        <w:t xml:space="preserve">that there could hardly be a more technical and non-material complaint than this complaint by the first respondent. </w:t>
      </w:r>
      <w:r w:rsidR="003E4DC1" w:rsidRPr="003E4DC1">
        <w:rPr>
          <w:rFonts w:ascii="Arial" w:hAnsi="Arial" w:cs="Arial"/>
          <w:sz w:val="24"/>
          <w:szCs w:val="24"/>
        </w:rPr>
        <w:t>In this regard i</w:t>
      </w:r>
      <w:r w:rsidRPr="003E4DC1">
        <w:rPr>
          <w:rFonts w:ascii="Arial" w:hAnsi="Arial" w:cs="Arial"/>
          <w:sz w:val="24"/>
          <w:szCs w:val="24"/>
        </w:rPr>
        <w:t>t was submitted</w:t>
      </w:r>
      <w:r w:rsidR="003E4DC1">
        <w:rPr>
          <w:rFonts w:ascii="Arial" w:hAnsi="Arial" w:cs="Arial"/>
          <w:sz w:val="24"/>
          <w:szCs w:val="24"/>
        </w:rPr>
        <w:t>,</w:t>
      </w:r>
      <w:r w:rsidRPr="003E4DC1">
        <w:rPr>
          <w:rFonts w:ascii="Arial" w:hAnsi="Arial" w:cs="Arial"/>
          <w:sz w:val="24"/>
          <w:szCs w:val="24"/>
        </w:rPr>
        <w:t xml:space="preserve"> in the first instance</w:t>
      </w:r>
      <w:r w:rsidR="003E4DC1">
        <w:rPr>
          <w:rFonts w:ascii="Arial" w:hAnsi="Arial" w:cs="Arial"/>
          <w:sz w:val="24"/>
          <w:szCs w:val="24"/>
        </w:rPr>
        <w:t>,</w:t>
      </w:r>
      <w:r w:rsidRPr="003E4DC1">
        <w:rPr>
          <w:rFonts w:ascii="Arial" w:hAnsi="Arial" w:cs="Arial"/>
          <w:sz w:val="24"/>
          <w:szCs w:val="24"/>
        </w:rPr>
        <w:t xml:space="preserve"> that the initial record was certified by the court </w:t>
      </w:r>
      <w:r w:rsidRPr="003E4DC1">
        <w:rPr>
          <w:rFonts w:ascii="Arial" w:hAnsi="Arial" w:cs="Arial"/>
          <w:i/>
          <w:sz w:val="24"/>
          <w:szCs w:val="24"/>
        </w:rPr>
        <w:t>a quo</w:t>
      </w:r>
      <w:r w:rsidRPr="003E4DC1">
        <w:rPr>
          <w:rFonts w:ascii="Arial" w:hAnsi="Arial" w:cs="Arial"/>
          <w:sz w:val="24"/>
          <w:szCs w:val="24"/>
        </w:rPr>
        <w:t>, secondly, if the first application is granted, the exhibits</w:t>
      </w:r>
      <w:r w:rsidR="00E279F2">
        <w:rPr>
          <w:rFonts w:ascii="Arial" w:hAnsi="Arial" w:cs="Arial"/>
          <w:sz w:val="24"/>
          <w:szCs w:val="24"/>
        </w:rPr>
        <w:t>’</w:t>
      </w:r>
      <w:r w:rsidRPr="003E4DC1">
        <w:rPr>
          <w:rFonts w:ascii="Arial" w:hAnsi="Arial" w:cs="Arial"/>
          <w:sz w:val="24"/>
          <w:szCs w:val="24"/>
        </w:rPr>
        <w:t xml:space="preserve"> </w:t>
      </w:r>
      <w:r w:rsidR="003E4DC1" w:rsidRPr="003E4DC1">
        <w:rPr>
          <w:rFonts w:ascii="Arial" w:hAnsi="Arial" w:cs="Arial"/>
          <w:sz w:val="24"/>
          <w:szCs w:val="24"/>
        </w:rPr>
        <w:t>volume</w:t>
      </w:r>
      <w:r w:rsidRPr="003E4DC1">
        <w:rPr>
          <w:rFonts w:ascii="Arial" w:hAnsi="Arial" w:cs="Arial"/>
          <w:sz w:val="24"/>
          <w:szCs w:val="24"/>
        </w:rPr>
        <w:t xml:space="preserve"> will be part of the appeal record before this court. It was submitted that it is not disputed that this exhibits</w:t>
      </w:r>
      <w:r w:rsidR="00E279F2">
        <w:rPr>
          <w:rFonts w:ascii="Arial" w:hAnsi="Arial" w:cs="Arial"/>
          <w:sz w:val="24"/>
          <w:szCs w:val="24"/>
        </w:rPr>
        <w:t>’</w:t>
      </w:r>
      <w:r w:rsidRPr="003E4DC1">
        <w:rPr>
          <w:rFonts w:ascii="Arial" w:hAnsi="Arial" w:cs="Arial"/>
          <w:sz w:val="24"/>
          <w:szCs w:val="24"/>
        </w:rPr>
        <w:t xml:space="preserve"> volume was part of the exhibits before the court </w:t>
      </w:r>
      <w:r w:rsidRPr="003E4DC1">
        <w:rPr>
          <w:rFonts w:ascii="Arial" w:hAnsi="Arial" w:cs="Arial"/>
          <w:i/>
          <w:sz w:val="24"/>
          <w:szCs w:val="24"/>
        </w:rPr>
        <w:t>a quo</w:t>
      </w:r>
      <w:r w:rsidRPr="003E4DC1">
        <w:rPr>
          <w:rFonts w:ascii="Arial" w:hAnsi="Arial" w:cs="Arial"/>
          <w:sz w:val="24"/>
          <w:szCs w:val="24"/>
        </w:rPr>
        <w:t xml:space="preserve"> and it is common cause that the </w:t>
      </w:r>
      <w:r w:rsidR="002B202E">
        <w:rPr>
          <w:rFonts w:ascii="Arial" w:hAnsi="Arial" w:cs="Arial"/>
          <w:sz w:val="24"/>
          <w:szCs w:val="24"/>
        </w:rPr>
        <w:t xml:space="preserve">first </w:t>
      </w:r>
      <w:r w:rsidRPr="003E4DC1">
        <w:rPr>
          <w:rFonts w:ascii="Arial" w:hAnsi="Arial" w:cs="Arial"/>
          <w:sz w:val="24"/>
          <w:szCs w:val="24"/>
        </w:rPr>
        <w:t xml:space="preserve">respondent suffered no prejudice. </w:t>
      </w:r>
      <w:r w:rsidR="00E528A4" w:rsidRPr="003E4DC1">
        <w:rPr>
          <w:rFonts w:ascii="Arial" w:hAnsi="Arial" w:cs="Arial"/>
          <w:sz w:val="24"/>
          <w:szCs w:val="24"/>
        </w:rPr>
        <w:t xml:space="preserve">It was </w:t>
      </w:r>
      <w:r w:rsidR="008724BB">
        <w:rPr>
          <w:rFonts w:ascii="Arial" w:hAnsi="Arial" w:cs="Arial"/>
          <w:sz w:val="24"/>
          <w:szCs w:val="24"/>
        </w:rPr>
        <w:t xml:space="preserve">further </w:t>
      </w:r>
      <w:r w:rsidR="00E528A4" w:rsidRPr="003E4DC1">
        <w:rPr>
          <w:rFonts w:ascii="Arial" w:hAnsi="Arial" w:cs="Arial"/>
          <w:sz w:val="24"/>
          <w:szCs w:val="24"/>
        </w:rPr>
        <w:t xml:space="preserve">submitted that this oversight was not of such a nature that it was so glaring, flagrant, and inexplicable that condonation should be refused without the need to consider the merits of </w:t>
      </w:r>
      <w:r w:rsidR="002B202E">
        <w:rPr>
          <w:rFonts w:ascii="Arial" w:hAnsi="Arial" w:cs="Arial"/>
          <w:sz w:val="24"/>
          <w:szCs w:val="24"/>
        </w:rPr>
        <w:t xml:space="preserve">the </w:t>
      </w:r>
      <w:r w:rsidR="00E528A4" w:rsidRPr="003E4DC1">
        <w:rPr>
          <w:rFonts w:ascii="Arial" w:hAnsi="Arial" w:cs="Arial"/>
          <w:sz w:val="24"/>
          <w:szCs w:val="24"/>
        </w:rPr>
        <w:t xml:space="preserve">appeal. </w:t>
      </w:r>
    </w:p>
    <w:p w:rsidR="002A5D65" w:rsidRDefault="002A5D65" w:rsidP="002A5D65">
      <w:pPr>
        <w:pStyle w:val="NoSpacing"/>
        <w:spacing w:line="480" w:lineRule="auto"/>
        <w:jc w:val="both"/>
        <w:rPr>
          <w:rFonts w:ascii="Arial" w:hAnsi="Arial" w:cs="Arial"/>
          <w:sz w:val="24"/>
          <w:szCs w:val="24"/>
        </w:rPr>
      </w:pPr>
    </w:p>
    <w:p w:rsidR="002A5D65" w:rsidRDefault="003D6706"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MacWilliam who appeared on behalf of the first respondent referred to the litany of breaches of the Rules of Court but conceded that if the condonation is granted and the appeal reinstated</w:t>
      </w:r>
      <w:r w:rsidR="001C2D1E">
        <w:rPr>
          <w:rFonts w:ascii="Arial" w:hAnsi="Arial" w:cs="Arial"/>
          <w:sz w:val="24"/>
          <w:szCs w:val="24"/>
        </w:rPr>
        <w:t>,</w:t>
      </w:r>
      <w:r>
        <w:rPr>
          <w:rFonts w:ascii="Arial" w:hAnsi="Arial" w:cs="Arial"/>
          <w:sz w:val="24"/>
          <w:szCs w:val="24"/>
        </w:rPr>
        <w:t xml:space="preserve"> first respondent cannot say that it has been </w:t>
      </w:r>
      <w:r w:rsidR="00674392">
        <w:rPr>
          <w:rFonts w:ascii="Arial" w:hAnsi="Arial" w:cs="Arial"/>
          <w:sz w:val="24"/>
          <w:szCs w:val="24"/>
        </w:rPr>
        <w:t>prejudiced. Costs had been tendered with the result that the decision in respect of the three applications for condonation and the application for reinstatement is left in the hands of this court.</w:t>
      </w:r>
    </w:p>
    <w:p w:rsidR="002A5D65" w:rsidRDefault="002A5D65" w:rsidP="002A5D65">
      <w:pPr>
        <w:pStyle w:val="NoSpacing"/>
        <w:spacing w:line="480" w:lineRule="auto"/>
        <w:jc w:val="both"/>
        <w:rPr>
          <w:rFonts w:ascii="Arial" w:hAnsi="Arial" w:cs="Arial"/>
          <w:sz w:val="24"/>
          <w:szCs w:val="24"/>
        </w:rPr>
      </w:pPr>
    </w:p>
    <w:p w:rsidR="002A5D65" w:rsidRDefault="003D6706" w:rsidP="002A5D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now proceed to c</w:t>
      </w:r>
      <w:r w:rsidR="0042643B">
        <w:rPr>
          <w:rFonts w:ascii="Arial" w:hAnsi="Arial" w:cs="Arial"/>
          <w:sz w:val="24"/>
          <w:szCs w:val="24"/>
        </w:rPr>
        <w:t>onsider the prospect</w:t>
      </w:r>
      <w:r w:rsidR="003D720B">
        <w:rPr>
          <w:rFonts w:ascii="Arial" w:hAnsi="Arial" w:cs="Arial"/>
          <w:sz w:val="24"/>
          <w:szCs w:val="24"/>
        </w:rPr>
        <w:t>s</w:t>
      </w:r>
      <w:r w:rsidR="0042643B">
        <w:rPr>
          <w:rFonts w:ascii="Arial" w:hAnsi="Arial" w:cs="Arial"/>
          <w:sz w:val="24"/>
          <w:szCs w:val="24"/>
        </w:rPr>
        <w:t xml:space="preserve"> of success on appeal as the second leg of the condonation application and shall first deal with the </w:t>
      </w:r>
      <w:r w:rsidR="003D720B">
        <w:rPr>
          <w:rFonts w:ascii="Arial" w:hAnsi="Arial" w:cs="Arial"/>
          <w:sz w:val="24"/>
          <w:szCs w:val="24"/>
        </w:rPr>
        <w:t>factual background which is common cause.</w:t>
      </w:r>
    </w:p>
    <w:p w:rsidR="001C2D1E" w:rsidRDefault="001C2D1E" w:rsidP="00A931ED">
      <w:pPr>
        <w:pStyle w:val="NoSpacing"/>
        <w:spacing w:line="480" w:lineRule="auto"/>
        <w:jc w:val="both"/>
        <w:rPr>
          <w:rFonts w:ascii="Arial" w:hAnsi="Arial" w:cs="Arial"/>
          <w:sz w:val="24"/>
          <w:szCs w:val="24"/>
        </w:rPr>
      </w:pPr>
    </w:p>
    <w:p w:rsidR="00842F4A" w:rsidRPr="00166A2F" w:rsidRDefault="00B92B91" w:rsidP="00A931ED">
      <w:pPr>
        <w:pStyle w:val="NoSpacing"/>
        <w:spacing w:line="480" w:lineRule="auto"/>
        <w:jc w:val="both"/>
        <w:rPr>
          <w:rFonts w:ascii="Arial" w:hAnsi="Arial" w:cs="Arial"/>
          <w:sz w:val="24"/>
          <w:szCs w:val="24"/>
          <w:u w:val="single"/>
        </w:rPr>
      </w:pPr>
      <w:r>
        <w:rPr>
          <w:rFonts w:ascii="Arial" w:hAnsi="Arial" w:cs="Arial"/>
          <w:sz w:val="24"/>
          <w:szCs w:val="24"/>
          <w:u w:val="single"/>
        </w:rPr>
        <w:t>Factual b</w:t>
      </w:r>
      <w:r w:rsidR="00166A2F" w:rsidRPr="00166A2F">
        <w:rPr>
          <w:rFonts w:ascii="Arial" w:hAnsi="Arial" w:cs="Arial"/>
          <w:sz w:val="24"/>
          <w:szCs w:val="24"/>
          <w:u w:val="single"/>
        </w:rPr>
        <w:t>ackground</w:t>
      </w:r>
    </w:p>
    <w:p w:rsidR="00A931ED" w:rsidRDefault="00857944"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respondent is the exclusive bargaining agent on behalf of teachers at primary and secondary levels, principals as well as educators at colleges and training </w:t>
      </w:r>
      <w:r>
        <w:rPr>
          <w:rFonts w:ascii="Arial" w:hAnsi="Arial" w:cs="Arial"/>
          <w:sz w:val="24"/>
          <w:szCs w:val="24"/>
        </w:rPr>
        <w:lastRenderedPageBreak/>
        <w:t xml:space="preserve">centres. The first </w:t>
      </w:r>
      <w:r w:rsidR="00210213">
        <w:rPr>
          <w:rFonts w:ascii="Arial" w:hAnsi="Arial" w:cs="Arial"/>
          <w:sz w:val="24"/>
          <w:szCs w:val="24"/>
        </w:rPr>
        <w:t>respondent and the appellant together with the Namibian Public Workers</w:t>
      </w:r>
      <w:r w:rsidR="0077243D">
        <w:rPr>
          <w:rFonts w:ascii="Arial" w:hAnsi="Arial" w:cs="Arial"/>
          <w:sz w:val="24"/>
          <w:szCs w:val="24"/>
        </w:rPr>
        <w:t xml:space="preserve"> Union (NAPWU) entered into a Memorandum of U</w:t>
      </w:r>
      <w:r w:rsidR="00210213">
        <w:rPr>
          <w:rFonts w:ascii="Arial" w:hAnsi="Arial" w:cs="Arial"/>
          <w:sz w:val="24"/>
          <w:szCs w:val="24"/>
        </w:rPr>
        <w:t xml:space="preserve">nderstanding </w:t>
      </w:r>
      <w:r w:rsidR="0077243D">
        <w:rPr>
          <w:rFonts w:ascii="Arial" w:hAnsi="Arial" w:cs="Arial"/>
          <w:sz w:val="24"/>
          <w:szCs w:val="24"/>
        </w:rPr>
        <w:t xml:space="preserve">(MoU) </w:t>
      </w:r>
      <w:r w:rsidR="00210213">
        <w:rPr>
          <w:rFonts w:ascii="Arial" w:hAnsi="Arial" w:cs="Arial"/>
          <w:sz w:val="24"/>
          <w:szCs w:val="24"/>
        </w:rPr>
        <w:t xml:space="preserve">on                             23 January 2009 in terms of which the parties agreed and endorsed that ‘the matter of School Principals and incentives for teachers submitted to the </w:t>
      </w:r>
      <w:r w:rsidR="00A749E2">
        <w:rPr>
          <w:rFonts w:ascii="Arial" w:hAnsi="Arial" w:cs="Arial"/>
          <w:sz w:val="24"/>
          <w:szCs w:val="24"/>
        </w:rPr>
        <w:t>Office of the Prime Minister be finalised and implemented from 1 April 2009’. Subsequently</w:t>
      </w:r>
      <w:r w:rsidR="001C2D1E">
        <w:rPr>
          <w:rFonts w:ascii="Arial" w:hAnsi="Arial" w:cs="Arial"/>
          <w:sz w:val="24"/>
          <w:szCs w:val="24"/>
        </w:rPr>
        <w:t>,</w:t>
      </w:r>
      <w:r w:rsidR="00A749E2">
        <w:rPr>
          <w:rFonts w:ascii="Arial" w:hAnsi="Arial" w:cs="Arial"/>
          <w:sz w:val="24"/>
          <w:szCs w:val="24"/>
        </w:rPr>
        <w:t xml:space="preserve"> the Office of the Prime Minister issued a circular dated 11 September 2009 introducing a monthly recruitment and retention incentive for qualified teachers at rur</w:t>
      </w:r>
      <w:r w:rsidR="003C5F45">
        <w:rPr>
          <w:rFonts w:ascii="Arial" w:hAnsi="Arial" w:cs="Arial"/>
          <w:sz w:val="24"/>
          <w:szCs w:val="24"/>
        </w:rPr>
        <w:t>al schools in specific amounts.</w:t>
      </w:r>
      <w:r w:rsidR="003C5F45">
        <w:rPr>
          <w:rStyle w:val="FootnoteReference"/>
          <w:rFonts w:ascii="Arial" w:hAnsi="Arial" w:cs="Arial"/>
          <w:sz w:val="24"/>
          <w:szCs w:val="24"/>
        </w:rPr>
        <w:footnoteReference w:id="1"/>
      </w:r>
    </w:p>
    <w:p w:rsidR="00A931ED" w:rsidRDefault="00A931ED" w:rsidP="00A931ED">
      <w:pPr>
        <w:pStyle w:val="NoSpacing"/>
        <w:spacing w:line="480" w:lineRule="auto"/>
        <w:jc w:val="both"/>
        <w:rPr>
          <w:rFonts w:ascii="Arial" w:hAnsi="Arial" w:cs="Arial"/>
          <w:sz w:val="24"/>
          <w:szCs w:val="24"/>
        </w:rPr>
      </w:pPr>
    </w:p>
    <w:p w:rsidR="00A931ED" w:rsidRDefault="00A749E2"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a result of the non-implementation of the </w:t>
      </w:r>
      <w:r w:rsidR="0077243D">
        <w:rPr>
          <w:rFonts w:ascii="Arial" w:hAnsi="Arial" w:cs="Arial"/>
          <w:sz w:val="24"/>
          <w:szCs w:val="24"/>
        </w:rPr>
        <w:t>MoU</w:t>
      </w:r>
      <w:r>
        <w:rPr>
          <w:rFonts w:ascii="Arial" w:hAnsi="Arial" w:cs="Arial"/>
          <w:sz w:val="24"/>
          <w:szCs w:val="24"/>
        </w:rPr>
        <w:t xml:space="preserve"> read with the circular from the Office of the Prime Minister</w:t>
      </w:r>
      <w:r w:rsidR="001C2D1E">
        <w:rPr>
          <w:rFonts w:ascii="Arial" w:hAnsi="Arial" w:cs="Arial"/>
          <w:sz w:val="24"/>
          <w:szCs w:val="24"/>
        </w:rPr>
        <w:t>,</w:t>
      </w:r>
      <w:r>
        <w:rPr>
          <w:rFonts w:ascii="Arial" w:hAnsi="Arial" w:cs="Arial"/>
          <w:sz w:val="24"/>
          <w:szCs w:val="24"/>
        </w:rPr>
        <w:t xml:space="preserve"> the first respondent declared a dispute with the O</w:t>
      </w:r>
      <w:r w:rsidR="00AD04F2">
        <w:rPr>
          <w:rFonts w:ascii="Arial" w:hAnsi="Arial" w:cs="Arial"/>
          <w:sz w:val="24"/>
          <w:szCs w:val="24"/>
        </w:rPr>
        <w:t>ffice of the Labour Commissioner. The proceedings before the Labour Commissioner culminated in a document which was referred to by the parties as a ‘collective settlement agreement’ and</w:t>
      </w:r>
      <w:r w:rsidR="0077243D">
        <w:rPr>
          <w:rFonts w:ascii="Arial" w:hAnsi="Arial" w:cs="Arial"/>
          <w:sz w:val="24"/>
          <w:szCs w:val="24"/>
        </w:rPr>
        <w:t xml:space="preserve"> was signed by the parties on </w:t>
      </w:r>
      <w:r w:rsidR="00AD04F2">
        <w:rPr>
          <w:rFonts w:ascii="Arial" w:hAnsi="Arial" w:cs="Arial"/>
          <w:sz w:val="24"/>
          <w:szCs w:val="24"/>
        </w:rPr>
        <w:t>10 November 2010. The terms of this agreement insofar as it relates to the recruitment and retention incentives for qualified teachers reads as follows:</w:t>
      </w:r>
    </w:p>
    <w:p w:rsidR="001C2D1E" w:rsidRDefault="001C2D1E" w:rsidP="001C2D1E">
      <w:pPr>
        <w:pStyle w:val="NoSpacing"/>
        <w:spacing w:line="480" w:lineRule="auto"/>
        <w:jc w:val="both"/>
        <w:rPr>
          <w:rFonts w:ascii="Arial" w:hAnsi="Arial" w:cs="Arial"/>
          <w:sz w:val="24"/>
          <w:szCs w:val="24"/>
        </w:rPr>
      </w:pPr>
    </w:p>
    <w:p w:rsidR="00AD04F2" w:rsidRPr="00904336" w:rsidRDefault="00BE5F0E" w:rsidP="003C5F45">
      <w:pPr>
        <w:spacing w:after="0" w:line="360" w:lineRule="auto"/>
        <w:ind w:firstLine="720"/>
        <w:rPr>
          <w:rFonts w:ascii="Arial" w:hAnsi="Arial" w:cs="Arial"/>
          <w:b/>
          <w:u w:val="single"/>
        </w:rPr>
      </w:pPr>
      <w:r>
        <w:rPr>
          <w:rFonts w:ascii="Arial" w:hAnsi="Arial" w:cs="Arial"/>
          <w:u w:val="single"/>
        </w:rPr>
        <w:t>‘</w:t>
      </w:r>
      <w:r w:rsidR="00AD04F2" w:rsidRPr="00904336">
        <w:rPr>
          <w:rFonts w:ascii="Arial" w:hAnsi="Arial" w:cs="Arial"/>
          <w:b/>
          <w:u w:val="single"/>
        </w:rPr>
        <w:t>Implementation</w:t>
      </w:r>
      <w:r w:rsidR="00904336" w:rsidRPr="00904336">
        <w:rPr>
          <w:rFonts w:ascii="Arial" w:hAnsi="Arial" w:cs="Arial"/>
          <w:b/>
        </w:rPr>
        <w:t>:</w:t>
      </w:r>
    </w:p>
    <w:p w:rsidR="00904336" w:rsidRPr="003C5F45" w:rsidRDefault="00904336" w:rsidP="003C5F45">
      <w:pPr>
        <w:spacing w:after="0" w:line="360" w:lineRule="auto"/>
        <w:ind w:firstLine="720"/>
        <w:rPr>
          <w:rFonts w:ascii="Arial" w:hAnsi="Arial" w:cs="Arial"/>
          <w:u w:val="single"/>
        </w:rPr>
      </w:pPr>
    </w:p>
    <w:p w:rsidR="00AD04F2" w:rsidRPr="003C5F45" w:rsidRDefault="008F581D" w:rsidP="003C5F45">
      <w:pPr>
        <w:pStyle w:val="ListParagraph"/>
        <w:numPr>
          <w:ilvl w:val="1"/>
          <w:numId w:val="4"/>
        </w:numPr>
        <w:spacing w:after="0" w:line="360" w:lineRule="auto"/>
        <w:jc w:val="both"/>
        <w:rPr>
          <w:rFonts w:ascii="Arial" w:hAnsi="Arial" w:cs="Arial"/>
        </w:rPr>
      </w:pPr>
      <w:r w:rsidRPr="003C5F45">
        <w:rPr>
          <w:rFonts w:ascii="Arial" w:hAnsi="Arial" w:cs="Arial"/>
        </w:rPr>
        <w:t>that the GRN</w:t>
      </w:r>
      <w:r w:rsidRPr="003C5F45">
        <w:rPr>
          <w:rStyle w:val="FootnoteReference"/>
          <w:rFonts w:ascii="Arial" w:hAnsi="Arial" w:cs="Arial"/>
        </w:rPr>
        <w:footnoteReference w:id="2"/>
      </w:r>
      <w:r w:rsidRPr="003C5F45">
        <w:rPr>
          <w:rFonts w:ascii="Arial" w:hAnsi="Arial" w:cs="Arial"/>
        </w:rPr>
        <w:t xml:space="preserve"> will implement (pay) the recruitment and retention incentives to qualified teachers for fifteen (15) months (1</w:t>
      </w:r>
      <w:r w:rsidR="001C2D1E" w:rsidRPr="001C2D1E">
        <w:rPr>
          <w:rFonts w:ascii="Arial" w:hAnsi="Arial" w:cs="Arial"/>
          <w:vertAlign w:val="superscript"/>
        </w:rPr>
        <w:t>st</w:t>
      </w:r>
      <w:r w:rsidR="001C2D1E">
        <w:rPr>
          <w:rFonts w:ascii="Arial" w:hAnsi="Arial" w:cs="Arial"/>
        </w:rPr>
        <w:t xml:space="preserve"> </w:t>
      </w:r>
      <w:r w:rsidRPr="003C5F45">
        <w:rPr>
          <w:rFonts w:ascii="Arial" w:hAnsi="Arial" w:cs="Arial"/>
        </w:rPr>
        <w:t>April 2009 – 31</w:t>
      </w:r>
      <w:r w:rsidR="001C2D1E" w:rsidRPr="001C2D1E">
        <w:rPr>
          <w:rFonts w:ascii="Arial" w:hAnsi="Arial" w:cs="Arial"/>
          <w:vertAlign w:val="superscript"/>
        </w:rPr>
        <w:t>st</w:t>
      </w:r>
      <w:r w:rsidR="001C2D1E">
        <w:rPr>
          <w:rFonts w:ascii="Arial" w:hAnsi="Arial" w:cs="Arial"/>
        </w:rPr>
        <w:t xml:space="preserve"> </w:t>
      </w:r>
      <w:r w:rsidRPr="003C5F45">
        <w:rPr>
          <w:rFonts w:ascii="Arial" w:hAnsi="Arial" w:cs="Arial"/>
        </w:rPr>
        <w:t xml:space="preserve">June 2010) </w:t>
      </w:r>
      <w:r w:rsidR="001C2D1E">
        <w:rPr>
          <w:rFonts w:ascii="Arial" w:hAnsi="Arial" w:cs="Arial"/>
        </w:rPr>
        <w:t xml:space="preserve">as a once </w:t>
      </w:r>
      <w:r w:rsidR="003C5F45" w:rsidRPr="003C5F45">
        <w:rPr>
          <w:rFonts w:ascii="Arial" w:hAnsi="Arial" w:cs="Arial"/>
        </w:rPr>
        <w:t xml:space="preserve">off payment before </w:t>
      </w:r>
      <w:r w:rsidR="003C5F45" w:rsidRPr="00904336">
        <w:rPr>
          <w:rFonts w:ascii="Arial" w:hAnsi="Arial" w:cs="Arial"/>
          <w:b/>
          <w:u w:val="single"/>
        </w:rPr>
        <w:t>20</w:t>
      </w:r>
      <w:r w:rsidR="001C2D1E" w:rsidRPr="00904336">
        <w:rPr>
          <w:rFonts w:ascii="Arial" w:hAnsi="Arial" w:cs="Arial"/>
          <w:b/>
          <w:u w:val="single"/>
          <w:vertAlign w:val="superscript"/>
        </w:rPr>
        <w:t>th</w:t>
      </w:r>
      <w:r w:rsidR="001C2D1E" w:rsidRPr="00904336">
        <w:rPr>
          <w:rFonts w:ascii="Arial" w:hAnsi="Arial" w:cs="Arial"/>
          <w:b/>
          <w:u w:val="single"/>
        </w:rPr>
        <w:t xml:space="preserve"> </w:t>
      </w:r>
      <w:r w:rsidR="003C5F45" w:rsidRPr="00904336">
        <w:rPr>
          <w:rFonts w:ascii="Arial" w:hAnsi="Arial" w:cs="Arial"/>
          <w:b/>
          <w:u w:val="single"/>
        </w:rPr>
        <w:t>October 2010</w:t>
      </w:r>
      <w:r w:rsidR="001C2D1E" w:rsidRPr="001C2D1E">
        <w:rPr>
          <w:rFonts w:ascii="Arial" w:hAnsi="Arial" w:cs="Arial"/>
        </w:rPr>
        <w:t>,</w:t>
      </w:r>
    </w:p>
    <w:p w:rsidR="003C5F45" w:rsidRPr="003C5F45" w:rsidRDefault="003C5F45" w:rsidP="003C5F45">
      <w:pPr>
        <w:pStyle w:val="ListParagraph"/>
        <w:spacing w:after="0" w:line="360" w:lineRule="auto"/>
        <w:ind w:left="1440"/>
        <w:jc w:val="both"/>
        <w:rPr>
          <w:rFonts w:ascii="Arial" w:hAnsi="Arial" w:cs="Arial"/>
        </w:rPr>
      </w:pPr>
    </w:p>
    <w:p w:rsidR="003C5F45" w:rsidRPr="003C5F45" w:rsidRDefault="003C5F45" w:rsidP="003C5F45">
      <w:pPr>
        <w:pStyle w:val="ListParagraph"/>
        <w:numPr>
          <w:ilvl w:val="1"/>
          <w:numId w:val="4"/>
        </w:numPr>
        <w:spacing w:after="0" w:line="360" w:lineRule="auto"/>
        <w:jc w:val="both"/>
        <w:rPr>
          <w:rFonts w:ascii="Arial" w:hAnsi="Arial" w:cs="Arial"/>
        </w:rPr>
      </w:pPr>
      <w:r w:rsidRPr="003C5F45">
        <w:rPr>
          <w:rFonts w:ascii="Arial" w:hAnsi="Arial" w:cs="Arial"/>
        </w:rPr>
        <w:lastRenderedPageBreak/>
        <w:t xml:space="preserve">that the remaining nine (9) months (July 2010 – March 2011) recruitment and retention incentives </w:t>
      </w:r>
      <w:r w:rsidR="001C2D1E">
        <w:rPr>
          <w:rFonts w:ascii="Arial" w:hAnsi="Arial" w:cs="Arial"/>
        </w:rPr>
        <w:t xml:space="preserve">payment </w:t>
      </w:r>
      <w:r w:rsidRPr="003C5F45">
        <w:rPr>
          <w:rFonts w:ascii="Arial" w:hAnsi="Arial" w:cs="Arial"/>
        </w:rPr>
        <w:t xml:space="preserve">will be implemented (paid) </w:t>
      </w:r>
      <w:r w:rsidRPr="001C2D1E">
        <w:rPr>
          <w:rFonts w:ascii="Arial" w:hAnsi="Arial" w:cs="Arial"/>
          <w:b/>
          <w:i/>
          <w:u w:val="single"/>
        </w:rPr>
        <w:t xml:space="preserve">on </w:t>
      </w:r>
      <w:r w:rsidRPr="003C5F45">
        <w:rPr>
          <w:rFonts w:ascii="Arial" w:hAnsi="Arial" w:cs="Arial"/>
        </w:rPr>
        <w:t xml:space="preserve">or </w:t>
      </w:r>
      <w:r w:rsidRPr="001C2D1E">
        <w:rPr>
          <w:rFonts w:ascii="Arial" w:hAnsi="Arial" w:cs="Arial"/>
          <w:b/>
          <w:i/>
          <w:u w:val="single"/>
        </w:rPr>
        <w:t>before</w:t>
      </w:r>
      <w:r w:rsidRPr="003C5F45">
        <w:rPr>
          <w:rFonts w:ascii="Arial" w:hAnsi="Arial" w:cs="Arial"/>
        </w:rPr>
        <w:t xml:space="preserve"> </w:t>
      </w:r>
      <w:r w:rsidR="001C2D1E">
        <w:rPr>
          <w:rFonts w:ascii="Arial" w:hAnsi="Arial" w:cs="Arial"/>
        </w:rPr>
        <w:t xml:space="preserve">the </w:t>
      </w:r>
      <w:r w:rsidRPr="00904336">
        <w:rPr>
          <w:rFonts w:ascii="Arial" w:hAnsi="Arial" w:cs="Arial"/>
          <w:b/>
          <w:u w:val="single"/>
        </w:rPr>
        <w:t>20</w:t>
      </w:r>
      <w:r w:rsidR="001C2D1E" w:rsidRPr="00904336">
        <w:rPr>
          <w:rFonts w:ascii="Arial" w:hAnsi="Arial" w:cs="Arial"/>
          <w:b/>
          <w:u w:val="single"/>
          <w:vertAlign w:val="superscript"/>
        </w:rPr>
        <w:t>th</w:t>
      </w:r>
      <w:r w:rsidR="001C2D1E" w:rsidRPr="00904336">
        <w:rPr>
          <w:rFonts w:ascii="Arial" w:hAnsi="Arial" w:cs="Arial"/>
          <w:b/>
          <w:u w:val="single"/>
        </w:rPr>
        <w:t xml:space="preserve"> </w:t>
      </w:r>
      <w:r w:rsidRPr="00904336">
        <w:rPr>
          <w:rFonts w:ascii="Arial" w:hAnsi="Arial" w:cs="Arial"/>
          <w:b/>
          <w:u w:val="single"/>
        </w:rPr>
        <w:t>June 2011 provided that the National Budget is approved a month before this date</w:t>
      </w:r>
      <w:r w:rsidR="001C2D1E">
        <w:rPr>
          <w:rFonts w:ascii="Arial" w:hAnsi="Arial" w:cs="Arial"/>
        </w:rPr>
        <w:t>,</w:t>
      </w:r>
      <w:r w:rsidRPr="003C5F45">
        <w:rPr>
          <w:rFonts w:ascii="Arial" w:hAnsi="Arial" w:cs="Arial"/>
        </w:rPr>
        <w:t xml:space="preserve"> and</w:t>
      </w:r>
    </w:p>
    <w:p w:rsidR="003C5F45" w:rsidRPr="003C5F45" w:rsidRDefault="003C5F45" w:rsidP="003C5F45">
      <w:pPr>
        <w:pStyle w:val="ListParagraph"/>
        <w:spacing w:after="0" w:line="360" w:lineRule="auto"/>
        <w:jc w:val="both"/>
        <w:rPr>
          <w:rFonts w:ascii="Arial" w:hAnsi="Arial" w:cs="Arial"/>
        </w:rPr>
      </w:pPr>
    </w:p>
    <w:p w:rsidR="003C5F45" w:rsidRPr="003C5F45" w:rsidRDefault="001C2D1E" w:rsidP="003C5F45">
      <w:pPr>
        <w:pStyle w:val="ListParagraph"/>
        <w:numPr>
          <w:ilvl w:val="1"/>
          <w:numId w:val="4"/>
        </w:numPr>
        <w:spacing w:after="0" w:line="360" w:lineRule="auto"/>
        <w:jc w:val="both"/>
        <w:rPr>
          <w:rFonts w:ascii="Arial" w:hAnsi="Arial" w:cs="Arial"/>
        </w:rPr>
      </w:pPr>
      <w:r>
        <w:rPr>
          <w:rFonts w:ascii="Arial" w:hAnsi="Arial" w:cs="Arial"/>
        </w:rPr>
        <w:t>that as from the 1</w:t>
      </w:r>
      <w:r w:rsidRPr="001C2D1E">
        <w:rPr>
          <w:rFonts w:ascii="Arial" w:hAnsi="Arial" w:cs="Arial"/>
          <w:vertAlign w:val="superscript"/>
        </w:rPr>
        <w:t>st</w:t>
      </w:r>
      <w:r>
        <w:rPr>
          <w:rFonts w:ascii="Arial" w:hAnsi="Arial" w:cs="Arial"/>
        </w:rPr>
        <w:t xml:space="preserve"> </w:t>
      </w:r>
      <w:r w:rsidR="003C5F45" w:rsidRPr="003C5F45">
        <w:rPr>
          <w:rFonts w:ascii="Arial" w:hAnsi="Arial" w:cs="Arial"/>
        </w:rPr>
        <w:t>April 2011, incentives to qualified teachers will be incorporated into the Ministry’s Budget 2011/2012 and be paid on a monthly basis.’</w:t>
      </w:r>
    </w:p>
    <w:p w:rsidR="00AD04F2" w:rsidRPr="003C5F45" w:rsidRDefault="00AD04F2" w:rsidP="003C5F45">
      <w:pPr>
        <w:spacing w:after="0" w:line="480" w:lineRule="auto"/>
        <w:rPr>
          <w:rFonts w:ascii="Arial" w:hAnsi="Arial" w:cs="Arial"/>
          <w:sz w:val="24"/>
          <w:szCs w:val="24"/>
        </w:rPr>
      </w:pPr>
    </w:p>
    <w:p w:rsidR="00AD04F2" w:rsidRDefault="003C5F45"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incentive payable to qualified teachers was to recruit and retain qualified teachers in remote areas. The incentive did not accrue to all teachers such as those who were unqualified or to public service members or to other educators. </w:t>
      </w:r>
    </w:p>
    <w:p w:rsidR="00A931ED" w:rsidRDefault="00A931ED" w:rsidP="00A931ED">
      <w:pPr>
        <w:pStyle w:val="NoSpacing"/>
        <w:spacing w:line="480" w:lineRule="auto"/>
        <w:jc w:val="both"/>
        <w:rPr>
          <w:rFonts w:ascii="Arial" w:hAnsi="Arial" w:cs="Arial"/>
          <w:sz w:val="24"/>
          <w:szCs w:val="24"/>
        </w:rPr>
      </w:pPr>
    </w:p>
    <w:p w:rsidR="00A931ED" w:rsidRDefault="003C5F45"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Thereafter</w:t>
      </w:r>
      <w:r w:rsidR="001C2D1E">
        <w:rPr>
          <w:rFonts w:ascii="Arial" w:hAnsi="Arial" w:cs="Arial"/>
          <w:sz w:val="24"/>
          <w:szCs w:val="24"/>
        </w:rPr>
        <w:t>,</w:t>
      </w:r>
      <w:r>
        <w:rPr>
          <w:rFonts w:ascii="Arial" w:hAnsi="Arial" w:cs="Arial"/>
          <w:sz w:val="24"/>
          <w:szCs w:val="24"/>
        </w:rPr>
        <w:t xml:space="preserve"> on 8 November 2012 the parties</w:t>
      </w:r>
      <w:r w:rsidR="00B95A3C">
        <w:rPr>
          <w:rStyle w:val="FootnoteReference"/>
          <w:rFonts w:ascii="Arial" w:hAnsi="Arial" w:cs="Arial"/>
          <w:sz w:val="24"/>
          <w:szCs w:val="24"/>
        </w:rPr>
        <w:footnoteReference w:id="3"/>
      </w:r>
      <w:r>
        <w:rPr>
          <w:rFonts w:ascii="Arial" w:hAnsi="Arial" w:cs="Arial"/>
          <w:sz w:val="24"/>
          <w:szCs w:val="24"/>
        </w:rPr>
        <w:t xml:space="preserve"> entered into a collective agreement in terms of which the parties agreed to introduce a monthly incentive allowance for all public </w:t>
      </w:r>
      <w:r w:rsidR="00BE5F0E">
        <w:rPr>
          <w:rFonts w:ascii="Arial" w:hAnsi="Arial" w:cs="Arial"/>
          <w:sz w:val="24"/>
          <w:szCs w:val="24"/>
        </w:rPr>
        <w:t xml:space="preserve">service staff members stationed at duty stations classified as remote and hardship areas according to certain categories with effect from 1 November 2012. These categories and the amounts payable thereunder were exactly the same as the amounts and categories for the incentives which had been agreed during 2009 in respect of qualified teachers. This collective agreement did not contain any express provision excluding qualified teachers. </w:t>
      </w:r>
    </w:p>
    <w:p w:rsidR="00A931ED" w:rsidRDefault="00A931ED" w:rsidP="00A931ED">
      <w:pPr>
        <w:pStyle w:val="NoSpacing"/>
        <w:spacing w:line="480" w:lineRule="auto"/>
        <w:jc w:val="both"/>
        <w:rPr>
          <w:rFonts w:ascii="Arial" w:hAnsi="Arial" w:cs="Arial"/>
          <w:sz w:val="24"/>
          <w:szCs w:val="24"/>
        </w:rPr>
      </w:pPr>
    </w:p>
    <w:p w:rsidR="00A931ED" w:rsidRDefault="00191A18"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collective agreement was not implemented as initially agreed and on               7 October 2015 the parties signed an addendum to the November 2012 agreement to </w:t>
      </w:r>
      <w:r>
        <w:rPr>
          <w:rFonts w:ascii="Arial" w:hAnsi="Arial" w:cs="Arial"/>
          <w:sz w:val="24"/>
          <w:szCs w:val="24"/>
        </w:rPr>
        <w:lastRenderedPageBreak/>
        <w:t>the effect that the effective date for the payment of the remoteness and hardship allowance would be 1 April 2015.</w:t>
      </w:r>
    </w:p>
    <w:p w:rsidR="001C2D1E" w:rsidRDefault="001C2D1E" w:rsidP="001C2D1E">
      <w:pPr>
        <w:pStyle w:val="NoSpacing"/>
        <w:spacing w:line="480" w:lineRule="auto"/>
        <w:jc w:val="both"/>
        <w:rPr>
          <w:rFonts w:ascii="Arial" w:hAnsi="Arial" w:cs="Arial"/>
          <w:sz w:val="24"/>
          <w:szCs w:val="24"/>
        </w:rPr>
      </w:pPr>
    </w:p>
    <w:p w:rsidR="00A931ED" w:rsidRDefault="00191A18"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letter </w:t>
      </w:r>
      <w:r w:rsidRPr="00407F82">
        <w:rPr>
          <w:rFonts w:ascii="Arial" w:hAnsi="Arial" w:cs="Arial"/>
          <w:sz w:val="24"/>
          <w:szCs w:val="24"/>
        </w:rPr>
        <w:t xml:space="preserve">dated </w:t>
      </w:r>
      <w:r w:rsidR="007C34DE">
        <w:rPr>
          <w:rFonts w:ascii="Arial" w:hAnsi="Arial" w:cs="Arial"/>
          <w:sz w:val="24"/>
          <w:szCs w:val="24"/>
        </w:rPr>
        <w:t>5</w:t>
      </w:r>
      <w:r>
        <w:rPr>
          <w:rFonts w:ascii="Arial" w:hAnsi="Arial" w:cs="Arial"/>
          <w:sz w:val="24"/>
          <w:szCs w:val="24"/>
        </w:rPr>
        <w:t xml:space="preserve"> October 2015 to the Prime Minister </w:t>
      </w:r>
      <w:r w:rsidR="0096003B">
        <w:rPr>
          <w:rFonts w:ascii="Arial" w:hAnsi="Arial" w:cs="Arial"/>
          <w:sz w:val="24"/>
          <w:szCs w:val="24"/>
        </w:rPr>
        <w:t xml:space="preserve">the first respondent </w:t>
      </w:r>
      <w:r>
        <w:rPr>
          <w:rFonts w:ascii="Arial" w:hAnsi="Arial" w:cs="Arial"/>
          <w:sz w:val="24"/>
          <w:szCs w:val="24"/>
        </w:rPr>
        <w:t>s</w:t>
      </w:r>
      <w:r w:rsidR="00B92B91">
        <w:rPr>
          <w:rFonts w:ascii="Arial" w:hAnsi="Arial" w:cs="Arial"/>
          <w:sz w:val="24"/>
          <w:szCs w:val="24"/>
        </w:rPr>
        <w:t>ought</w:t>
      </w:r>
      <w:r>
        <w:rPr>
          <w:rFonts w:ascii="Arial" w:hAnsi="Arial" w:cs="Arial"/>
          <w:sz w:val="24"/>
          <w:szCs w:val="24"/>
        </w:rPr>
        <w:t xml:space="preserve"> confirmation of its understanding of the collective agreement of 8 November 2012, namely that the ‘envisaged incentive is for all staff members</w:t>
      </w:r>
      <w:r w:rsidR="00904336">
        <w:rPr>
          <w:rFonts w:ascii="Arial" w:hAnsi="Arial" w:cs="Arial"/>
          <w:sz w:val="24"/>
          <w:szCs w:val="24"/>
        </w:rPr>
        <w:t>,</w:t>
      </w:r>
      <w:r>
        <w:rPr>
          <w:rFonts w:ascii="Arial" w:hAnsi="Arial" w:cs="Arial"/>
          <w:sz w:val="24"/>
          <w:szCs w:val="24"/>
        </w:rPr>
        <w:t xml:space="preserve"> including qualified teachers’. It was also stated that the enquiry was intended to ensure that the November 2012 incentive was not to be ‘confused’ with the 2009 incentive which applied specifically to qualified teachers. </w:t>
      </w:r>
    </w:p>
    <w:p w:rsidR="00A931ED" w:rsidRDefault="00A931ED" w:rsidP="00A931ED">
      <w:pPr>
        <w:pStyle w:val="NoSpacing"/>
        <w:spacing w:line="480" w:lineRule="auto"/>
        <w:jc w:val="both"/>
        <w:rPr>
          <w:rFonts w:ascii="Arial" w:hAnsi="Arial" w:cs="Arial"/>
          <w:sz w:val="24"/>
          <w:szCs w:val="24"/>
        </w:rPr>
      </w:pPr>
    </w:p>
    <w:p w:rsidR="00A931ED" w:rsidRDefault="00C537E5"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Prime Minister responded to the first respondent’s letter </w:t>
      </w:r>
      <w:r w:rsidR="00D164F6">
        <w:rPr>
          <w:rFonts w:ascii="Arial" w:hAnsi="Arial" w:cs="Arial"/>
          <w:sz w:val="24"/>
          <w:szCs w:val="24"/>
        </w:rPr>
        <w:t xml:space="preserve">a month later </w:t>
      </w:r>
      <w:r>
        <w:rPr>
          <w:rFonts w:ascii="Arial" w:hAnsi="Arial" w:cs="Arial"/>
          <w:sz w:val="24"/>
          <w:szCs w:val="24"/>
        </w:rPr>
        <w:t>on</w:t>
      </w:r>
      <w:r w:rsidR="00D164F6">
        <w:rPr>
          <w:rFonts w:ascii="Arial" w:hAnsi="Arial" w:cs="Arial"/>
          <w:sz w:val="24"/>
          <w:szCs w:val="24"/>
        </w:rPr>
        <w:t xml:space="preserve">        </w:t>
      </w:r>
      <w:r>
        <w:rPr>
          <w:rFonts w:ascii="Arial" w:hAnsi="Arial" w:cs="Arial"/>
          <w:sz w:val="24"/>
          <w:szCs w:val="24"/>
        </w:rPr>
        <w:t xml:space="preserve"> 5 November 2015 pointing out that the November 2012 agreement extended the incentive awarded to teacher</w:t>
      </w:r>
      <w:r w:rsidR="0096003B">
        <w:rPr>
          <w:rFonts w:ascii="Arial" w:hAnsi="Arial" w:cs="Arial"/>
          <w:sz w:val="24"/>
          <w:szCs w:val="24"/>
        </w:rPr>
        <w:t>s</w:t>
      </w:r>
      <w:r>
        <w:rPr>
          <w:rFonts w:ascii="Arial" w:hAnsi="Arial" w:cs="Arial"/>
          <w:sz w:val="24"/>
          <w:szCs w:val="24"/>
        </w:rPr>
        <w:t xml:space="preserve"> in 2009, to all staff members </w:t>
      </w:r>
      <w:r w:rsidR="006B3B1D">
        <w:rPr>
          <w:rFonts w:ascii="Arial" w:hAnsi="Arial" w:cs="Arial"/>
          <w:sz w:val="24"/>
          <w:szCs w:val="24"/>
        </w:rPr>
        <w:t>stationed at duty stations classified as remote and hardship areas ‘thus harmonising the two incentives into one’.</w:t>
      </w:r>
    </w:p>
    <w:p w:rsidR="00A931ED" w:rsidRDefault="00A931ED" w:rsidP="00A931ED">
      <w:pPr>
        <w:pStyle w:val="NoSpacing"/>
        <w:spacing w:line="480" w:lineRule="auto"/>
        <w:jc w:val="both"/>
        <w:rPr>
          <w:rFonts w:ascii="Arial" w:hAnsi="Arial" w:cs="Arial"/>
          <w:sz w:val="24"/>
          <w:szCs w:val="24"/>
        </w:rPr>
      </w:pPr>
    </w:p>
    <w:p w:rsidR="00A931ED" w:rsidRDefault="006B3B1D"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letter further stated that both incentives were tailored to address the </w:t>
      </w:r>
      <w:r w:rsidR="0096003B">
        <w:rPr>
          <w:rFonts w:ascii="Arial" w:hAnsi="Arial" w:cs="Arial"/>
          <w:sz w:val="24"/>
          <w:szCs w:val="24"/>
        </w:rPr>
        <w:t>same concern namely the employer</w:t>
      </w:r>
      <w:r>
        <w:rPr>
          <w:rFonts w:ascii="Arial" w:hAnsi="Arial" w:cs="Arial"/>
          <w:sz w:val="24"/>
          <w:szCs w:val="24"/>
        </w:rPr>
        <w:t xml:space="preserve">’s concern relating to the attraction and retention of staff members in remote areas and concluded that the envisaged 2012 incentive was for all staff members including qualified teachers and further that the 2009 incentive lapsed on the implementation of the 2012 incentive. </w:t>
      </w:r>
    </w:p>
    <w:p w:rsidR="00A931ED" w:rsidRDefault="00A931ED" w:rsidP="001141EB">
      <w:pPr>
        <w:pStyle w:val="NoSpacing"/>
        <w:spacing w:line="480" w:lineRule="auto"/>
        <w:jc w:val="both"/>
        <w:rPr>
          <w:rFonts w:ascii="Arial" w:hAnsi="Arial" w:cs="Arial"/>
          <w:sz w:val="24"/>
          <w:szCs w:val="24"/>
        </w:rPr>
      </w:pPr>
    </w:p>
    <w:p w:rsidR="00A931ED" w:rsidRDefault="006B3B1D"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904336">
        <w:rPr>
          <w:rFonts w:ascii="Arial" w:hAnsi="Arial" w:cs="Arial"/>
          <w:sz w:val="24"/>
          <w:szCs w:val="24"/>
        </w:rPr>
        <w:t>the</w:t>
      </w:r>
      <w:r>
        <w:rPr>
          <w:rFonts w:ascii="Arial" w:hAnsi="Arial" w:cs="Arial"/>
          <w:sz w:val="24"/>
          <w:szCs w:val="24"/>
        </w:rPr>
        <w:t xml:space="preserve"> Public Service Management Circular </w:t>
      </w:r>
      <w:r w:rsidR="00904336">
        <w:rPr>
          <w:rFonts w:ascii="Arial" w:hAnsi="Arial" w:cs="Arial"/>
          <w:sz w:val="24"/>
          <w:szCs w:val="24"/>
        </w:rPr>
        <w:t xml:space="preserve">no. 3 of 2016 </w:t>
      </w:r>
      <w:r>
        <w:rPr>
          <w:rFonts w:ascii="Arial" w:hAnsi="Arial" w:cs="Arial"/>
          <w:sz w:val="24"/>
          <w:szCs w:val="24"/>
        </w:rPr>
        <w:t>dated 26 February 2016</w:t>
      </w:r>
      <w:r w:rsidR="00904336">
        <w:rPr>
          <w:rFonts w:ascii="Arial" w:hAnsi="Arial" w:cs="Arial"/>
          <w:sz w:val="24"/>
          <w:szCs w:val="24"/>
        </w:rPr>
        <w:t>,</w:t>
      </w:r>
      <w:r>
        <w:rPr>
          <w:rFonts w:ascii="Arial" w:hAnsi="Arial" w:cs="Arial"/>
          <w:sz w:val="24"/>
          <w:szCs w:val="24"/>
        </w:rPr>
        <w:t xml:space="preserve"> the Office of the Prime Minister announced the introduction of new public service staff rules on the remoteness and hardship allowance in terms of the 7 October 2015 </w:t>
      </w:r>
      <w:r>
        <w:rPr>
          <w:rFonts w:ascii="Arial" w:hAnsi="Arial" w:cs="Arial"/>
          <w:sz w:val="24"/>
          <w:szCs w:val="24"/>
        </w:rPr>
        <w:lastRenderedPageBreak/>
        <w:t xml:space="preserve">addendum retroactively from 1 April 2015. One of the implementation measures stated in the circular was that the back-pay for eligible staff members would </w:t>
      </w:r>
      <w:r w:rsidR="00420160">
        <w:rPr>
          <w:rFonts w:ascii="Arial" w:hAnsi="Arial" w:cs="Arial"/>
          <w:sz w:val="24"/>
          <w:szCs w:val="24"/>
        </w:rPr>
        <w:t>be paid by the end of February 2016 and thereafter the appropriate allowance would be paid monthly effective from the end of March 2016.</w:t>
      </w:r>
    </w:p>
    <w:p w:rsidR="00A931ED" w:rsidRDefault="00A931ED" w:rsidP="00A931ED">
      <w:pPr>
        <w:pStyle w:val="NoSpacing"/>
        <w:spacing w:line="480" w:lineRule="auto"/>
        <w:jc w:val="both"/>
        <w:rPr>
          <w:rFonts w:ascii="Arial" w:hAnsi="Arial" w:cs="Arial"/>
          <w:sz w:val="24"/>
          <w:szCs w:val="24"/>
        </w:rPr>
      </w:pPr>
    </w:p>
    <w:p w:rsidR="00A931ED" w:rsidRDefault="00BB3BFB"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respondent in its summary of dispute attached to the referral of dispute to conciliation or arbitration</w:t>
      </w:r>
      <w:r>
        <w:rPr>
          <w:rStyle w:val="FootnoteReference"/>
          <w:rFonts w:ascii="Arial" w:hAnsi="Arial" w:cs="Arial"/>
          <w:sz w:val="24"/>
          <w:szCs w:val="24"/>
        </w:rPr>
        <w:footnoteReference w:id="4"/>
      </w:r>
      <w:r>
        <w:rPr>
          <w:rFonts w:ascii="Arial" w:hAnsi="Arial" w:cs="Arial"/>
          <w:sz w:val="24"/>
          <w:szCs w:val="24"/>
        </w:rPr>
        <w:t xml:space="preserve"> stated that the qualified teachers</w:t>
      </w:r>
      <w:r w:rsidR="00904336">
        <w:rPr>
          <w:rFonts w:ascii="Arial" w:hAnsi="Arial" w:cs="Arial"/>
          <w:sz w:val="24"/>
          <w:szCs w:val="24"/>
        </w:rPr>
        <w:t>,</w:t>
      </w:r>
      <w:r>
        <w:rPr>
          <w:rFonts w:ascii="Arial" w:hAnsi="Arial" w:cs="Arial"/>
          <w:sz w:val="24"/>
          <w:szCs w:val="24"/>
        </w:rPr>
        <w:t xml:space="preserve"> effective from                                  1 March 2016</w:t>
      </w:r>
      <w:r w:rsidR="00904336">
        <w:rPr>
          <w:rFonts w:ascii="Arial" w:hAnsi="Arial" w:cs="Arial"/>
          <w:sz w:val="24"/>
          <w:szCs w:val="24"/>
        </w:rPr>
        <w:t>,</w:t>
      </w:r>
      <w:r>
        <w:rPr>
          <w:rFonts w:ascii="Arial" w:hAnsi="Arial" w:cs="Arial"/>
          <w:sz w:val="24"/>
          <w:szCs w:val="24"/>
        </w:rPr>
        <w:t xml:space="preserve"> no longer received the 2009 incentive allowance as it had lapsed but commenced receiving the 2012 remote and hardship allowance. </w:t>
      </w:r>
    </w:p>
    <w:p w:rsidR="00A931ED" w:rsidRDefault="00A931ED" w:rsidP="00A931ED">
      <w:pPr>
        <w:pStyle w:val="NoSpacing"/>
        <w:spacing w:line="480" w:lineRule="auto"/>
        <w:jc w:val="both"/>
        <w:rPr>
          <w:rFonts w:ascii="Arial" w:hAnsi="Arial" w:cs="Arial"/>
          <w:sz w:val="24"/>
          <w:szCs w:val="24"/>
        </w:rPr>
      </w:pPr>
    </w:p>
    <w:p w:rsidR="00A931ED" w:rsidRDefault="00BB3BFB"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respondent did not agree with the interpretation of the agreements by the Office of the Prime Minister and through its legal representative in correspondence pointed out that it </w:t>
      </w:r>
      <w:r w:rsidR="00D07912">
        <w:rPr>
          <w:rFonts w:ascii="Arial" w:hAnsi="Arial" w:cs="Arial"/>
          <w:sz w:val="24"/>
          <w:szCs w:val="24"/>
        </w:rPr>
        <w:t>‘</w:t>
      </w:r>
      <w:r>
        <w:rPr>
          <w:rFonts w:ascii="Arial" w:hAnsi="Arial" w:cs="Arial"/>
          <w:sz w:val="24"/>
          <w:szCs w:val="24"/>
        </w:rPr>
        <w:t>does not appear after a thorough reading of the 2012</w:t>
      </w:r>
      <w:r w:rsidR="000D6555">
        <w:rPr>
          <w:rFonts w:ascii="Arial" w:hAnsi="Arial" w:cs="Arial"/>
          <w:sz w:val="24"/>
          <w:szCs w:val="24"/>
        </w:rPr>
        <w:t xml:space="preserve"> agreement that qualified teache</w:t>
      </w:r>
      <w:r w:rsidR="00D07912">
        <w:rPr>
          <w:rFonts w:ascii="Arial" w:hAnsi="Arial" w:cs="Arial"/>
          <w:sz w:val="24"/>
          <w:szCs w:val="24"/>
        </w:rPr>
        <w:t>rs who are also public service “staff members”</w:t>
      </w:r>
      <w:r w:rsidR="000D6555">
        <w:rPr>
          <w:rFonts w:ascii="Arial" w:hAnsi="Arial" w:cs="Arial"/>
          <w:sz w:val="24"/>
          <w:szCs w:val="24"/>
        </w:rPr>
        <w:t xml:space="preserve"> are omitted from the agreement</w:t>
      </w:r>
      <w:r w:rsidR="00B92B91">
        <w:rPr>
          <w:rFonts w:ascii="Arial" w:hAnsi="Arial" w:cs="Arial"/>
          <w:sz w:val="24"/>
          <w:szCs w:val="24"/>
        </w:rPr>
        <w:t xml:space="preserve">, </w:t>
      </w:r>
      <w:r w:rsidR="00D07912">
        <w:rPr>
          <w:rFonts w:ascii="Arial" w:hAnsi="Arial" w:cs="Arial"/>
          <w:sz w:val="24"/>
          <w:szCs w:val="24"/>
        </w:rPr>
        <w:t>and</w:t>
      </w:r>
      <w:r w:rsidR="001811E3">
        <w:rPr>
          <w:rFonts w:ascii="Arial" w:hAnsi="Arial" w:cs="Arial"/>
          <w:sz w:val="24"/>
          <w:szCs w:val="24"/>
        </w:rPr>
        <w:t xml:space="preserve"> that the 2009 R</w:t>
      </w:r>
      <w:r w:rsidR="000D6555">
        <w:rPr>
          <w:rFonts w:ascii="Arial" w:hAnsi="Arial" w:cs="Arial"/>
          <w:sz w:val="24"/>
          <w:szCs w:val="24"/>
        </w:rPr>
        <w:t>ecru</w:t>
      </w:r>
      <w:r w:rsidR="00D07912">
        <w:rPr>
          <w:rFonts w:ascii="Arial" w:hAnsi="Arial" w:cs="Arial"/>
          <w:sz w:val="24"/>
          <w:szCs w:val="24"/>
        </w:rPr>
        <w:t>itment and Re</w:t>
      </w:r>
      <w:r w:rsidR="000D6555">
        <w:rPr>
          <w:rFonts w:ascii="Arial" w:hAnsi="Arial" w:cs="Arial"/>
          <w:sz w:val="24"/>
          <w:szCs w:val="24"/>
        </w:rPr>
        <w:t>tention incentive of qualified teachers in remote areas lapses on the implementation of the 2012 incentive</w:t>
      </w:r>
      <w:r w:rsidR="0096003B">
        <w:rPr>
          <w:rFonts w:ascii="Arial" w:hAnsi="Arial" w:cs="Arial"/>
          <w:sz w:val="24"/>
          <w:szCs w:val="24"/>
        </w:rPr>
        <w:t>’</w:t>
      </w:r>
      <w:r w:rsidR="000D6555">
        <w:rPr>
          <w:rFonts w:ascii="Arial" w:hAnsi="Arial" w:cs="Arial"/>
          <w:sz w:val="24"/>
          <w:szCs w:val="24"/>
        </w:rPr>
        <w:t xml:space="preserve">. Further correspondence </w:t>
      </w:r>
      <w:r w:rsidR="00D164F6">
        <w:rPr>
          <w:rFonts w:ascii="Arial" w:hAnsi="Arial" w:cs="Arial"/>
          <w:sz w:val="24"/>
          <w:szCs w:val="24"/>
        </w:rPr>
        <w:t xml:space="preserve">exchanged </w:t>
      </w:r>
      <w:r w:rsidR="000D6555">
        <w:rPr>
          <w:rFonts w:ascii="Arial" w:hAnsi="Arial" w:cs="Arial"/>
          <w:sz w:val="24"/>
          <w:szCs w:val="24"/>
        </w:rPr>
        <w:t xml:space="preserve">with the Office of the Prime Minister amounted to naught and as a result the first respondent filed a complaint with the Office of the Labour Commissioner. </w:t>
      </w:r>
    </w:p>
    <w:p w:rsidR="00A931ED" w:rsidRDefault="00A931ED" w:rsidP="00A931ED">
      <w:pPr>
        <w:pStyle w:val="NoSpacing"/>
        <w:spacing w:line="480" w:lineRule="auto"/>
        <w:jc w:val="both"/>
        <w:rPr>
          <w:rFonts w:ascii="Arial" w:hAnsi="Arial" w:cs="Arial"/>
          <w:sz w:val="24"/>
          <w:szCs w:val="24"/>
        </w:rPr>
      </w:pPr>
    </w:p>
    <w:p w:rsidR="00F652FC" w:rsidRDefault="00F652FC" w:rsidP="00A931ED">
      <w:pPr>
        <w:pStyle w:val="NoSpacing"/>
        <w:spacing w:line="480" w:lineRule="auto"/>
        <w:jc w:val="both"/>
        <w:rPr>
          <w:rFonts w:ascii="Arial" w:hAnsi="Arial" w:cs="Arial"/>
          <w:sz w:val="24"/>
          <w:szCs w:val="24"/>
        </w:rPr>
      </w:pPr>
    </w:p>
    <w:p w:rsidR="00F652FC" w:rsidRDefault="00F652FC" w:rsidP="00A931ED">
      <w:pPr>
        <w:pStyle w:val="NoSpacing"/>
        <w:spacing w:line="480" w:lineRule="auto"/>
        <w:jc w:val="both"/>
        <w:rPr>
          <w:rFonts w:ascii="Arial" w:hAnsi="Arial" w:cs="Arial"/>
          <w:sz w:val="24"/>
          <w:szCs w:val="24"/>
        </w:rPr>
      </w:pPr>
    </w:p>
    <w:p w:rsidR="000D6555" w:rsidRPr="000D6555" w:rsidRDefault="000D6555" w:rsidP="00A931ED">
      <w:pPr>
        <w:pStyle w:val="NoSpacing"/>
        <w:spacing w:line="480" w:lineRule="auto"/>
        <w:jc w:val="both"/>
        <w:rPr>
          <w:rFonts w:ascii="Arial" w:hAnsi="Arial" w:cs="Arial"/>
          <w:sz w:val="24"/>
          <w:szCs w:val="24"/>
          <w:u w:val="single"/>
        </w:rPr>
      </w:pPr>
      <w:r w:rsidRPr="000D6555">
        <w:rPr>
          <w:rFonts w:ascii="Arial" w:hAnsi="Arial" w:cs="Arial"/>
          <w:sz w:val="24"/>
          <w:szCs w:val="24"/>
          <w:u w:val="single"/>
        </w:rPr>
        <w:t>Findings of the Labour Court</w:t>
      </w:r>
    </w:p>
    <w:p w:rsidR="00A931ED" w:rsidRDefault="000D6555"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774DF">
        <w:rPr>
          <w:rFonts w:ascii="Arial" w:hAnsi="Arial" w:cs="Arial"/>
          <w:i/>
          <w:sz w:val="24"/>
          <w:szCs w:val="24"/>
        </w:rPr>
        <w:t>a quo</w:t>
      </w:r>
      <w:r>
        <w:rPr>
          <w:rFonts w:ascii="Arial" w:hAnsi="Arial" w:cs="Arial"/>
          <w:sz w:val="24"/>
          <w:szCs w:val="24"/>
        </w:rPr>
        <w:t xml:space="preserve"> referred to the view the arbitrator took of questions posed to </w:t>
      </w:r>
      <w:r w:rsidR="00D164F6">
        <w:rPr>
          <w:rFonts w:ascii="Arial" w:hAnsi="Arial" w:cs="Arial"/>
          <w:sz w:val="24"/>
          <w:szCs w:val="24"/>
        </w:rPr>
        <w:t xml:space="preserve">him by the parties during the arbitration proceedings, </w:t>
      </w:r>
      <w:r>
        <w:rPr>
          <w:rFonts w:ascii="Arial" w:hAnsi="Arial" w:cs="Arial"/>
          <w:sz w:val="24"/>
          <w:szCs w:val="24"/>
        </w:rPr>
        <w:t xml:space="preserve">namely whether the 2009 agreement had been complied with and how and when did the 2009 agreement and incentives lapse? The court </w:t>
      </w:r>
      <w:r w:rsidRPr="000D6555">
        <w:rPr>
          <w:rFonts w:ascii="Arial" w:hAnsi="Arial" w:cs="Arial"/>
          <w:i/>
          <w:sz w:val="24"/>
          <w:szCs w:val="24"/>
        </w:rPr>
        <w:t>a quo</w:t>
      </w:r>
      <w:r>
        <w:rPr>
          <w:rFonts w:ascii="Arial" w:hAnsi="Arial" w:cs="Arial"/>
          <w:sz w:val="24"/>
          <w:szCs w:val="24"/>
        </w:rPr>
        <w:t xml:space="preserve"> observed that the arbitrator concluded that the 2009 agreement only pertained to the 2009/2010 and 2010/2011 financial years; that the qualified teachers continuously received their incentives as per the 2009 agreement up and until the </w:t>
      </w:r>
      <w:r w:rsidRPr="0030007B">
        <w:rPr>
          <w:rFonts w:ascii="Arial" w:hAnsi="Arial" w:cs="Arial"/>
          <w:sz w:val="24"/>
          <w:szCs w:val="24"/>
        </w:rPr>
        <w:t>2012</w:t>
      </w:r>
      <w:r>
        <w:rPr>
          <w:rFonts w:ascii="Arial" w:hAnsi="Arial" w:cs="Arial"/>
          <w:sz w:val="24"/>
          <w:szCs w:val="24"/>
        </w:rPr>
        <w:t xml:space="preserve"> </w:t>
      </w:r>
      <w:r w:rsidR="004D067C">
        <w:rPr>
          <w:rFonts w:ascii="Arial" w:hAnsi="Arial" w:cs="Arial"/>
          <w:sz w:val="24"/>
          <w:szCs w:val="24"/>
        </w:rPr>
        <w:t xml:space="preserve">agreement </w:t>
      </w:r>
      <w:r w:rsidR="0030007B">
        <w:rPr>
          <w:rFonts w:ascii="Arial" w:hAnsi="Arial" w:cs="Arial"/>
          <w:sz w:val="24"/>
          <w:szCs w:val="24"/>
        </w:rPr>
        <w:t xml:space="preserve">came into effect and that the 2009 agreement </w:t>
      </w:r>
      <w:r w:rsidR="004D067C">
        <w:rPr>
          <w:rFonts w:ascii="Arial" w:hAnsi="Arial" w:cs="Arial"/>
          <w:sz w:val="24"/>
          <w:szCs w:val="24"/>
        </w:rPr>
        <w:t xml:space="preserve">lapsed after the appellant had complied with it and when the 2012 agreement came into force; the arbitrator also held that there was no unilateral change of conditions of employment by the appellant. </w:t>
      </w:r>
    </w:p>
    <w:p w:rsidR="00A931ED" w:rsidRDefault="00A931ED" w:rsidP="00A931ED">
      <w:pPr>
        <w:pStyle w:val="NoSpacing"/>
        <w:spacing w:line="480" w:lineRule="auto"/>
        <w:jc w:val="both"/>
        <w:rPr>
          <w:rFonts w:ascii="Arial" w:hAnsi="Arial" w:cs="Arial"/>
          <w:sz w:val="24"/>
          <w:szCs w:val="24"/>
        </w:rPr>
      </w:pPr>
    </w:p>
    <w:p w:rsidR="00A931ED" w:rsidRDefault="00B70E60"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issues for determination in the cour</w:t>
      </w:r>
      <w:r w:rsidR="00F531F8">
        <w:rPr>
          <w:rFonts w:ascii="Arial" w:hAnsi="Arial" w:cs="Arial"/>
          <w:sz w:val="24"/>
          <w:szCs w:val="24"/>
        </w:rPr>
        <w:t xml:space="preserve">t </w:t>
      </w:r>
      <w:r w:rsidR="00F531F8" w:rsidRPr="009774DF">
        <w:rPr>
          <w:rFonts w:ascii="Arial" w:hAnsi="Arial" w:cs="Arial"/>
          <w:i/>
          <w:sz w:val="24"/>
          <w:szCs w:val="24"/>
        </w:rPr>
        <w:t>a quo</w:t>
      </w:r>
      <w:r w:rsidR="00F531F8">
        <w:rPr>
          <w:rFonts w:ascii="Arial" w:hAnsi="Arial" w:cs="Arial"/>
          <w:sz w:val="24"/>
          <w:szCs w:val="24"/>
        </w:rPr>
        <w:t xml:space="preserve"> was summed up as follows: firstly whether the qualified teachers’ incentives became a term and condition of the qualified teachers’</w:t>
      </w:r>
      <w:r w:rsidR="009774DF">
        <w:rPr>
          <w:rFonts w:ascii="Arial" w:hAnsi="Arial" w:cs="Arial"/>
          <w:sz w:val="24"/>
          <w:szCs w:val="24"/>
        </w:rPr>
        <w:t xml:space="preserve"> employment</w:t>
      </w:r>
      <w:r w:rsidR="005B1464">
        <w:rPr>
          <w:rFonts w:ascii="Arial" w:hAnsi="Arial" w:cs="Arial"/>
          <w:sz w:val="24"/>
          <w:szCs w:val="24"/>
        </w:rPr>
        <w:t>;</w:t>
      </w:r>
      <w:r w:rsidR="00F531F8">
        <w:rPr>
          <w:rFonts w:ascii="Arial" w:hAnsi="Arial" w:cs="Arial"/>
          <w:sz w:val="24"/>
          <w:szCs w:val="24"/>
        </w:rPr>
        <w:t xml:space="preserve"> and secondly </w:t>
      </w:r>
      <w:r w:rsidR="009774DF">
        <w:rPr>
          <w:rFonts w:ascii="Arial" w:hAnsi="Arial" w:cs="Arial"/>
          <w:sz w:val="24"/>
          <w:szCs w:val="24"/>
        </w:rPr>
        <w:t>w</w:t>
      </w:r>
      <w:r w:rsidR="005B1464">
        <w:rPr>
          <w:rFonts w:ascii="Arial" w:hAnsi="Arial" w:cs="Arial"/>
          <w:sz w:val="24"/>
          <w:szCs w:val="24"/>
        </w:rPr>
        <w:t xml:space="preserve">hether the terms which became </w:t>
      </w:r>
      <w:r w:rsidR="009774DF">
        <w:rPr>
          <w:rFonts w:ascii="Arial" w:hAnsi="Arial" w:cs="Arial"/>
          <w:sz w:val="24"/>
          <w:szCs w:val="24"/>
        </w:rPr>
        <w:t>the qualified teachers</w:t>
      </w:r>
      <w:r w:rsidR="005B1464">
        <w:rPr>
          <w:rFonts w:ascii="Arial" w:hAnsi="Arial" w:cs="Arial"/>
          <w:sz w:val="24"/>
          <w:szCs w:val="24"/>
        </w:rPr>
        <w:t>’</w:t>
      </w:r>
      <w:r w:rsidR="009774DF">
        <w:rPr>
          <w:rFonts w:ascii="Arial" w:hAnsi="Arial" w:cs="Arial"/>
          <w:sz w:val="24"/>
          <w:szCs w:val="24"/>
        </w:rPr>
        <w:t xml:space="preserve"> condition</w:t>
      </w:r>
      <w:r w:rsidR="006739EC">
        <w:rPr>
          <w:rFonts w:ascii="Arial" w:hAnsi="Arial" w:cs="Arial"/>
          <w:sz w:val="24"/>
          <w:szCs w:val="24"/>
        </w:rPr>
        <w:t>s</w:t>
      </w:r>
      <w:r w:rsidR="009774DF">
        <w:rPr>
          <w:rFonts w:ascii="Arial" w:hAnsi="Arial" w:cs="Arial"/>
          <w:sz w:val="24"/>
          <w:szCs w:val="24"/>
        </w:rPr>
        <w:t xml:space="preserve"> of employment are capable of being varied unilaterally through the introduction of the remoteness al</w:t>
      </w:r>
      <w:r w:rsidR="005B1464">
        <w:rPr>
          <w:rFonts w:ascii="Arial" w:hAnsi="Arial" w:cs="Arial"/>
          <w:sz w:val="24"/>
          <w:szCs w:val="24"/>
        </w:rPr>
        <w:t>lowance in 2012. If not, the nex</w:t>
      </w:r>
      <w:r w:rsidR="009774DF">
        <w:rPr>
          <w:rFonts w:ascii="Arial" w:hAnsi="Arial" w:cs="Arial"/>
          <w:sz w:val="24"/>
          <w:szCs w:val="24"/>
        </w:rPr>
        <w:t>t question is whether the incentives lapsed. If the incentives did not lapse</w:t>
      </w:r>
      <w:r w:rsidR="006739EC">
        <w:rPr>
          <w:rFonts w:ascii="Arial" w:hAnsi="Arial" w:cs="Arial"/>
          <w:sz w:val="24"/>
          <w:szCs w:val="24"/>
        </w:rPr>
        <w:t>,</w:t>
      </w:r>
      <w:r w:rsidR="009774DF">
        <w:rPr>
          <w:rFonts w:ascii="Arial" w:hAnsi="Arial" w:cs="Arial"/>
          <w:sz w:val="24"/>
          <w:szCs w:val="24"/>
        </w:rPr>
        <w:t xml:space="preserve"> the further question is whether the Government (appellant) must be ordered to pay the qualified teachers’ incentives from 1 April </w:t>
      </w:r>
      <w:r w:rsidR="00AC1C46">
        <w:rPr>
          <w:rFonts w:ascii="Arial" w:hAnsi="Arial" w:cs="Arial"/>
          <w:sz w:val="24"/>
          <w:szCs w:val="24"/>
        </w:rPr>
        <w:t xml:space="preserve">2009 </w:t>
      </w:r>
      <w:r w:rsidR="009774DF">
        <w:rPr>
          <w:rFonts w:ascii="Arial" w:hAnsi="Arial" w:cs="Arial"/>
          <w:sz w:val="24"/>
          <w:szCs w:val="24"/>
        </w:rPr>
        <w:t xml:space="preserve">to date of determination of that question. </w:t>
      </w:r>
    </w:p>
    <w:p w:rsidR="00A931ED" w:rsidRDefault="00DE1399"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question the court </w:t>
      </w:r>
      <w:r w:rsidRPr="00224559">
        <w:rPr>
          <w:rFonts w:ascii="Arial" w:hAnsi="Arial" w:cs="Arial"/>
          <w:i/>
          <w:sz w:val="24"/>
          <w:szCs w:val="24"/>
        </w:rPr>
        <w:t>a quo</w:t>
      </w:r>
      <w:r>
        <w:rPr>
          <w:rFonts w:ascii="Arial" w:hAnsi="Arial" w:cs="Arial"/>
          <w:sz w:val="24"/>
          <w:szCs w:val="24"/>
        </w:rPr>
        <w:t xml:space="preserve"> agreed with </w:t>
      </w:r>
      <w:r w:rsidR="00224559">
        <w:rPr>
          <w:rFonts w:ascii="Arial" w:hAnsi="Arial" w:cs="Arial"/>
          <w:sz w:val="24"/>
          <w:szCs w:val="24"/>
        </w:rPr>
        <w:t xml:space="preserve">the view of the arbitrator </w:t>
      </w:r>
      <w:r w:rsidR="003E4DC1">
        <w:rPr>
          <w:rFonts w:ascii="Arial" w:hAnsi="Arial" w:cs="Arial"/>
          <w:sz w:val="24"/>
          <w:szCs w:val="24"/>
        </w:rPr>
        <w:t xml:space="preserve">where the arbitrator </w:t>
      </w:r>
      <w:r w:rsidR="00224559">
        <w:rPr>
          <w:rFonts w:ascii="Arial" w:hAnsi="Arial" w:cs="Arial"/>
          <w:sz w:val="24"/>
          <w:szCs w:val="24"/>
        </w:rPr>
        <w:t xml:space="preserve">relying on the matter of </w:t>
      </w:r>
      <w:r w:rsidR="00224559" w:rsidRPr="00224559">
        <w:rPr>
          <w:rFonts w:ascii="Arial" w:hAnsi="Arial" w:cs="Arial"/>
          <w:i/>
          <w:sz w:val="24"/>
          <w:szCs w:val="24"/>
        </w:rPr>
        <w:t>S</w:t>
      </w:r>
      <w:r w:rsidR="009667D0">
        <w:rPr>
          <w:rFonts w:ascii="Arial" w:hAnsi="Arial" w:cs="Arial"/>
          <w:i/>
          <w:sz w:val="24"/>
          <w:szCs w:val="24"/>
        </w:rPr>
        <w:t>AMWU</w:t>
      </w:r>
      <w:r w:rsidR="00224559" w:rsidRPr="00224559">
        <w:rPr>
          <w:rFonts w:ascii="Arial" w:hAnsi="Arial" w:cs="Arial"/>
          <w:i/>
          <w:sz w:val="24"/>
          <w:szCs w:val="24"/>
        </w:rPr>
        <w:t xml:space="preserve"> v City of Tshwane &amp; another</w:t>
      </w:r>
      <w:r w:rsidR="00224559">
        <w:rPr>
          <w:rStyle w:val="FootnoteReference"/>
          <w:rFonts w:ascii="Arial" w:hAnsi="Arial" w:cs="Arial"/>
          <w:sz w:val="24"/>
          <w:szCs w:val="24"/>
        </w:rPr>
        <w:footnoteReference w:id="5"/>
      </w:r>
      <w:r w:rsidR="00224559">
        <w:rPr>
          <w:rFonts w:ascii="Arial" w:hAnsi="Arial" w:cs="Arial"/>
          <w:sz w:val="24"/>
          <w:szCs w:val="24"/>
        </w:rPr>
        <w:t xml:space="preserve"> stated:</w:t>
      </w:r>
    </w:p>
    <w:p w:rsidR="00A931ED" w:rsidRPr="009667D0" w:rsidRDefault="00A931ED" w:rsidP="009667D0">
      <w:pPr>
        <w:pStyle w:val="NoSpacing"/>
        <w:spacing w:line="360" w:lineRule="auto"/>
        <w:ind w:left="720"/>
        <w:jc w:val="both"/>
        <w:rPr>
          <w:rFonts w:ascii="Arial" w:hAnsi="Arial" w:cs="Arial"/>
        </w:rPr>
      </w:pPr>
    </w:p>
    <w:p w:rsidR="00224559" w:rsidRDefault="00224559" w:rsidP="009667D0">
      <w:pPr>
        <w:pStyle w:val="NoSpacing"/>
        <w:spacing w:line="360" w:lineRule="auto"/>
        <w:ind w:left="720"/>
        <w:jc w:val="both"/>
        <w:rPr>
          <w:rFonts w:ascii="Arial" w:hAnsi="Arial" w:cs="Arial"/>
        </w:rPr>
      </w:pPr>
      <w:r w:rsidRPr="009667D0">
        <w:rPr>
          <w:rFonts w:ascii="Arial" w:hAnsi="Arial" w:cs="Arial"/>
        </w:rPr>
        <w:t>‘</w:t>
      </w:r>
      <w:r w:rsidR="006739EC">
        <w:rPr>
          <w:rFonts w:ascii="Arial" w:hAnsi="Arial" w:cs="Arial"/>
        </w:rPr>
        <w:t>. . . i</w:t>
      </w:r>
      <w:r w:rsidRPr="009667D0">
        <w:rPr>
          <w:rFonts w:ascii="Arial" w:hAnsi="Arial" w:cs="Arial"/>
        </w:rPr>
        <w:t xml:space="preserve">t became clear that neither the applicant </w:t>
      </w:r>
      <w:r w:rsidR="006739EC">
        <w:rPr>
          <w:rFonts w:ascii="Arial" w:hAnsi="Arial" w:cs="Arial"/>
        </w:rPr>
        <w:t xml:space="preserve">nor </w:t>
      </w:r>
      <w:r w:rsidR="009667D0" w:rsidRPr="009667D0">
        <w:rPr>
          <w:rFonts w:ascii="Arial" w:hAnsi="Arial" w:cs="Arial"/>
        </w:rPr>
        <w:t xml:space="preserve">respondent disputed the fact that the 2009 incentive </w:t>
      </w:r>
      <w:r w:rsidR="00777623">
        <w:rPr>
          <w:rFonts w:ascii="Arial" w:hAnsi="Arial" w:cs="Arial"/>
        </w:rPr>
        <w:t xml:space="preserve">became a condition of employment and </w:t>
      </w:r>
      <w:r w:rsidR="009667D0" w:rsidRPr="009667D0">
        <w:rPr>
          <w:rFonts w:ascii="Arial" w:hAnsi="Arial" w:cs="Arial"/>
        </w:rPr>
        <w:t>thus accrued as a right to the employee.’</w:t>
      </w:r>
    </w:p>
    <w:p w:rsidR="001C2D1E" w:rsidRPr="001C2D1E" w:rsidRDefault="001C2D1E" w:rsidP="001C2D1E">
      <w:pPr>
        <w:pStyle w:val="NoSpacing"/>
        <w:spacing w:line="480" w:lineRule="auto"/>
        <w:ind w:left="720"/>
        <w:jc w:val="both"/>
        <w:rPr>
          <w:rFonts w:ascii="Arial" w:hAnsi="Arial" w:cs="Arial"/>
          <w:sz w:val="24"/>
          <w:szCs w:val="24"/>
        </w:rPr>
      </w:pPr>
    </w:p>
    <w:p w:rsidR="00A931ED" w:rsidRDefault="009667D0"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only issue for determination, as formulated by the </w:t>
      </w:r>
      <w:r w:rsidR="002B202E">
        <w:rPr>
          <w:rFonts w:ascii="Arial" w:hAnsi="Arial" w:cs="Arial"/>
          <w:sz w:val="24"/>
          <w:szCs w:val="24"/>
        </w:rPr>
        <w:t xml:space="preserve">court </w:t>
      </w:r>
      <w:r w:rsidR="002B202E" w:rsidRPr="002B202E">
        <w:rPr>
          <w:rFonts w:ascii="Arial" w:hAnsi="Arial" w:cs="Arial"/>
          <w:i/>
          <w:sz w:val="24"/>
          <w:szCs w:val="24"/>
        </w:rPr>
        <w:t>a quo</w:t>
      </w:r>
      <w:r>
        <w:rPr>
          <w:rFonts w:ascii="Arial" w:hAnsi="Arial" w:cs="Arial"/>
          <w:sz w:val="24"/>
          <w:szCs w:val="24"/>
        </w:rPr>
        <w:t>, was thus whether the qualified teachers’ incentives were capable of being amended after being incorporated into the</w:t>
      </w:r>
      <w:r w:rsidR="0093390A">
        <w:rPr>
          <w:rFonts w:ascii="Arial" w:hAnsi="Arial" w:cs="Arial"/>
          <w:sz w:val="24"/>
          <w:szCs w:val="24"/>
        </w:rPr>
        <w:t>ir</w:t>
      </w:r>
      <w:r>
        <w:rPr>
          <w:rFonts w:ascii="Arial" w:hAnsi="Arial" w:cs="Arial"/>
          <w:sz w:val="24"/>
          <w:szCs w:val="24"/>
        </w:rPr>
        <w:t xml:space="preserve"> conditions of employment. </w:t>
      </w:r>
    </w:p>
    <w:p w:rsidR="00182740" w:rsidRDefault="00182740" w:rsidP="00182740">
      <w:pPr>
        <w:pStyle w:val="NoSpacing"/>
        <w:spacing w:line="480" w:lineRule="auto"/>
        <w:jc w:val="both"/>
        <w:rPr>
          <w:rFonts w:ascii="Arial" w:hAnsi="Arial" w:cs="Arial"/>
          <w:sz w:val="24"/>
          <w:szCs w:val="24"/>
        </w:rPr>
      </w:pPr>
    </w:p>
    <w:p w:rsidR="00A931ED" w:rsidRDefault="00014DBD"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w:t>
      </w:r>
      <w:r w:rsidR="006739EC">
        <w:rPr>
          <w:rFonts w:ascii="Arial" w:hAnsi="Arial" w:cs="Arial"/>
          <w:sz w:val="24"/>
          <w:szCs w:val="24"/>
        </w:rPr>
        <w:t>respondent (as appellant</w:t>
      </w:r>
      <w:r w:rsidR="0096003B">
        <w:rPr>
          <w:rFonts w:ascii="Arial" w:hAnsi="Arial" w:cs="Arial"/>
          <w:sz w:val="24"/>
          <w:szCs w:val="24"/>
        </w:rPr>
        <w:t xml:space="preserve">, in the court </w:t>
      </w:r>
      <w:r w:rsidR="0096003B" w:rsidRPr="0096003B">
        <w:rPr>
          <w:rFonts w:ascii="Arial" w:hAnsi="Arial" w:cs="Arial"/>
          <w:i/>
          <w:sz w:val="24"/>
          <w:szCs w:val="24"/>
        </w:rPr>
        <w:t>a quo</w:t>
      </w:r>
      <w:r w:rsidR="006739EC">
        <w:rPr>
          <w:rFonts w:ascii="Arial" w:hAnsi="Arial" w:cs="Arial"/>
          <w:i/>
          <w:sz w:val="24"/>
          <w:szCs w:val="24"/>
        </w:rPr>
        <w:t>)</w:t>
      </w:r>
      <w:r w:rsidR="0096003B">
        <w:rPr>
          <w:rFonts w:ascii="Arial" w:hAnsi="Arial" w:cs="Arial"/>
          <w:sz w:val="24"/>
          <w:szCs w:val="24"/>
        </w:rPr>
        <w:t>,</w:t>
      </w:r>
      <w:r>
        <w:rPr>
          <w:rFonts w:ascii="Arial" w:hAnsi="Arial" w:cs="Arial"/>
          <w:sz w:val="24"/>
          <w:szCs w:val="24"/>
        </w:rPr>
        <w:t xml:space="preserve"> relying on case law contended that the</w:t>
      </w:r>
      <w:r w:rsidR="001811E3">
        <w:rPr>
          <w:rFonts w:ascii="Arial" w:hAnsi="Arial" w:cs="Arial"/>
          <w:sz w:val="24"/>
          <w:szCs w:val="24"/>
        </w:rPr>
        <w:t xml:space="preserve"> appellant (as first respondent,</w:t>
      </w:r>
      <w:r>
        <w:rPr>
          <w:rFonts w:ascii="Arial" w:hAnsi="Arial" w:cs="Arial"/>
          <w:sz w:val="24"/>
          <w:szCs w:val="24"/>
        </w:rPr>
        <w:t xml:space="preserve"> </w:t>
      </w:r>
      <w:r w:rsidR="006739EC">
        <w:rPr>
          <w:rFonts w:ascii="Arial" w:hAnsi="Arial" w:cs="Arial"/>
          <w:sz w:val="24"/>
          <w:szCs w:val="24"/>
        </w:rPr>
        <w:t xml:space="preserve">in the court </w:t>
      </w:r>
      <w:r w:rsidR="006739EC" w:rsidRPr="006739EC">
        <w:rPr>
          <w:rFonts w:ascii="Arial" w:hAnsi="Arial" w:cs="Arial"/>
          <w:i/>
          <w:sz w:val="24"/>
          <w:szCs w:val="24"/>
        </w:rPr>
        <w:t>a quo</w:t>
      </w:r>
      <w:r w:rsidR="001811E3" w:rsidRPr="001811E3">
        <w:rPr>
          <w:rFonts w:ascii="Arial" w:hAnsi="Arial" w:cs="Arial"/>
          <w:sz w:val="24"/>
          <w:szCs w:val="24"/>
        </w:rPr>
        <w:t>)</w:t>
      </w:r>
      <w:r w:rsidR="006739EC">
        <w:rPr>
          <w:rFonts w:ascii="Arial" w:hAnsi="Arial" w:cs="Arial"/>
          <w:sz w:val="24"/>
          <w:szCs w:val="24"/>
        </w:rPr>
        <w:t xml:space="preserve"> </w:t>
      </w:r>
      <w:r>
        <w:rPr>
          <w:rFonts w:ascii="Arial" w:hAnsi="Arial" w:cs="Arial"/>
          <w:sz w:val="24"/>
          <w:szCs w:val="24"/>
        </w:rPr>
        <w:t xml:space="preserve">unlawfully and unilaterally changed </w:t>
      </w:r>
      <w:r w:rsidR="0093390A">
        <w:rPr>
          <w:rFonts w:ascii="Arial" w:hAnsi="Arial" w:cs="Arial"/>
          <w:sz w:val="24"/>
          <w:szCs w:val="24"/>
        </w:rPr>
        <w:t xml:space="preserve">the conditions of employment by introducing the second </w:t>
      </w:r>
      <w:r w:rsidR="00383212">
        <w:rPr>
          <w:rFonts w:ascii="Arial" w:hAnsi="Arial" w:cs="Arial"/>
          <w:sz w:val="24"/>
          <w:szCs w:val="24"/>
        </w:rPr>
        <w:t xml:space="preserve">remoteness allowance without the consent of the qualified teachers. </w:t>
      </w:r>
    </w:p>
    <w:p w:rsidR="00A931ED" w:rsidRDefault="00A931ED" w:rsidP="00A931ED">
      <w:pPr>
        <w:pStyle w:val="NoSpacing"/>
        <w:spacing w:line="480" w:lineRule="auto"/>
        <w:jc w:val="both"/>
        <w:rPr>
          <w:rFonts w:ascii="Arial" w:hAnsi="Arial" w:cs="Arial"/>
          <w:sz w:val="24"/>
          <w:szCs w:val="24"/>
        </w:rPr>
      </w:pPr>
    </w:p>
    <w:p w:rsidR="00A931ED" w:rsidRDefault="00CA1E4F"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D164F6">
        <w:rPr>
          <w:rFonts w:ascii="Arial" w:hAnsi="Arial" w:cs="Arial"/>
          <w:sz w:val="24"/>
          <w:szCs w:val="24"/>
        </w:rPr>
        <w:t xml:space="preserve">on the other hand </w:t>
      </w:r>
      <w:r>
        <w:rPr>
          <w:rFonts w:ascii="Arial" w:hAnsi="Arial" w:cs="Arial"/>
          <w:sz w:val="24"/>
          <w:szCs w:val="24"/>
        </w:rPr>
        <w:t>contended that the incentives granted to the qualified teachers were not unilaterally changed when the incentives were extended to all staff members because ‘the two benefits were harmonised and became one benefit’.</w:t>
      </w:r>
    </w:p>
    <w:p w:rsidR="00A931ED" w:rsidRDefault="00A931ED" w:rsidP="00A931ED">
      <w:pPr>
        <w:pStyle w:val="NoSpacing"/>
        <w:spacing w:line="480" w:lineRule="auto"/>
        <w:jc w:val="both"/>
        <w:rPr>
          <w:rFonts w:ascii="Arial" w:hAnsi="Arial" w:cs="Arial"/>
          <w:sz w:val="24"/>
          <w:szCs w:val="24"/>
        </w:rPr>
      </w:pPr>
    </w:p>
    <w:p w:rsidR="00A931ED" w:rsidRDefault="00CA1E4F"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considering the second question posed</w:t>
      </w:r>
      <w:r w:rsidR="00D164F6">
        <w:rPr>
          <w:rFonts w:ascii="Arial" w:hAnsi="Arial" w:cs="Arial"/>
          <w:sz w:val="24"/>
          <w:szCs w:val="24"/>
        </w:rPr>
        <w:t>,</w:t>
      </w:r>
      <w:r>
        <w:rPr>
          <w:rFonts w:ascii="Arial" w:hAnsi="Arial" w:cs="Arial"/>
          <w:sz w:val="24"/>
          <w:szCs w:val="24"/>
        </w:rPr>
        <w:t xml:space="preserve"> the court </w:t>
      </w:r>
      <w:r w:rsidRPr="00CA1E4F">
        <w:rPr>
          <w:rFonts w:ascii="Arial" w:hAnsi="Arial" w:cs="Arial"/>
          <w:i/>
          <w:sz w:val="24"/>
          <w:szCs w:val="24"/>
        </w:rPr>
        <w:t>a quo</w:t>
      </w:r>
      <w:r>
        <w:rPr>
          <w:rFonts w:ascii="Arial" w:hAnsi="Arial" w:cs="Arial"/>
          <w:sz w:val="24"/>
          <w:szCs w:val="24"/>
        </w:rPr>
        <w:t xml:space="preserve"> reasoned that the starting point was to enquire into the purpose of the two benefits </w:t>
      </w:r>
      <w:r w:rsidR="0096003B">
        <w:rPr>
          <w:rFonts w:ascii="Arial" w:hAnsi="Arial" w:cs="Arial"/>
          <w:sz w:val="24"/>
          <w:szCs w:val="24"/>
        </w:rPr>
        <w:t>when</w:t>
      </w:r>
      <w:r>
        <w:rPr>
          <w:rFonts w:ascii="Arial" w:hAnsi="Arial" w:cs="Arial"/>
          <w:sz w:val="24"/>
          <w:szCs w:val="24"/>
        </w:rPr>
        <w:t xml:space="preserve"> they were introduced. </w:t>
      </w:r>
    </w:p>
    <w:p w:rsidR="00A931ED" w:rsidRDefault="0096003B"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6003B">
        <w:rPr>
          <w:rFonts w:ascii="Arial" w:hAnsi="Arial" w:cs="Arial"/>
          <w:i/>
          <w:sz w:val="24"/>
          <w:szCs w:val="24"/>
        </w:rPr>
        <w:t>a quo</w:t>
      </w:r>
      <w:r>
        <w:rPr>
          <w:rFonts w:ascii="Arial" w:hAnsi="Arial" w:cs="Arial"/>
          <w:sz w:val="24"/>
          <w:szCs w:val="24"/>
        </w:rPr>
        <w:t xml:space="preserve"> pointed out that in respect of the 2009 incentives for qualified teachers the purpose as stated in the circular was ‘intended to support the recruitment and retention of qualified teachers to rural schools’.</w:t>
      </w:r>
    </w:p>
    <w:p w:rsidR="00A931ED" w:rsidRDefault="00A931ED" w:rsidP="00A931ED">
      <w:pPr>
        <w:pStyle w:val="NoSpacing"/>
        <w:spacing w:line="480" w:lineRule="auto"/>
        <w:jc w:val="both"/>
        <w:rPr>
          <w:rFonts w:ascii="Arial" w:hAnsi="Arial" w:cs="Arial"/>
          <w:sz w:val="24"/>
          <w:szCs w:val="24"/>
        </w:rPr>
      </w:pPr>
    </w:p>
    <w:p w:rsidR="00A931ED" w:rsidRDefault="0096003B"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remoteness allowance policy of 2012</w:t>
      </w:r>
      <w:r w:rsidR="006739EC">
        <w:rPr>
          <w:rFonts w:ascii="Arial" w:hAnsi="Arial" w:cs="Arial"/>
          <w:sz w:val="24"/>
          <w:szCs w:val="24"/>
        </w:rPr>
        <w:t>,</w:t>
      </w:r>
      <w:r>
        <w:rPr>
          <w:rFonts w:ascii="Arial" w:hAnsi="Arial" w:cs="Arial"/>
          <w:sz w:val="24"/>
          <w:szCs w:val="24"/>
        </w:rPr>
        <w:t xml:space="preserve"> it was described as: ‘</w:t>
      </w:r>
      <w:r w:rsidR="005B1464">
        <w:rPr>
          <w:rFonts w:ascii="Arial" w:hAnsi="Arial" w:cs="Arial"/>
          <w:sz w:val="24"/>
          <w:szCs w:val="24"/>
        </w:rPr>
        <w:t>a remo</w:t>
      </w:r>
      <w:r w:rsidR="002B202E">
        <w:rPr>
          <w:rFonts w:ascii="Arial" w:hAnsi="Arial" w:cs="Arial"/>
          <w:sz w:val="24"/>
          <w:szCs w:val="24"/>
        </w:rPr>
        <w:t>teness and hardship allowance</w:t>
      </w:r>
      <w:r w:rsidR="005B1464">
        <w:rPr>
          <w:rFonts w:ascii="Arial" w:hAnsi="Arial" w:cs="Arial"/>
          <w:sz w:val="24"/>
          <w:szCs w:val="24"/>
        </w:rPr>
        <w:t xml:space="preserve"> paid to a staff member stationed at a duty station in an area specified as remote in recognition of the hardship he or she endures as a result of the limited availability of basic services, amenities and infrastructures’. Furthermore another reason for the incentive was added namely, ‘the geographical distance from the main service centres’.</w:t>
      </w:r>
    </w:p>
    <w:p w:rsidR="00A931ED" w:rsidRDefault="00A931ED" w:rsidP="00A931ED">
      <w:pPr>
        <w:pStyle w:val="NoSpacing"/>
        <w:spacing w:line="480" w:lineRule="auto"/>
        <w:jc w:val="both"/>
        <w:rPr>
          <w:rFonts w:ascii="Arial" w:hAnsi="Arial" w:cs="Arial"/>
          <w:sz w:val="24"/>
          <w:szCs w:val="24"/>
        </w:rPr>
      </w:pPr>
    </w:p>
    <w:p w:rsidR="00A931ED" w:rsidRDefault="005B1464"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B1464">
        <w:rPr>
          <w:rFonts w:ascii="Arial" w:hAnsi="Arial" w:cs="Arial"/>
          <w:i/>
          <w:sz w:val="24"/>
          <w:szCs w:val="24"/>
        </w:rPr>
        <w:t>a quo</w:t>
      </w:r>
      <w:r>
        <w:rPr>
          <w:rFonts w:ascii="Arial" w:hAnsi="Arial" w:cs="Arial"/>
          <w:sz w:val="24"/>
          <w:szCs w:val="24"/>
        </w:rPr>
        <w:t xml:space="preserve"> reasoned that the purposes were not the same, since the rationale in respect of the qualified teacher</w:t>
      </w:r>
      <w:r w:rsidR="009B03AA">
        <w:rPr>
          <w:rFonts w:ascii="Arial" w:hAnsi="Arial" w:cs="Arial"/>
          <w:sz w:val="24"/>
          <w:szCs w:val="24"/>
        </w:rPr>
        <w:t>s was to address the Go</w:t>
      </w:r>
      <w:r>
        <w:rPr>
          <w:rFonts w:ascii="Arial" w:hAnsi="Arial" w:cs="Arial"/>
          <w:sz w:val="24"/>
          <w:szCs w:val="24"/>
        </w:rPr>
        <w:t xml:space="preserve">vernment’s problem in recruiting </w:t>
      </w:r>
      <w:r w:rsidR="00777623">
        <w:rPr>
          <w:rFonts w:ascii="Arial" w:hAnsi="Arial" w:cs="Arial"/>
          <w:sz w:val="24"/>
          <w:szCs w:val="24"/>
        </w:rPr>
        <w:t xml:space="preserve">and retaining qualified teachers in the rural schools; that the </w:t>
      </w:r>
      <w:r w:rsidR="00D164F6">
        <w:rPr>
          <w:rFonts w:ascii="Arial" w:hAnsi="Arial" w:cs="Arial"/>
          <w:sz w:val="24"/>
          <w:szCs w:val="24"/>
        </w:rPr>
        <w:t>incentive</w:t>
      </w:r>
      <w:r w:rsidR="00777623">
        <w:rPr>
          <w:rFonts w:ascii="Arial" w:hAnsi="Arial" w:cs="Arial"/>
          <w:sz w:val="24"/>
          <w:szCs w:val="24"/>
        </w:rPr>
        <w:t xml:space="preserve"> formed part of a comprehensive package with the express aim of encouraging qualified teachers to go to schools in the rural areas and in doing so improve the standard of education in such areas to the national level; and that the success or failure of this incentive was to be evaluated on an annual basis with a complete review to take place by the end of the 201</w:t>
      </w:r>
      <w:r w:rsidR="00D164F6">
        <w:rPr>
          <w:rFonts w:ascii="Arial" w:hAnsi="Arial" w:cs="Arial"/>
          <w:sz w:val="24"/>
          <w:szCs w:val="24"/>
        </w:rPr>
        <w:t>0</w:t>
      </w:r>
      <w:r w:rsidR="00777623">
        <w:rPr>
          <w:rFonts w:ascii="Arial" w:hAnsi="Arial" w:cs="Arial"/>
          <w:sz w:val="24"/>
          <w:szCs w:val="24"/>
        </w:rPr>
        <w:t>/2011 financial year.</w:t>
      </w:r>
    </w:p>
    <w:p w:rsidR="00A931ED" w:rsidRDefault="00A931ED" w:rsidP="00A931ED">
      <w:pPr>
        <w:pStyle w:val="NoSpacing"/>
        <w:spacing w:line="480" w:lineRule="auto"/>
        <w:jc w:val="both"/>
        <w:rPr>
          <w:rFonts w:ascii="Arial" w:hAnsi="Arial" w:cs="Arial"/>
          <w:sz w:val="24"/>
          <w:szCs w:val="24"/>
        </w:rPr>
      </w:pPr>
    </w:p>
    <w:p w:rsidR="00A931ED" w:rsidRDefault="00777623"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77623">
        <w:rPr>
          <w:rFonts w:ascii="Arial" w:hAnsi="Arial" w:cs="Arial"/>
          <w:i/>
          <w:sz w:val="24"/>
          <w:szCs w:val="24"/>
        </w:rPr>
        <w:t>a quo</w:t>
      </w:r>
      <w:r>
        <w:rPr>
          <w:rFonts w:ascii="Arial" w:hAnsi="Arial" w:cs="Arial"/>
          <w:sz w:val="24"/>
          <w:szCs w:val="24"/>
        </w:rPr>
        <w:t xml:space="preserve"> further reasoned that in contra-distinction the purpose of the remoteness allowance payable to public staff members, as articulated in the letter from the Office of the Prime Minister dated 26 February 2016, was ‘premised on the recognition of the hardship endured by staff members stationed at duty stations that are identified and classified as remote due to limited availability of basic services, amenities, facilities and infrastructure as well as the geographic distance from the main centres’.</w:t>
      </w:r>
    </w:p>
    <w:p w:rsidR="00A931ED" w:rsidRDefault="00A931ED" w:rsidP="00A931ED">
      <w:pPr>
        <w:pStyle w:val="NoSpacing"/>
        <w:spacing w:line="480" w:lineRule="auto"/>
        <w:jc w:val="both"/>
        <w:rPr>
          <w:rFonts w:ascii="Arial" w:hAnsi="Arial" w:cs="Arial"/>
          <w:sz w:val="24"/>
          <w:szCs w:val="24"/>
        </w:rPr>
      </w:pPr>
    </w:p>
    <w:p w:rsidR="00A931ED" w:rsidRDefault="00777623"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77623">
        <w:rPr>
          <w:rFonts w:ascii="Arial" w:hAnsi="Arial" w:cs="Arial"/>
          <w:i/>
          <w:sz w:val="24"/>
          <w:szCs w:val="24"/>
        </w:rPr>
        <w:t>a quo</w:t>
      </w:r>
      <w:r>
        <w:rPr>
          <w:rFonts w:ascii="Arial" w:hAnsi="Arial" w:cs="Arial"/>
          <w:sz w:val="24"/>
          <w:szCs w:val="24"/>
        </w:rPr>
        <w:t xml:space="preserve"> concluded that the qualified teachers’ incentives w</w:t>
      </w:r>
      <w:r w:rsidR="00112D83">
        <w:rPr>
          <w:rFonts w:ascii="Arial" w:hAnsi="Arial" w:cs="Arial"/>
          <w:sz w:val="24"/>
          <w:szCs w:val="24"/>
        </w:rPr>
        <w:t>ere</w:t>
      </w:r>
      <w:r>
        <w:rPr>
          <w:rFonts w:ascii="Arial" w:hAnsi="Arial" w:cs="Arial"/>
          <w:sz w:val="24"/>
          <w:szCs w:val="24"/>
        </w:rPr>
        <w:t xml:space="preserve"> separate and distinct from the remoteness allowance payable to all staff members of the public service stationed in remote areas. It was </w:t>
      </w:r>
      <w:r w:rsidR="00D164F6">
        <w:rPr>
          <w:rFonts w:ascii="Arial" w:hAnsi="Arial" w:cs="Arial"/>
          <w:sz w:val="24"/>
          <w:szCs w:val="24"/>
        </w:rPr>
        <w:t>reasoned</w:t>
      </w:r>
      <w:r>
        <w:rPr>
          <w:rFonts w:ascii="Arial" w:hAnsi="Arial" w:cs="Arial"/>
          <w:sz w:val="24"/>
          <w:szCs w:val="24"/>
        </w:rPr>
        <w:t xml:space="preserve"> that the one was ‘an incentive’ and the other ‘an a</w:t>
      </w:r>
      <w:r w:rsidR="006739EC">
        <w:rPr>
          <w:rFonts w:ascii="Arial" w:hAnsi="Arial" w:cs="Arial"/>
          <w:sz w:val="24"/>
          <w:szCs w:val="24"/>
        </w:rPr>
        <w:t>llowance’</w:t>
      </w:r>
      <w:r>
        <w:rPr>
          <w:rFonts w:ascii="Arial" w:hAnsi="Arial" w:cs="Arial"/>
          <w:sz w:val="24"/>
          <w:szCs w:val="24"/>
        </w:rPr>
        <w:t xml:space="preserve"> and that the allowance was not aimed to entice or incentivise a staff member to move and stay in </w:t>
      </w:r>
      <w:r w:rsidR="009B03AA">
        <w:rPr>
          <w:rFonts w:ascii="Arial" w:hAnsi="Arial" w:cs="Arial"/>
          <w:sz w:val="24"/>
          <w:szCs w:val="24"/>
        </w:rPr>
        <w:t xml:space="preserve">the remote area. He or she is already stationed there and is thus paid an allowance for the hardship he or she is enduring. </w:t>
      </w:r>
    </w:p>
    <w:p w:rsidR="00A931ED" w:rsidRDefault="00A931ED" w:rsidP="00A931ED">
      <w:pPr>
        <w:pStyle w:val="NoSpacing"/>
        <w:spacing w:line="480" w:lineRule="auto"/>
        <w:jc w:val="both"/>
        <w:rPr>
          <w:rFonts w:ascii="Arial" w:hAnsi="Arial" w:cs="Arial"/>
          <w:sz w:val="24"/>
          <w:szCs w:val="24"/>
        </w:rPr>
      </w:pPr>
    </w:p>
    <w:p w:rsidR="00A931ED" w:rsidRDefault="009B03AA"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whether or not the incentive in respect of qualified teachers lapsed</w:t>
      </w:r>
      <w:r w:rsidR="006739EC">
        <w:rPr>
          <w:rFonts w:ascii="Arial" w:hAnsi="Arial" w:cs="Arial"/>
          <w:sz w:val="24"/>
          <w:szCs w:val="24"/>
        </w:rPr>
        <w:t>,</w:t>
      </w:r>
      <w:r>
        <w:rPr>
          <w:rFonts w:ascii="Arial" w:hAnsi="Arial" w:cs="Arial"/>
          <w:sz w:val="24"/>
          <w:szCs w:val="24"/>
        </w:rPr>
        <w:t xml:space="preserve"> the court </w:t>
      </w:r>
      <w:r w:rsidRPr="009B03AA">
        <w:rPr>
          <w:rFonts w:ascii="Arial" w:hAnsi="Arial" w:cs="Arial"/>
          <w:i/>
          <w:sz w:val="24"/>
          <w:szCs w:val="24"/>
        </w:rPr>
        <w:t>a quo</w:t>
      </w:r>
      <w:r>
        <w:rPr>
          <w:rFonts w:ascii="Arial" w:hAnsi="Arial" w:cs="Arial"/>
          <w:sz w:val="24"/>
          <w:szCs w:val="24"/>
        </w:rPr>
        <w:t xml:space="preserve"> pointed out </w:t>
      </w:r>
      <w:r w:rsidR="00D164F6">
        <w:rPr>
          <w:rFonts w:ascii="Arial" w:hAnsi="Arial" w:cs="Arial"/>
          <w:sz w:val="24"/>
          <w:szCs w:val="24"/>
        </w:rPr>
        <w:t xml:space="preserve">that </w:t>
      </w:r>
      <w:r>
        <w:rPr>
          <w:rFonts w:ascii="Arial" w:hAnsi="Arial" w:cs="Arial"/>
          <w:sz w:val="24"/>
          <w:szCs w:val="24"/>
        </w:rPr>
        <w:t>the 20</w:t>
      </w:r>
      <w:r w:rsidR="003E4DC1">
        <w:rPr>
          <w:rFonts w:ascii="Arial" w:hAnsi="Arial" w:cs="Arial"/>
          <w:sz w:val="24"/>
          <w:szCs w:val="24"/>
        </w:rPr>
        <w:t>09</w:t>
      </w:r>
      <w:r>
        <w:rPr>
          <w:rFonts w:ascii="Arial" w:hAnsi="Arial" w:cs="Arial"/>
          <w:sz w:val="24"/>
          <w:szCs w:val="24"/>
        </w:rPr>
        <w:t xml:space="preserve"> agreement contained no expiry date</w:t>
      </w:r>
      <w:r w:rsidR="00D164F6">
        <w:rPr>
          <w:rFonts w:ascii="Arial" w:hAnsi="Arial" w:cs="Arial"/>
          <w:sz w:val="24"/>
          <w:szCs w:val="24"/>
        </w:rPr>
        <w:t>,</w:t>
      </w:r>
      <w:r w:rsidR="001811E3">
        <w:rPr>
          <w:rFonts w:ascii="Arial" w:hAnsi="Arial" w:cs="Arial"/>
          <w:sz w:val="24"/>
          <w:szCs w:val="24"/>
        </w:rPr>
        <w:t xml:space="preserve"> ie no time for</w:t>
      </w:r>
      <w:r>
        <w:rPr>
          <w:rFonts w:ascii="Arial" w:hAnsi="Arial" w:cs="Arial"/>
          <w:sz w:val="24"/>
          <w:szCs w:val="24"/>
        </w:rPr>
        <w:t xml:space="preserve"> lapsing of the agreement was stipulated and furthermore that the agreement contained a non-variation clause thus the agreement could not be amended without the written consent of the first respondent. The 20</w:t>
      </w:r>
      <w:r w:rsidR="003E4DC1">
        <w:rPr>
          <w:rFonts w:ascii="Arial" w:hAnsi="Arial" w:cs="Arial"/>
          <w:sz w:val="24"/>
          <w:szCs w:val="24"/>
        </w:rPr>
        <w:t>09</w:t>
      </w:r>
      <w:r>
        <w:rPr>
          <w:rFonts w:ascii="Arial" w:hAnsi="Arial" w:cs="Arial"/>
          <w:sz w:val="24"/>
          <w:szCs w:val="24"/>
        </w:rPr>
        <w:t xml:space="preserve"> agreement therefore did not lapse.</w:t>
      </w:r>
    </w:p>
    <w:p w:rsidR="00A931ED" w:rsidRDefault="00A931ED" w:rsidP="00A931ED">
      <w:pPr>
        <w:pStyle w:val="NoSpacing"/>
        <w:spacing w:line="480" w:lineRule="auto"/>
        <w:jc w:val="both"/>
        <w:rPr>
          <w:rFonts w:ascii="Arial" w:hAnsi="Arial" w:cs="Arial"/>
          <w:sz w:val="24"/>
          <w:szCs w:val="24"/>
        </w:rPr>
      </w:pPr>
    </w:p>
    <w:p w:rsidR="00A931ED" w:rsidRDefault="009B03AA"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question whether the 2009 agreement was amended by or harmonised with the 2012 collective agreement</w:t>
      </w:r>
      <w:r w:rsidR="006739EC">
        <w:rPr>
          <w:rFonts w:ascii="Arial" w:hAnsi="Arial" w:cs="Arial"/>
          <w:sz w:val="24"/>
          <w:szCs w:val="24"/>
        </w:rPr>
        <w:t>,</w:t>
      </w:r>
      <w:r>
        <w:rPr>
          <w:rFonts w:ascii="Arial" w:hAnsi="Arial" w:cs="Arial"/>
          <w:sz w:val="24"/>
          <w:szCs w:val="24"/>
        </w:rPr>
        <w:t xml:space="preserve"> the court </w:t>
      </w:r>
      <w:r w:rsidRPr="009B03AA">
        <w:rPr>
          <w:rFonts w:ascii="Arial" w:hAnsi="Arial" w:cs="Arial"/>
          <w:i/>
          <w:sz w:val="24"/>
          <w:szCs w:val="24"/>
        </w:rPr>
        <w:t>a quo</w:t>
      </w:r>
      <w:r>
        <w:rPr>
          <w:rFonts w:ascii="Arial" w:hAnsi="Arial" w:cs="Arial"/>
          <w:sz w:val="24"/>
          <w:szCs w:val="24"/>
        </w:rPr>
        <w:t xml:space="preserve"> concluded that it was not the case, since there is no clause in the 2012 agreement proposing or purporting to replace or amend the </w:t>
      </w:r>
      <w:r w:rsidR="00B92B91">
        <w:rPr>
          <w:rFonts w:ascii="Arial" w:hAnsi="Arial" w:cs="Arial"/>
          <w:sz w:val="24"/>
          <w:szCs w:val="24"/>
        </w:rPr>
        <w:t>2009</w:t>
      </w:r>
      <w:r>
        <w:rPr>
          <w:rFonts w:ascii="Arial" w:hAnsi="Arial" w:cs="Arial"/>
          <w:sz w:val="24"/>
          <w:szCs w:val="24"/>
        </w:rPr>
        <w:t xml:space="preserve"> agreement. No reference </w:t>
      </w:r>
      <w:r w:rsidR="00B92B91">
        <w:rPr>
          <w:rFonts w:ascii="Arial" w:hAnsi="Arial" w:cs="Arial"/>
          <w:sz w:val="24"/>
          <w:szCs w:val="24"/>
        </w:rPr>
        <w:t xml:space="preserve">at all </w:t>
      </w:r>
      <w:r>
        <w:rPr>
          <w:rFonts w:ascii="Arial" w:hAnsi="Arial" w:cs="Arial"/>
          <w:sz w:val="24"/>
          <w:szCs w:val="24"/>
        </w:rPr>
        <w:t xml:space="preserve">was made in the 2012 agreement to the 2009 agreement. The 2009 agreement was thus not amended by the 2012 agreement. The court </w:t>
      </w:r>
      <w:r w:rsidRPr="009B03AA">
        <w:rPr>
          <w:rFonts w:ascii="Arial" w:hAnsi="Arial" w:cs="Arial"/>
          <w:i/>
          <w:sz w:val="24"/>
          <w:szCs w:val="24"/>
        </w:rPr>
        <w:t>a quo</w:t>
      </w:r>
      <w:r>
        <w:rPr>
          <w:rFonts w:ascii="Arial" w:hAnsi="Arial" w:cs="Arial"/>
          <w:sz w:val="24"/>
          <w:szCs w:val="24"/>
        </w:rPr>
        <w:t xml:space="preserve"> concluded that the Government (appellant in this appeal) was obliged to pay the qualified teachers their incentives in terms of the 2009 agreement </w:t>
      </w:r>
      <w:r w:rsidR="00D164F6">
        <w:rPr>
          <w:rFonts w:ascii="Arial" w:hAnsi="Arial" w:cs="Arial"/>
          <w:sz w:val="24"/>
          <w:szCs w:val="24"/>
        </w:rPr>
        <w:t>and to pay outstanding incentive</w:t>
      </w:r>
      <w:r w:rsidR="00D14C41">
        <w:rPr>
          <w:rFonts w:ascii="Arial" w:hAnsi="Arial" w:cs="Arial"/>
          <w:sz w:val="24"/>
          <w:szCs w:val="24"/>
        </w:rPr>
        <w:t>s</w:t>
      </w:r>
      <w:r w:rsidR="00D164F6">
        <w:rPr>
          <w:rFonts w:ascii="Arial" w:hAnsi="Arial" w:cs="Arial"/>
          <w:sz w:val="24"/>
          <w:szCs w:val="24"/>
        </w:rPr>
        <w:t xml:space="preserve"> due to the qualified teachers from </w:t>
      </w:r>
      <w:r>
        <w:rPr>
          <w:rFonts w:ascii="Arial" w:hAnsi="Arial" w:cs="Arial"/>
          <w:sz w:val="24"/>
          <w:szCs w:val="24"/>
        </w:rPr>
        <w:t xml:space="preserve">1 April 2015 to date of judgment. </w:t>
      </w:r>
    </w:p>
    <w:p w:rsidR="00A931ED" w:rsidRDefault="00A931ED" w:rsidP="00A931ED">
      <w:pPr>
        <w:pStyle w:val="NoSpacing"/>
        <w:spacing w:line="480" w:lineRule="auto"/>
        <w:jc w:val="both"/>
        <w:rPr>
          <w:rFonts w:ascii="Arial" w:hAnsi="Arial" w:cs="Arial"/>
          <w:sz w:val="24"/>
          <w:szCs w:val="24"/>
        </w:rPr>
      </w:pPr>
    </w:p>
    <w:p w:rsidR="00666ACF" w:rsidRPr="00666ACF" w:rsidRDefault="003E4DC1" w:rsidP="00A931ED">
      <w:pPr>
        <w:pStyle w:val="NoSpacing"/>
        <w:spacing w:line="480" w:lineRule="auto"/>
        <w:jc w:val="both"/>
        <w:rPr>
          <w:rFonts w:ascii="Arial" w:hAnsi="Arial" w:cs="Arial"/>
          <w:sz w:val="24"/>
          <w:szCs w:val="24"/>
          <w:u w:val="single"/>
        </w:rPr>
      </w:pPr>
      <w:r>
        <w:rPr>
          <w:rFonts w:ascii="Arial" w:hAnsi="Arial" w:cs="Arial"/>
          <w:sz w:val="24"/>
          <w:szCs w:val="24"/>
          <w:u w:val="single"/>
        </w:rPr>
        <w:t>Issues</w:t>
      </w:r>
      <w:r w:rsidR="00666ACF" w:rsidRPr="00666ACF">
        <w:rPr>
          <w:rFonts w:ascii="Arial" w:hAnsi="Arial" w:cs="Arial"/>
          <w:sz w:val="24"/>
          <w:szCs w:val="24"/>
          <w:u w:val="single"/>
        </w:rPr>
        <w:t xml:space="preserve"> on appeal</w:t>
      </w:r>
    </w:p>
    <w:p w:rsidR="00290CE7" w:rsidRDefault="00666ACF" w:rsidP="00290C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its heads of argument the appellant has narrowed down the appeal to the following three issues:</w:t>
      </w:r>
    </w:p>
    <w:p w:rsidR="009D6571" w:rsidRPr="00290CE7" w:rsidRDefault="009D6571" w:rsidP="009D6571">
      <w:pPr>
        <w:pStyle w:val="NoSpacing"/>
        <w:spacing w:line="480" w:lineRule="auto"/>
        <w:jc w:val="both"/>
        <w:rPr>
          <w:rFonts w:ascii="Arial" w:hAnsi="Arial" w:cs="Arial"/>
          <w:sz w:val="24"/>
          <w:szCs w:val="24"/>
        </w:rPr>
      </w:pPr>
    </w:p>
    <w:p w:rsidR="00666ACF" w:rsidRDefault="00666ACF" w:rsidP="00666ACF">
      <w:pPr>
        <w:pStyle w:val="NoSpacing"/>
        <w:numPr>
          <w:ilvl w:val="0"/>
          <w:numId w:val="5"/>
        </w:numPr>
        <w:spacing w:line="480" w:lineRule="auto"/>
        <w:jc w:val="both"/>
        <w:rPr>
          <w:rFonts w:ascii="Arial" w:hAnsi="Arial" w:cs="Arial"/>
          <w:sz w:val="24"/>
          <w:szCs w:val="24"/>
        </w:rPr>
      </w:pPr>
      <w:r>
        <w:rPr>
          <w:rFonts w:ascii="Arial" w:hAnsi="Arial" w:cs="Arial"/>
          <w:sz w:val="24"/>
          <w:szCs w:val="24"/>
        </w:rPr>
        <w:t>firstly, whether the 2009/2010 agreement lapsed;</w:t>
      </w:r>
    </w:p>
    <w:p w:rsidR="00666ACF" w:rsidRDefault="00666ACF" w:rsidP="00666ACF">
      <w:pPr>
        <w:pStyle w:val="NoSpacing"/>
        <w:numPr>
          <w:ilvl w:val="0"/>
          <w:numId w:val="5"/>
        </w:numPr>
        <w:spacing w:line="480" w:lineRule="auto"/>
        <w:jc w:val="both"/>
        <w:rPr>
          <w:rFonts w:ascii="Arial" w:hAnsi="Arial" w:cs="Arial"/>
          <w:sz w:val="24"/>
          <w:szCs w:val="24"/>
        </w:rPr>
      </w:pPr>
      <w:r>
        <w:rPr>
          <w:rFonts w:ascii="Arial" w:hAnsi="Arial" w:cs="Arial"/>
          <w:sz w:val="24"/>
          <w:szCs w:val="24"/>
        </w:rPr>
        <w:t>secondly, if it had not lapsed, whether the 2012/2015 agreement incorporated or superseded the 2009/2010 agreement; and</w:t>
      </w:r>
    </w:p>
    <w:p w:rsidR="00666ACF" w:rsidRDefault="00666ACF" w:rsidP="00666ACF">
      <w:pPr>
        <w:pStyle w:val="NoSpacing"/>
        <w:numPr>
          <w:ilvl w:val="0"/>
          <w:numId w:val="5"/>
        </w:numPr>
        <w:spacing w:line="480" w:lineRule="auto"/>
        <w:jc w:val="both"/>
        <w:rPr>
          <w:rFonts w:ascii="Arial" w:hAnsi="Arial" w:cs="Arial"/>
          <w:sz w:val="24"/>
          <w:szCs w:val="24"/>
        </w:rPr>
      </w:pPr>
      <w:r>
        <w:rPr>
          <w:rFonts w:ascii="Arial" w:hAnsi="Arial" w:cs="Arial"/>
          <w:sz w:val="24"/>
          <w:szCs w:val="24"/>
        </w:rPr>
        <w:t>thirdly, whether the 2012/2015 agreement imposed an obligation on the Government which is additional to the 2009/2010 agreement in respect of qualified teachers in remote and hardship areas.</w:t>
      </w:r>
    </w:p>
    <w:p w:rsidR="00666ACF" w:rsidRDefault="00666ACF" w:rsidP="00A931ED">
      <w:pPr>
        <w:pStyle w:val="NoSpacing"/>
        <w:spacing w:line="480" w:lineRule="auto"/>
        <w:jc w:val="both"/>
        <w:rPr>
          <w:rFonts w:ascii="Arial" w:hAnsi="Arial" w:cs="Arial"/>
          <w:sz w:val="24"/>
          <w:szCs w:val="24"/>
        </w:rPr>
      </w:pPr>
    </w:p>
    <w:p w:rsidR="00F165DC" w:rsidRPr="00290CE7" w:rsidRDefault="00290CE7" w:rsidP="00A931ED">
      <w:pPr>
        <w:pStyle w:val="NoSpacing"/>
        <w:spacing w:line="480" w:lineRule="auto"/>
        <w:jc w:val="both"/>
        <w:rPr>
          <w:rFonts w:ascii="Arial" w:hAnsi="Arial" w:cs="Arial"/>
          <w:sz w:val="24"/>
          <w:szCs w:val="24"/>
          <w:u w:val="single"/>
        </w:rPr>
      </w:pPr>
      <w:r w:rsidRPr="00290CE7">
        <w:rPr>
          <w:rFonts w:ascii="Arial" w:hAnsi="Arial" w:cs="Arial"/>
          <w:sz w:val="24"/>
          <w:szCs w:val="24"/>
          <w:u w:val="single"/>
        </w:rPr>
        <w:t>Submission</w:t>
      </w:r>
      <w:r w:rsidR="005B0758">
        <w:rPr>
          <w:rFonts w:ascii="Arial" w:hAnsi="Arial" w:cs="Arial"/>
          <w:sz w:val="24"/>
          <w:szCs w:val="24"/>
          <w:u w:val="single"/>
        </w:rPr>
        <w:t>s</w:t>
      </w:r>
      <w:r w:rsidRPr="00290CE7">
        <w:rPr>
          <w:rFonts w:ascii="Arial" w:hAnsi="Arial" w:cs="Arial"/>
          <w:sz w:val="24"/>
          <w:szCs w:val="24"/>
          <w:u w:val="single"/>
        </w:rPr>
        <w:t xml:space="preserve"> by the appellant</w:t>
      </w:r>
    </w:p>
    <w:p w:rsidR="009625B4" w:rsidRPr="00BA1188"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Budlender on behalf of the appellant addressed the court on what he termed as five ‘core’ issues. </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Firstly, the respondent sued on the 2009 </w:t>
      </w:r>
      <w:r w:rsidR="0077243D">
        <w:rPr>
          <w:rFonts w:ascii="Arial" w:hAnsi="Arial" w:cs="Arial"/>
          <w:sz w:val="24"/>
          <w:szCs w:val="24"/>
        </w:rPr>
        <w:t>MoU</w:t>
      </w:r>
      <w:r>
        <w:rPr>
          <w:rFonts w:ascii="Arial" w:hAnsi="Arial" w:cs="Arial"/>
          <w:sz w:val="24"/>
          <w:szCs w:val="24"/>
        </w:rPr>
        <w:t xml:space="preserve"> </w:t>
      </w:r>
      <w:r w:rsidR="00B92B91">
        <w:rPr>
          <w:rFonts w:ascii="Arial" w:hAnsi="Arial" w:cs="Arial"/>
          <w:sz w:val="24"/>
          <w:szCs w:val="24"/>
        </w:rPr>
        <w:t xml:space="preserve">which was </w:t>
      </w:r>
      <w:r>
        <w:rPr>
          <w:rFonts w:ascii="Arial" w:hAnsi="Arial" w:cs="Arial"/>
          <w:sz w:val="24"/>
          <w:szCs w:val="24"/>
        </w:rPr>
        <w:t>entered into by the par</w:t>
      </w:r>
      <w:r w:rsidR="00B92B91">
        <w:rPr>
          <w:rFonts w:ascii="Arial" w:hAnsi="Arial" w:cs="Arial"/>
          <w:sz w:val="24"/>
          <w:szCs w:val="24"/>
        </w:rPr>
        <w:t>ties on 23 January 2009 – that was its cause of action.</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order to underscore this proposition Mr Budlender submitted that in para 5.1 of the first respondent’s summary of dispute which served before the arbitrator, the </w:t>
      </w:r>
      <w:r w:rsidR="002B202E">
        <w:rPr>
          <w:rFonts w:ascii="Arial" w:hAnsi="Arial" w:cs="Arial"/>
          <w:sz w:val="24"/>
          <w:szCs w:val="24"/>
        </w:rPr>
        <w:t xml:space="preserve">first </w:t>
      </w:r>
      <w:r>
        <w:rPr>
          <w:rFonts w:ascii="Arial" w:hAnsi="Arial" w:cs="Arial"/>
          <w:sz w:val="24"/>
          <w:szCs w:val="24"/>
        </w:rPr>
        <w:t xml:space="preserve">respondent stated that the parties agreed and endorsed the matter of school </w:t>
      </w:r>
      <w:r w:rsidRPr="000857CB">
        <w:rPr>
          <w:rFonts w:ascii="Arial" w:hAnsi="Arial" w:cs="Arial"/>
          <w:sz w:val="24"/>
          <w:szCs w:val="24"/>
        </w:rPr>
        <w:t>principals</w:t>
      </w:r>
      <w:r>
        <w:rPr>
          <w:rFonts w:ascii="Arial" w:hAnsi="Arial" w:cs="Arial"/>
          <w:sz w:val="24"/>
          <w:szCs w:val="24"/>
        </w:rPr>
        <w:t xml:space="preserve"> and incentives for teachers be finalised and implemented from 1 April 2009. Para 5.2 of the summary of dispute stated that the </w:t>
      </w:r>
      <w:r w:rsidR="0077243D">
        <w:rPr>
          <w:rFonts w:ascii="Arial" w:hAnsi="Arial" w:cs="Arial"/>
          <w:sz w:val="24"/>
          <w:szCs w:val="24"/>
        </w:rPr>
        <w:t>MoU</w:t>
      </w:r>
      <w:r>
        <w:rPr>
          <w:rFonts w:ascii="Arial" w:hAnsi="Arial" w:cs="Arial"/>
          <w:sz w:val="24"/>
          <w:szCs w:val="24"/>
        </w:rPr>
        <w:t xml:space="preserve"> was implemented by a collective agreement concluded between the parties on 10 November 2010. This was an agreement how to implement the 2009 agreement.</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relief sought by the </w:t>
      </w:r>
      <w:r w:rsidR="002B202E">
        <w:rPr>
          <w:rFonts w:ascii="Arial" w:hAnsi="Arial" w:cs="Arial"/>
          <w:sz w:val="24"/>
          <w:szCs w:val="24"/>
        </w:rPr>
        <w:t xml:space="preserve">first </w:t>
      </w:r>
      <w:r>
        <w:rPr>
          <w:rFonts w:ascii="Arial" w:hAnsi="Arial" w:cs="Arial"/>
          <w:sz w:val="24"/>
          <w:szCs w:val="24"/>
        </w:rPr>
        <w:t xml:space="preserve">respondent as contained in the summary of </w:t>
      </w:r>
      <w:r w:rsidRPr="003C222F">
        <w:rPr>
          <w:rFonts w:ascii="Arial" w:hAnsi="Arial" w:cs="Arial"/>
          <w:sz w:val="24"/>
          <w:szCs w:val="24"/>
        </w:rPr>
        <w:t>dispute</w:t>
      </w:r>
      <w:r w:rsidR="00D164F6" w:rsidRPr="003C222F">
        <w:rPr>
          <w:rFonts w:ascii="Arial" w:hAnsi="Arial" w:cs="Arial"/>
          <w:sz w:val="24"/>
          <w:szCs w:val="24"/>
        </w:rPr>
        <w:t>,</w:t>
      </w:r>
      <w:r w:rsidRPr="003C222F">
        <w:rPr>
          <w:rFonts w:ascii="Arial" w:hAnsi="Arial" w:cs="Arial"/>
          <w:sz w:val="24"/>
          <w:szCs w:val="24"/>
        </w:rPr>
        <w:t xml:space="preserve"> it was submitted</w:t>
      </w:r>
      <w:r w:rsidR="00B16A2E" w:rsidRPr="003C222F">
        <w:rPr>
          <w:rFonts w:ascii="Arial" w:hAnsi="Arial" w:cs="Arial"/>
          <w:sz w:val="24"/>
          <w:szCs w:val="24"/>
        </w:rPr>
        <w:t xml:space="preserve"> by Mr Budlender, </w:t>
      </w:r>
      <w:r w:rsidRPr="003C222F">
        <w:rPr>
          <w:rFonts w:ascii="Arial" w:hAnsi="Arial" w:cs="Arial"/>
          <w:sz w:val="24"/>
          <w:szCs w:val="24"/>
        </w:rPr>
        <w:t xml:space="preserve">firstly, </w:t>
      </w:r>
      <w:r w:rsidR="00AD0111" w:rsidRPr="003C222F">
        <w:rPr>
          <w:rFonts w:ascii="Arial" w:hAnsi="Arial" w:cs="Arial"/>
          <w:sz w:val="24"/>
          <w:szCs w:val="24"/>
        </w:rPr>
        <w:t xml:space="preserve">an order declaring that </w:t>
      </w:r>
      <w:r w:rsidRPr="003C222F">
        <w:rPr>
          <w:rFonts w:ascii="Arial" w:hAnsi="Arial" w:cs="Arial"/>
          <w:sz w:val="24"/>
          <w:szCs w:val="24"/>
        </w:rPr>
        <w:t>the collective</w:t>
      </w:r>
      <w:r>
        <w:rPr>
          <w:rFonts w:ascii="Arial" w:hAnsi="Arial" w:cs="Arial"/>
          <w:sz w:val="24"/>
          <w:szCs w:val="24"/>
        </w:rPr>
        <w:t xml:space="preserve"> </w:t>
      </w:r>
      <w:r w:rsidR="00B16A2E">
        <w:rPr>
          <w:rFonts w:ascii="Arial" w:hAnsi="Arial" w:cs="Arial"/>
          <w:sz w:val="24"/>
          <w:szCs w:val="24"/>
        </w:rPr>
        <w:t xml:space="preserve">agreement dated </w:t>
      </w:r>
      <w:r>
        <w:rPr>
          <w:rFonts w:ascii="Arial" w:hAnsi="Arial" w:cs="Arial"/>
          <w:sz w:val="24"/>
          <w:szCs w:val="24"/>
        </w:rPr>
        <w:t>23 January 2009 was a valid and existing agreement; secondly, an order declaring that the collective agreement dated 23 January 2009 did not lapse on the implementation of the 2012 collective agreement; thirdl</w:t>
      </w:r>
      <w:r w:rsidR="002B202E">
        <w:rPr>
          <w:rFonts w:ascii="Arial" w:hAnsi="Arial" w:cs="Arial"/>
          <w:sz w:val="24"/>
          <w:szCs w:val="24"/>
        </w:rPr>
        <w:t>y, that the appellant</w:t>
      </w:r>
      <w:r>
        <w:rPr>
          <w:rFonts w:ascii="Arial" w:hAnsi="Arial" w:cs="Arial"/>
          <w:sz w:val="24"/>
          <w:szCs w:val="24"/>
        </w:rPr>
        <w:t xml:space="preserve"> pays the qualified teachers in remote areas their recruitment and retention incentive as per the 2009 collective agreement read with the 2010 implementation collective agreement as from 1 March 2016. </w:t>
      </w:r>
      <w:r w:rsidRPr="000857CB">
        <w:rPr>
          <w:rFonts w:ascii="Arial" w:hAnsi="Arial" w:cs="Arial"/>
          <w:sz w:val="24"/>
          <w:szCs w:val="24"/>
        </w:rPr>
        <w:t>From the aforementioned it should be clear</w:t>
      </w:r>
      <w:r w:rsidR="003E4DC1">
        <w:rPr>
          <w:rFonts w:ascii="Arial" w:hAnsi="Arial" w:cs="Arial"/>
          <w:sz w:val="24"/>
          <w:szCs w:val="24"/>
        </w:rPr>
        <w:t>, it was submitted</w:t>
      </w:r>
      <w:r w:rsidR="00A75D1B">
        <w:rPr>
          <w:rFonts w:ascii="Arial" w:hAnsi="Arial" w:cs="Arial"/>
          <w:sz w:val="24"/>
          <w:szCs w:val="24"/>
        </w:rPr>
        <w:t>,</w:t>
      </w:r>
      <w:r w:rsidRPr="000857CB">
        <w:rPr>
          <w:rFonts w:ascii="Arial" w:hAnsi="Arial" w:cs="Arial"/>
          <w:sz w:val="24"/>
          <w:szCs w:val="24"/>
        </w:rPr>
        <w:t xml:space="preserve"> that what the first respondent sought to do was</w:t>
      </w:r>
      <w:r w:rsidR="007431AC">
        <w:rPr>
          <w:rFonts w:ascii="Arial" w:hAnsi="Arial" w:cs="Arial"/>
          <w:sz w:val="24"/>
          <w:szCs w:val="24"/>
        </w:rPr>
        <w:t xml:space="preserve"> to enforce the 2009 agreement</w:t>
      </w:r>
      <w:r w:rsidR="003E4DC1">
        <w:rPr>
          <w:rFonts w:ascii="Arial" w:hAnsi="Arial" w:cs="Arial"/>
          <w:sz w:val="24"/>
          <w:szCs w:val="24"/>
        </w:rPr>
        <w:t>,</w:t>
      </w:r>
      <w:r w:rsidR="007431AC">
        <w:rPr>
          <w:rFonts w:ascii="Arial" w:hAnsi="Arial" w:cs="Arial"/>
          <w:sz w:val="24"/>
          <w:szCs w:val="24"/>
        </w:rPr>
        <w:t xml:space="preserve"> an agreement which had lapsed. This agreement, it was submitted, in the alternative</w:t>
      </w:r>
      <w:r w:rsidR="00FF35C2">
        <w:rPr>
          <w:rFonts w:ascii="Arial" w:hAnsi="Arial" w:cs="Arial"/>
          <w:sz w:val="24"/>
          <w:szCs w:val="24"/>
        </w:rPr>
        <w:t>,</w:t>
      </w:r>
      <w:r w:rsidR="007431AC">
        <w:rPr>
          <w:rFonts w:ascii="Arial" w:hAnsi="Arial" w:cs="Arial"/>
          <w:sz w:val="24"/>
          <w:szCs w:val="24"/>
        </w:rPr>
        <w:t xml:space="preserve"> was </w:t>
      </w:r>
      <w:r w:rsidR="00FF35C2">
        <w:rPr>
          <w:rFonts w:ascii="Arial" w:hAnsi="Arial" w:cs="Arial"/>
          <w:sz w:val="24"/>
          <w:szCs w:val="24"/>
        </w:rPr>
        <w:t>excipiable</w:t>
      </w:r>
      <w:r w:rsidR="007431AC">
        <w:rPr>
          <w:rFonts w:ascii="Arial" w:hAnsi="Arial" w:cs="Arial"/>
          <w:sz w:val="24"/>
          <w:szCs w:val="24"/>
        </w:rPr>
        <w:t xml:space="preserve"> because it was silent in respect of the amount payable by the appellant.</w:t>
      </w:r>
    </w:p>
    <w:p w:rsidR="009625B4" w:rsidRDefault="009625B4" w:rsidP="009625B4">
      <w:pPr>
        <w:pStyle w:val="ListParagraph"/>
        <w:spacing w:after="0" w:line="480" w:lineRule="auto"/>
        <w:rPr>
          <w:rFonts w:ascii="Arial" w:hAnsi="Arial" w:cs="Arial"/>
          <w:sz w:val="24"/>
          <w:szCs w:val="24"/>
        </w:rPr>
      </w:pPr>
    </w:p>
    <w:p w:rsidR="009625B4" w:rsidRPr="00DF6472"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core issue, it was submitted, </w:t>
      </w:r>
      <w:r w:rsidR="00B92B91">
        <w:rPr>
          <w:rFonts w:ascii="Arial" w:hAnsi="Arial" w:cs="Arial"/>
          <w:sz w:val="24"/>
          <w:szCs w:val="24"/>
        </w:rPr>
        <w:t xml:space="preserve">was </w:t>
      </w:r>
      <w:r>
        <w:rPr>
          <w:rFonts w:ascii="Arial" w:hAnsi="Arial" w:cs="Arial"/>
          <w:sz w:val="24"/>
          <w:szCs w:val="24"/>
        </w:rPr>
        <w:t xml:space="preserve">that on its own terms the 2009 </w:t>
      </w:r>
      <w:r w:rsidR="00D164F6">
        <w:rPr>
          <w:rFonts w:ascii="Arial" w:hAnsi="Arial" w:cs="Arial"/>
          <w:sz w:val="24"/>
          <w:szCs w:val="24"/>
        </w:rPr>
        <w:t>agreement w</w:t>
      </w:r>
      <w:r>
        <w:rPr>
          <w:rFonts w:ascii="Arial" w:hAnsi="Arial" w:cs="Arial"/>
          <w:sz w:val="24"/>
          <w:szCs w:val="24"/>
        </w:rPr>
        <w:t>as to govern two years</w:t>
      </w:r>
      <w:r w:rsidR="00D164F6">
        <w:rPr>
          <w:rFonts w:ascii="Arial" w:hAnsi="Arial" w:cs="Arial"/>
          <w:sz w:val="24"/>
          <w:szCs w:val="24"/>
        </w:rPr>
        <w:t>,</w:t>
      </w:r>
      <w:r>
        <w:rPr>
          <w:rFonts w:ascii="Arial" w:hAnsi="Arial" w:cs="Arial"/>
          <w:sz w:val="24"/>
          <w:szCs w:val="24"/>
        </w:rPr>
        <w:t xml:space="preserve"> ie 2009/2010 and 2010/2011. </w:t>
      </w:r>
      <w:r w:rsidRPr="00DF6472">
        <w:rPr>
          <w:rFonts w:ascii="Arial" w:hAnsi="Arial" w:cs="Arial"/>
          <w:sz w:val="24"/>
          <w:szCs w:val="24"/>
        </w:rPr>
        <w:t xml:space="preserve">It was submitted that in para 2 of the 2009 </w:t>
      </w:r>
      <w:r w:rsidR="0077243D">
        <w:rPr>
          <w:rFonts w:ascii="Arial" w:hAnsi="Arial" w:cs="Arial"/>
          <w:sz w:val="24"/>
          <w:szCs w:val="24"/>
        </w:rPr>
        <w:t>MoU</w:t>
      </w:r>
      <w:r w:rsidRPr="00DF6472">
        <w:rPr>
          <w:rFonts w:ascii="Arial" w:hAnsi="Arial" w:cs="Arial"/>
          <w:sz w:val="24"/>
          <w:szCs w:val="24"/>
        </w:rPr>
        <w:t xml:space="preserve"> the ‘governing clause’ stated that the parties concluded negotiations for 2009/2010 and 2010/2011 financial years. The negotiations w</w:t>
      </w:r>
      <w:r w:rsidR="00B16A2E">
        <w:rPr>
          <w:rFonts w:ascii="Arial" w:hAnsi="Arial" w:cs="Arial"/>
          <w:sz w:val="24"/>
          <w:szCs w:val="24"/>
        </w:rPr>
        <w:t>ere</w:t>
      </w:r>
      <w:r w:rsidRPr="00DF6472">
        <w:rPr>
          <w:rFonts w:ascii="Arial" w:hAnsi="Arial" w:cs="Arial"/>
          <w:sz w:val="24"/>
          <w:szCs w:val="24"/>
        </w:rPr>
        <w:t xml:space="preserve"> therefore </w:t>
      </w:r>
      <w:r w:rsidR="00EF1950">
        <w:rPr>
          <w:rFonts w:ascii="Arial" w:hAnsi="Arial" w:cs="Arial"/>
          <w:sz w:val="24"/>
          <w:szCs w:val="24"/>
        </w:rPr>
        <w:t xml:space="preserve">only </w:t>
      </w:r>
      <w:r w:rsidRPr="00DF6472">
        <w:rPr>
          <w:rFonts w:ascii="Arial" w:hAnsi="Arial" w:cs="Arial"/>
          <w:sz w:val="24"/>
          <w:szCs w:val="24"/>
        </w:rPr>
        <w:t xml:space="preserve">for those two financial years. </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letter from the Office of the Prime Minister dated 11 September 2009, it was submitted</w:t>
      </w:r>
      <w:r w:rsidR="006739EC">
        <w:rPr>
          <w:rFonts w:ascii="Arial" w:hAnsi="Arial" w:cs="Arial"/>
          <w:sz w:val="24"/>
          <w:szCs w:val="24"/>
        </w:rPr>
        <w:t>,</w:t>
      </w:r>
      <w:r>
        <w:rPr>
          <w:rFonts w:ascii="Arial" w:hAnsi="Arial" w:cs="Arial"/>
          <w:sz w:val="24"/>
          <w:szCs w:val="24"/>
        </w:rPr>
        <w:t xml:space="preserve"> transformed the principle commitments of the 2009 </w:t>
      </w:r>
      <w:r w:rsidR="00F27CA9">
        <w:rPr>
          <w:rFonts w:ascii="Arial" w:hAnsi="Arial" w:cs="Arial"/>
          <w:sz w:val="24"/>
          <w:szCs w:val="24"/>
        </w:rPr>
        <w:t>m</w:t>
      </w:r>
      <w:r>
        <w:rPr>
          <w:rFonts w:ascii="Arial" w:hAnsi="Arial" w:cs="Arial"/>
          <w:sz w:val="24"/>
          <w:szCs w:val="24"/>
        </w:rPr>
        <w:t xml:space="preserve">emorandum of </w:t>
      </w:r>
      <w:r w:rsidR="001811E3">
        <w:rPr>
          <w:rFonts w:ascii="Arial" w:hAnsi="Arial" w:cs="Arial"/>
          <w:sz w:val="24"/>
          <w:szCs w:val="24"/>
        </w:rPr>
        <w:t>a</w:t>
      </w:r>
      <w:r w:rsidR="0077243D">
        <w:rPr>
          <w:rFonts w:ascii="Arial" w:hAnsi="Arial" w:cs="Arial"/>
          <w:sz w:val="24"/>
          <w:szCs w:val="24"/>
        </w:rPr>
        <w:t>gr</w:t>
      </w:r>
      <w:r>
        <w:rPr>
          <w:rFonts w:ascii="Arial" w:hAnsi="Arial" w:cs="Arial"/>
          <w:sz w:val="24"/>
          <w:szCs w:val="24"/>
        </w:rPr>
        <w:t>eem</w:t>
      </w:r>
      <w:r w:rsidR="00F27CA9">
        <w:rPr>
          <w:rFonts w:ascii="Arial" w:hAnsi="Arial" w:cs="Arial"/>
          <w:sz w:val="24"/>
          <w:szCs w:val="24"/>
        </w:rPr>
        <w:t>ent</w:t>
      </w:r>
      <w:r w:rsidR="0077243D">
        <w:rPr>
          <w:rFonts w:ascii="Arial" w:hAnsi="Arial" w:cs="Arial"/>
          <w:sz w:val="24"/>
          <w:szCs w:val="24"/>
        </w:rPr>
        <w:t xml:space="preserve"> </w:t>
      </w:r>
      <w:r>
        <w:rPr>
          <w:rFonts w:ascii="Arial" w:hAnsi="Arial" w:cs="Arial"/>
          <w:sz w:val="24"/>
          <w:szCs w:val="24"/>
        </w:rPr>
        <w:t>into a legally binding agreement and undertaking. This letter underlined the duration of the commitment and under the heading, ‘Duration’ in paragraph (d) it is stated that: ‘As the allowance is an incentive to support the recruitm</w:t>
      </w:r>
      <w:r w:rsidR="006739EC">
        <w:rPr>
          <w:rFonts w:ascii="Arial" w:hAnsi="Arial" w:cs="Arial"/>
          <w:sz w:val="24"/>
          <w:szCs w:val="24"/>
        </w:rPr>
        <w:t>ent and retention of qualified T</w:t>
      </w:r>
      <w:r>
        <w:rPr>
          <w:rFonts w:ascii="Arial" w:hAnsi="Arial" w:cs="Arial"/>
          <w:sz w:val="24"/>
          <w:szCs w:val="24"/>
        </w:rPr>
        <w:t>eachers to rural schools, the success or failure therefore needs to be evaluated on an annual basis with a complete review to take</w:t>
      </w:r>
      <w:r w:rsidR="006739EC">
        <w:rPr>
          <w:rFonts w:ascii="Arial" w:hAnsi="Arial" w:cs="Arial"/>
          <w:sz w:val="24"/>
          <w:szCs w:val="24"/>
        </w:rPr>
        <w:t xml:space="preserve"> place by the end of the 2010/</w:t>
      </w:r>
      <w:r>
        <w:rPr>
          <w:rFonts w:ascii="Arial" w:hAnsi="Arial" w:cs="Arial"/>
          <w:sz w:val="24"/>
          <w:szCs w:val="24"/>
        </w:rPr>
        <w:t xml:space="preserve">11 financial year’. It was submitted that this suggests that this is not a permanent arrangement – it was to be reviewed after two years. </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pointed out that the letter from the Office of the Prime Minister stated in para (e)</w:t>
      </w:r>
      <w:r w:rsidR="00EF1950">
        <w:rPr>
          <w:rFonts w:ascii="Arial" w:hAnsi="Arial" w:cs="Arial"/>
          <w:sz w:val="24"/>
          <w:szCs w:val="24"/>
        </w:rPr>
        <w:t xml:space="preserve"> of that letter,</w:t>
      </w:r>
      <w:r>
        <w:rPr>
          <w:rFonts w:ascii="Arial" w:hAnsi="Arial" w:cs="Arial"/>
          <w:sz w:val="24"/>
          <w:szCs w:val="24"/>
        </w:rPr>
        <w:t xml:space="preserve"> that the incentive is not permanent in nature and that a complete review would be needed at the end of the validity of the current </w:t>
      </w:r>
      <w:r w:rsidR="0077243D">
        <w:rPr>
          <w:rFonts w:ascii="Arial" w:hAnsi="Arial" w:cs="Arial"/>
          <w:sz w:val="24"/>
          <w:szCs w:val="24"/>
        </w:rPr>
        <w:t>MoU</w:t>
      </w:r>
      <w:r>
        <w:rPr>
          <w:rFonts w:ascii="Arial" w:hAnsi="Arial" w:cs="Arial"/>
          <w:sz w:val="24"/>
          <w:szCs w:val="24"/>
        </w:rPr>
        <w:t xml:space="preserve">. This it was submitted was another recognition that the </w:t>
      </w:r>
      <w:r w:rsidR="0077243D">
        <w:rPr>
          <w:rFonts w:ascii="Arial" w:hAnsi="Arial" w:cs="Arial"/>
          <w:sz w:val="24"/>
          <w:szCs w:val="24"/>
        </w:rPr>
        <w:t>MoU</w:t>
      </w:r>
      <w:r>
        <w:rPr>
          <w:rFonts w:ascii="Arial" w:hAnsi="Arial" w:cs="Arial"/>
          <w:sz w:val="24"/>
          <w:szCs w:val="24"/>
        </w:rPr>
        <w:t xml:space="preserve"> is limited in period and does not run forever. </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was a delay in implementing the incentives</w:t>
      </w:r>
      <w:r w:rsidR="00D164F6">
        <w:rPr>
          <w:rFonts w:ascii="Arial" w:hAnsi="Arial" w:cs="Arial"/>
          <w:sz w:val="24"/>
          <w:szCs w:val="24"/>
        </w:rPr>
        <w:t xml:space="preserve"> and the </w:t>
      </w:r>
      <w:r>
        <w:rPr>
          <w:rFonts w:ascii="Arial" w:hAnsi="Arial" w:cs="Arial"/>
          <w:sz w:val="24"/>
          <w:szCs w:val="24"/>
        </w:rPr>
        <w:t>first respondent declared a dispute. This resulted in a collective settlement agreement between the parties. In terms of the collective settlement agreement dated 10 November 2010 and under the topic ‘Implementation’ the parties</w:t>
      </w:r>
      <w:r w:rsidR="00D164F6">
        <w:rPr>
          <w:rFonts w:ascii="Arial" w:hAnsi="Arial" w:cs="Arial"/>
          <w:sz w:val="24"/>
          <w:szCs w:val="24"/>
        </w:rPr>
        <w:t>,</w:t>
      </w:r>
      <w:r>
        <w:rPr>
          <w:rFonts w:ascii="Arial" w:hAnsi="Arial" w:cs="Arial"/>
          <w:sz w:val="24"/>
          <w:szCs w:val="24"/>
        </w:rPr>
        <w:t xml:space="preserve"> it was submitted</w:t>
      </w:r>
      <w:r w:rsidR="00D164F6">
        <w:rPr>
          <w:rFonts w:ascii="Arial" w:hAnsi="Arial" w:cs="Arial"/>
          <w:sz w:val="24"/>
          <w:szCs w:val="24"/>
        </w:rPr>
        <w:t>,</w:t>
      </w:r>
      <w:r>
        <w:rPr>
          <w:rFonts w:ascii="Arial" w:hAnsi="Arial" w:cs="Arial"/>
          <w:sz w:val="24"/>
          <w:szCs w:val="24"/>
        </w:rPr>
        <w:t xml:space="preserve"> recognised that the 2009 </w:t>
      </w:r>
      <w:r w:rsidR="00F27CA9">
        <w:rPr>
          <w:rFonts w:ascii="Arial" w:hAnsi="Arial" w:cs="Arial"/>
          <w:sz w:val="24"/>
          <w:szCs w:val="24"/>
        </w:rPr>
        <w:t>memorandum of agreement</w:t>
      </w:r>
      <w:r>
        <w:rPr>
          <w:rFonts w:ascii="Arial" w:hAnsi="Arial" w:cs="Arial"/>
          <w:sz w:val="24"/>
          <w:szCs w:val="24"/>
        </w:rPr>
        <w:t xml:space="preserve"> would come to an end at the close of the 2010/2011 financial year, but Government nevertheless </w:t>
      </w:r>
      <w:r w:rsidR="00EF1950">
        <w:rPr>
          <w:rFonts w:ascii="Arial" w:hAnsi="Arial" w:cs="Arial"/>
          <w:sz w:val="24"/>
          <w:szCs w:val="24"/>
        </w:rPr>
        <w:t>undertook that</w:t>
      </w:r>
      <w:r>
        <w:rPr>
          <w:rFonts w:ascii="Arial" w:hAnsi="Arial" w:cs="Arial"/>
          <w:sz w:val="24"/>
          <w:szCs w:val="24"/>
        </w:rPr>
        <w:t xml:space="preserve"> it would continue to pay</w:t>
      </w:r>
      <w:r>
        <w:rPr>
          <w:rStyle w:val="FootnoteReference"/>
          <w:rFonts w:ascii="Arial" w:hAnsi="Arial" w:cs="Arial"/>
          <w:sz w:val="24"/>
          <w:szCs w:val="24"/>
        </w:rPr>
        <w:footnoteReference w:id="6"/>
      </w:r>
      <w:r>
        <w:rPr>
          <w:rFonts w:ascii="Arial" w:hAnsi="Arial" w:cs="Arial"/>
          <w:sz w:val="24"/>
          <w:szCs w:val="24"/>
        </w:rPr>
        <w:t xml:space="preserve"> for the incentives as from 1 April 2011.</w:t>
      </w:r>
      <w:r>
        <w:rPr>
          <w:rStyle w:val="FootnoteReference"/>
          <w:rFonts w:ascii="Arial" w:hAnsi="Arial" w:cs="Arial"/>
          <w:sz w:val="24"/>
          <w:szCs w:val="24"/>
        </w:rPr>
        <w:footnoteReference w:id="7"/>
      </w:r>
      <w:r>
        <w:rPr>
          <w:rFonts w:ascii="Arial" w:hAnsi="Arial" w:cs="Arial"/>
          <w:sz w:val="24"/>
          <w:szCs w:val="24"/>
        </w:rPr>
        <w:t xml:space="preserve"> It was submitted that paras </w:t>
      </w:r>
      <w:r w:rsidR="00AD0111">
        <w:rPr>
          <w:rFonts w:ascii="Arial" w:hAnsi="Arial" w:cs="Arial"/>
          <w:sz w:val="24"/>
          <w:szCs w:val="24"/>
        </w:rPr>
        <w:t>1.1 and 1.2 under the heading ‘I</w:t>
      </w:r>
      <w:r>
        <w:rPr>
          <w:rFonts w:ascii="Arial" w:hAnsi="Arial" w:cs="Arial"/>
          <w:sz w:val="24"/>
          <w:szCs w:val="24"/>
        </w:rPr>
        <w:t xml:space="preserve">mplementation’ underlines that the parties agreed that the </w:t>
      </w:r>
      <w:r w:rsidR="00D164F6">
        <w:rPr>
          <w:rFonts w:ascii="Arial" w:hAnsi="Arial" w:cs="Arial"/>
          <w:sz w:val="24"/>
          <w:szCs w:val="24"/>
        </w:rPr>
        <w:t xml:space="preserve">agreement </w:t>
      </w:r>
      <w:r>
        <w:rPr>
          <w:rFonts w:ascii="Arial" w:hAnsi="Arial" w:cs="Arial"/>
          <w:sz w:val="24"/>
          <w:szCs w:val="24"/>
        </w:rPr>
        <w:t xml:space="preserve">would cover a period of only two years. In para 1.3 the Government (the appellant) undertook to continue to pay the incentives to qualified teachers. This undertaking </w:t>
      </w:r>
      <w:r w:rsidR="00EF1950">
        <w:rPr>
          <w:rFonts w:ascii="Arial" w:hAnsi="Arial" w:cs="Arial"/>
          <w:sz w:val="24"/>
          <w:szCs w:val="24"/>
        </w:rPr>
        <w:t xml:space="preserve">it was submitted </w:t>
      </w:r>
      <w:r>
        <w:rPr>
          <w:rFonts w:ascii="Arial" w:hAnsi="Arial" w:cs="Arial"/>
          <w:sz w:val="24"/>
          <w:szCs w:val="24"/>
        </w:rPr>
        <w:t xml:space="preserve">was not part of the 2009 </w:t>
      </w:r>
      <w:r w:rsidR="00D164F6">
        <w:rPr>
          <w:rFonts w:ascii="Arial" w:hAnsi="Arial" w:cs="Arial"/>
          <w:sz w:val="24"/>
          <w:szCs w:val="24"/>
        </w:rPr>
        <w:t xml:space="preserve">agreement. </w:t>
      </w:r>
    </w:p>
    <w:p w:rsidR="001811E3" w:rsidRDefault="001811E3" w:rsidP="001811E3">
      <w:pPr>
        <w:pStyle w:val="NoSpacing"/>
        <w:spacing w:line="480" w:lineRule="auto"/>
        <w:jc w:val="both"/>
        <w:rPr>
          <w:rFonts w:ascii="Arial" w:hAnsi="Arial" w:cs="Arial"/>
          <w:sz w:val="24"/>
          <w:szCs w:val="24"/>
        </w:rPr>
      </w:pPr>
    </w:p>
    <w:p w:rsidR="009625B4" w:rsidRDefault="00EF1950"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w:t>
      </w:r>
      <w:r w:rsidR="009625B4">
        <w:rPr>
          <w:rFonts w:ascii="Arial" w:hAnsi="Arial" w:cs="Arial"/>
          <w:sz w:val="24"/>
          <w:szCs w:val="24"/>
        </w:rPr>
        <w:t>third core issue counsel submitted that there are seven clear statements in the documents before court regarding the fact that the 2009 agreement was not permanent, was not indefinite and came to an end in March 2011. Counsel referred the court to the relevant statements to substantiate this core issue. It was submitted that these statements appear in the heads of argument of the appellant, none of which was answered by the first respondent in their heads of argument – this was so</w:t>
      </w:r>
      <w:r>
        <w:rPr>
          <w:rFonts w:ascii="Arial" w:hAnsi="Arial" w:cs="Arial"/>
          <w:sz w:val="24"/>
          <w:szCs w:val="24"/>
        </w:rPr>
        <w:t>, it was contended,</w:t>
      </w:r>
      <w:r w:rsidR="009625B4">
        <w:rPr>
          <w:rFonts w:ascii="Arial" w:hAnsi="Arial" w:cs="Arial"/>
          <w:sz w:val="24"/>
          <w:szCs w:val="24"/>
        </w:rPr>
        <w:t xml:space="preserve"> because there is no answer to it (ie</w:t>
      </w:r>
      <w:r>
        <w:rPr>
          <w:rFonts w:ascii="Arial" w:hAnsi="Arial" w:cs="Arial"/>
          <w:sz w:val="24"/>
          <w:szCs w:val="24"/>
        </w:rPr>
        <w:t xml:space="preserve"> to</w:t>
      </w:r>
      <w:r w:rsidR="009625B4">
        <w:rPr>
          <w:rFonts w:ascii="Arial" w:hAnsi="Arial" w:cs="Arial"/>
          <w:sz w:val="24"/>
          <w:szCs w:val="24"/>
        </w:rPr>
        <w:t xml:space="preserve"> the aforementioned seven statements).</w:t>
      </w:r>
    </w:p>
    <w:p w:rsidR="00EF1950" w:rsidRDefault="00EF1950" w:rsidP="00EF1950">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fourth core issue, it was submitted, was that the 2012 collective agreement dealt, as far as the incentive allowance for qualified teachers in remote areas is concerned, with the same amounts of money, the same areas are covered, it was for the same purpose – it was the same benefit as the 2009 agreement. The only difference was that the 2012 agreement extended the benefit now to all public service employees. </w:t>
      </w:r>
    </w:p>
    <w:p w:rsidR="009625B4" w:rsidRDefault="009625B4" w:rsidP="009625B4">
      <w:pPr>
        <w:pStyle w:val="NoSpacing"/>
        <w:spacing w:line="480" w:lineRule="auto"/>
        <w:jc w:val="both"/>
        <w:rPr>
          <w:rFonts w:ascii="Arial" w:hAnsi="Arial" w:cs="Arial"/>
          <w:sz w:val="24"/>
          <w:szCs w:val="24"/>
        </w:rPr>
      </w:pPr>
    </w:p>
    <w:p w:rsidR="009625B4" w:rsidRDefault="009625B4" w:rsidP="009625B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fifth core issue was that if the  2009 agreement had not lapsed but had some sort of ‘afterlife after March 2011’, it was superseded by the new collective agreement in 2012 and that the 2012 collective agreement did not provide for a second identical benefit in addition to what was provided in the 2009 agreement. It simply confirmed and repeated the 2009 benefits and extended it to all public servants in rural areas. It was submitted that in the nature of collective agreements, and as a matter of common sense where two collective agreements dealt with the same matter, as in this instance, the latter agreement supersedes a prior agreement. An employee or staff member is thus not entitled to a double benefit, as the first respondent contended. </w:t>
      </w:r>
    </w:p>
    <w:p w:rsidR="006739EC" w:rsidRDefault="006739EC" w:rsidP="006739EC">
      <w:pPr>
        <w:pStyle w:val="NoSpacing"/>
        <w:spacing w:line="480" w:lineRule="auto"/>
        <w:jc w:val="both"/>
        <w:rPr>
          <w:rFonts w:ascii="Arial" w:hAnsi="Arial" w:cs="Arial"/>
          <w:sz w:val="24"/>
          <w:szCs w:val="24"/>
        </w:rPr>
      </w:pPr>
    </w:p>
    <w:p w:rsidR="00BF3ACB" w:rsidRPr="00BF3ACB" w:rsidRDefault="00BF3ACB" w:rsidP="00A931ED">
      <w:pPr>
        <w:pStyle w:val="NoSpacing"/>
        <w:spacing w:line="480" w:lineRule="auto"/>
        <w:jc w:val="both"/>
        <w:rPr>
          <w:rFonts w:ascii="Arial" w:hAnsi="Arial" w:cs="Arial"/>
          <w:sz w:val="24"/>
          <w:szCs w:val="24"/>
          <w:u w:val="single"/>
        </w:rPr>
      </w:pPr>
      <w:r w:rsidRPr="00BF3ACB">
        <w:rPr>
          <w:rFonts w:ascii="Arial" w:hAnsi="Arial" w:cs="Arial"/>
          <w:sz w:val="24"/>
          <w:szCs w:val="24"/>
          <w:u w:val="single"/>
        </w:rPr>
        <w:t xml:space="preserve">Submissions by </w:t>
      </w:r>
      <w:r w:rsidR="005B0758">
        <w:rPr>
          <w:rFonts w:ascii="Arial" w:hAnsi="Arial" w:cs="Arial"/>
          <w:sz w:val="24"/>
          <w:szCs w:val="24"/>
          <w:u w:val="single"/>
        </w:rPr>
        <w:t xml:space="preserve">the </w:t>
      </w:r>
      <w:r w:rsidRPr="00BF3ACB">
        <w:rPr>
          <w:rFonts w:ascii="Arial" w:hAnsi="Arial" w:cs="Arial"/>
          <w:sz w:val="24"/>
          <w:szCs w:val="24"/>
          <w:u w:val="single"/>
        </w:rPr>
        <w:t>first respondent</w:t>
      </w:r>
    </w:p>
    <w:p w:rsidR="00A931ED" w:rsidRDefault="00B85A84"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MacWilliam on behalf of the first respondent referred to relevant legal principles which support the finding of the court </w:t>
      </w:r>
      <w:r w:rsidRPr="006739EC">
        <w:rPr>
          <w:rFonts w:ascii="Arial" w:hAnsi="Arial" w:cs="Arial"/>
          <w:i/>
          <w:sz w:val="24"/>
          <w:szCs w:val="24"/>
        </w:rPr>
        <w:t>a quo</w:t>
      </w:r>
      <w:r>
        <w:rPr>
          <w:rFonts w:ascii="Arial" w:hAnsi="Arial" w:cs="Arial"/>
          <w:sz w:val="24"/>
          <w:szCs w:val="24"/>
        </w:rPr>
        <w:t xml:space="preserve"> that the 2009 incentives became part of the conditions of employment of the qualified teachers working in remote areas, and which was unsurprisingly</w:t>
      </w:r>
      <w:r w:rsidR="00DF6472">
        <w:rPr>
          <w:rFonts w:ascii="Arial" w:hAnsi="Arial" w:cs="Arial"/>
          <w:sz w:val="24"/>
          <w:szCs w:val="24"/>
        </w:rPr>
        <w:t xml:space="preserve">, so it was submitted, </w:t>
      </w:r>
      <w:r>
        <w:rPr>
          <w:rFonts w:ascii="Arial" w:hAnsi="Arial" w:cs="Arial"/>
          <w:sz w:val="24"/>
          <w:szCs w:val="24"/>
        </w:rPr>
        <w:t>not challenged on appeal, as well as the finding that such a condition of employment may not be unilaterally altered by an employer.</w:t>
      </w:r>
      <w:r>
        <w:rPr>
          <w:rStyle w:val="FootnoteReference"/>
          <w:rFonts w:ascii="Arial" w:hAnsi="Arial" w:cs="Arial"/>
          <w:sz w:val="24"/>
          <w:szCs w:val="24"/>
        </w:rPr>
        <w:footnoteReference w:id="8"/>
      </w:r>
    </w:p>
    <w:p w:rsidR="00A931ED" w:rsidRDefault="00A931ED" w:rsidP="00A931ED">
      <w:pPr>
        <w:pStyle w:val="NoSpacing"/>
        <w:spacing w:line="480" w:lineRule="auto"/>
        <w:jc w:val="both"/>
        <w:rPr>
          <w:rFonts w:ascii="Arial" w:hAnsi="Arial" w:cs="Arial"/>
          <w:sz w:val="24"/>
          <w:szCs w:val="24"/>
        </w:rPr>
      </w:pPr>
    </w:p>
    <w:p w:rsidR="00A931ED" w:rsidRDefault="00297EB6" w:rsidP="00A931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a basic term and condition of employment is not capable of being ‘incorporated or superseded’ by another agreement without having complied with the provisions of the earlier agreement. It was further submitted on the authority of </w:t>
      </w:r>
      <w:r w:rsidRPr="00297EB6">
        <w:rPr>
          <w:rFonts w:ascii="Arial" w:hAnsi="Arial" w:cs="Arial"/>
          <w:i/>
          <w:sz w:val="24"/>
          <w:szCs w:val="24"/>
        </w:rPr>
        <w:t>Smit v Standard Bank</w:t>
      </w:r>
      <w:r>
        <w:rPr>
          <w:rFonts w:ascii="Arial" w:hAnsi="Arial" w:cs="Arial"/>
          <w:sz w:val="24"/>
          <w:szCs w:val="24"/>
        </w:rPr>
        <w:t xml:space="preserve"> (</w:t>
      </w:r>
      <w:r w:rsidRPr="00297EB6">
        <w:rPr>
          <w:rFonts w:ascii="Arial" w:hAnsi="Arial" w:cs="Arial"/>
          <w:i/>
          <w:sz w:val="24"/>
          <w:szCs w:val="24"/>
        </w:rPr>
        <w:t>supra</w:t>
      </w:r>
      <w:r>
        <w:rPr>
          <w:rFonts w:ascii="Arial" w:hAnsi="Arial" w:cs="Arial"/>
          <w:sz w:val="24"/>
          <w:szCs w:val="24"/>
        </w:rPr>
        <w:t xml:space="preserve">) that the only way in which a change in the contract of employment could be lawfully effected between the parties was by way of negotiation and mutual agreement. </w:t>
      </w:r>
    </w:p>
    <w:p w:rsidR="00A931ED" w:rsidRDefault="00A931ED" w:rsidP="00A931ED">
      <w:pPr>
        <w:pStyle w:val="NoSpacing"/>
        <w:spacing w:line="480" w:lineRule="auto"/>
        <w:jc w:val="both"/>
        <w:rPr>
          <w:rFonts w:ascii="Arial" w:hAnsi="Arial" w:cs="Arial"/>
          <w:sz w:val="24"/>
          <w:szCs w:val="24"/>
        </w:rPr>
      </w:pPr>
    </w:p>
    <w:p w:rsidR="001141EB" w:rsidRDefault="00297EB6" w:rsidP="001141E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whilst para 2.1 of </w:t>
      </w:r>
      <w:r w:rsidR="0077243D">
        <w:rPr>
          <w:rFonts w:ascii="Arial" w:hAnsi="Arial" w:cs="Arial"/>
          <w:sz w:val="24"/>
          <w:szCs w:val="24"/>
        </w:rPr>
        <w:t>the MoU</w:t>
      </w:r>
      <w:r w:rsidRPr="00EA0CBF">
        <w:rPr>
          <w:rFonts w:ascii="Arial" w:hAnsi="Arial" w:cs="Arial"/>
          <w:sz w:val="24"/>
          <w:szCs w:val="24"/>
        </w:rPr>
        <w:t xml:space="preserve"> sets out the salary increments and allowances for the</w:t>
      </w:r>
      <w:r>
        <w:rPr>
          <w:rFonts w:ascii="Arial" w:hAnsi="Arial" w:cs="Arial"/>
          <w:sz w:val="24"/>
          <w:szCs w:val="24"/>
        </w:rPr>
        <w:t xml:space="preserve"> following two years, that could not have meant all staff members were on expiry of the two year period simply no longer entitled to those salaries and allowances with effect from 1 April 2009.</w:t>
      </w:r>
      <w:r w:rsidR="00EA0E95">
        <w:rPr>
          <w:rFonts w:ascii="Arial" w:hAnsi="Arial" w:cs="Arial"/>
          <w:sz w:val="24"/>
          <w:szCs w:val="24"/>
        </w:rPr>
        <w:t xml:space="preserve"> Furthermore, the origin of the incentiv</w:t>
      </w:r>
      <w:r w:rsidR="006739EC">
        <w:rPr>
          <w:rFonts w:ascii="Arial" w:hAnsi="Arial" w:cs="Arial"/>
          <w:sz w:val="24"/>
          <w:szCs w:val="24"/>
        </w:rPr>
        <w:t>e, found in para 2.5.1 of the Mo</w:t>
      </w:r>
      <w:r w:rsidR="00EA0E95">
        <w:rPr>
          <w:rFonts w:ascii="Arial" w:hAnsi="Arial" w:cs="Arial"/>
          <w:sz w:val="24"/>
          <w:szCs w:val="24"/>
        </w:rPr>
        <w:t>U</w:t>
      </w:r>
      <w:r w:rsidR="00AC3B1A">
        <w:rPr>
          <w:rFonts w:ascii="Arial" w:hAnsi="Arial" w:cs="Arial"/>
          <w:sz w:val="24"/>
          <w:szCs w:val="24"/>
        </w:rPr>
        <w:t>,</w:t>
      </w:r>
      <w:r w:rsidR="00EA0E95">
        <w:rPr>
          <w:rFonts w:ascii="Arial" w:hAnsi="Arial" w:cs="Arial"/>
          <w:sz w:val="24"/>
          <w:szCs w:val="24"/>
        </w:rPr>
        <w:t xml:space="preserve"> provided that it had been agreed by the parties that the incentive would be effective from 1 April 2009.</w:t>
      </w:r>
    </w:p>
    <w:p w:rsidR="00A931ED" w:rsidRDefault="00A931ED" w:rsidP="00A931ED">
      <w:pPr>
        <w:pStyle w:val="NoSpacing"/>
        <w:spacing w:line="480" w:lineRule="auto"/>
        <w:jc w:val="both"/>
        <w:rPr>
          <w:rFonts w:ascii="Arial" w:hAnsi="Arial" w:cs="Arial"/>
          <w:sz w:val="24"/>
          <w:szCs w:val="24"/>
        </w:rPr>
      </w:pPr>
    </w:p>
    <w:p w:rsidR="00420160" w:rsidRDefault="00A00A4C"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collective settlement </w:t>
      </w:r>
      <w:r w:rsidR="00AC7909">
        <w:rPr>
          <w:rFonts w:ascii="Arial" w:hAnsi="Arial" w:cs="Arial"/>
          <w:sz w:val="24"/>
          <w:szCs w:val="24"/>
        </w:rPr>
        <w:t xml:space="preserve">agreement of 2012 it was pointed out that </w:t>
      </w:r>
      <w:r w:rsidR="00F56A69">
        <w:rPr>
          <w:rFonts w:ascii="Arial" w:hAnsi="Arial" w:cs="Arial"/>
          <w:sz w:val="24"/>
          <w:szCs w:val="24"/>
        </w:rPr>
        <w:t xml:space="preserve">that </w:t>
      </w:r>
      <w:r w:rsidR="00AC7909">
        <w:rPr>
          <w:rFonts w:ascii="Arial" w:hAnsi="Arial" w:cs="Arial"/>
          <w:sz w:val="24"/>
          <w:szCs w:val="24"/>
        </w:rPr>
        <w:t>agreement provided for ‘the improvement of salaries</w:t>
      </w:r>
      <w:r w:rsidR="00F56A69">
        <w:rPr>
          <w:rFonts w:ascii="Arial" w:hAnsi="Arial" w:cs="Arial"/>
          <w:sz w:val="24"/>
          <w:szCs w:val="24"/>
        </w:rPr>
        <w:t xml:space="preserve"> and benefits for staff members’. Thus it was submitted that for a benefit to be </w:t>
      </w:r>
      <w:r w:rsidR="00F56A69" w:rsidRPr="00AD0111">
        <w:rPr>
          <w:rFonts w:ascii="Arial" w:hAnsi="Arial" w:cs="Arial"/>
          <w:i/>
          <w:sz w:val="24"/>
          <w:szCs w:val="24"/>
        </w:rPr>
        <w:t>i</w:t>
      </w:r>
      <w:r w:rsidR="00F56A69" w:rsidRPr="00EF1950">
        <w:rPr>
          <w:rFonts w:ascii="Arial" w:hAnsi="Arial" w:cs="Arial"/>
          <w:i/>
          <w:sz w:val="24"/>
          <w:szCs w:val="24"/>
        </w:rPr>
        <w:t>mproved</w:t>
      </w:r>
      <w:r w:rsidR="00EF1950">
        <w:rPr>
          <w:rStyle w:val="FootnoteReference"/>
          <w:rFonts w:ascii="Arial" w:hAnsi="Arial" w:cs="Arial"/>
          <w:sz w:val="24"/>
          <w:szCs w:val="24"/>
        </w:rPr>
        <w:footnoteReference w:id="9"/>
      </w:r>
      <w:r w:rsidR="00F56A69">
        <w:rPr>
          <w:rFonts w:ascii="Arial" w:hAnsi="Arial" w:cs="Arial"/>
          <w:sz w:val="24"/>
          <w:szCs w:val="24"/>
        </w:rPr>
        <w:t xml:space="preserve"> an additional or increased benefit had to be provided and this was precisely what the 2012 agreement did – by introducing a new allowance. </w:t>
      </w:r>
      <w:r w:rsidR="00AC3B1A">
        <w:rPr>
          <w:rFonts w:ascii="Arial" w:hAnsi="Arial" w:cs="Arial"/>
          <w:sz w:val="24"/>
          <w:szCs w:val="24"/>
        </w:rPr>
        <w:t>The improvement was that the qualified teachers got an allowance in addition to the incentive.</w:t>
      </w:r>
    </w:p>
    <w:p w:rsidR="003F0A85" w:rsidRDefault="003F0A85" w:rsidP="003F0A85">
      <w:pPr>
        <w:pStyle w:val="NoSpacing"/>
        <w:spacing w:line="480" w:lineRule="auto"/>
        <w:jc w:val="both"/>
        <w:rPr>
          <w:rFonts w:ascii="Arial" w:hAnsi="Arial" w:cs="Arial"/>
          <w:sz w:val="24"/>
          <w:szCs w:val="24"/>
        </w:rPr>
      </w:pPr>
    </w:p>
    <w:p w:rsidR="00420160" w:rsidRDefault="00F56A69"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on behalf of the first respondent that the purpose of the allowance and the reason for it being paid to all staff members was expressly stated to be ‘in recognition of the hardship he or she endures as a result of the limited availability of basic services, amenities and infrastructure’ in contra</w:t>
      </w:r>
      <w:r w:rsidR="00D164F6">
        <w:rPr>
          <w:rFonts w:ascii="Arial" w:hAnsi="Arial" w:cs="Arial"/>
          <w:sz w:val="24"/>
          <w:szCs w:val="24"/>
        </w:rPr>
        <w:t>-</w:t>
      </w:r>
      <w:r>
        <w:rPr>
          <w:rFonts w:ascii="Arial" w:hAnsi="Arial" w:cs="Arial"/>
          <w:sz w:val="24"/>
          <w:szCs w:val="24"/>
        </w:rPr>
        <w:t>di</w:t>
      </w:r>
      <w:r w:rsidR="00D164F6">
        <w:rPr>
          <w:rFonts w:ascii="Arial" w:hAnsi="Arial" w:cs="Arial"/>
          <w:sz w:val="24"/>
          <w:szCs w:val="24"/>
        </w:rPr>
        <w:t>stinc</w:t>
      </w:r>
      <w:r>
        <w:rPr>
          <w:rFonts w:ascii="Arial" w:hAnsi="Arial" w:cs="Arial"/>
          <w:sz w:val="24"/>
          <w:szCs w:val="24"/>
        </w:rPr>
        <w:t xml:space="preserve">tion </w:t>
      </w:r>
      <w:r w:rsidR="006739EC">
        <w:rPr>
          <w:rFonts w:ascii="Arial" w:hAnsi="Arial" w:cs="Arial"/>
          <w:sz w:val="24"/>
          <w:szCs w:val="24"/>
        </w:rPr>
        <w:t>to</w:t>
      </w:r>
      <w:r>
        <w:rPr>
          <w:rFonts w:ascii="Arial" w:hAnsi="Arial" w:cs="Arial"/>
          <w:sz w:val="24"/>
          <w:szCs w:val="24"/>
        </w:rPr>
        <w:t xml:space="preserve"> the purpose of the incentive, which was to attract qualified teachers to rural schools.</w:t>
      </w:r>
    </w:p>
    <w:p w:rsidR="00420160" w:rsidRDefault="00F56A69"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in the 2012 agreement there is not the slightest suggestion that the pre-existing incentive had been incorporated into or super</w:t>
      </w:r>
      <w:r w:rsidR="00AC3B1A">
        <w:rPr>
          <w:rFonts w:ascii="Arial" w:hAnsi="Arial" w:cs="Arial"/>
          <w:sz w:val="24"/>
          <w:szCs w:val="24"/>
        </w:rPr>
        <w:t>seded by the allowance or that the 2012 agreement took anything away from the 2009 agreement.</w:t>
      </w:r>
    </w:p>
    <w:p w:rsidR="00420160" w:rsidRDefault="00420160" w:rsidP="00420160">
      <w:pPr>
        <w:pStyle w:val="NoSpacing"/>
        <w:spacing w:line="480" w:lineRule="auto"/>
        <w:jc w:val="both"/>
        <w:rPr>
          <w:rFonts w:ascii="Arial" w:hAnsi="Arial" w:cs="Arial"/>
          <w:sz w:val="24"/>
          <w:szCs w:val="24"/>
        </w:rPr>
      </w:pPr>
    </w:p>
    <w:p w:rsidR="00420160" w:rsidRDefault="00F56A69"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Regarding the question whether the </w:t>
      </w:r>
      <w:r w:rsidR="00A75D1B" w:rsidRPr="00A75D1B">
        <w:rPr>
          <w:rFonts w:ascii="Arial" w:hAnsi="Arial" w:cs="Arial"/>
          <w:sz w:val="24"/>
          <w:szCs w:val="24"/>
        </w:rPr>
        <w:t>2009</w:t>
      </w:r>
      <w:r w:rsidRPr="00A75D1B">
        <w:rPr>
          <w:rFonts w:ascii="Arial" w:hAnsi="Arial" w:cs="Arial"/>
          <w:sz w:val="24"/>
          <w:szCs w:val="24"/>
        </w:rPr>
        <w:t xml:space="preserve"> agreement</w:t>
      </w:r>
      <w:r>
        <w:rPr>
          <w:rFonts w:ascii="Arial" w:hAnsi="Arial" w:cs="Arial"/>
          <w:sz w:val="24"/>
          <w:szCs w:val="24"/>
        </w:rPr>
        <w:t xml:space="preserve"> had lapsed, </w:t>
      </w:r>
      <w:r w:rsidR="00DF6472">
        <w:rPr>
          <w:rFonts w:ascii="Arial" w:hAnsi="Arial" w:cs="Arial"/>
          <w:sz w:val="24"/>
          <w:szCs w:val="24"/>
        </w:rPr>
        <w:t xml:space="preserve">it was submitted that </w:t>
      </w:r>
      <w:r>
        <w:rPr>
          <w:rFonts w:ascii="Arial" w:hAnsi="Arial" w:cs="Arial"/>
          <w:sz w:val="24"/>
          <w:szCs w:val="24"/>
        </w:rPr>
        <w:t xml:space="preserve">there was nothing in any of the agreements that </w:t>
      </w:r>
      <w:r w:rsidR="001D097A">
        <w:rPr>
          <w:rFonts w:ascii="Arial" w:hAnsi="Arial" w:cs="Arial"/>
          <w:sz w:val="24"/>
          <w:szCs w:val="24"/>
        </w:rPr>
        <w:t>the</w:t>
      </w:r>
      <w:r w:rsidR="003E4DC1">
        <w:rPr>
          <w:rFonts w:ascii="Arial" w:hAnsi="Arial" w:cs="Arial"/>
          <w:sz w:val="24"/>
          <w:szCs w:val="24"/>
        </w:rPr>
        <w:t xml:space="preserve"> 2009</w:t>
      </w:r>
      <w:r w:rsidR="00AC3B1A">
        <w:rPr>
          <w:rFonts w:ascii="Arial" w:hAnsi="Arial" w:cs="Arial"/>
          <w:sz w:val="24"/>
          <w:szCs w:val="24"/>
        </w:rPr>
        <w:t xml:space="preserve"> agreement had lapsed ie there was no provision in the 2009 agreement as to when it would terminate.</w:t>
      </w:r>
    </w:p>
    <w:p w:rsidR="00F56A69" w:rsidRDefault="00F56A69" w:rsidP="00420160">
      <w:pPr>
        <w:pStyle w:val="NoSpacing"/>
        <w:spacing w:line="480" w:lineRule="auto"/>
        <w:jc w:val="both"/>
        <w:rPr>
          <w:rFonts w:ascii="Arial" w:hAnsi="Arial" w:cs="Arial"/>
          <w:sz w:val="24"/>
          <w:szCs w:val="24"/>
        </w:rPr>
      </w:pPr>
    </w:p>
    <w:p w:rsidR="00420160" w:rsidRDefault="001D097A"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in respect of th</w:t>
      </w:r>
      <w:r w:rsidR="003E4DC1">
        <w:rPr>
          <w:rFonts w:ascii="Arial" w:hAnsi="Arial" w:cs="Arial"/>
          <w:sz w:val="24"/>
          <w:szCs w:val="24"/>
        </w:rPr>
        <w:t>e question whether the 2009</w:t>
      </w:r>
      <w:r>
        <w:rPr>
          <w:rFonts w:ascii="Arial" w:hAnsi="Arial" w:cs="Arial"/>
          <w:sz w:val="24"/>
          <w:szCs w:val="24"/>
        </w:rPr>
        <w:t xml:space="preserve"> agreement had been superseded by or i</w:t>
      </w:r>
      <w:r w:rsidR="003E4DC1">
        <w:rPr>
          <w:rFonts w:ascii="Arial" w:hAnsi="Arial" w:cs="Arial"/>
          <w:sz w:val="24"/>
          <w:szCs w:val="24"/>
        </w:rPr>
        <w:t>ncorporated into the 2012 a</w:t>
      </w:r>
      <w:r>
        <w:rPr>
          <w:rFonts w:ascii="Arial" w:hAnsi="Arial" w:cs="Arial"/>
          <w:sz w:val="24"/>
          <w:szCs w:val="24"/>
        </w:rPr>
        <w:t>greement, that the appellant effectively argued novation which is essentially a question of intention and consensus. Novation it was submitted occurs when parties intend to replace a valid contract with another valid contract. In this regard</w:t>
      </w:r>
      <w:r w:rsidR="006739EC">
        <w:rPr>
          <w:rFonts w:ascii="Arial" w:hAnsi="Arial" w:cs="Arial"/>
          <w:sz w:val="24"/>
          <w:szCs w:val="24"/>
        </w:rPr>
        <w:t>,</w:t>
      </w:r>
      <w:r w:rsidR="003E4DC1">
        <w:rPr>
          <w:rFonts w:ascii="Arial" w:hAnsi="Arial" w:cs="Arial"/>
          <w:sz w:val="24"/>
          <w:szCs w:val="24"/>
        </w:rPr>
        <w:t xml:space="preserve"> in the context of the 2012</w:t>
      </w:r>
      <w:r>
        <w:rPr>
          <w:rFonts w:ascii="Arial" w:hAnsi="Arial" w:cs="Arial"/>
          <w:sz w:val="24"/>
          <w:szCs w:val="24"/>
        </w:rPr>
        <w:t xml:space="preserve"> agreement there is no indication that this agreement replaced or amended the </w:t>
      </w:r>
      <w:r w:rsidR="00A75D1B" w:rsidRPr="00A75D1B">
        <w:rPr>
          <w:rFonts w:ascii="Arial" w:hAnsi="Arial" w:cs="Arial"/>
          <w:sz w:val="24"/>
          <w:szCs w:val="24"/>
        </w:rPr>
        <w:t>2009</w:t>
      </w:r>
      <w:r>
        <w:rPr>
          <w:rFonts w:ascii="Arial" w:hAnsi="Arial" w:cs="Arial"/>
          <w:sz w:val="24"/>
          <w:szCs w:val="24"/>
        </w:rPr>
        <w:t xml:space="preserve"> agreement. It was submitted </w:t>
      </w:r>
      <w:r w:rsidR="00115694">
        <w:rPr>
          <w:rFonts w:ascii="Arial" w:hAnsi="Arial" w:cs="Arial"/>
          <w:sz w:val="24"/>
          <w:szCs w:val="24"/>
        </w:rPr>
        <w:t xml:space="preserve">that no case of novation had been made out by the appellant. </w:t>
      </w:r>
    </w:p>
    <w:p w:rsidR="00420160" w:rsidRDefault="00420160" w:rsidP="00420160">
      <w:pPr>
        <w:pStyle w:val="NoSpacing"/>
        <w:spacing w:line="480" w:lineRule="auto"/>
        <w:jc w:val="both"/>
        <w:rPr>
          <w:rFonts w:ascii="Arial" w:hAnsi="Arial" w:cs="Arial"/>
          <w:sz w:val="24"/>
          <w:szCs w:val="24"/>
        </w:rPr>
      </w:pPr>
    </w:p>
    <w:p w:rsidR="00420160" w:rsidRDefault="00115694"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w:t>
      </w:r>
      <w:r w:rsidR="003E4DC1">
        <w:rPr>
          <w:rFonts w:ascii="Arial" w:hAnsi="Arial" w:cs="Arial"/>
          <w:sz w:val="24"/>
          <w:szCs w:val="24"/>
        </w:rPr>
        <w:t>e question whether the 2012</w:t>
      </w:r>
      <w:r>
        <w:rPr>
          <w:rFonts w:ascii="Arial" w:hAnsi="Arial" w:cs="Arial"/>
          <w:sz w:val="24"/>
          <w:szCs w:val="24"/>
        </w:rPr>
        <w:t xml:space="preserve"> agreement imposed </w:t>
      </w:r>
      <w:r w:rsidR="003B66D1">
        <w:rPr>
          <w:rFonts w:ascii="Arial" w:hAnsi="Arial" w:cs="Arial"/>
          <w:sz w:val="24"/>
          <w:szCs w:val="24"/>
        </w:rPr>
        <w:t>a</w:t>
      </w:r>
      <w:r w:rsidR="006739EC">
        <w:rPr>
          <w:rFonts w:ascii="Arial" w:hAnsi="Arial" w:cs="Arial"/>
          <w:sz w:val="24"/>
          <w:szCs w:val="24"/>
        </w:rPr>
        <w:t>n</w:t>
      </w:r>
      <w:r>
        <w:rPr>
          <w:rFonts w:ascii="Arial" w:hAnsi="Arial" w:cs="Arial"/>
          <w:sz w:val="24"/>
          <w:szCs w:val="24"/>
        </w:rPr>
        <w:t xml:space="preserve"> additional obligation</w:t>
      </w:r>
      <w:r w:rsidR="000857CB">
        <w:rPr>
          <w:rFonts w:ascii="Arial" w:hAnsi="Arial" w:cs="Arial"/>
          <w:sz w:val="24"/>
          <w:szCs w:val="24"/>
        </w:rPr>
        <w:t xml:space="preserve"> it was submitted </w:t>
      </w:r>
      <w:r>
        <w:rPr>
          <w:rFonts w:ascii="Arial" w:hAnsi="Arial" w:cs="Arial"/>
          <w:sz w:val="24"/>
          <w:szCs w:val="24"/>
        </w:rPr>
        <w:t>tha</w:t>
      </w:r>
      <w:r w:rsidR="003E4DC1">
        <w:rPr>
          <w:rFonts w:ascii="Arial" w:hAnsi="Arial" w:cs="Arial"/>
          <w:sz w:val="24"/>
          <w:szCs w:val="24"/>
        </w:rPr>
        <w:t>t it is plain that the 2012</w:t>
      </w:r>
      <w:r w:rsidR="001B1AAE">
        <w:rPr>
          <w:rFonts w:ascii="Arial" w:hAnsi="Arial" w:cs="Arial"/>
          <w:sz w:val="24"/>
          <w:szCs w:val="24"/>
        </w:rPr>
        <w:t xml:space="preserve"> </w:t>
      </w:r>
      <w:r>
        <w:rPr>
          <w:rFonts w:ascii="Arial" w:hAnsi="Arial" w:cs="Arial"/>
          <w:sz w:val="24"/>
          <w:szCs w:val="24"/>
        </w:rPr>
        <w:t>agreement did not in any way detract from the incentive wh</w:t>
      </w:r>
      <w:r w:rsidR="003E4DC1">
        <w:rPr>
          <w:rFonts w:ascii="Arial" w:hAnsi="Arial" w:cs="Arial"/>
          <w:sz w:val="24"/>
          <w:szCs w:val="24"/>
        </w:rPr>
        <w:t>ich was created by the 2009</w:t>
      </w:r>
      <w:r>
        <w:rPr>
          <w:rFonts w:ascii="Arial" w:hAnsi="Arial" w:cs="Arial"/>
          <w:sz w:val="24"/>
          <w:szCs w:val="24"/>
        </w:rPr>
        <w:t xml:space="preserve"> a</w:t>
      </w:r>
      <w:r w:rsidR="006739EC">
        <w:rPr>
          <w:rFonts w:ascii="Arial" w:hAnsi="Arial" w:cs="Arial"/>
          <w:sz w:val="24"/>
          <w:szCs w:val="24"/>
        </w:rPr>
        <w:t>greement</w:t>
      </w:r>
      <w:r w:rsidR="003E4DC1">
        <w:rPr>
          <w:rFonts w:ascii="Arial" w:hAnsi="Arial" w:cs="Arial"/>
          <w:sz w:val="24"/>
          <w:szCs w:val="24"/>
        </w:rPr>
        <w:t xml:space="preserve"> and that the 2012</w:t>
      </w:r>
      <w:r>
        <w:rPr>
          <w:rFonts w:ascii="Arial" w:hAnsi="Arial" w:cs="Arial"/>
          <w:sz w:val="24"/>
          <w:szCs w:val="24"/>
        </w:rPr>
        <w:t xml:space="preserve"> agreement introduced a new benefit for all staff members in remote</w:t>
      </w:r>
      <w:r w:rsidR="006739EC">
        <w:rPr>
          <w:rFonts w:ascii="Arial" w:hAnsi="Arial" w:cs="Arial"/>
          <w:sz w:val="24"/>
          <w:szCs w:val="24"/>
        </w:rPr>
        <w:t xml:space="preserve"> areas</w:t>
      </w:r>
      <w:r w:rsidR="007431AC">
        <w:rPr>
          <w:rFonts w:ascii="Arial" w:hAnsi="Arial" w:cs="Arial"/>
          <w:sz w:val="24"/>
          <w:szCs w:val="24"/>
        </w:rPr>
        <w:t xml:space="preserve"> and that </w:t>
      </w:r>
      <w:r w:rsidR="00555DC3">
        <w:rPr>
          <w:rFonts w:ascii="Arial" w:hAnsi="Arial" w:cs="Arial"/>
          <w:sz w:val="24"/>
          <w:szCs w:val="24"/>
        </w:rPr>
        <w:t xml:space="preserve">both </w:t>
      </w:r>
      <w:r>
        <w:rPr>
          <w:rFonts w:ascii="Arial" w:hAnsi="Arial" w:cs="Arial"/>
          <w:sz w:val="24"/>
          <w:szCs w:val="24"/>
        </w:rPr>
        <w:t xml:space="preserve">agreements apply for an indefinite period. </w:t>
      </w:r>
      <w:r w:rsidR="007431AC">
        <w:rPr>
          <w:rFonts w:ascii="Arial" w:hAnsi="Arial" w:cs="Arial"/>
          <w:sz w:val="24"/>
          <w:szCs w:val="24"/>
        </w:rPr>
        <w:t xml:space="preserve">The qualified teachers were therefore entitled to a double benefit – under </w:t>
      </w:r>
      <w:r w:rsidR="003E4DC1">
        <w:rPr>
          <w:rFonts w:ascii="Arial" w:hAnsi="Arial" w:cs="Arial"/>
          <w:sz w:val="24"/>
          <w:szCs w:val="24"/>
        </w:rPr>
        <w:t xml:space="preserve">the </w:t>
      </w:r>
      <w:r w:rsidR="007431AC">
        <w:rPr>
          <w:rFonts w:ascii="Arial" w:hAnsi="Arial" w:cs="Arial"/>
          <w:sz w:val="24"/>
          <w:szCs w:val="24"/>
        </w:rPr>
        <w:t>2009 agreement as well as under the expanded 2012 benefit.</w:t>
      </w:r>
    </w:p>
    <w:p w:rsidR="003F0A85" w:rsidRPr="003F0A85" w:rsidRDefault="003F0A85" w:rsidP="00420160">
      <w:pPr>
        <w:pStyle w:val="NoSpacing"/>
        <w:spacing w:line="480" w:lineRule="auto"/>
        <w:jc w:val="both"/>
        <w:rPr>
          <w:rFonts w:ascii="Arial" w:hAnsi="Arial" w:cs="Arial"/>
          <w:sz w:val="24"/>
          <w:szCs w:val="24"/>
          <w:u w:val="single"/>
        </w:rPr>
      </w:pPr>
      <w:r w:rsidRPr="003F0A85">
        <w:rPr>
          <w:rFonts w:ascii="Arial" w:hAnsi="Arial" w:cs="Arial"/>
          <w:sz w:val="24"/>
          <w:szCs w:val="24"/>
          <w:u w:val="single"/>
        </w:rPr>
        <w:t>Contextual interpretation</w:t>
      </w:r>
    </w:p>
    <w:p w:rsidR="006623F3" w:rsidRPr="006739EC" w:rsidRDefault="003F0A85" w:rsidP="00E264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interpreting the two agreements under discussion</w:t>
      </w:r>
      <w:r w:rsidR="006739EC">
        <w:rPr>
          <w:rFonts w:ascii="Arial" w:hAnsi="Arial" w:cs="Arial"/>
          <w:sz w:val="24"/>
          <w:szCs w:val="24"/>
        </w:rPr>
        <w:t>,</w:t>
      </w:r>
      <w:r>
        <w:rPr>
          <w:rFonts w:ascii="Arial" w:hAnsi="Arial" w:cs="Arial"/>
          <w:sz w:val="24"/>
          <w:szCs w:val="24"/>
        </w:rPr>
        <w:t xml:space="preserve"> Mr Budlender as well</w:t>
      </w:r>
      <w:r w:rsidR="00D164F6">
        <w:rPr>
          <w:rFonts w:ascii="Arial" w:hAnsi="Arial" w:cs="Arial"/>
          <w:sz w:val="24"/>
          <w:szCs w:val="24"/>
        </w:rPr>
        <w:t xml:space="preserve"> as             Mr M</w:t>
      </w:r>
      <w:r w:rsidR="00E264B5">
        <w:rPr>
          <w:rFonts w:ascii="Arial" w:hAnsi="Arial" w:cs="Arial"/>
          <w:sz w:val="24"/>
          <w:szCs w:val="24"/>
        </w:rPr>
        <w:t>a</w:t>
      </w:r>
      <w:r w:rsidR="00D164F6">
        <w:rPr>
          <w:rFonts w:ascii="Arial" w:hAnsi="Arial" w:cs="Arial"/>
          <w:sz w:val="24"/>
          <w:szCs w:val="24"/>
        </w:rPr>
        <w:t xml:space="preserve">cWilliam </w:t>
      </w:r>
      <w:r>
        <w:rPr>
          <w:rFonts w:ascii="Arial" w:hAnsi="Arial" w:cs="Arial"/>
          <w:sz w:val="24"/>
          <w:szCs w:val="24"/>
        </w:rPr>
        <w:t>are protagonists for a contextual interpretation of the relevant documents, however</w:t>
      </w:r>
      <w:r w:rsidR="007431AC">
        <w:rPr>
          <w:rFonts w:ascii="Arial" w:hAnsi="Arial" w:cs="Arial"/>
          <w:sz w:val="24"/>
          <w:szCs w:val="24"/>
        </w:rPr>
        <w:t xml:space="preserve"> in the light of</w:t>
      </w:r>
      <w:r>
        <w:rPr>
          <w:rFonts w:ascii="Arial" w:hAnsi="Arial" w:cs="Arial"/>
          <w:sz w:val="24"/>
          <w:szCs w:val="24"/>
        </w:rPr>
        <w:t xml:space="preserve"> their </w:t>
      </w:r>
      <w:r w:rsidR="003E4DC1">
        <w:rPr>
          <w:rFonts w:ascii="Arial" w:hAnsi="Arial" w:cs="Arial"/>
          <w:sz w:val="24"/>
          <w:szCs w:val="24"/>
        </w:rPr>
        <w:t xml:space="preserve">own </w:t>
      </w:r>
      <w:r>
        <w:rPr>
          <w:rFonts w:ascii="Arial" w:hAnsi="Arial" w:cs="Arial"/>
          <w:sz w:val="24"/>
          <w:szCs w:val="24"/>
        </w:rPr>
        <w:t xml:space="preserve">respective interpretations, with divergent results. </w:t>
      </w:r>
    </w:p>
    <w:p w:rsidR="006623F3" w:rsidRDefault="006623F3" w:rsidP="00E264B5">
      <w:pPr>
        <w:pStyle w:val="NoSpacing"/>
        <w:spacing w:line="480" w:lineRule="auto"/>
        <w:jc w:val="both"/>
        <w:rPr>
          <w:rFonts w:ascii="Arial" w:hAnsi="Arial" w:cs="Arial"/>
          <w:sz w:val="24"/>
          <w:szCs w:val="24"/>
        </w:rPr>
      </w:pPr>
    </w:p>
    <w:p w:rsidR="006623F3" w:rsidRPr="00E264B5" w:rsidRDefault="006623F3" w:rsidP="006623F3">
      <w:pPr>
        <w:pStyle w:val="NoSpacing"/>
        <w:numPr>
          <w:ilvl w:val="0"/>
          <w:numId w:val="1"/>
        </w:numPr>
        <w:spacing w:line="480" w:lineRule="auto"/>
        <w:ind w:left="0" w:firstLine="0"/>
        <w:jc w:val="both"/>
        <w:rPr>
          <w:rFonts w:ascii="Arial" w:hAnsi="Arial" w:cs="Arial"/>
          <w:sz w:val="24"/>
          <w:szCs w:val="24"/>
        </w:rPr>
      </w:pPr>
      <w:r w:rsidRPr="00E264B5">
        <w:rPr>
          <w:rFonts w:ascii="Arial" w:hAnsi="Arial" w:cs="Arial"/>
          <w:sz w:val="24"/>
          <w:szCs w:val="24"/>
        </w:rPr>
        <w:t xml:space="preserve">This court in </w:t>
      </w:r>
      <w:r w:rsidRPr="00E264B5">
        <w:rPr>
          <w:rFonts w:ascii="Arial" w:hAnsi="Arial" w:cs="Arial"/>
          <w:i/>
          <w:sz w:val="24"/>
          <w:szCs w:val="24"/>
        </w:rPr>
        <w:t>Namibian Association of Medical Aid Funds &amp; others v Namibia Competition Commission &amp; another</w:t>
      </w:r>
      <w:r>
        <w:rPr>
          <w:rStyle w:val="FootnoteReference"/>
          <w:rFonts w:ascii="Arial" w:hAnsi="Arial" w:cs="Arial"/>
          <w:sz w:val="24"/>
          <w:szCs w:val="24"/>
        </w:rPr>
        <w:footnoteReference w:id="10"/>
      </w:r>
      <w:r w:rsidRPr="00E264B5">
        <w:rPr>
          <w:rFonts w:ascii="Arial" w:hAnsi="Arial" w:cs="Arial"/>
          <w:sz w:val="24"/>
          <w:szCs w:val="24"/>
        </w:rPr>
        <w:t xml:space="preserve"> adopted the approach in the South African case of </w:t>
      </w:r>
      <w:r w:rsidRPr="00E264B5">
        <w:rPr>
          <w:rFonts w:ascii="Arial" w:hAnsi="Arial" w:cs="Arial"/>
          <w:i/>
          <w:sz w:val="24"/>
          <w:szCs w:val="24"/>
        </w:rPr>
        <w:t>Natal Joint Municipal Pension Fund v Endumeni Municipality</w:t>
      </w:r>
      <w:r>
        <w:rPr>
          <w:rStyle w:val="FootnoteReference"/>
          <w:rFonts w:ascii="Arial" w:hAnsi="Arial" w:cs="Arial"/>
          <w:sz w:val="24"/>
          <w:szCs w:val="24"/>
        </w:rPr>
        <w:footnoteReference w:id="11"/>
      </w:r>
      <w:r w:rsidRPr="00E264B5">
        <w:rPr>
          <w:rFonts w:ascii="Arial" w:hAnsi="Arial" w:cs="Arial"/>
          <w:sz w:val="24"/>
          <w:szCs w:val="24"/>
        </w:rPr>
        <w:t xml:space="preserve"> where the following passages appear:</w:t>
      </w:r>
    </w:p>
    <w:p w:rsidR="00420160" w:rsidRPr="00EC27F3" w:rsidRDefault="00420160" w:rsidP="00EC27F3">
      <w:pPr>
        <w:pStyle w:val="NoSpacing"/>
        <w:spacing w:line="360" w:lineRule="auto"/>
        <w:ind w:left="720"/>
        <w:jc w:val="both"/>
        <w:rPr>
          <w:rFonts w:ascii="Arial" w:hAnsi="Arial" w:cs="Arial"/>
        </w:rPr>
      </w:pPr>
    </w:p>
    <w:p w:rsidR="00EC27F3" w:rsidRPr="00EC27F3" w:rsidRDefault="003F0A85" w:rsidP="00EC27F3">
      <w:pPr>
        <w:pStyle w:val="NoSpacing"/>
        <w:spacing w:line="360" w:lineRule="auto"/>
        <w:ind w:left="720"/>
        <w:jc w:val="both"/>
        <w:rPr>
          <w:rFonts w:ascii="Arial" w:hAnsi="Arial" w:cs="Arial"/>
        </w:rPr>
      </w:pPr>
      <w:r w:rsidRPr="00EC27F3">
        <w:rPr>
          <w:rFonts w:ascii="Arial" w:hAnsi="Arial" w:cs="Arial"/>
        </w:rPr>
        <w:t>‘</w:t>
      </w:r>
      <w:r w:rsidR="00D952F8" w:rsidRPr="00EC27F3">
        <w:rPr>
          <w:rFonts w:ascii="Arial" w:hAnsi="Arial" w:cs="Arial"/>
        </w:rPr>
        <w:t>[18]</w:t>
      </w:r>
      <w:r w:rsidR="00D952F8" w:rsidRPr="00EC27F3">
        <w:rPr>
          <w:rFonts w:ascii="Arial" w:hAnsi="Arial" w:cs="Arial"/>
        </w:rPr>
        <w:tab/>
      </w:r>
      <w:r w:rsidR="00EC27F3" w:rsidRPr="00EC27F3">
        <w:rPr>
          <w:rFonts w:ascii="Arial" w:hAnsi="Arial" w:cs="Arial"/>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w:t>
      </w:r>
      <w:r w:rsidR="00EC27F3" w:rsidRPr="009D1F39">
        <w:rPr>
          <w:rFonts w:ascii="Arial" w:hAnsi="Arial" w:cs="Arial"/>
        </w:rPr>
        <w:t xml:space="preserve">or </w:t>
      </w:r>
      <w:r w:rsidR="007852A6">
        <w:rPr>
          <w:rFonts w:ascii="Arial" w:hAnsi="Arial" w:cs="Arial"/>
        </w:rPr>
        <w:t>unbusiness</w:t>
      </w:r>
      <w:r w:rsidR="00EC27F3" w:rsidRPr="009D1F39">
        <w:rPr>
          <w:rFonts w:ascii="Arial" w:hAnsi="Arial" w:cs="Arial"/>
        </w:rPr>
        <w:t>like results</w:t>
      </w:r>
      <w:r w:rsidR="00EC27F3" w:rsidRPr="00EC27F3">
        <w:rPr>
          <w:rFonts w:ascii="Arial" w:hAnsi="Arial" w:cs="Arial"/>
        </w:rPr>
        <w:t xml:space="preserve">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rsidR="003F0A85" w:rsidRPr="00EC27F3" w:rsidRDefault="003F0A85" w:rsidP="00EC27F3">
      <w:pPr>
        <w:pStyle w:val="NoSpacing"/>
        <w:spacing w:line="360" w:lineRule="auto"/>
        <w:jc w:val="both"/>
        <w:rPr>
          <w:rFonts w:ascii="Arial" w:hAnsi="Arial" w:cs="Arial"/>
        </w:rPr>
      </w:pPr>
    </w:p>
    <w:p w:rsidR="00EC27F3" w:rsidRPr="00C83D95" w:rsidRDefault="00D952F8" w:rsidP="00EC27F3">
      <w:pPr>
        <w:pStyle w:val="NoSpacing"/>
        <w:spacing w:line="360" w:lineRule="auto"/>
        <w:ind w:left="720"/>
        <w:jc w:val="both"/>
        <w:rPr>
          <w:rFonts w:ascii="Arial" w:hAnsi="Arial" w:cs="Arial"/>
        </w:rPr>
      </w:pPr>
      <w:r w:rsidRPr="00EC27F3">
        <w:rPr>
          <w:rFonts w:ascii="Arial" w:hAnsi="Arial" w:cs="Arial"/>
        </w:rPr>
        <w:t>[19]</w:t>
      </w:r>
      <w:r w:rsidRPr="00EC27F3">
        <w:rPr>
          <w:rFonts w:ascii="Arial" w:hAnsi="Arial" w:cs="Arial"/>
        </w:rPr>
        <w:tab/>
      </w:r>
      <w:r w:rsidR="00EC27F3" w:rsidRPr="00C83D95">
        <w:rPr>
          <w:rFonts w:ascii="Arial" w:hAnsi="Arial" w:cs="Arial"/>
        </w:rPr>
        <w:t xml:space="preserve">All this is consistent with the “emerging trend in statutory construction”. It clearly adopts as the proper approach to the interpretation of documents the second of the two possible approaches mentioned by Schreiner JA in </w:t>
      </w:r>
      <w:r w:rsidR="00EC27F3" w:rsidRPr="00EC27F3">
        <w:rPr>
          <w:rFonts w:ascii="Arial" w:hAnsi="Arial" w:cs="Arial"/>
          <w:i/>
        </w:rPr>
        <w:t>Jaga v Dönges NO and Another; Bhana v Dönges NO and Another</w:t>
      </w:r>
      <w:r w:rsidR="00EC27F3" w:rsidRPr="00C83D95">
        <w:rPr>
          <w:rFonts w:ascii="Arial" w:hAnsi="Arial" w:cs="Arial"/>
        </w:rPr>
        <w:t>, namely that from the outset one considers the context and the language together, with neither predominating over the other.</w:t>
      </w:r>
      <w:r w:rsidR="00EC27F3">
        <w:rPr>
          <w:rFonts w:ascii="Arial" w:hAnsi="Arial" w:cs="Arial"/>
        </w:rPr>
        <w:t>’</w:t>
      </w:r>
      <w:r w:rsidR="00EC27F3">
        <w:rPr>
          <w:rStyle w:val="FootnoteReference"/>
          <w:rFonts w:ascii="Arial" w:hAnsi="Arial" w:cs="Arial"/>
        </w:rPr>
        <w:footnoteReference w:id="12"/>
      </w:r>
    </w:p>
    <w:p w:rsidR="003F0A85" w:rsidRDefault="003F0A85" w:rsidP="00420160">
      <w:pPr>
        <w:pStyle w:val="NoSpacing"/>
        <w:spacing w:line="480" w:lineRule="auto"/>
        <w:jc w:val="both"/>
        <w:rPr>
          <w:rFonts w:ascii="Arial" w:hAnsi="Arial" w:cs="Arial"/>
          <w:sz w:val="24"/>
          <w:szCs w:val="24"/>
        </w:rPr>
      </w:pPr>
    </w:p>
    <w:p w:rsidR="003E4DC1" w:rsidRPr="00EE5FC5" w:rsidRDefault="00EE5FC5" w:rsidP="003E4DC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Egerer &amp;</w:t>
      </w:r>
      <w:r w:rsidRPr="00EE5FC5">
        <w:rPr>
          <w:rFonts w:ascii="Arial" w:hAnsi="Arial" w:cs="Arial"/>
          <w:i/>
          <w:sz w:val="24"/>
          <w:szCs w:val="24"/>
        </w:rPr>
        <w:t xml:space="preserve"> others NO v Executrust (Pty) Ltd </w:t>
      </w:r>
      <w:r>
        <w:rPr>
          <w:rFonts w:ascii="Arial" w:hAnsi="Arial" w:cs="Arial"/>
          <w:i/>
          <w:sz w:val="24"/>
          <w:szCs w:val="24"/>
        </w:rPr>
        <w:t>&amp;</w:t>
      </w:r>
      <w:r w:rsidRPr="00EE5FC5">
        <w:rPr>
          <w:rFonts w:ascii="Arial" w:hAnsi="Arial" w:cs="Arial"/>
          <w:i/>
          <w:sz w:val="24"/>
          <w:szCs w:val="24"/>
        </w:rPr>
        <w:t xml:space="preserve"> others</w:t>
      </w:r>
      <w:r>
        <w:rPr>
          <w:rStyle w:val="FootnoteReference"/>
          <w:rFonts w:ascii="Arial" w:hAnsi="Arial" w:cs="Arial"/>
          <w:sz w:val="24"/>
          <w:szCs w:val="24"/>
        </w:rPr>
        <w:footnoteReference w:id="13"/>
      </w:r>
      <w:r>
        <w:rPr>
          <w:rFonts w:ascii="Arial" w:hAnsi="Arial" w:cs="Arial"/>
          <w:sz w:val="24"/>
          <w:szCs w:val="24"/>
        </w:rPr>
        <w:t xml:space="preserve"> Damaseb DCJ stated the following:</w:t>
      </w:r>
      <w:r>
        <w:rPr>
          <w:rStyle w:val="FootnoteReference"/>
          <w:rFonts w:ascii="Arial" w:hAnsi="Arial" w:cs="Arial"/>
          <w:sz w:val="24"/>
          <w:szCs w:val="24"/>
        </w:rPr>
        <w:footnoteReference w:id="14"/>
      </w:r>
    </w:p>
    <w:p w:rsidR="003E4DC1" w:rsidRPr="00EE5FC5" w:rsidRDefault="003E4DC1" w:rsidP="00EE5FC5">
      <w:pPr>
        <w:pStyle w:val="NoSpacing"/>
        <w:spacing w:line="360" w:lineRule="auto"/>
        <w:ind w:left="720"/>
        <w:jc w:val="both"/>
        <w:rPr>
          <w:rFonts w:ascii="Arial" w:hAnsi="Arial" w:cs="Arial"/>
        </w:rPr>
      </w:pPr>
    </w:p>
    <w:p w:rsidR="003E4DC1" w:rsidRPr="00EE5FC5" w:rsidRDefault="00EE5FC5" w:rsidP="00EE5FC5">
      <w:pPr>
        <w:pStyle w:val="NoSpacing"/>
        <w:spacing w:line="360" w:lineRule="auto"/>
        <w:ind w:left="720"/>
        <w:jc w:val="both"/>
        <w:rPr>
          <w:rFonts w:ascii="Arial" w:hAnsi="Arial" w:cs="Arial"/>
        </w:rPr>
      </w:pPr>
      <w:r w:rsidRPr="00EE5FC5">
        <w:rPr>
          <w:rFonts w:ascii="Arial" w:hAnsi="Arial" w:cs="Arial"/>
        </w:rPr>
        <w:t>‘The construction of a contract such as a trust deed is a matter of law, and not of fact. Its interpretation is therefore a matter for the court and not fo</w:t>
      </w:r>
      <w:r w:rsidR="003C222F">
        <w:rPr>
          <w:rFonts w:ascii="Arial" w:hAnsi="Arial" w:cs="Arial"/>
        </w:rPr>
        <w:t>r witnesses. Interpretation is “</w:t>
      </w:r>
      <w:r w:rsidRPr="00EE5FC5">
        <w:rPr>
          <w:rFonts w:ascii="Arial" w:hAnsi="Arial" w:cs="Arial"/>
        </w:rPr>
        <w:t>essent</w:t>
      </w:r>
      <w:r w:rsidR="003C222F">
        <w:rPr>
          <w:rFonts w:ascii="Arial" w:hAnsi="Arial" w:cs="Arial"/>
        </w:rPr>
        <w:t>ially one unitary exercise”</w:t>
      </w:r>
      <w:r w:rsidRPr="00EE5FC5">
        <w:rPr>
          <w:rFonts w:ascii="Arial" w:hAnsi="Arial" w:cs="Arial"/>
        </w:rPr>
        <w:t xml:space="preserve"> in which both text and context are relevant to construing the contract. The court engaged upon its construction must assess the meaning, grammar and syntax of the words used; and the words used must be construed within their immediate</w:t>
      </w:r>
      <w:r w:rsidR="007E4F95">
        <w:rPr>
          <w:rFonts w:ascii="Arial" w:hAnsi="Arial" w:cs="Arial"/>
        </w:rPr>
        <w:t xml:space="preserve"> textual context, as well as </w:t>
      </w:r>
      <w:r w:rsidRPr="00EE5FC5">
        <w:rPr>
          <w:rFonts w:ascii="Arial" w:hAnsi="Arial" w:cs="Arial"/>
        </w:rPr>
        <w:t>against the broader purpose and character of the document itself. Consideration of the background and context is an important part of interpretation of a contract. Since context is an important determinant of meaning, when constructing a contract, the knowledge that the contracting parties had at the time the contract was concluded is a relevant consideration.’</w:t>
      </w:r>
    </w:p>
    <w:p w:rsidR="003E4DC1" w:rsidRDefault="003E4DC1" w:rsidP="00420160">
      <w:pPr>
        <w:pStyle w:val="NoSpacing"/>
        <w:spacing w:line="480" w:lineRule="auto"/>
        <w:jc w:val="both"/>
        <w:rPr>
          <w:rFonts w:ascii="Arial" w:hAnsi="Arial" w:cs="Arial"/>
          <w:sz w:val="24"/>
          <w:szCs w:val="24"/>
        </w:rPr>
      </w:pPr>
    </w:p>
    <w:p w:rsidR="00420160" w:rsidRDefault="00A25BD1"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parties seem to be </w:t>
      </w:r>
      <w:r w:rsidRPr="00A25BD1">
        <w:rPr>
          <w:rFonts w:ascii="Arial" w:hAnsi="Arial" w:cs="Arial"/>
          <w:i/>
          <w:sz w:val="24"/>
          <w:szCs w:val="24"/>
        </w:rPr>
        <w:t>ad idem</w:t>
      </w:r>
      <w:r w:rsidR="003E4DC1">
        <w:rPr>
          <w:rFonts w:ascii="Arial" w:hAnsi="Arial" w:cs="Arial"/>
          <w:sz w:val="24"/>
          <w:szCs w:val="24"/>
        </w:rPr>
        <w:t xml:space="preserve"> that the 2009</w:t>
      </w:r>
      <w:r>
        <w:rPr>
          <w:rFonts w:ascii="Arial" w:hAnsi="Arial" w:cs="Arial"/>
          <w:sz w:val="24"/>
          <w:szCs w:val="24"/>
        </w:rPr>
        <w:t xml:space="preserve"> agreement read together with the letter from the Office of the Prime Minister dated 11 September 2009, introdu</w:t>
      </w:r>
      <w:r w:rsidR="00555DC3">
        <w:rPr>
          <w:rFonts w:ascii="Arial" w:hAnsi="Arial" w:cs="Arial"/>
          <w:sz w:val="24"/>
          <w:szCs w:val="24"/>
        </w:rPr>
        <w:t>ced</w:t>
      </w:r>
      <w:r>
        <w:rPr>
          <w:rFonts w:ascii="Arial" w:hAnsi="Arial" w:cs="Arial"/>
          <w:sz w:val="24"/>
          <w:szCs w:val="24"/>
        </w:rPr>
        <w:t xml:space="preserve"> an incentive to qualified teachers in remote </w:t>
      </w:r>
      <w:r w:rsidR="00555DC3">
        <w:rPr>
          <w:rFonts w:ascii="Arial" w:hAnsi="Arial" w:cs="Arial"/>
          <w:sz w:val="24"/>
          <w:szCs w:val="24"/>
        </w:rPr>
        <w:t xml:space="preserve">rural </w:t>
      </w:r>
      <w:r>
        <w:rPr>
          <w:rFonts w:ascii="Arial" w:hAnsi="Arial" w:cs="Arial"/>
          <w:sz w:val="24"/>
          <w:szCs w:val="24"/>
        </w:rPr>
        <w:t xml:space="preserve">areas, </w:t>
      </w:r>
      <w:r w:rsidR="00555DC3">
        <w:rPr>
          <w:rFonts w:ascii="Arial" w:hAnsi="Arial" w:cs="Arial"/>
          <w:sz w:val="24"/>
          <w:szCs w:val="24"/>
        </w:rPr>
        <w:t xml:space="preserve">and that </w:t>
      </w:r>
      <w:r>
        <w:rPr>
          <w:rFonts w:ascii="Arial" w:hAnsi="Arial" w:cs="Arial"/>
          <w:sz w:val="24"/>
          <w:szCs w:val="24"/>
        </w:rPr>
        <w:t>such an incentive became a condition of employment of the teachers in question</w:t>
      </w:r>
      <w:r w:rsidR="00555DC3">
        <w:rPr>
          <w:rFonts w:ascii="Arial" w:hAnsi="Arial" w:cs="Arial"/>
          <w:sz w:val="24"/>
          <w:szCs w:val="24"/>
        </w:rPr>
        <w:t xml:space="preserve">. Furthermore that </w:t>
      </w:r>
      <w:r w:rsidR="00D164F6">
        <w:rPr>
          <w:rFonts w:ascii="Arial" w:hAnsi="Arial" w:cs="Arial"/>
          <w:sz w:val="24"/>
          <w:szCs w:val="24"/>
        </w:rPr>
        <w:t>a</w:t>
      </w:r>
      <w:r>
        <w:rPr>
          <w:rFonts w:ascii="Arial" w:hAnsi="Arial" w:cs="Arial"/>
          <w:sz w:val="24"/>
          <w:szCs w:val="24"/>
        </w:rPr>
        <w:t xml:space="preserve"> term of such incentive </w:t>
      </w:r>
      <w:r w:rsidR="00D164F6">
        <w:rPr>
          <w:rFonts w:ascii="Arial" w:hAnsi="Arial" w:cs="Arial"/>
          <w:sz w:val="24"/>
          <w:szCs w:val="24"/>
        </w:rPr>
        <w:t xml:space="preserve">is that </w:t>
      </w:r>
      <w:r w:rsidR="00555DC3">
        <w:rPr>
          <w:rFonts w:ascii="Arial" w:hAnsi="Arial" w:cs="Arial"/>
          <w:sz w:val="24"/>
          <w:szCs w:val="24"/>
        </w:rPr>
        <w:t xml:space="preserve">it </w:t>
      </w:r>
      <w:r>
        <w:rPr>
          <w:rFonts w:ascii="Arial" w:hAnsi="Arial" w:cs="Arial"/>
          <w:sz w:val="24"/>
          <w:szCs w:val="24"/>
        </w:rPr>
        <w:t>may not la</w:t>
      </w:r>
      <w:r w:rsidR="00555DC3">
        <w:rPr>
          <w:rFonts w:ascii="Arial" w:hAnsi="Arial" w:cs="Arial"/>
          <w:sz w:val="24"/>
          <w:szCs w:val="24"/>
        </w:rPr>
        <w:t>wfully be varied unilaterally,</w:t>
      </w:r>
      <w:r>
        <w:rPr>
          <w:rFonts w:ascii="Arial" w:hAnsi="Arial" w:cs="Arial"/>
          <w:sz w:val="24"/>
          <w:szCs w:val="24"/>
        </w:rPr>
        <w:t xml:space="preserve"> only by way of n</w:t>
      </w:r>
      <w:r w:rsidR="00AC3B1A">
        <w:rPr>
          <w:rFonts w:ascii="Arial" w:hAnsi="Arial" w:cs="Arial"/>
          <w:sz w:val="24"/>
          <w:szCs w:val="24"/>
        </w:rPr>
        <w:t>e</w:t>
      </w:r>
      <w:r w:rsidR="00180D40">
        <w:rPr>
          <w:rFonts w:ascii="Arial" w:hAnsi="Arial" w:cs="Arial"/>
          <w:sz w:val="24"/>
          <w:szCs w:val="24"/>
        </w:rPr>
        <w:t xml:space="preserve">gotiation and mutual agreement as provided for in </w:t>
      </w:r>
      <w:r w:rsidR="00AC3B1A">
        <w:rPr>
          <w:rFonts w:ascii="Arial" w:hAnsi="Arial" w:cs="Arial"/>
          <w:sz w:val="24"/>
          <w:szCs w:val="24"/>
        </w:rPr>
        <w:t>the non-variation clause.</w:t>
      </w:r>
    </w:p>
    <w:p w:rsidR="009D6571" w:rsidRDefault="009D6571" w:rsidP="009D6571">
      <w:pPr>
        <w:pStyle w:val="NoSpacing"/>
        <w:spacing w:line="480" w:lineRule="auto"/>
        <w:jc w:val="both"/>
        <w:rPr>
          <w:rFonts w:ascii="Arial" w:hAnsi="Arial" w:cs="Arial"/>
          <w:sz w:val="24"/>
          <w:szCs w:val="24"/>
        </w:rPr>
      </w:pPr>
    </w:p>
    <w:p w:rsidR="00420160" w:rsidRDefault="00E01EDD"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order to answer the question whether the qualified teachers’ incentives were amended by the 20</w:t>
      </w:r>
      <w:r w:rsidR="00D164F6">
        <w:rPr>
          <w:rFonts w:ascii="Arial" w:hAnsi="Arial" w:cs="Arial"/>
          <w:sz w:val="24"/>
          <w:szCs w:val="24"/>
        </w:rPr>
        <w:t>12 agreement or had lapsed or was harmonised with the 2009 agreement</w:t>
      </w:r>
      <w:r>
        <w:rPr>
          <w:rFonts w:ascii="Arial" w:hAnsi="Arial" w:cs="Arial"/>
          <w:sz w:val="24"/>
          <w:szCs w:val="24"/>
        </w:rPr>
        <w:t xml:space="preserve">, the court </w:t>
      </w:r>
      <w:r w:rsidRPr="00E01EDD">
        <w:rPr>
          <w:rFonts w:ascii="Arial" w:hAnsi="Arial" w:cs="Arial"/>
          <w:i/>
          <w:sz w:val="24"/>
          <w:szCs w:val="24"/>
        </w:rPr>
        <w:t>a quo</w:t>
      </w:r>
      <w:r>
        <w:rPr>
          <w:rFonts w:ascii="Arial" w:hAnsi="Arial" w:cs="Arial"/>
          <w:sz w:val="24"/>
          <w:szCs w:val="24"/>
        </w:rPr>
        <w:t xml:space="preserve"> was of the view that the starting point would be to enquire into the purpose of the two benefits as they were introduced.</w:t>
      </w:r>
    </w:p>
    <w:p w:rsidR="00A931ED" w:rsidRDefault="00A931ED" w:rsidP="00A931ED">
      <w:pPr>
        <w:pStyle w:val="NoSpacing"/>
        <w:spacing w:line="480" w:lineRule="auto"/>
        <w:jc w:val="both"/>
        <w:rPr>
          <w:rFonts w:ascii="Arial" w:hAnsi="Arial" w:cs="Arial"/>
          <w:sz w:val="24"/>
          <w:szCs w:val="24"/>
        </w:rPr>
      </w:pPr>
    </w:p>
    <w:p w:rsidR="00420160" w:rsidRDefault="00E01EDD"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01EDD">
        <w:rPr>
          <w:rFonts w:ascii="Arial" w:hAnsi="Arial" w:cs="Arial"/>
          <w:i/>
          <w:sz w:val="24"/>
          <w:szCs w:val="24"/>
        </w:rPr>
        <w:t>a quo</w:t>
      </w:r>
      <w:r>
        <w:rPr>
          <w:rFonts w:ascii="Arial" w:hAnsi="Arial" w:cs="Arial"/>
          <w:sz w:val="24"/>
          <w:szCs w:val="24"/>
        </w:rPr>
        <w:t xml:space="preserve"> found that the 2009 and 2012 agreements served different purposes. The one incentive ‘was aimed at enhancing the quality of education at the schools situated in the remote rural areas. It was aimed at attracting and retaining qualified teachers in the remote rural schools’. The other one</w:t>
      </w:r>
      <w:r w:rsidR="00AC3B1A">
        <w:rPr>
          <w:rFonts w:ascii="Arial" w:hAnsi="Arial" w:cs="Arial"/>
          <w:sz w:val="24"/>
          <w:szCs w:val="24"/>
        </w:rPr>
        <w:t>,</w:t>
      </w:r>
      <w:r>
        <w:rPr>
          <w:rFonts w:ascii="Arial" w:hAnsi="Arial" w:cs="Arial"/>
          <w:sz w:val="24"/>
          <w:szCs w:val="24"/>
        </w:rPr>
        <w:t xml:space="preserve"> an allowance</w:t>
      </w:r>
      <w:r w:rsidR="00AC3B1A">
        <w:rPr>
          <w:rFonts w:ascii="Arial" w:hAnsi="Arial" w:cs="Arial"/>
          <w:sz w:val="24"/>
          <w:szCs w:val="24"/>
        </w:rPr>
        <w:t>,</w:t>
      </w:r>
      <w:r>
        <w:rPr>
          <w:rFonts w:ascii="Arial" w:hAnsi="Arial" w:cs="Arial"/>
          <w:sz w:val="24"/>
          <w:szCs w:val="24"/>
        </w:rPr>
        <w:t xml:space="preserve"> was ‘premised on the recognition of the hardship endu</w:t>
      </w:r>
      <w:r w:rsidR="00555DC3">
        <w:rPr>
          <w:rFonts w:ascii="Arial" w:hAnsi="Arial" w:cs="Arial"/>
          <w:sz w:val="24"/>
          <w:szCs w:val="24"/>
        </w:rPr>
        <w:t>r</w:t>
      </w:r>
      <w:r>
        <w:rPr>
          <w:rFonts w:ascii="Arial" w:hAnsi="Arial" w:cs="Arial"/>
          <w:sz w:val="24"/>
          <w:szCs w:val="24"/>
        </w:rPr>
        <w:t>ed by staff members stationed at duty station(s) that are identified and classified as remote . . .’. The ‘purpose of the allowance was to compensate a staff member for the hardship he or she endures by being stationed at a remote duty station. The allowance was not aimed</w:t>
      </w:r>
      <w:r w:rsidR="003B66D1">
        <w:rPr>
          <w:rFonts w:ascii="Arial" w:hAnsi="Arial" w:cs="Arial"/>
          <w:sz w:val="24"/>
          <w:szCs w:val="24"/>
        </w:rPr>
        <w:t xml:space="preserve"> not enticed or incentivised </w:t>
      </w:r>
      <w:r>
        <w:rPr>
          <w:rFonts w:ascii="Arial" w:hAnsi="Arial" w:cs="Arial"/>
          <w:sz w:val="24"/>
          <w:szCs w:val="24"/>
        </w:rPr>
        <w:t>a staff member to move and stay in the remote area’.</w:t>
      </w:r>
    </w:p>
    <w:p w:rsidR="00420160" w:rsidRDefault="00420160" w:rsidP="00420160">
      <w:pPr>
        <w:pStyle w:val="NoSpacing"/>
        <w:spacing w:line="480" w:lineRule="auto"/>
        <w:jc w:val="both"/>
        <w:rPr>
          <w:rFonts w:ascii="Arial" w:hAnsi="Arial" w:cs="Arial"/>
          <w:sz w:val="24"/>
          <w:szCs w:val="24"/>
        </w:rPr>
      </w:pPr>
    </w:p>
    <w:p w:rsidR="00420160" w:rsidRDefault="00E01EDD"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01EDD">
        <w:rPr>
          <w:rFonts w:ascii="Arial" w:hAnsi="Arial" w:cs="Arial"/>
          <w:i/>
          <w:sz w:val="24"/>
          <w:szCs w:val="24"/>
        </w:rPr>
        <w:t>a quo</w:t>
      </w:r>
      <w:r>
        <w:rPr>
          <w:rFonts w:ascii="Arial" w:hAnsi="Arial" w:cs="Arial"/>
          <w:sz w:val="24"/>
          <w:szCs w:val="24"/>
        </w:rPr>
        <w:t xml:space="preserve"> underlined th</w:t>
      </w:r>
      <w:r w:rsidR="00555DC3">
        <w:rPr>
          <w:rFonts w:ascii="Arial" w:hAnsi="Arial" w:cs="Arial"/>
          <w:sz w:val="24"/>
          <w:szCs w:val="24"/>
        </w:rPr>
        <w:t>ese</w:t>
      </w:r>
      <w:r>
        <w:rPr>
          <w:rFonts w:ascii="Arial" w:hAnsi="Arial" w:cs="Arial"/>
          <w:sz w:val="24"/>
          <w:szCs w:val="24"/>
        </w:rPr>
        <w:t xml:space="preserve"> differences by stating that even the designation of the two benefits clearly indicates the difference. The one is ‘an incentive’ and the other ‘an allowance’ and with reference to a dictionary</w:t>
      </w:r>
      <w:r w:rsidR="00011647">
        <w:rPr>
          <w:rStyle w:val="FootnoteReference"/>
          <w:rFonts w:ascii="Arial" w:hAnsi="Arial" w:cs="Arial"/>
          <w:sz w:val="24"/>
          <w:szCs w:val="24"/>
        </w:rPr>
        <w:footnoteReference w:id="15"/>
      </w:r>
      <w:r>
        <w:rPr>
          <w:rFonts w:ascii="Arial" w:hAnsi="Arial" w:cs="Arial"/>
          <w:sz w:val="24"/>
          <w:szCs w:val="24"/>
        </w:rPr>
        <w:t xml:space="preserve"> poin</w:t>
      </w:r>
      <w:r w:rsidR="00AC3B1A">
        <w:rPr>
          <w:rFonts w:ascii="Arial" w:hAnsi="Arial" w:cs="Arial"/>
          <w:sz w:val="24"/>
          <w:szCs w:val="24"/>
        </w:rPr>
        <w:t>ted out the meaning of each appellation</w:t>
      </w:r>
      <w:r>
        <w:rPr>
          <w:rFonts w:ascii="Arial" w:hAnsi="Arial" w:cs="Arial"/>
          <w:sz w:val="24"/>
          <w:szCs w:val="24"/>
        </w:rPr>
        <w:t xml:space="preserve">. </w:t>
      </w:r>
    </w:p>
    <w:p w:rsidR="00321434" w:rsidRDefault="00321434" w:rsidP="00321434">
      <w:pPr>
        <w:pStyle w:val="NoSpacing"/>
        <w:spacing w:line="480" w:lineRule="auto"/>
        <w:jc w:val="both"/>
        <w:rPr>
          <w:rFonts w:ascii="Arial" w:hAnsi="Arial" w:cs="Arial"/>
          <w:sz w:val="24"/>
          <w:szCs w:val="24"/>
        </w:rPr>
      </w:pPr>
    </w:p>
    <w:p w:rsidR="00420160" w:rsidRDefault="00E01EDD"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stated in </w:t>
      </w:r>
      <w:r w:rsidRPr="00E01EDD">
        <w:rPr>
          <w:rFonts w:ascii="Arial" w:hAnsi="Arial" w:cs="Arial"/>
          <w:i/>
          <w:sz w:val="24"/>
          <w:szCs w:val="24"/>
        </w:rPr>
        <w:t>Endumeni</w:t>
      </w:r>
      <w:r>
        <w:rPr>
          <w:rFonts w:ascii="Arial" w:hAnsi="Arial" w:cs="Arial"/>
          <w:sz w:val="24"/>
          <w:szCs w:val="24"/>
        </w:rPr>
        <w:t xml:space="preserve"> (</w:t>
      </w:r>
      <w:r w:rsidRPr="00E01EDD">
        <w:rPr>
          <w:rFonts w:ascii="Arial" w:hAnsi="Arial" w:cs="Arial"/>
          <w:i/>
          <w:sz w:val="24"/>
          <w:szCs w:val="24"/>
        </w:rPr>
        <w:t>supra</w:t>
      </w:r>
      <w:r>
        <w:rPr>
          <w:rFonts w:ascii="Arial" w:hAnsi="Arial" w:cs="Arial"/>
          <w:sz w:val="24"/>
          <w:szCs w:val="24"/>
        </w:rPr>
        <w:t xml:space="preserve">) </w:t>
      </w:r>
      <w:r w:rsidR="00180D40">
        <w:rPr>
          <w:rFonts w:ascii="Arial" w:hAnsi="Arial" w:cs="Arial"/>
          <w:sz w:val="24"/>
          <w:szCs w:val="24"/>
        </w:rPr>
        <w:t xml:space="preserve">and </w:t>
      </w:r>
      <w:r w:rsidR="00180D40" w:rsidRPr="00180D40">
        <w:rPr>
          <w:rFonts w:ascii="Arial" w:hAnsi="Arial" w:cs="Arial"/>
          <w:i/>
          <w:sz w:val="24"/>
          <w:szCs w:val="24"/>
        </w:rPr>
        <w:t>Egerer</w:t>
      </w:r>
      <w:r w:rsidR="00180D40">
        <w:rPr>
          <w:rFonts w:ascii="Arial" w:hAnsi="Arial" w:cs="Arial"/>
          <w:sz w:val="24"/>
          <w:szCs w:val="24"/>
        </w:rPr>
        <w:t xml:space="preserve"> a court of law </w:t>
      </w:r>
      <w:r>
        <w:rPr>
          <w:rFonts w:ascii="Arial" w:hAnsi="Arial" w:cs="Arial"/>
          <w:sz w:val="24"/>
          <w:szCs w:val="24"/>
        </w:rPr>
        <w:t>must in the interpretation of instruments consider ‘the context and language together, with neither dominating over the other’.</w:t>
      </w:r>
    </w:p>
    <w:p w:rsidR="00420160" w:rsidRDefault="00420160" w:rsidP="00420160">
      <w:pPr>
        <w:pStyle w:val="NoSpacing"/>
        <w:spacing w:line="480" w:lineRule="auto"/>
        <w:jc w:val="both"/>
        <w:rPr>
          <w:rFonts w:ascii="Arial" w:hAnsi="Arial" w:cs="Arial"/>
          <w:sz w:val="24"/>
          <w:szCs w:val="24"/>
        </w:rPr>
      </w:pPr>
    </w:p>
    <w:p w:rsidR="00420160" w:rsidRDefault="00780AE9"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Considering the 2012 agreement as well as the remoteness allowance policy</w:t>
      </w:r>
      <w:r>
        <w:rPr>
          <w:rStyle w:val="FootnoteReference"/>
          <w:rFonts w:ascii="Arial" w:hAnsi="Arial" w:cs="Arial"/>
          <w:sz w:val="24"/>
          <w:szCs w:val="24"/>
        </w:rPr>
        <w:footnoteReference w:id="16"/>
      </w:r>
      <w:r>
        <w:rPr>
          <w:rFonts w:ascii="Arial" w:hAnsi="Arial" w:cs="Arial"/>
          <w:sz w:val="24"/>
          <w:szCs w:val="24"/>
        </w:rPr>
        <w:t xml:space="preserve"> for public servants the following is apparent:</w:t>
      </w:r>
    </w:p>
    <w:p w:rsidR="00A21152" w:rsidRDefault="00A21152" w:rsidP="00A21152">
      <w:pPr>
        <w:pStyle w:val="NoSpacing"/>
        <w:spacing w:line="480" w:lineRule="auto"/>
        <w:jc w:val="both"/>
        <w:rPr>
          <w:rFonts w:ascii="Arial" w:hAnsi="Arial" w:cs="Arial"/>
          <w:sz w:val="24"/>
          <w:szCs w:val="24"/>
        </w:rPr>
      </w:pPr>
    </w:p>
    <w:p w:rsidR="00780AE9" w:rsidRDefault="00780AE9" w:rsidP="00420160">
      <w:pPr>
        <w:pStyle w:val="NoSpacing"/>
        <w:spacing w:line="480" w:lineRule="auto"/>
        <w:jc w:val="both"/>
        <w:rPr>
          <w:rFonts w:ascii="Arial" w:hAnsi="Arial" w:cs="Arial"/>
          <w:sz w:val="24"/>
          <w:szCs w:val="24"/>
        </w:rPr>
      </w:pPr>
      <w:r>
        <w:rPr>
          <w:rFonts w:ascii="Arial" w:hAnsi="Arial" w:cs="Arial"/>
          <w:sz w:val="24"/>
          <w:szCs w:val="24"/>
        </w:rPr>
        <w:t>Firstly</w:t>
      </w:r>
      <w:r w:rsidR="00555DC3">
        <w:rPr>
          <w:rFonts w:ascii="Arial" w:hAnsi="Arial" w:cs="Arial"/>
          <w:sz w:val="24"/>
          <w:szCs w:val="24"/>
        </w:rPr>
        <w:t>,</w:t>
      </w:r>
      <w:r>
        <w:rPr>
          <w:rFonts w:ascii="Arial" w:hAnsi="Arial" w:cs="Arial"/>
          <w:sz w:val="24"/>
          <w:szCs w:val="24"/>
        </w:rPr>
        <w:t xml:space="preserve"> in the 2012 collective agreement (para 2.3) reference is made to ‘an </w:t>
      </w:r>
      <w:r w:rsidRPr="00780AE9">
        <w:rPr>
          <w:rFonts w:ascii="Arial" w:hAnsi="Arial" w:cs="Arial"/>
          <w:i/>
          <w:sz w:val="24"/>
          <w:szCs w:val="24"/>
        </w:rPr>
        <w:t>incentive allowance</w:t>
      </w:r>
      <w:r>
        <w:rPr>
          <w:rStyle w:val="FootnoteReference"/>
          <w:rFonts w:ascii="Arial" w:hAnsi="Arial" w:cs="Arial"/>
          <w:sz w:val="24"/>
          <w:szCs w:val="24"/>
        </w:rPr>
        <w:footnoteReference w:id="17"/>
      </w:r>
      <w:r>
        <w:rPr>
          <w:rFonts w:ascii="Arial" w:hAnsi="Arial" w:cs="Arial"/>
          <w:sz w:val="24"/>
          <w:szCs w:val="24"/>
        </w:rPr>
        <w:t xml:space="preserve"> for staff members</w:t>
      </w:r>
      <w:r w:rsidR="00555DC3">
        <w:rPr>
          <w:rFonts w:ascii="Arial" w:hAnsi="Arial" w:cs="Arial"/>
          <w:sz w:val="24"/>
          <w:szCs w:val="24"/>
        </w:rPr>
        <w:t>’</w:t>
      </w:r>
      <w:r>
        <w:rPr>
          <w:rFonts w:ascii="Arial" w:hAnsi="Arial" w:cs="Arial"/>
          <w:sz w:val="24"/>
          <w:szCs w:val="24"/>
        </w:rPr>
        <w:t xml:space="preserve">. The inference is clear, in my view, namely that the incentive is an allowance. The </w:t>
      </w:r>
      <w:r w:rsidR="009D1F39">
        <w:rPr>
          <w:rFonts w:ascii="Arial" w:hAnsi="Arial" w:cs="Arial"/>
          <w:sz w:val="24"/>
          <w:szCs w:val="24"/>
        </w:rPr>
        <w:t>MoU</w:t>
      </w:r>
      <w:r>
        <w:rPr>
          <w:rFonts w:ascii="Arial" w:hAnsi="Arial" w:cs="Arial"/>
          <w:sz w:val="24"/>
          <w:szCs w:val="24"/>
        </w:rPr>
        <w:t xml:space="preserve"> and the collective settlement agreement of November 201</w:t>
      </w:r>
      <w:r w:rsidR="00555DC3">
        <w:rPr>
          <w:rFonts w:ascii="Arial" w:hAnsi="Arial" w:cs="Arial"/>
          <w:sz w:val="24"/>
          <w:szCs w:val="24"/>
        </w:rPr>
        <w:t>0</w:t>
      </w:r>
      <w:r>
        <w:rPr>
          <w:rFonts w:ascii="Arial" w:hAnsi="Arial" w:cs="Arial"/>
          <w:sz w:val="24"/>
          <w:szCs w:val="24"/>
        </w:rPr>
        <w:t xml:space="preserve"> refers just to an ‘incentive’ without stating the nature of the incentive. As a matter of common sense an incentive must be qualified and one would naturally ask oneself: what is this incentive? The answer is stated unambiguously in the letter dated 11 September 2009 from the Office of the Prime Minister that it ‘is an </w:t>
      </w:r>
      <w:r w:rsidRPr="00011647">
        <w:rPr>
          <w:rFonts w:ascii="Arial" w:hAnsi="Arial" w:cs="Arial"/>
          <w:i/>
          <w:sz w:val="24"/>
          <w:szCs w:val="24"/>
        </w:rPr>
        <w:t>allowance</w:t>
      </w:r>
      <w:r w:rsidR="00971503" w:rsidRPr="00AD0111">
        <w:rPr>
          <w:rStyle w:val="FootnoteReference"/>
          <w:rFonts w:ascii="Arial" w:hAnsi="Arial" w:cs="Arial"/>
          <w:sz w:val="24"/>
          <w:szCs w:val="24"/>
        </w:rPr>
        <w:footnoteReference w:id="18"/>
      </w:r>
      <w:r w:rsidRPr="00AD0111">
        <w:rPr>
          <w:rFonts w:ascii="Arial" w:hAnsi="Arial" w:cs="Arial"/>
          <w:sz w:val="24"/>
          <w:szCs w:val="24"/>
        </w:rPr>
        <w:t xml:space="preserve"> </w:t>
      </w:r>
      <w:r>
        <w:rPr>
          <w:rFonts w:ascii="Arial" w:hAnsi="Arial" w:cs="Arial"/>
          <w:sz w:val="24"/>
          <w:szCs w:val="24"/>
        </w:rPr>
        <w:t xml:space="preserve">payable on a monthly basis . . .’. There is in my view no substance in differentiating between an ‘allowance’ and an </w:t>
      </w:r>
      <w:r w:rsidR="00AD0111">
        <w:rPr>
          <w:rFonts w:ascii="Arial" w:hAnsi="Arial" w:cs="Arial"/>
          <w:sz w:val="24"/>
          <w:szCs w:val="24"/>
        </w:rPr>
        <w:t>‘</w:t>
      </w:r>
      <w:r>
        <w:rPr>
          <w:rFonts w:ascii="Arial" w:hAnsi="Arial" w:cs="Arial"/>
          <w:sz w:val="24"/>
          <w:szCs w:val="24"/>
        </w:rPr>
        <w:t>incentive’. The</w:t>
      </w:r>
      <w:r w:rsidR="00AD0111">
        <w:rPr>
          <w:rFonts w:ascii="Arial" w:hAnsi="Arial" w:cs="Arial"/>
          <w:sz w:val="24"/>
          <w:szCs w:val="24"/>
        </w:rPr>
        <w:t xml:space="preserve"> 2012 agreement does not do so.</w:t>
      </w:r>
    </w:p>
    <w:p w:rsidR="00780AE9" w:rsidRDefault="00780AE9" w:rsidP="00420160">
      <w:pPr>
        <w:pStyle w:val="NoSpacing"/>
        <w:spacing w:line="480" w:lineRule="auto"/>
        <w:jc w:val="both"/>
        <w:rPr>
          <w:rFonts w:ascii="Arial" w:hAnsi="Arial" w:cs="Arial"/>
          <w:sz w:val="24"/>
          <w:szCs w:val="24"/>
        </w:rPr>
      </w:pPr>
    </w:p>
    <w:p w:rsidR="00420160" w:rsidRDefault="00011647"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remoteness allowance policy</w:t>
      </w:r>
      <w:r>
        <w:rPr>
          <w:rStyle w:val="FootnoteReference"/>
          <w:rFonts w:ascii="Arial" w:hAnsi="Arial" w:cs="Arial"/>
          <w:sz w:val="24"/>
          <w:szCs w:val="24"/>
        </w:rPr>
        <w:footnoteReference w:id="19"/>
      </w:r>
      <w:r w:rsidR="0060546C">
        <w:rPr>
          <w:rFonts w:ascii="Arial" w:hAnsi="Arial" w:cs="Arial"/>
          <w:sz w:val="24"/>
          <w:szCs w:val="24"/>
        </w:rPr>
        <w:t xml:space="preserve"> the following is stated:</w:t>
      </w:r>
    </w:p>
    <w:p w:rsidR="0060546C" w:rsidRDefault="0060546C" w:rsidP="009D1F39">
      <w:pPr>
        <w:pStyle w:val="NoSpacing"/>
        <w:spacing w:line="360" w:lineRule="auto"/>
        <w:ind w:left="720"/>
        <w:jc w:val="both"/>
        <w:rPr>
          <w:rFonts w:ascii="Arial" w:hAnsi="Arial" w:cs="Arial"/>
        </w:rPr>
      </w:pPr>
      <w:r w:rsidRPr="009D1F39">
        <w:rPr>
          <w:rFonts w:ascii="Arial" w:hAnsi="Arial" w:cs="Arial"/>
        </w:rPr>
        <w:t>‘The working</w:t>
      </w:r>
      <w:r w:rsidRPr="00DC449B">
        <w:rPr>
          <w:rFonts w:ascii="Arial" w:hAnsi="Arial" w:cs="Arial"/>
        </w:rPr>
        <w:t xml:space="preserve"> and living conditions of staff members at duty stations in remote areas are challenging, which tend to cause a certain degree of hardship. These challenges refer to the availability of various types of services. An incentive recognises this and </w:t>
      </w:r>
      <w:r w:rsidRPr="006E5105">
        <w:rPr>
          <w:rFonts w:ascii="Arial" w:hAnsi="Arial" w:cs="Arial"/>
          <w:i/>
        </w:rPr>
        <w:t xml:space="preserve">encourages </w:t>
      </w:r>
      <w:r w:rsidR="00DC449B" w:rsidRPr="006E5105">
        <w:rPr>
          <w:rFonts w:ascii="Arial" w:hAnsi="Arial" w:cs="Arial"/>
          <w:i/>
        </w:rPr>
        <w:t>staff members to go to and continue to serve in these areas.</w:t>
      </w:r>
      <w:r w:rsidR="00DC449B" w:rsidRPr="00DC449B">
        <w:rPr>
          <w:rFonts w:ascii="Arial" w:hAnsi="Arial" w:cs="Arial"/>
        </w:rPr>
        <w:t>’</w:t>
      </w:r>
      <w:r w:rsidR="00DC449B" w:rsidRPr="00DC449B">
        <w:rPr>
          <w:rStyle w:val="FootnoteReference"/>
          <w:rFonts w:ascii="Arial" w:hAnsi="Arial" w:cs="Arial"/>
        </w:rPr>
        <w:footnoteReference w:id="20"/>
      </w:r>
    </w:p>
    <w:p w:rsidR="009D6571" w:rsidRPr="009D6571" w:rsidRDefault="009D6571" w:rsidP="009D6571">
      <w:pPr>
        <w:pStyle w:val="NoSpacing"/>
        <w:spacing w:line="480" w:lineRule="auto"/>
        <w:ind w:left="720"/>
        <w:jc w:val="both"/>
        <w:rPr>
          <w:rFonts w:ascii="Arial" w:hAnsi="Arial" w:cs="Arial"/>
          <w:sz w:val="24"/>
          <w:szCs w:val="24"/>
        </w:rPr>
      </w:pPr>
    </w:p>
    <w:p w:rsidR="00420160" w:rsidRDefault="00DC449B"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view held by the court </w:t>
      </w:r>
      <w:r w:rsidRPr="006E5105">
        <w:rPr>
          <w:rFonts w:ascii="Arial" w:hAnsi="Arial" w:cs="Arial"/>
          <w:i/>
          <w:sz w:val="24"/>
          <w:szCs w:val="24"/>
        </w:rPr>
        <w:t>a quo</w:t>
      </w:r>
      <w:r w:rsidR="00555DC3">
        <w:rPr>
          <w:rFonts w:ascii="Arial" w:hAnsi="Arial" w:cs="Arial"/>
          <w:sz w:val="24"/>
          <w:szCs w:val="24"/>
        </w:rPr>
        <w:t xml:space="preserve"> that an allowance </w:t>
      </w:r>
      <w:r w:rsidR="007852A6">
        <w:rPr>
          <w:rFonts w:ascii="Arial" w:hAnsi="Arial" w:cs="Arial"/>
          <w:sz w:val="24"/>
          <w:szCs w:val="24"/>
        </w:rPr>
        <w:t>was not aimed at</w:t>
      </w:r>
      <w:r>
        <w:rPr>
          <w:rFonts w:ascii="Arial" w:hAnsi="Arial" w:cs="Arial"/>
          <w:sz w:val="24"/>
          <w:szCs w:val="24"/>
        </w:rPr>
        <w:t xml:space="preserve"> enticing a staff </w:t>
      </w:r>
      <w:r w:rsidR="006E5105">
        <w:rPr>
          <w:rFonts w:ascii="Arial" w:hAnsi="Arial" w:cs="Arial"/>
          <w:sz w:val="24"/>
          <w:szCs w:val="24"/>
        </w:rPr>
        <w:t>member to move</w:t>
      </w:r>
      <w:r w:rsidR="00555DC3">
        <w:rPr>
          <w:rFonts w:ascii="Arial" w:hAnsi="Arial" w:cs="Arial"/>
          <w:sz w:val="24"/>
          <w:szCs w:val="24"/>
        </w:rPr>
        <w:t xml:space="preserve"> and to stay in the remote area</w:t>
      </w:r>
      <w:r w:rsidR="006E5105">
        <w:rPr>
          <w:rFonts w:ascii="Arial" w:hAnsi="Arial" w:cs="Arial"/>
          <w:sz w:val="24"/>
          <w:szCs w:val="24"/>
        </w:rPr>
        <w:t xml:space="preserve">, and </w:t>
      </w:r>
      <w:r w:rsidR="00690FCD">
        <w:rPr>
          <w:rFonts w:ascii="Arial" w:hAnsi="Arial" w:cs="Arial"/>
          <w:sz w:val="24"/>
          <w:szCs w:val="24"/>
        </w:rPr>
        <w:t xml:space="preserve">that a staff member </w:t>
      </w:r>
      <w:r w:rsidR="006E5105">
        <w:rPr>
          <w:rFonts w:ascii="Arial" w:hAnsi="Arial" w:cs="Arial"/>
          <w:sz w:val="24"/>
          <w:szCs w:val="24"/>
        </w:rPr>
        <w:t xml:space="preserve">received an allowance because he or she is </w:t>
      </w:r>
      <w:r w:rsidR="00690FCD">
        <w:rPr>
          <w:rFonts w:ascii="Arial" w:hAnsi="Arial" w:cs="Arial"/>
          <w:sz w:val="24"/>
          <w:szCs w:val="24"/>
        </w:rPr>
        <w:t>‘</w:t>
      </w:r>
      <w:r w:rsidR="006E5105">
        <w:rPr>
          <w:rFonts w:ascii="Arial" w:hAnsi="Arial" w:cs="Arial"/>
          <w:sz w:val="24"/>
          <w:szCs w:val="24"/>
        </w:rPr>
        <w:t>already stationed there’ is gainsaid by this provision of the remoteness allowance policy (emphasised above) namely that it was designed to encourage staff members to go to these remote rural areas. Staff members include all public servants, not o</w:t>
      </w:r>
      <w:r w:rsidR="00EA0CBF">
        <w:rPr>
          <w:rFonts w:ascii="Arial" w:hAnsi="Arial" w:cs="Arial"/>
          <w:sz w:val="24"/>
          <w:szCs w:val="24"/>
        </w:rPr>
        <w:t>nly qualified teachers – this</w:t>
      </w:r>
      <w:r w:rsidR="006E5105">
        <w:rPr>
          <w:rFonts w:ascii="Arial" w:hAnsi="Arial" w:cs="Arial"/>
          <w:sz w:val="24"/>
          <w:szCs w:val="24"/>
        </w:rPr>
        <w:t xml:space="preserve"> much is common cause. </w:t>
      </w:r>
    </w:p>
    <w:p w:rsidR="00420160" w:rsidRDefault="00420160" w:rsidP="00420160">
      <w:pPr>
        <w:pStyle w:val="NoSpacing"/>
        <w:spacing w:line="480" w:lineRule="auto"/>
        <w:jc w:val="both"/>
        <w:rPr>
          <w:rFonts w:ascii="Arial" w:hAnsi="Arial" w:cs="Arial"/>
          <w:sz w:val="24"/>
          <w:szCs w:val="24"/>
        </w:rPr>
      </w:pPr>
    </w:p>
    <w:p w:rsidR="00420160" w:rsidRDefault="006E5105"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considered view it must be recognised that the </w:t>
      </w:r>
      <w:r w:rsidR="003B66D1">
        <w:rPr>
          <w:rFonts w:ascii="Arial" w:hAnsi="Arial" w:cs="Arial"/>
          <w:sz w:val="24"/>
          <w:szCs w:val="24"/>
        </w:rPr>
        <w:t>2009 a</w:t>
      </w:r>
      <w:r>
        <w:rPr>
          <w:rFonts w:ascii="Arial" w:hAnsi="Arial" w:cs="Arial"/>
          <w:sz w:val="24"/>
          <w:szCs w:val="24"/>
        </w:rPr>
        <w:t>nd 2012 agreements deal with the same matter and in the same terms. On the one hand</w:t>
      </w:r>
      <w:r w:rsidR="009E3FBD">
        <w:rPr>
          <w:rFonts w:ascii="Arial" w:hAnsi="Arial" w:cs="Arial"/>
          <w:sz w:val="24"/>
          <w:szCs w:val="24"/>
        </w:rPr>
        <w:t>,</w:t>
      </w:r>
      <w:r>
        <w:rPr>
          <w:rFonts w:ascii="Arial" w:hAnsi="Arial" w:cs="Arial"/>
          <w:sz w:val="24"/>
          <w:szCs w:val="24"/>
        </w:rPr>
        <w:t xml:space="preserve"> the </w:t>
      </w:r>
      <w:r w:rsidR="0077243D">
        <w:rPr>
          <w:rFonts w:ascii="Arial" w:hAnsi="Arial" w:cs="Arial"/>
          <w:sz w:val="24"/>
          <w:szCs w:val="24"/>
        </w:rPr>
        <w:t>MoU</w:t>
      </w:r>
      <w:r>
        <w:rPr>
          <w:rFonts w:ascii="Arial" w:hAnsi="Arial" w:cs="Arial"/>
          <w:sz w:val="24"/>
          <w:szCs w:val="24"/>
        </w:rPr>
        <w:t xml:space="preserve"> read with the collective settlement agreement and further read with the letter from the Office of the Prime Minister (dated 11 September 2009)</w:t>
      </w:r>
      <w:r w:rsidR="00AC3B1A">
        <w:rPr>
          <w:rFonts w:ascii="Arial" w:hAnsi="Arial" w:cs="Arial"/>
          <w:sz w:val="24"/>
          <w:szCs w:val="24"/>
        </w:rPr>
        <w:t>,</w:t>
      </w:r>
      <w:r>
        <w:rPr>
          <w:rFonts w:ascii="Arial" w:hAnsi="Arial" w:cs="Arial"/>
          <w:sz w:val="24"/>
          <w:szCs w:val="24"/>
        </w:rPr>
        <w:t xml:space="preserve"> and on the other hand the 2012 collective agreement</w:t>
      </w:r>
      <w:r w:rsidR="00AC3B1A">
        <w:rPr>
          <w:rFonts w:ascii="Arial" w:hAnsi="Arial" w:cs="Arial"/>
          <w:sz w:val="24"/>
          <w:szCs w:val="24"/>
        </w:rPr>
        <w:t>,</w:t>
      </w:r>
      <w:r>
        <w:rPr>
          <w:rFonts w:ascii="Arial" w:hAnsi="Arial" w:cs="Arial"/>
          <w:sz w:val="24"/>
          <w:szCs w:val="24"/>
        </w:rPr>
        <w:t xml:space="preserve"> deal with the same benefit, with exactly the same amounts of money,</w:t>
      </w:r>
      <w:r w:rsidR="00AC3B1A">
        <w:rPr>
          <w:rFonts w:ascii="Arial" w:hAnsi="Arial" w:cs="Arial"/>
          <w:sz w:val="24"/>
          <w:szCs w:val="24"/>
        </w:rPr>
        <w:t xml:space="preserve"> the same parties are involved, </w:t>
      </w:r>
      <w:r>
        <w:rPr>
          <w:rFonts w:ascii="Arial" w:hAnsi="Arial" w:cs="Arial"/>
          <w:sz w:val="24"/>
          <w:szCs w:val="24"/>
        </w:rPr>
        <w:t xml:space="preserve">the same areas are covered, </w:t>
      </w:r>
      <w:r w:rsidR="00AC3B1A">
        <w:rPr>
          <w:rFonts w:ascii="Arial" w:hAnsi="Arial" w:cs="Arial"/>
          <w:sz w:val="24"/>
          <w:szCs w:val="24"/>
        </w:rPr>
        <w:t xml:space="preserve">the beneficiaries are the same as far as these teachers are concerned </w:t>
      </w:r>
      <w:r>
        <w:rPr>
          <w:rFonts w:ascii="Arial" w:hAnsi="Arial" w:cs="Arial"/>
          <w:sz w:val="24"/>
          <w:szCs w:val="24"/>
        </w:rPr>
        <w:t xml:space="preserve">and it is for the same purpose. These similarities </w:t>
      </w:r>
      <w:r w:rsidR="00690FCD">
        <w:rPr>
          <w:rFonts w:ascii="Arial" w:hAnsi="Arial" w:cs="Arial"/>
          <w:sz w:val="24"/>
          <w:szCs w:val="24"/>
        </w:rPr>
        <w:t>undermine</w:t>
      </w:r>
      <w:r w:rsidR="000C280D">
        <w:rPr>
          <w:rFonts w:ascii="Arial" w:hAnsi="Arial" w:cs="Arial"/>
          <w:sz w:val="24"/>
          <w:szCs w:val="24"/>
        </w:rPr>
        <w:t xml:space="preserve"> the very foundation of the finding of the court </w:t>
      </w:r>
      <w:r w:rsidR="000C280D" w:rsidRPr="000C280D">
        <w:rPr>
          <w:rFonts w:ascii="Arial" w:hAnsi="Arial" w:cs="Arial"/>
          <w:i/>
          <w:sz w:val="24"/>
          <w:szCs w:val="24"/>
        </w:rPr>
        <w:t>a quo</w:t>
      </w:r>
      <w:r w:rsidR="000C280D">
        <w:rPr>
          <w:rFonts w:ascii="Arial" w:hAnsi="Arial" w:cs="Arial"/>
          <w:sz w:val="24"/>
          <w:szCs w:val="24"/>
        </w:rPr>
        <w:t xml:space="preserve"> namely that it is premised on two separate things for two separate purposes. The only difference between these agreements was that the 2012 collective agreement extended the benefit to all public service employees.</w:t>
      </w:r>
    </w:p>
    <w:p w:rsidR="00A931ED" w:rsidRPr="00A94F81" w:rsidRDefault="00A931ED" w:rsidP="00A931ED">
      <w:pPr>
        <w:pStyle w:val="NoSpacing"/>
        <w:spacing w:line="480" w:lineRule="auto"/>
        <w:jc w:val="both"/>
        <w:rPr>
          <w:rFonts w:ascii="Arial" w:hAnsi="Arial" w:cs="Arial"/>
          <w:sz w:val="24"/>
          <w:szCs w:val="24"/>
        </w:rPr>
      </w:pPr>
    </w:p>
    <w:p w:rsidR="00971503" w:rsidRDefault="000C280D" w:rsidP="0097150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submission on behalf of the </w:t>
      </w:r>
      <w:r w:rsidR="00690FCD">
        <w:rPr>
          <w:rFonts w:ascii="Arial" w:hAnsi="Arial" w:cs="Arial"/>
          <w:sz w:val="24"/>
          <w:szCs w:val="24"/>
        </w:rPr>
        <w:t>first respondent</w:t>
      </w:r>
      <w:r>
        <w:rPr>
          <w:rFonts w:ascii="Arial" w:hAnsi="Arial" w:cs="Arial"/>
          <w:sz w:val="24"/>
          <w:szCs w:val="24"/>
        </w:rPr>
        <w:t xml:space="preserve"> that the 2012 collective agreement refers to an </w:t>
      </w:r>
      <w:r w:rsidRPr="000C280D">
        <w:rPr>
          <w:rFonts w:ascii="Arial" w:hAnsi="Arial" w:cs="Arial"/>
          <w:i/>
          <w:sz w:val="24"/>
          <w:szCs w:val="24"/>
        </w:rPr>
        <w:t>improvement</w:t>
      </w:r>
      <w:r>
        <w:rPr>
          <w:rFonts w:ascii="Arial" w:hAnsi="Arial" w:cs="Arial"/>
          <w:sz w:val="24"/>
          <w:szCs w:val="24"/>
        </w:rPr>
        <w:t xml:space="preserve"> of benefits which implies that the qualified teachers are entitled to the benefits under both agreements is misconceived. This is so because of the language used in the 2012 agreement. Under the heading ‘Agreements’ the 2012 agreement reads as follows:</w:t>
      </w:r>
    </w:p>
    <w:p w:rsidR="009D6571" w:rsidRPr="009D6571" w:rsidRDefault="009D6571" w:rsidP="009D6571">
      <w:pPr>
        <w:pStyle w:val="NoSpacing"/>
        <w:spacing w:line="360" w:lineRule="auto"/>
        <w:jc w:val="both"/>
        <w:rPr>
          <w:rFonts w:ascii="Arial" w:hAnsi="Arial" w:cs="Arial"/>
        </w:rPr>
      </w:pPr>
      <w:r>
        <w:rPr>
          <w:rFonts w:ascii="Arial" w:hAnsi="Arial" w:cs="Arial"/>
          <w:sz w:val="24"/>
          <w:szCs w:val="24"/>
        </w:rPr>
        <w:tab/>
      </w:r>
    </w:p>
    <w:p w:rsidR="00420160" w:rsidRPr="00690FCD" w:rsidRDefault="000C280D" w:rsidP="009E3FBD">
      <w:pPr>
        <w:pStyle w:val="NoSpacing"/>
        <w:spacing w:line="360" w:lineRule="auto"/>
        <w:ind w:left="720"/>
        <w:jc w:val="both"/>
        <w:rPr>
          <w:rFonts w:ascii="Arial" w:hAnsi="Arial" w:cs="Arial"/>
        </w:rPr>
      </w:pPr>
      <w:r w:rsidRPr="009E3FBD">
        <w:rPr>
          <w:rFonts w:ascii="Arial" w:hAnsi="Arial" w:cs="Arial"/>
        </w:rPr>
        <w:t>‘The</w:t>
      </w:r>
      <w:r w:rsidRPr="00690FCD">
        <w:rPr>
          <w:rFonts w:ascii="Arial" w:hAnsi="Arial" w:cs="Arial"/>
        </w:rPr>
        <w:t xml:space="preserve"> parties agreed to the improvement of salaries and benefi</w:t>
      </w:r>
      <w:r w:rsidR="00690FCD" w:rsidRPr="00690FCD">
        <w:rPr>
          <w:rFonts w:ascii="Arial" w:hAnsi="Arial" w:cs="Arial"/>
        </w:rPr>
        <w:t>ts for staff members as follows</w:t>
      </w:r>
      <w:r w:rsidR="00690FCD">
        <w:rPr>
          <w:rFonts w:ascii="Arial" w:hAnsi="Arial" w:cs="Arial"/>
        </w:rPr>
        <w:t>:</w:t>
      </w:r>
      <w:r w:rsidR="00690FCD" w:rsidRPr="00690FCD">
        <w:rPr>
          <w:rFonts w:ascii="Arial" w:hAnsi="Arial" w:cs="Arial"/>
        </w:rPr>
        <w:t>’</w:t>
      </w:r>
    </w:p>
    <w:p w:rsidR="00690FCD" w:rsidRPr="00690FCD" w:rsidRDefault="00690FCD" w:rsidP="00690FCD">
      <w:pPr>
        <w:pStyle w:val="NoSpacing"/>
        <w:spacing w:line="480" w:lineRule="auto"/>
        <w:ind w:left="720"/>
        <w:jc w:val="both"/>
        <w:rPr>
          <w:rFonts w:ascii="Arial" w:hAnsi="Arial" w:cs="Arial"/>
          <w:sz w:val="24"/>
          <w:szCs w:val="24"/>
        </w:rPr>
      </w:pPr>
    </w:p>
    <w:p w:rsidR="000C280D" w:rsidRDefault="000C280D" w:rsidP="003F1F17">
      <w:pPr>
        <w:pStyle w:val="NoSpacing"/>
        <w:numPr>
          <w:ilvl w:val="0"/>
          <w:numId w:val="1"/>
        </w:numPr>
        <w:spacing w:line="480" w:lineRule="auto"/>
        <w:ind w:left="0" w:firstLine="0"/>
        <w:jc w:val="both"/>
        <w:rPr>
          <w:rFonts w:ascii="Arial" w:hAnsi="Arial" w:cs="Arial"/>
          <w:sz w:val="24"/>
          <w:szCs w:val="24"/>
        </w:rPr>
      </w:pPr>
      <w:r w:rsidRPr="00D164F6">
        <w:rPr>
          <w:rFonts w:ascii="Arial" w:hAnsi="Arial" w:cs="Arial"/>
          <w:sz w:val="24"/>
          <w:szCs w:val="24"/>
        </w:rPr>
        <w:t>The improvement of benefits was not exclusively for qualified teachers. T</w:t>
      </w:r>
      <w:r w:rsidR="00971503" w:rsidRPr="00D164F6">
        <w:rPr>
          <w:rFonts w:ascii="Arial" w:hAnsi="Arial" w:cs="Arial"/>
          <w:sz w:val="24"/>
          <w:szCs w:val="24"/>
        </w:rPr>
        <w:t>he</w:t>
      </w:r>
      <w:r w:rsidR="00690FCD" w:rsidRPr="00D164F6">
        <w:rPr>
          <w:rFonts w:ascii="Arial" w:hAnsi="Arial" w:cs="Arial"/>
          <w:sz w:val="24"/>
          <w:szCs w:val="24"/>
        </w:rPr>
        <w:t>re</w:t>
      </w:r>
      <w:r w:rsidRPr="00D164F6">
        <w:rPr>
          <w:rFonts w:ascii="Arial" w:hAnsi="Arial" w:cs="Arial"/>
          <w:sz w:val="24"/>
          <w:szCs w:val="24"/>
        </w:rPr>
        <w:t xml:space="preserve"> was therefore in my view an </w:t>
      </w:r>
      <w:r w:rsidRPr="00D164F6">
        <w:rPr>
          <w:rFonts w:ascii="Arial" w:hAnsi="Arial" w:cs="Arial"/>
          <w:i/>
          <w:sz w:val="24"/>
          <w:szCs w:val="24"/>
        </w:rPr>
        <w:t>improvement</w:t>
      </w:r>
      <w:r w:rsidRPr="00D164F6">
        <w:rPr>
          <w:rFonts w:ascii="Arial" w:hAnsi="Arial" w:cs="Arial"/>
          <w:sz w:val="24"/>
          <w:szCs w:val="24"/>
        </w:rPr>
        <w:t xml:space="preserve"> of benefits for all staff members since the existing benefit received by </w:t>
      </w:r>
      <w:r w:rsidR="009E3FBD">
        <w:rPr>
          <w:rFonts w:ascii="Arial" w:hAnsi="Arial" w:cs="Arial"/>
          <w:sz w:val="24"/>
          <w:szCs w:val="24"/>
        </w:rPr>
        <w:t xml:space="preserve">a </w:t>
      </w:r>
      <w:r w:rsidRPr="00D164F6">
        <w:rPr>
          <w:rFonts w:ascii="Arial" w:hAnsi="Arial" w:cs="Arial"/>
          <w:sz w:val="24"/>
          <w:szCs w:val="24"/>
        </w:rPr>
        <w:t>relatively</w:t>
      </w:r>
      <w:r w:rsidR="007C26E4">
        <w:rPr>
          <w:rFonts w:ascii="Arial" w:hAnsi="Arial" w:cs="Arial"/>
          <w:sz w:val="24"/>
          <w:szCs w:val="24"/>
        </w:rPr>
        <w:t xml:space="preserve"> </w:t>
      </w:r>
      <w:r w:rsidR="00897570" w:rsidRPr="00D164F6">
        <w:rPr>
          <w:rFonts w:ascii="Arial" w:hAnsi="Arial" w:cs="Arial"/>
          <w:sz w:val="24"/>
          <w:szCs w:val="24"/>
        </w:rPr>
        <w:t>small number of public servant</w:t>
      </w:r>
      <w:r w:rsidRPr="00D164F6">
        <w:rPr>
          <w:rFonts w:ascii="Arial" w:hAnsi="Arial" w:cs="Arial"/>
          <w:sz w:val="24"/>
          <w:szCs w:val="24"/>
        </w:rPr>
        <w:t xml:space="preserve">s (teachers) was now extended to a larger number ie to all public servants. </w:t>
      </w:r>
    </w:p>
    <w:p w:rsidR="00D164F6" w:rsidRPr="00D164F6" w:rsidRDefault="00D164F6" w:rsidP="00D164F6">
      <w:pPr>
        <w:pStyle w:val="NoSpacing"/>
        <w:spacing w:line="480" w:lineRule="auto"/>
        <w:jc w:val="both"/>
        <w:rPr>
          <w:rFonts w:ascii="Arial" w:hAnsi="Arial" w:cs="Arial"/>
          <w:sz w:val="24"/>
          <w:szCs w:val="24"/>
        </w:rPr>
      </w:pPr>
    </w:p>
    <w:p w:rsidR="00420160" w:rsidRDefault="00B14E96"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question whether the 20</w:t>
      </w:r>
      <w:r w:rsidR="003B3FF1">
        <w:rPr>
          <w:rFonts w:ascii="Arial" w:hAnsi="Arial" w:cs="Arial"/>
          <w:sz w:val="24"/>
          <w:szCs w:val="24"/>
        </w:rPr>
        <w:t>09</w:t>
      </w:r>
      <w:r>
        <w:rPr>
          <w:rFonts w:ascii="Arial" w:hAnsi="Arial" w:cs="Arial"/>
          <w:sz w:val="24"/>
          <w:szCs w:val="24"/>
        </w:rPr>
        <w:t xml:space="preserve"> collective settlement agreement had lapsed there is in view of the provisions of paras 1.1 and 1.2 of the agreement read </w:t>
      </w:r>
      <w:r w:rsidR="006F79C4">
        <w:rPr>
          <w:rFonts w:ascii="Arial" w:hAnsi="Arial" w:cs="Arial"/>
          <w:sz w:val="24"/>
          <w:szCs w:val="24"/>
        </w:rPr>
        <w:t xml:space="preserve">together and in isolation room for the submission by Mr Budlender </w:t>
      </w:r>
      <w:r w:rsidR="00D70C10">
        <w:rPr>
          <w:rFonts w:ascii="Arial" w:hAnsi="Arial" w:cs="Arial"/>
          <w:sz w:val="24"/>
          <w:szCs w:val="24"/>
        </w:rPr>
        <w:t xml:space="preserve">that the parties had agreed that the duration of this </w:t>
      </w:r>
      <w:r w:rsidR="006F79C4">
        <w:rPr>
          <w:rFonts w:ascii="Arial" w:hAnsi="Arial" w:cs="Arial"/>
          <w:sz w:val="24"/>
          <w:szCs w:val="24"/>
        </w:rPr>
        <w:t>agreement wo</w:t>
      </w:r>
      <w:r w:rsidR="00D70C10">
        <w:rPr>
          <w:rFonts w:ascii="Arial" w:hAnsi="Arial" w:cs="Arial"/>
          <w:sz w:val="24"/>
          <w:szCs w:val="24"/>
        </w:rPr>
        <w:t>u</w:t>
      </w:r>
      <w:r w:rsidR="006F79C4">
        <w:rPr>
          <w:rFonts w:ascii="Arial" w:hAnsi="Arial" w:cs="Arial"/>
          <w:sz w:val="24"/>
          <w:szCs w:val="24"/>
        </w:rPr>
        <w:t xml:space="preserve">ld be limited to </w:t>
      </w:r>
      <w:r w:rsidR="00D70C10">
        <w:rPr>
          <w:rFonts w:ascii="Arial" w:hAnsi="Arial" w:cs="Arial"/>
          <w:sz w:val="24"/>
          <w:szCs w:val="24"/>
        </w:rPr>
        <w:t>24</w:t>
      </w:r>
      <w:r w:rsidR="006F79C4">
        <w:rPr>
          <w:rFonts w:ascii="Arial" w:hAnsi="Arial" w:cs="Arial"/>
          <w:sz w:val="24"/>
          <w:szCs w:val="24"/>
        </w:rPr>
        <w:t xml:space="preserve"> months ie until the end of March 2011 and this agreement had thus lapsed at the expiration of the </w:t>
      </w:r>
      <w:r w:rsidR="00D70C10">
        <w:rPr>
          <w:rFonts w:ascii="Arial" w:hAnsi="Arial" w:cs="Arial"/>
          <w:sz w:val="24"/>
          <w:szCs w:val="24"/>
        </w:rPr>
        <w:t xml:space="preserve">24 months period. </w:t>
      </w:r>
    </w:p>
    <w:p w:rsidR="00897570" w:rsidRDefault="00897570" w:rsidP="00897570">
      <w:pPr>
        <w:pStyle w:val="NoSpacing"/>
        <w:spacing w:line="480" w:lineRule="auto"/>
        <w:jc w:val="both"/>
        <w:rPr>
          <w:rFonts w:ascii="Arial" w:hAnsi="Arial" w:cs="Arial"/>
          <w:sz w:val="24"/>
          <w:szCs w:val="24"/>
        </w:rPr>
      </w:pPr>
    </w:p>
    <w:p w:rsidR="00420160" w:rsidRDefault="00D70C10"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para 1.3 of the agreement which provides ‘that as from 1 April 2011, incentives to qualified teachers will be incorporated into the Ministry’s Budget 2011/2012 and be paid on a monthly basis’ leaves the door open for an interpretation that the intention of the parties was </w:t>
      </w:r>
      <w:r w:rsidR="00BB2124">
        <w:rPr>
          <w:rFonts w:ascii="Arial" w:hAnsi="Arial" w:cs="Arial"/>
          <w:sz w:val="24"/>
          <w:szCs w:val="24"/>
        </w:rPr>
        <w:t xml:space="preserve">that </w:t>
      </w:r>
      <w:r>
        <w:rPr>
          <w:rFonts w:ascii="Arial" w:hAnsi="Arial" w:cs="Arial"/>
          <w:sz w:val="24"/>
          <w:szCs w:val="24"/>
        </w:rPr>
        <w:t xml:space="preserve">the provisions of the </w:t>
      </w:r>
      <w:r w:rsidR="007B3C1C" w:rsidRPr="006B5262">
        <w:rPr>
          <w:rFonts w:ascii="Arial" w:hAnsi="Arial" w:cs="Arial"/>
          <w:sz w:val="24"/>
          <w:szCs w:val="24"/>
        </w:rPr>
        <w:t>2009</w:t>
      </w:r>
      <w:r w:rsidRPr="006B5262">
        <w:rPr>
          <w:rFonts w:ascii="Arial" w:hAnsi="Arial" w:cs="Arial"/>
          <w:sz w:val="24"/>
          <w:szCs w:val="24"/>
        </w:rPr>
        <w:t xml:space="preserve"> agreement</w:t>
      </w:r>
      <w:r>
        <w:rPr>
          <w:rFonts w:ascii="Arial" w:hAnsi="Arial" w:cs="Arial"/>
          <w:sz w:val="24"/>
          <w:szCs w:val="24"/>
        </w:rPr>
        <w:t xml:space="preserve"> should extend beyond the 24 month period r</w:t>
      </w:r>
      <w:r w:rsidR="00897570">
        <w:rPr>
          <w:rFonts w:ascii="Arial" w:hAnsi="Arial" w:cs="Arial"/>
          <w:sz w:val="24"/>
          <w:szCs w:val="24"/>
        </w:rPr>
        <w:t>eferred to in paras 1.1 and 1.2</w:t>
      </w:r>
      <w:r w:rsidR="00BB2124">
        <w:rPr>
          <w:rFonts w:ascii="Arial" w:hAnsi="Arial" w:cs="Arial"/>
          <w:sz w:val="24"/>
          <w:szCs w:val="24"/>
        </w:rPr>
        <w:t xml:space="preserve">. </w:t>
      </w:r>
    </w:p>
    <w:p w:rsidR="00420160" w:rsidRDefault="00420160" w:rsidP="00420160">
      <w:pPr>
        <w:pStyle w:val="NoSpacing"/>
        <w:spacing w:line="480" w:lineRule="auto"/>
        <w:jc w:val="both"/>
        <w:rPr>
          <w:rFonts w:ascii="Arial" w:hAnsi="Arial" w:cs="Arial"/>
          <w:sz w:val="24"/>
          <w:szCs w:val="24"/>
        </w:rPr>
      </w:pPr>
    </w:p>
    <w:p w:rsidR="00420160" w:rsidRDefault="00D70C10"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because of the view I take on the question whether or not the 2012 agreement </w:t>
      </w:r>
      <w:r w:rsidR="00971503">
        <w:rPr>
          <w:rFonts w:ascii="Arial" w:hAnsi="Arial" w:cs="Arial"/>
          <w:sz w:val="24"/>
          <w:szCs w:val="24"/>
        </w:rPr>
        <w:t>incorporated or supers</w:t>
      </w:r>
      <w:r w:rsidR="00BB2124">
        <w:rPr>
          <w:rFonts w:ascii="Arial" w:hAnsi="Arial" w:cs="Arial"/>
          <w:sz w:val="24"/>
          <w:szCs w:val="24"/>
        </w:rPr>
        <w:t xml:space="preserve">eded </w:t>
      </w:r>
      <w:r w:rsidR="00BB2124" w:rsidRPr="006B5262">
        <w:rPr>
          <w:rFonts w:ascii="Arial" w:hAnsi="Arial" w:cs="Arial"/>
          <w:sz w:val="24"/>
          <w:szCs w:val="24"/>
        </w:rPr>
        <w:t xml:space="preserve">the </w:t>
      </w:r>
      <w:r w:rsidR="007B3C1C" w:rsidRPr="006B5262">
        <w:rPr>
          <w:rFonts w:ascii="Arial" w:hAnsi="Arial" w:cs="Arial"/>
          <w:sz w:val="24"/>
          <w:szCs w:val="24"/>
        </w:rPr>
        <w:t>2009</w:t>
      </w:r>
      <w:r w:rsidR="00BB2124" w:rsidRPr="006B5262">
        <w:rPr>
          <w:rFonts w:ascii="Arial" w:hAnsi="Arial" w:cs="Arial"/>
          <w:sz w:val="24"/>
          <w:szCs w:val="24"/>
        </w:rPr>
        <w:t xml:space="preserve"> agreement</w:t>
      </w:r>
      <w:r w:rsidR="007B3C1C" w:rsidRPr="006B5262">
        <w:rPr>
          <w:rFonts w:ascii="Arial" w:hAnsi="Arial" w:cs="Arial"/>
          <w:sz w:val="24"/>
          <w:szCs w:val="24"/>
        </w:rPr>
        <w:t>,</w:t>
      </w:r>
      <w:r w:rsidR="00BB2124" w:rsidRPr="006B5262">
        <w:rPr>
          <w:rFonts w:ascii="Arial" w:hAnsi="Arial" w:cs="Arial"/>
          <w:sz w:val="24"/>
          <w:szCs w:val="24"/>
        </w:rPr>
        <w:t xml:space="preserve"> it is not necessary to decide whether or not the </w:t>
      </w:r>
      <w:r w:rsidR="007B3C1C" w:rsidRPr="006B5262">
        <w:rPr>
          <w:rFonts w:ascii="Arial" w:hAnsi="Arial" w:cs="Arial"/>
          <w:sz w:val="24"/>
          <w:szCs w:val="24"/>
        </w:rPr>
        <w:t xml:space="preserve">2009 </w:t>
      </w:r>
      <w:r w:rsidR="00BB2124" w:rsidRPr="006B5262">
        <w:rPr>
          <w:rFonts w:ascii="Arial" w:hAnsi="Arial" w:cs="Arial"/>
          <w:sz w:val="24"/>
          <w:szCs w:val="24"/>
        </w:rPr>
        <w:t>agreement had lapsed.</w:t>
      </w:r>
    </w:p>
    <w:p w:rsidR="009D6571" w:rsidRPr="006B5262" w:rsidRDefault="009D6571" w:rsidP="009D6571">
      <w:pPr>
        <w:pStyle w:val="NoSpacing"/>
        <w:spacing w:line="480" w:lineRule="auto"/>
        <w:jc w:val="both"/>
        <w:rPr>
          <w:rFonts w:ascii="Arial" w:hAnsi="Arial" w:cs="Arial"/>
          <w:sz w:val="24"/>
          <w:szCs w:val="24"/>
        </w:rPr>
      </w:pPr>
    </w:p>
    <w:p w:rsidR="00420160" w:rsidRDefault="00971503"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lack of any reference to the 2009 agreement in the 2012 agreement </w:t>
      </w:r>
      <w:r w:rsidR="00897570">
        <w:rPr>
          <w:rFonts w:ascii="Arial" w:hAnsi="Arial" w:cs="Arial"/>
          <w:sz w:val="24"/>
          <w:szCs w:val="24"/>
        </w:rPr>
        <w:t xml:space="preserve">does not </w:t>
      </w:r>
      <w:r>
        <w:rPr>
          <w:rFonts w:ascii="Arial" w:hAnsi="Arial" w:cs="Arial"/>
          <w:sz w:val="24"/>
          <w:szCs w:val="24"/>
        </w:rPr>
        <w:t xml:space="preserve">justify an interpretation that the qualified teachers </w:t>
      </w:r>
      <w:r w:rsidR="00897570">
        <w:rPr>
          <w:rFonts w:ascii="Arial" w:hAnsi="Arial" w:cs="Arial"/>
          <w:sz w:val="24"/>
          <w:szCs w:val="24"/>
        </w:rPr>
        <w:t xml:space="preserve">were entitled to a </w:t>
      </w:r>
      <w:r>
        <w:rPr>
          <w:rFonts w:ascii="Arial" w:hAnsi="Arial" w:cs="Arial"/>
          <w:sz w:val="24"/>
          <w:szCs w:val="24"/>
        </w:rPr>
        <w:t>benefit under each agreement</w:t>
      </w:r>
      <w:r w:rsidR="00897570">
        <w:rPr>
          <w:rFonts w:ascii="Arial" w:hAnsi="Arial" w:cs="Arial"/>
          <w:sz w:val="24"/>
          <w:szCs w:val="24"/>
        </w:rPr>
        <w:t>.</w:t>
      </w:r>
      <w:r w:rsidR="00C71583">
        <w:rPr>
          <w:rFonts w:ascii="Arial" w:hAnsi="Arial" w:cs="Arial"/>
          <w:sz w:val="24"/>
          <w:szCs w:val="24"/>
        </w:rPr>
        <w:t xml:space="preserve"> I have pointed out (</w:t>
      </w:r>
      <w:r w:rsidR="00C71583" w:rsidRPr="00C71583">
        <w:rPr>
          <w:rFonts w:ascii="Arial" w:hAnsi="Arial" w:cs="Arial"/>
          <w:i/>
          <w:sz w:val="24"/>
          <w:szCs w:val="24"/>
        </w:rPr>
        <w:t>supra</w:t>
      </w:r>
      <w:r w:rsidR="00C71583">
        <w:rPr>
          <w:rFonts w:ascii="Arial" w:hAnsi="Arial" w:cs="Arial"/>
          <w:sz w:val="24"/>
          <w:szCs w:val="24"/>
        </w:rPr>
        <w:t xml:space="preserve">) that the similarities between the two agreements took away the very foundation of the finding of the court </w:t>
      </w:r>
      <w:r w:rsidR="00C71583" w:rsidRPr="00C71583">
        <w:rPr>
          <w:rFonts w:ascii="Arial" w:hAnsi="Arial" w:cs="Arial"/>
          <w:i/>
          <w:sz w:val="24"/>
          <w:szCs w:val="24"/>
        </w:rPr>
        <w:t>a quo</w:t>
      </w:r>
      <w:r w:rsidR="00C71583">
        <w:rPr>
          <w:rFonts w:ascii="Arial" w:hAnsi="Arial" w:cs="Arial"/>
          <w:sz w:val="24"/>
          <w:szCs w:val="24"/>
        </w:rPr>
        <w:t xml:space="preserve"> that the two agreements served different purposes.</w:t>
      </w:r>
    </w:p>
    <w:p w:rsidR="00420160" w:rsidRDefault="00420160" w:rsidP="00420160">
      <w:pPr>
        <w:pStyle w:val="NoSpacing"/>
        <w:spacing w:line="480" w:lineRule="auto"/>
        <w:jc w:val="both"/>
        <w:rPr>
          <w:rFonts w:ascii="Arial" w:hAnsi="Arial" w:cs="Arial"/>
          <w:sz w:val="24"/>
          <w:szCs w:val="24"/>
        </w:rPr>
      </w:pPr>
    </w:p>
    <w:p w:rsidR="00420160" w:rsidRDefault="00C71583"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My finding that the purpose of the two agreements was the same</w:t>
      </w:r>
      <w:r w:rsidR="007B3C1C">
        <w:rPr>
          <w:rFonts w:ascii="Arial" w:hAnsi="Arial" w:cs="Arial"/>
          <w:sz w:val="24"/>
          <w:szCs w:val="24"/>
        </w:rPr>
        <w:t>,</w:t>
      </w:r>
      <w:r>
        <w:rPr>
          <w:rFonts w:ascii="Arial" w:hAnsi="Arial" w:cs="Arial"/>
          <w:sz w:val="24"/>
          <w:szCs w:val="24"/>
        </w:rPr>
        <w:t xml:space="preserve"> greatly undermines the contention of an entitlement to a double benefit.</w:t>
      </w:r>
      <w:r w:rsidR="00BB2124">
        <w:rPr>
          <w:rFonts w:ascii="Arial" w:hAnsi="Arial" w:cs="Arial"/>
          <w:sz w:val="24"/>
          <w:szCs w:val="24"/>
        </w:rPr>
        <w:t xml:space="preserve"> If one were to develop the submission by Mr MacWilliam in respect of the contention that the ‘allowance’ and the ‘incentive’ co-exist for an indefinite period because nothing was taken away from the 2009 agreement, then in a </w:t>
      </w:r>
      <w:r w:rsidR="003B1320">
        <w:rPr>
          <w:rFonts w:ascii="Arial" w:hAnsi="Arial" w:cs="Arial"/>
          <w:sz w:val="24"/>
          <w:szCs w:val="24"/>
        </w:rPr>
        <w:t xml:space="preserve">situation where the parties would subsequent to the </w:t>
      </w:r>
      <w:r w:rsidR="003B3FF1">
        <w:rPr>
          <w:rFonts w:ascii="Arial" w:hAnsi="Arial" w:cs="Arial"/>
          <w:sz w:val="24"/>
          <w:szCs w:val="24"/>
        </w:rPr>
        <w:t xml:space="preserve">signing of the </w:t>
      </w:r>
      <w:r w:rsidR="003B1320">
        <w:rPr>
          <w:rFonts w:ascii="Arial" w:hAnsi="Arial" w:cs="Arial"/>
          <w:sz w:val="24"/>
          <w:szCs w:val="24"/>
        </w:rPr>
        <w:t xml:space="preserve">addendum </w:t>
      </w:r>
      <w:r w:rsidR="00D164F6">
        <w:rPr>
          <w:rFonts w:ascii="Arial" w:hAnsi="Arial" w:cs="Arial"/>
          <w:sz w:val="24"/>
          <w:szCs w:val="24"/>
        </w:rPr>
        <w:t xml:space="preserve">eg </w:t>
      </w:r>
      <w:r w:rsidR="003B1320">
        <w:rPr>
          <w:rFonts w:ascii="Arial" w:hAnsi="Arial" w:cs="Arial"/>
          <w:sz w:val="24"/>
          <w:szCs w:val="24"/>
        </w:rPr>
        <w:t xml:space="preserve">agree to an increase doubling the monthly payments, </w:t>
      </w:r>
      <w:r w:rsidR="006D750C">
        <w:rPr>
          <w:rFonts w:ascii="Arial" w:hAnsi="Arial" w:cs="Arial"/>
          <w:sz w:val="24"/>
          <w:szCs w:val="24"/>
        </w:rPr>
        <w:t>t</w:t>
      </w:r>
      <w:r w:rsidR="003B1320">
        <w:rPr>
          <w:rFonts w:ascii="Arial" w:hAnsi="Arial" w:cs="Arial"/>
          <w:sz w:val="24"/>
          <w:szCs w:val="24"/>
        </w:rPr>
        <w:t xml:space="preserve">he qualified teachers would be entitled not only to the ‘incentive’ as well as the ‘allowance’, but also to a third payment in respect of </w:t>
      </w:r>
      <w:r w:rsidR="006D750C">
        <w:rPr>
          <w:rFonts w:ascii="Arial" w:hAnsi="Arial" w:cs="Arial"/>
          <w:sz w:val="24"/>
          <w:szCs w:val="24"/>
        </w:rPr>
        <w:t xml:space="preserve">the </w:t>
      </w:r>
      <w:r w:rsidR="003B1320">
        <w:rPr>
          <w:rFonts w:ascii="Arial" w:hAnsi="Arial" w:cs="Arial"/>
          <w:sz w:val="24"/>
          <w:szCs w:val="24"/>
        </w:rPr>
        <w:t xml:space="preserve">monthly increase </w:t>
      </w:r>
      <w:r w:rsidR="006D750C">
        <w:rPr>
          <w:rFonts w:ascii="Arial" w:hAnsi="Arial" w:cs="Arial"/>
          <w:sz w:val="24"/>
          <w:szCs w:val="24"/>
        </w:rPr>
        <w:t xml:space="preserve">which may be </w:t>
      </w:r>
      <w:r w:rsidR="003B1320">
        <w:rPr>
          <w:rFonts w:ascii="Arial" w:hAnsi="Arial" w:cs="Arial"/>
          <w:sz w:val="24"/>
          <w:szCs w:val="24"/>
        </w:rPr>
        <w:t xml:space="preserve">agreed by the parties. Therefore since the 2009 agreement was in effect </w:t>
      </w:r>
      <w:r w:rsidR="00180D40">
        <w:rPr>
          <w:rFonts w:ascii="Arial" w:hAnsi="Arial" w:cs="Arial"/>
          <w:sz w:val="24"/>
          <w:szCs w:val="24"/>
        </w:rPr>
        <w:t xml:space="preserve">a lifetime incentive, it may be argued, </w:t>
      </w:r>
      <w:r w:rsidR="00E87546">
        <w:rPr>
          <w:rFonts w:ascii="Arial" w:hAnsi="Arial" w:cs="Arial"/>
          <w:sz w:val="24"/>
          <w:szCs w:val="24"/>
        </w:rPr>
        <w:t xml:space="preserve">the first respondent may never agree to abandon it – this would </w:t>
      </w:r>
      <w:r w:rsidR="006D750C">
        <w:rPr>
          <w:rFonts w:ascii="Arial" w:hAnsi="Arial" w:cs="Arial"/>
          <w:sz w:val="24"/>
          <w:szCs w:val="24"/>
        </w:rPr>
        <w:t xml:space="preserve">perpetuate </w:t>
      </w:r>
      <w:r w:rsidR="00E87546">
        <w:rPr>
          <w:rFonts w:ascii="Arial" w:hAnsi="Arial" w:cs="Arial"/>
          <w:sz w:val="24"/>
          <w:szCs w:val="24"/>
        </w:rPr>
        <w:t xml:space="preserve">a most extraordinary </w:t>
      </w:r>
      <w:r w:rsidR="006D750C">
        <w:rPr>
          <w:rFonts w:ascii="Arial" w:hAnsi="Arial" w:cs="Arial"/>
          <w:sz w:val="24"/>
          <w:szCs w:val="24"/>
        </w:rPr>
        <w:t xml:space="preserve">and unfortunate </w:t>
      </w:r>
      <w:r w:rsidR="00E87546">
        <w:rPr>
          <w:rFonts w:ascii="Arial" w:hAnsi="Arial" w:cs="Arial"/>
          <w:sz w:val="24"/>
          <w:szCs w:val="24"/>
        </w:rPr>
        <w:t>result.</w:t>
      </w:r>
    </w:p>
    <w:p w:rsidR="00420160" w:rsidRDefault="00E87546"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submission that the incentive allowance referred to in the 2012 agreement is applicable only to staff members who are already stationed at remote rural areas means that staff member</w:t>
      </w:r>
      <w:r w:rsidR="00AE77E4">
        <w:rPr>
          <w:rFonts w:ascii="Arial" w:hAnsi="Arial" w:cs="Arial"/>
          <w:sz w:val="24"/>
          <w:szCs w:val="24"/>
        </w:rPr>
        <w:t>s (including qualified teachers</w:t>
      </w:r>
      <w:r w:rsidR="006D750C">
        <w:rPr>
          <w:rFonts w:ascii="Arial" w:hAnsi="Arial" w:cs="Arial"/>
          <w:sz w:val="24"/>
          <w:szCs w:val="24"/>
        </w:rPr>
        <w:t xml:space="preserve">) </w:t>
      </w:r>
      <w:r>
        <w:rPr>
          <w:rFonts w:ascii="Arial" w:hAnsi="Arial" w:cs="Arial"/>
          <w:sz w:val="24"/>
          <w:szCs w:val="24"/>
        </w:rPr>
        <w:t xml:space="preserve">enticed afterwards </w:t>
      </w:r>
      <w:r w:rsidR="00AE77E4">
        <w:rPr>
          <w:rFonts w:ascii="Arial" w:hAnsi="Arial" w:cs="Arial"/>
          <w:sz w:val="24"/>
          <w:szCs w:val="24"/>
        </w:rPr>
        <w:t xml:space="preserve">(after the date of 1 April 2015 referred to in the addendum) </w:t>
      </w:r>
      <w:r>
        <w:rPr>
          <w:rFonts w:ascii="Arial" w:hAnsi="Arial" w:cs="Arial"/>
          <w:sz w:val="24"/>
          <w:szCs w:val="24"/>
        </w:rPr>
        <w:t>to go and work at those remote stations are disqualified from receiving this allowance. This is an untenable situation since it would discriminate against qualified teachers who were not already stationed at those duty stations but who are eager to go and work there.</w:t>
      </w:r>
    </w:p>
    <w:p w:rsidR="00A931ED" w:rsidRPr="00701260" w:rsidRDefault="00A931ED" w:rsidP="00A931ED">
      <w:pPr>
        <w:pStyle w:val="NoSpacing"/>
        <w:spacing w:line="480" w:lineRule="auto"/>
        <w:jc w:val="both"/>
        <w:rPr>
          <w:rFonts w:ascii="Arial" w:hAnsi="Arial" w:cs="Arial"/>
          <w:sz w:val="24"/>
          <w:szCs w:val="24"/>
        </w:rPr>
      </w:pPr>
    </w:p>
    <w:p w:rsidR="00420160" w:rsidRPr="006D750C" w:rsidRDefault="006D750C"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If in t</w:t>
      </w:r>
      <w:r w:rsidR="00E87546" w:rsidRPr="006D750C">
        <w:rPr>
          <w:rFonts w:ascii="Arial" w:hAnsi="Arial" w:cs="Arial"/>
          <w:sz w:val="24"/>
          <w:szCs w:val="24"/>
        </w:rPr>
        <w:t xml:space="preserve">he 2012 agreement </w:t>
      </w:r>
      <w:r>
        <w:rPr>
          <w:rFonts w:ascii="Arial" w:hAnsi="Arial" w:cs="Arial"/>
          <w:sz w:val="24"/>
          <w:szCs w:val="24"/>
        </w:rPr>
        <w:t xml:space="preserve">the words </w:t>
      </w:r>
      <w:r w:rsidR="00E87546" w:rsidRPr="006D750C">
        <w:rPr>
          <w:rFonts w:ascii="Arial" w:hAnsi="Arial" w:cs="Arial"/>
          <w:sz w:val="24"/>
          <w:szCs w:val="24"/>
        </w:rPr>
        <w:t xml:space="preserve">‘incentive allowance’ </w:t>
      </w:r>
      <w:r>
        <w:rPr>
          <w:rFonts w:ascii="Arial" w:hAnsi="Arial" w:cs="Arial"/>
          <w:sz w:val="24"/>
          <w:szCs w:val="24"/>
        </w:rPr>
        <w:t xml:space="preserve">are </w:t>
      </w:r>
      <w:r w:rsidR="00E87546" w:rsidRPr="006D750C">
        <w:rPr>
          <w:rFonts w:ascii="Arial" w:hAnsi="Arial" w:cs="Arial"/>
          <w:sz w:val="24"/>
          <w:szCs w:val="24"/>
        </w:rPr>
        <w:t xml:space="preserve">applicable to staff members </w:t>
      </w:r>
      <w:r w:rsidR="00E87546" w:rsidRPr="006D750C">
        <w:rPr>
          <w:rFonts w:ascii="Arial" w:hAnsi="Arial" w:cs="Arial"/>
          <w:i/>
          <w:sz w:val="24"/>
          <w:szCs w:val="24"/>
        </w:rPr>
        <w:t>already at remote duty stations</w:t>
      </w:r>
      <w:r w:rsidR="00E87546" w:rsidRPr="006D750C">
        <w:rPr>
          <w:rFonts w:ascii="Arial" w:hAnsi="Arial" w:cs="Arial"/>
          <w:sz w:val="24"/>
          <w:szCs w:val="24"/>
        </w:rPr>
        <w:t xml:space="preserve"> then how, if it is not an incentive to go and work at remote duty stations, </w:t>
      </w:r>
      <w:r>
        <w:rPr>
          <w:rFonts w:ascii="Arial" w:hAnsi="Arial" w:cs="Arial"/>
          <w:sz w:val="24"/>
          <w:szCs w:val="24"/>
        </w:rPr>
        <w:t xml:space="preserve">is one to interpret the word ‘incentive’? The court </w:t>
      </w:r>
      <w:r w:rsidRPr="006D750C">
        <w:rPr>
          <w:rFonts w:ascii="Arial" w:hAnsi="Arial" w:cs="Arial"/>
          <w:i/>
          <w:sz w:val="24"/>
          <w:szCs w:val="24"/>
        </w:rPr>
        <w:t>a quo</w:t>
      </w:r>
      <w:r>
        <w:rPr>
          <w:rFonts w:ascii="Arial" w:hAnsi="Arial" w:cs="Arial"/>
          <w:sz w:val="24"/>
          <w:szCs w:val="24"/>
        </w:rPr>
        <w:t xml:space="preserve"> correctly, but in relation to the 2009 agreement, stated that the purpose of the incentive was ‘intended to support the recruitment and retention of qualified teachers to rural schools’. The incentive allowance applicable to all staff members must of necessity and as a matter of interpretation bear the same meaning. The purpose of the reference to the word ‘incentive’ in the 2009 collective settlement agreement and that in the 2012 collective agreement, logically, must be the same. The word ‘incentive’ in my view is capable of only one meaning in both agreements and that is to encourage staff members to work at a place which is harsh and inhospitable as far as services are concerned.</w:t>
      </w:r>
    </w:p>
    <w:p w:rsidR="00420160" w:rsidRDefault="00420160" w:rsidP="00420160">
      <w:pPr>
        <w:pStyle w:val="NoSpacing"/>
        <w:spacing w:line="480" w:lineRule="auto"/>
        <w:jc w:val="both"/>
        <w:rPr>
          <w:rFonts w:ascii="Arial" w:hAnsi="Arial" w:cs="Arial"/>
          <w:sz w:val="24"/>
          <w:szCs w:val="24"/>
        </w:rPr>
      </w:pPr>
    </w:p>
    <w:p w:rsidR="00420160" w:rsidRDefault="006D750C"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submission by Mr Budlender, that it is implicit in the nature of periodic </w:t>
      </w:r>
      <w:r w:rsidR="00AE77E4">
        <w:rPr>
          <w:rFonts w:ascii="Arial" w:hAnsi="Arial" w:cs="Arial"/>
          <w:sz w:val="24"/>
          <w:szCs w:val="24"/>
        </w:rPr>
        <w:t xml:space="preserve">collective </w:t>
      </w:r>
      <w:r>
        <w:rPr>
          <w:rFonts w:ascii="Arial" w:hAnsi="Arial" w:cs="Arial"/>
          <w:sz w:val="24"/>
          <w:szCs w:val="24"/>
        </w:rPr>
        <w:t xml:space="preserve">labour </w:t>
      </w:r>
      <w:r w:rsidR="00007A43">
        <w:rPr>
          <w:rFonts w:ascii="Arial" w:hAnsi="Arial" w:cs="Arial"/>
          <w:sz w:val="24"/>
          <w:szCs w:val="24"/>
        </w:rPr>
        <w:t>agreements that they are superseded or replaced by their successors where they deal with e</w:t>
      </w:r>
      <w:r w:rsidR="00AE77E4">
        <w:rPr>
          <w:rFonts w:ascii="Arial" w:hAnsi="Arial" w:cs="Arial"/>
          <w:sz w:val="24"/>
          <w:szCs w:val="24"/>
        </w:rPr>
        <w:t>xactly the same subject matter, as a matter of common sense and logic, has merit.</w:t>
      </w:r>
    </w:p>
    <w:p w:rsidR="00420160" w:rsidRDefault="00420160" w:rsidP="00420160">
      <w:pPr>
        <w:pStyle w:val="NoSpacing"/>
        <w:spacing w:line="480" w:lineRule="auto"/>
        <w:jc w:val="both"/>
        <w:rPr>
          <w:rFonts w:ascii="Arial" w:hAnsi="Arial" w:cs="Arial"/>
          <w:sz w:val="24"/>
          <w:szCs w:val="24"/>
        </w:rPr>
      </w:pPr>
    </w:p>
    <w:p w:rsidR="00420160" w:rsidRDefault="00007A43"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If the 2012 agreement had been intended to bring about the anomalous result that some staff members</w:t>
      </w:r>
      <w:r w:rsidR="00AE77E4">
        <w:rPr>
          <w:rFonts w:ascii="Arial" w:hAnsi="Arial" w:cs="Arial"/>
          <w:sz w:val="24"/>
          <w:szCs w:val="24"/>
        </w:rPr>
        <w:t xml:space="preserve"> (qualified teachers)</w:t>
      </w:r>
      <w:r>
        <w:rPr>
          <w:rFonts w:ascii="Arial" w:hAnsi="Arial" w:cs="Arial"/>
          <w:sz w:val="24"/>
          <w:szCs w:val="24"/>
        </w:rPr>
        <w:t xml:space="preserve"> in remote area</w:t>
      </w:r>
      <w:r w:rsidR="00AE77E4">
        <w:rPr>
          <w:rFonts w:ascii="Arial" w:hAnsi="Arial" w:cs="Arial"/>
          <w:sz w:val="24"/>
          <w:szCs w:val="24"/>
        </w:rPr>
        <w:t>s</w:t>
      </w:r>
      <w:r>
        <w:rPr>
          <w:rFonts w:ascii="Arial" w:hAnsi="Arial" w:cs="Arial"/>
          <w:sz w:val="24"/>
          <w:szCs w:val="24"/>
        </w:rPr>
        <w:t xml:space="preserve"> were to receive double the incentive received by their colleagues </w:t>
      </w:r>
      <w:r w:rsidR="00AE77E4">
        <w:rPr>
          <w:rFonts w:ascii="Arial" w:hAnsi="Arial" w:cs="Arial"/>
          <w:sz w:val="24"/>
          <w:szCs w:val="24"/>
        </w:rPr>
        <w:t xml:space="preserve">(who are not qualified teachers) </w:t>
      </w:r>
      <w:r>
        <w:rPr>
          <w:rFonts w:ascii="Arial" w:hAnsi="Arial" w:cs="Arial"/>
          <w:sz w:val="24"/>
          <w:szCs w:val="24"/>
        </w:rPr>
        <w:t xml:space="preserve">in those areas, this would have been made clear. </w:t>
      </w:r>
    </w:p>
    <w:p w:rsidR="00420160" w:rsidRDefault="00420160" w:rsidP="00420160">
      <w:pPr>
        <w:pStyle w:val="NoSpacing"/>
        <w:spacing w:line="480" w:lineRule="auto"/>
        <w:jc w:val="both"/>
        <w:rPr>
          <w:rFonts w:ascii="Arial" w:hAnsi="Arial" w:cs="Arial"/>
          <w:sz w:val="24"/>
          <w:szCs w:val="24"/>
        </w:rPr>
      </w:pPr>
    </w:p>
    <w:p w:rsidR="00420160" w:rsidRDefault="00007A43"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Regarding the contenti</w:t>
      </w:r>
      <w:r w:rsidR="00FB4A34">
        <w:rPr>
          <w:rFonts w:ascii="Arial" w:hAnsi="Arial" w:cs="Arial"/>
          <w:sz w:val="24"/>
          <w:szCs w:val="24"/>
        </w:rPr>
        <w:t>on on behalf of the first respondent that the appellant had unilaterally changed the conditions of employment in respect of the qualified teachers</w:t>
      </w:r>
      <w:r w:rsidR="00AE77E4">
        <w:rPr>
          <w:rFonts w:ascii="Arial" w:hAnsi="Arial" w:cs="Arial"/>
          <w:sz w:val="24"/>
          <w:szCs w:val="24"/>
        </w:rPr>
        <w:t>,</w:t>
      </w:r>
      <w:r w:rsidR="00FB4A34">
        <w:rPr>
          <w:rFonts w:ascii="Arial" w:hAnsi="Arial" w:cs="Arial"/>
          <w:sz w:val="24"/>
          <w:szCs w:val="24"/>
        </w:rPr>
        <w:t xml:space="preserve"> it should be apparent from the view I took in the interpretation of the provisions in the relevant documents, that the parties </w:t>
      </w:r>
      <w:r w:rsidR="00AE77E4">
        <w:rPr>
          <w:rFonts w:ascii="Arial" w:hAnsi="Arial" w:cs="Arial"/>
          <w:sz w:val="24"/>
          <w:szCs w:val="24"/>
        </w:rPr>
        <w:t xml:space="preserve">had </w:t>
      </w:r>
      <w:r w:rsidR="00FB4A34">
        <w:rPr>
          <w:rFonts w:ascii="Arial" w:hAnsi="Arial" w:cs="Arial"/>
          <w:sz w:val="24"/>
          <w:szCs w:val="24"/>
        </w:rPr>
        <w:t>agreed in writing</w:t>
      </w:r>
      <w:r w:rsidR="00AE77E4">
        <w:rPr>
          <w:rFonts w:ascii="Arial" w:hAnsi="Arial" w:cs="Arial"/>
          <w:sz w:val="24"/>
          <w:szCs w:val="24"/>
        </w:rPr>
        <w:t>,</w:t>
      </w:r>
      <w:r w:rsidR="00FB4A34">
        <w:rPr>
          <w:rFonts w:ascii="Arial" w:hAnsi="Arial" w:cs="Arial"/>
          <w:sz w:val="24"/>
          <w:szCs w:val="24"/>
        </w:rPr>
        <w:t xml:space="preserve"> evidenced by the 2012 collective agreement,</w:t>
      </w:r>
      <w:r w:rsidR="00FB4A34">
        <w:rPr>
          <w:rStyle w:val="FootnoteReference"/>
          <w:rFonts w:ascii="Arial" w:hAnsi="Arial" w:cs="Arial"/>
          <w:sz w:val="24"/>
          <w:szCs w:val="24"/>
        </w:rPr>
        <w:footnoteReference w:id="21"/>
      </w:r>
      <w:r w:rsidR="00FB4A34">
        <w:rPr>
          <w:rFonts w:ascii="Arial" w:hAnsi="Arial" w:cs="Arial"/>
          <w:sz w:val="24"/>
          <w:szCs w:val="24"/>
        </w:rPr>
        <w:t xml:space="preserve"> to alter or amend the 2009 agreement. The conditions of employment contained in the 2009 agreement was thus not unilaterally changed by the appellant. In my view</w:t>
      </w:r>
      <w:r w:rsidR="007C26E4">
        <w:rPr>
          <w:rFonts w:ascii="Arial" w:hAnsi="Arial" w:cs="Arial"/>
          <w:sz w:val="24"/>
          <w:szCs w:val="24"/>
        </w:rPr>
        <w:t>,</w:t>
      </w:r>
      <w:r w:rsidR="00FB4A34">
        <w:rPr>
          <w:rFonts w:ascii="Arial" w:hAnsi="Arial" w:cs="Arial"/>
          <w:sz w:val="24"/>
          <w:szCs w:val="24"/>
        </w:rPr>
        <w:t xml:space="preserve"> it is entirely an opportunistic approach by the first respondent to advance the a</w:t>
      </w:r>
      <w:r w:rsidR="00AE77E4">
        <w:rPr>
          <w:rFonts w:ascii="Arial" w:hAnsi="Arial" w:cs="Arial"/>
          <w:sz w:val="24"/>
          <w:szCs w:val="24"/>
        </w:rPr>
        <w:t>rgument</w:t>
      </w:r>
      <w:r w:rsidR="00FB4A34">
        <w:rPr>
          <w:rFonts w:ascii="Arial" w:hAnsi="Arial" w:cs="Arial"/>
          <w:sz w:val="24"/>
          <w:szCs w:val="24"/>
        </w:rPr>
        <w:t xml:space="preserve"> that because in the 2012 collective agreement the incentive benefit was extended to all public servants in remote areas they are entitled to a double benefit. </w:t>
      </w:r>
    </w:p>
    <w:p w:rsidR="00007A43" w:rsidRDefault="00007A43" w:rsidP="00420160">
      <w:pPr>
        <w:pStyle w:val="NoSpacing"/>
        <w:spacing w:line="480" w:lineRule="auto"/>
        <w:jc w:val="both"/>
        <w:rPr>
          <w:rFonts w:ascii="Arial" w:hAnsi="Arial" w:cs="Arial"/>
          <w:sz w:val="24"/>
          <w:szCs w:val="24"/>
        </w:rPr>
      </w:pPr>
    </w:p>
    <w:p w:rsidR="00420160" w:rsidRDefault="00007A43"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endorse the approach in </w:t>
      </w:r>
      <w:r w:rsidRPr="00007A43">
        <w:rPr>
          <w:rFonts w:ascii="Arial" w:hAnsi="Arial" w:cs="Arial"/>
          <w:i/>
          <w:sz w:val="24"/>
          <w:szCs w:val="24"/>
        </w:rPr>
        <w:t xml:space="preserve">Endumeni </w:t>
      </w:r>
      <w:r w:rsidRPr="007C26E4">
        <w:rPr>
          <w:rFonts w:ascii="Arial" w:hAnsi="Arial" w:cs="Arial"/>
          <w:i/>
          <w:sz w:val="24"/>
          <w:szCs w:val="24"/>
        </w:rPr>
        <w:t>Municipality</w:t>
      </w:r>
      <w:r>
        <w:rPr>
          <w:rStyle w:val="FootnoteReference"/>
          <w:rFonts w:ascii="Arial" w:hAnsi="Arial" w:cs="Arial"/>
          <w:sz w:val="24"/>
          <w:szCs w:val="24"/>
        </w:rPr>
        <w:footnoteReference w:id="22"/>
      </w:r>
      <w:r>
        <w:rPr>
          <w:rFonts w:ascii="Arial" w:hAnsi="Arial" w:cs="Arial"/>
          <w:sz w:val="24"/>
          <w:szCs w:val="24"/>
        </w:rPr>
        <w:t xml:space="preserve"> </w:t>
      </w:r>
      <w:r w:rsidR="00180D40">
        <w:rPr>
          <w:rFonts w:ascii="Arial" w:hAnsi="Arial" w:cs="Arial"/>
          <w:sz w:val="24"/>
          <w:szCs w:val="24"/>
        </w:rPr>
        <w:t xml:space="preserve">and in </w:t>
      </w:r>
      <w:r w:rsidR="00180D40" w:rsidRPr="00180D40">
        <w:rPr>
          <w:rFonts w:ascii="Arial" w:hAnsi="Arial" w:cs="Arial"/>
          <w:i/>
          <w:sz w:val="24"/>
          <w:szCs w:val="24"/>
        </w:rPr>
        <w:t>Egerer</w:t>
      </w:r>
      <w:r w:rsidR="00180D40">
        <w:rPr>
          <w:rFonts w:ascii="Arial" w:hAnsi="Arial" w:cs="Arial"/>
          <w:sz w:val="24"/>
          <w:szCs w:val="24"/>
        </w:rPr>
        <w:t xml:space="preserve"> </w:t>
      </w:r>
      <w:r>
        <w:rPr>
          <w:rFonts w:ascii="Arial" w:hAnsi="Arial" w:cs="Arial"/>
          <w:sz w:val="24"/>
          <w:szCs w:val="24"/>
        </w:rPr>
        <w:t>in which a contextual interpretation is favoured and where the court held that a ‘sensible meaning is to be preferred to one that lea</w:t>
      </w:r>
      <w:r w:rsidR="007B3C1C">
        <w:rPr>
          <w:rFonts w:ascii="Arial" w:hAnsi="Arial" w:cs="Arial"/>
          <w:sz w:val="24"/>
          <w:szCs w:val="24"/>
        </w:rPr>
        <w:t>ds to insensible or unbussiness</w:t>
      </w:r>
      <w:r>
        <w:rPr>
          <w:rFonts w:ascii="Arial" w:hAnsi="Arial" w:cs="Arial"/>
          <w:sz w:val="24"/>
          <w:szCs w:val="24"/>
        </w:rPr>
        <w:t>like results or undermines the apparent purpose of the document’. In my vi</w:t>
      </w:r>
      <w:r w:rsidR="00180D40">
        <w:rPr>
          <w:rFonts w:ascii="Arial" w:hAnsi="Arial" w:cs="Arial"/>
          <w:sz w:val="24"/>
          <w:szCs w:val="24"/>
        </w:rPr>
        <w:t>ew</w:t>
      </w:r>
      <w:r w:rsidR="007C26E4">
        <w:rPr>
          <w:rFonts w:ascii="Arial" w:hAnsi="Arial" w:cs="Arial"/>
          <w:sz w:val="24"/>
          <w:szCs w:val="24"/>
        </w:rPr>
        <w:t>,</w:t>
      </w:r>
      <w:r w:rsidR="00180D40">
        <w:rPr>
          <w:rFonts w:ascii="Arial" w:hAnsi="Arial" w:cs="Arial"/>
          <w:sz w:val="24"/>
          <w:szCs w:val="24"/>
        </w:rPr>
        <w:t xml:space="preserve"> it would be insensible and</w:t>
      </w:r>
      <w:r w:rsidR="00FB4A34">
        <w:rPr>
          <w:rFonts w:ascii="Arial" w:hAnsi="Arial" w:cs="Arial"/>
          <w:sz w:val="24"/>
          <w:szCs w:val="24"/>
        </w:rPr>
        <w:t xml:space="preserve"> </w:t>
      </w:r>
      <w:r w:rsidR="007B3C1C">
        <w:rPr>
          <w:rFonts w:ascii="Arial" w:hAnsi="Arial" w:cs="Arial"/>
          <w:sz w:val="24"/>
          <w:szCs w:val="24"/>
        </w:rPr>
        <w:t>unbusiness</w:t>
      </w:r>
      <w:r>
        <w:rPr>
          <w:rFonts w:ascii="Arial" w:hAnsi="Arial" w:cs="Arial"/>
          <w:sz w:val="24"/>
          <w:szCs w:val="24"/>
        </w:rPr>
        <w:t xml:space="preserve">like to accord an interpretation </w:t>
      </w:r>
      <w:r w:rsidR="00AE77E4">
        <w:rPr>
          <w:rFonts w:ascii="Arial" w:hAnsi="Arial" w:cs="Arial"/>
          <w:sz w:val="24"/>
          <w:szCs w:val="24"/>
        </w:rPr>
        <w:t xml:space="preserve">advanced by and on behalf of the first respondent, </w:t>
      </w:r>
      <w:r>
        <w:rPr>
          <w:rFonts w:ascii="Arial" w:hAnsi="Arial" w:cs="Arial"/>
          <w:sz w:val="24"/>
          <w:szCs w:val="24"/>
        </w:rPr>
        <w:t>to th</w:t>
      </w:r>
      <w:r w:rsidR="00AE77E4">
        <w:rPr>
          <w:rFonts w:ascii="Arial" w:hAnsi="Arial" w:cs="Arial"/>
          <w:sz w:val="24"/>
          <w:szCs w:val="24"/>
        </w:rPr>
        <w:t>e documents under consideration.</w:t>
      </w:r>
    </w:p>
    <w:p w:rsidR="00D164F6" w:rsidRDefault="00D164F6" w:rsidP="00D164F6">
      <w:pPr>
        <w:pStyle w:val="ListParagraph"/>
        <w:spacing w:after="0" w:line="480" w:lineRule="auto"/>
        <w:rPr>
          <w:rFonts w:ascii="Arial" w:hAnsi="Arial" w:cs="Arial"/>
          <w:sz w:val="24"/>
          <w:szCs w:val="24"/>
        </w:rPr>
      </w:pPr>
    </w:p>
    <w:p w:rsidR="00D164F6" w:rsidRDefault="00467367"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that in condonation applications an applicant must provide a full, detailed and accurate explanation for no</w:t>
      </w:r>
      <w:r w:rsidR="00D14C41">
        <w:rPr>
          <w:rFonts w:ascii="Arial" w:hAnsi="Arial" w:cs="Arial"/>
          <w:sz w:val="24"/>
          <w:szCs w:val="24"/>
        </w:rPr>
        <w:t>n</w:t>
      </w:r>
      <w:r w:rsidR="007C26E4">
        <w:rPr>
          <w:rFonts w:ascii="Arial" w:hAnsi="Arial" w:cs="Arial"/>
          <w:sz w:val="24"/>
          <w:szCs w:val="24"/>
        </w:rPr>
        <w:t>-compliance with the rules of this c</w:t>
      </w:r>
      <w:r>
        <w:rPr>
          <w:rFonts w:ascii="Arial" w:hAnsi="Arial" w:cs="Arial"/>
          <w:sz w:val="24"/>
          <w:szCs w:val="24"/>
        </w:rPr>
        <w:t>ourt and must deal with the prospects of success on appeal regarding the merits of the appeal. Factors which are relevant in the consideration of a condonation application include:</w:t>
      </w:r>
    </w:p>
    <w:p w:rsidR="00D164F6" w:rsidRPr="00DD6F0A" w:rsidRDefault="00D164F6" w:rsidP="00DD6F0A">
      <w:pPr>
        <w:spacing w:after="0" w:line="360" w:lineRule="auto"/>
        <w:ind w:left="720"/>
        <w:jc w:val="both"/>
        <w:rPr>
          <w:rFonts w:ascii="Arial" w:hAnsi="Arial" w:cs="Arial"/>
        </w:rPr>
      </w:pPr>
    </w:p>
    <w:p w:rsidR="00467367" w:rsidRDefault="00467367" w:rsidP="00DD6F0A">
      <w:pPr>
        <w:spacing w:after="0" w:line="360" w:lineRule="auto"/>
        <w:ind w:left="720"/>
        <w:jc w:val="both"/>
        <w:rPr>
          <w:rFonts w:ascii="Arial" w:hAnsi="Arial" w:cs="Arial"/>
          <w:sz w:val="24"/>
          <w:szCs w:val="24"/>
        </w:rPr>
      </w:pPr>
      <w:r w:rsidRPr="00DD6F0A">
        <w:rPr>
          <w:rFonts w:ascii="Arial" w:hAnsi="Arial" w:cs="Arial"/>
        </w:rPr>
        <w:t>‘</w:t>
      </w:r>
      <w:r w:rsidR="00FA5E04">
        <w:rPr>
          <w:rFonts w:ascii="Arial" w:hAnsi="Arial" w:cs="Arial"/>
        </w:rPr>
        <w:t>. . . the extent of the non-compliance</w:t>
      </w:r>
      <w:r w:rsidRPr="00DD6F0A">
        <w:rPr>
          <w:rFonts w:ascii="Arial" w:hAnsi="Arial" w:cs="Arial"/>
        </w:rPr>
        <w:t xml:space="preserve"> with the rule in question, the reasonableness of the explanation offered for </w:t>
      </w:r>
      <w:r w:rsidR="00FA5E04">
        <w:rPr>
          <w:rFonts w:ascii="Arial" w:hAnsi="Arial" w:cs="Arial"/>
        </w:rPr>
        <w:t xml:space="preserve">the </w:t>
      </w:r>
      <w:r w:rsidRPr="00DD6F0A">
        <w:rPr>
          <w:rFonts w:ascii="Arial" w:hAnsi="Arial" w:cs="Arial"/>
        </w:rPr>
        <w:t>non-compliance, the bona fides of the application</w:t>
      </w:r>
      <w:r w:rsidR="00DD6F0A" w:rsidRPr="00DD6F0A">
        <w:rPr>
          <w:rFonts w:ascii="Arial" w:hAnsi="Arial" w:cs="Arial"/>
        </w:rPr>
        <w:t>,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r w:rsidR="00DD6F0A">
        <w:rPr>
          <w:rFonts w:ascii="Arial" w:hAnsi="Arial" w:cs="Arial"/>
          <w:sz w:val="24"/>
          <w:szCs w:val="24"/>
        </w:rPr>
        <w:t>’</w:t>
      </w:r>
      <w:r w:rsidR="00DD6F0A">
        <w:rPr>
          <w:rStyle w:val="FootnoteReference"/>
          <w:rFonts w:ascii="Arial" w:hAnsi="Arial" w:cs="Arial"/>
          <w:sz w:val="24"/>
          <w:szCs w:val="24"/>
        </w:rPr>
        <w:footnoteReference w:id="23"/>
      </w:r>
    </w:p>
    <w:p w:rsidR="00467367" w:rsidRPr="00D164F6" w:rsidRDefault="00467367" w:rsidP="00467367">
      <w:pPr>
        <w:spacing w:after="0" w:line="480" w:lineRule="auto"/>
        <w:jc w:val="both"/>
        <w:rPr>
          <w:rFonts w:ascii="Arial" w:hAnsi="Arial" w:cs="Arial"/>
          <w:sz w:val="24"/>
          <w:szCs w:val="24"/>
        </w:rPr>
      </w:pPr>
    </w:p>
    <w:p w:rsidR="00D164F6" w:rsidRDefault="00DD6F0A"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has been held that these ‘factors are not individually determinative, but must be weighed, one against the other. Nor will all the factors necessarily be considered in each case.</w:t>
      </w:r>
      <w:r>
        <w:rPr>
          <w:rStyle w:val="FootnoteReference"/>
          <w:rFonts w:ascii="Arial" w:hAnsi="Arial" w:cs="Arial"/>
          <w:sz w:val="24"/>
          <w:szCs w:val="24"/>
        </w:rPr>
        <w:footnoteReference w:id="24"/>
      </w:r>
    </w:p>
    <w:p w:rsidR="00D164F6" w:rsidRDefault="00D164F6" w:rsidP="00467367">
      <w:pPr>
        <w:pStyle w:val="ListParagraph"/>
        <w:spacing w:after="0" w:line="480" w:lineRule="auto"/>
        <w:jc w:val="both"/>
        <w:rPr>
          <w:rFonts w:ascii="Arial" w:hAnsi="Arial" w:cs="Arial"/>
          <w:sz w:val="24"/>
          <w:szCs w:val="24"/>
        </w:rPr>
      </w:pPr>
    </w:p>
    <w:p w:rsidR="00D164F6" w:rsidRPr="00D164F6" w:rsidRDefault="00592AB2"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 applications, although the matter could have been dealt with in a better way by appellant’s instructing legal practitioner, he has given an explanation for the non-compliance with the rules and has soon after the non-compliances had been brought to his attention fi</w:t>
      </w:r>
      <w:r w:rsidR="00FA5E04">
        <w:rPr>
          <w:rFonts w:ascii="Arial" w:hAnsi="Arial" w:cs="Arial"/>
          <w:sz w:val="24"/>
          <w:szCs w:val="24"/>
        </w:rPr>
        <w:t>led</w:t>
      </w:r>
      <w:r>
        <w:rPr>
          <w:rFonts w:ascii="Arial" w:hAnsi="Arial" w:cs="Arial"/>
          <w:sz w:val="24"/>
          <w:szCs w:val="24"/>
        </w:rPr>
        <w:t xml:space="preserve"> a condonation application. In respect of the exhibits</w:t>
      </w:r>
      <w:r w:rsidR="00FD17CC">
        <w:rPr>
          <w:rFonts w:ascii="Arial" w:hAnsi="Arial" w:cs="Arial"/>
          <w:sz w:val="24"/>
          <w:szCs w:val="24"/>
        </w:rPr>
        <w:t>’</w:t>
      </w:r>
      <w:r>
        <w:rPr>
          <w:rFonts w:ascii="Arial" w:hAnsi="Arial" w:cs="Arial"/>
          <w:sz w:val="24"/>
          <w:szCs w:val="24"/>
        </w:rPr>
        <w:t xml:space="preserve"> volume, the first respondent does not take issue with the fact that this was the exhibits</w:t>
      </w:r>
      <w:r w:rsidR="00FD17CC">
        <w:rPr>
          <w:rFonts w:ascii="Arial" w:hAnsi="Arial" w:cs="Arial"/>
          <w:sz w:val="24"/>
          <w:szCs w:val="24"/>
        </w:rPr>
        <w:t>’</w:t>
      </w:r>
      <w:r>
        <w:rPr>
          <w:rFonts w:ascii="Arial" w:hAnsi="Arial" w:cs="Arial"/>
          <w:sz w:val="24"/>
          <w:szCs w:val="24"/>
        </w:rPr>
        <w:t xml:space="preserve"> volume before the court </w:t>
      </w:r>
      <w:r w:rsidRPr="00592AB2">
        <w:rPr>
          <w:rFonts w:ascii="Arial" w:hAnsi="Arial" w:cs="Arial"/>
          <w:i/>
          <w:sz w:val="24"/>
          <w:szCs w:val="24"/>
        </w:rPr>
        <w:t>a quo</w:t>
      </w:r>
      <w:r>
        <w:rPr>
          <w:rFonts w:ascii="Arial" w:hAnsi="Arial" w:cs="Arial"/>
          <w:sz w:val="24"/>
          <w:szCs w:val="24"/>
        </w:rPr>
        <w:t xml:space="preserve"> and the </w:t>
      </w:r>
      <w:r w:rsidRPr="00592AB2">
        <w:rPr>
          <w:rFonts w:ascii="Arial" w:hAnsi="Arial" w:cs="Arial"/>
          <w:i/>
          <w:sz w:val="24"/>
          <w:szCs w:val="24"/>
        </w:rPr>
        <w:t>bona fides</w:t>
      </w:r>
      <w:r>
        <w:rPr>
          <w:rFonts w:ascii="Arial" w:hAnsi="Arial" w:cs="Arial"/>
          <w:sz w:val="24"/>
          <w:szCs w:val="24"/>
        </w:rPr>
        <w:t xml:space="preserve"> of the application is not in question</w:t>
      </w:r>
      <w:r w:rsidR="00D14C41">
        <w:rPr>
          <w:rFonts w:ascii="Arial" w:hAnsi="Arial" w:cs="Arial"/>
          <w:sz w:val="24"/>
          <w:szCs w:val="24"/>
        </w:rPr>
        <w:t>.</w:t>
      </w:r>
      <w:r>
        <w:rPr>
          <w:rFonts w:ascii="Arial" w:hAnsi="Arial" w:cs="Arial"/>
          <w:sz w:val="24"/>
          <w:szCs w:val="24"/>
        </w:rPr>
        <w:t xml:space="preserve"> Counsel appearing on behalf of the first respondent frankly conceded that the first respondent would not be prejudiced should the appeal be reinstated, and</w:t>
      </w:r>
      <w:r w:rsidR="006B5262">
        <w:rPr>
          <w:rFonts w:ascii="Arial" w:hAnsi="Arial" w:cs="Arial"/>
          <w:sz w:val="24"/>
          <w:szCs w:val="24"/>
        </w:rPr>
        <w:t xml:space="preserve"> counsel</w:t>
      </w:r>
      <w:r>
        <w:rPr>
          <w:rFonts w:ascii="Arial" w:hAnsi="Arial" w:cs="Arial"/>
          <w:sz w:val="24"/>
          <w:szCs w:val="24"/>
        </w:rPr>
        <w:t xml:space="preserve"> appears to be satisfied with the costs tendered by the appellant. </w:t>
      </w:r>
    </w:p>
    <w:p w:rsidR="00D164F6" w:rsidRDefault="00D164F6" w:rsidP="00467367">
      <w:pPr>
        <w:pStyle w:val="NoSpacing"/>
        <w:spacing w:line="480" w:lineRule="auto"/>
        <w:jc w:val="both"/>
        <w:rPr>
          <w:rFonts w:ascii="Arial" w:hAnsi="Arial" w:cs="Arial"/>
          <w:sz w:val="24"/>
          <w:szCs w:val="24"/>
        </w:rPr>
      </w:pPr>
    </w:p>
    <w:p w:rsidR="00D164F6" w:rsidRDefault="00592AB2"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Even if one accepts the criticism against the conduct </w:t>
      </w:r>
      <w:r w:rsidR="002B202E">
        <w:rPr>
          <w:rFonts w:ascii="Arial" w:hAnsi="Arial" w:cs="Arial"/>
          <w:sz w:val="24"/>
          <w:szCs w:val="24"/>
        </w:rPr>
        <w:t>of</w:t>
      </w:r>
      <w:r>
        <w:rPr>
          <w:rFonts w:ascii="Arial" w:hAnsi="Arial" w:cs="Arial"/>
          <w:sz w:val="24"/>
          <w:szCs w:val="24"/>
        </w:rPr>
        <w:t xml:space="preserve"> Mr Ncube, as justified</w:t>
      </w:r>
      <w:r w:rsidR="00D14C41">
        <w:rPr>
          <w:rFonts w:ascii="Arial" w:hAnsi="Arial" w:cs="Arial"/>
          <w:sz w:val="24"/>
          <w:szCs w:val="24"/>
        </w:rPr>
        <w:t>,</w:t>
      </w:r>
      <w:r>
        <w:rPr>
          <w:rFonts w:ascii="Arial" w:hAnsi="Arial" w:cs="Arial"/>
          <w:sz w:val="24"/>
          <w:szCs w:val="24"/>
        </w:rPr>
        <w:t xml:space="preserve"> the non-compliance cannot be characterised as glaring, flagrant, and inexplicable.</w:t>
      </w:r>
    </w:p>
    <w:p w:rsidR="009E5827" w:rsidRDefault="009E5827" w:rsidP="00467367">
      <w:pPr>
        <w:pStyle w:val="NoSpacing"/>
        <w:spacing w:line="480" w:lineRule="auto"/>
        <w:jc w:val="both"/>
        <w:rPr>
          <w:rFonts w:ascii="Arial" w:hAnsi="Arial" w:cs="Arial"/>
          <w:sz w:val="24"/>
          <w:szCs w:val="24"/>
        </w:rPr>
      </w:pPr>
    </w:p>
    <w:p w:rsidR="00D164F6" w:rsidRDefault="00592AB2"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indicated (</w:t>
      </w:r>
      <w:r w:rsidRPr="00592AB2">
        <w:rPr>
          <w:rFonts w:ascii="Arial" w:hAnsi="Arial" w:cs="Arial"/>
          <w:i/>
          <w:sz w:val="24"/>
          <w:szCs w:val="24"/>
        </w:rPr>
        <w:t>supra</w:t>
      </w:r>
      <w:r>
        <w:rPr>
          <w:rFonts w:ascii="Arial" w:hAnsi="Arial" w:cs="Arial"/>
          <w:sz w:val="24"/>
          <w:szCs w:val="24"/>
        </w:rPr>
        <w:t xml:space="preserve">) the prospects of success on the merits of the case are good and there is no reason in my view to non-suit the appellant. The case is of importance to both appellant which would need to expend public funds as well as to the first respondent as representative of the qualified teachers who expect substantial arrear payments of allowances. </w:t>
      </w:r>
    </w:p>
    <w:p w:rsidR="00D164F6" w:rsidRDefault="00D164F6" w:rsidP="00467367">
      <w:pPr>
        <w:pStyle w:val="ListParagraph"/>
        <w:spacing w:after="0" w:line="480" w:lineRule="auto"/>
        <w:jc w:val="both"/>
        <w:rPr>
          <w:rFonts w:ascii="Arial" w:hAnsi="Arial" w:cs="Arial"/>
          <w:sz w:val="24"/>
          <w:szCs w:val="24"/>
        </w:rPr>
      </w:pPr>
    </w:p>
    <w:p w:rsidR="00D164F6" w:rsidRPr="00D164F6" w:rsidRDefault="00592AB2"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of the view that in the circumstances the condonation applications should be granted and to the extent necessary the appeal is reinstated. </w:t>
      </w:r>
    </w:p>
    <w:p w:rsidR="00D164F6" w:rsidRDefault="00D164F6" w:rsidP="00467367">
      <w:pPr>
        <w:pStyle w:val="NoSpacing"/>
        <w:spacing w:line="480" w:lineRule="auto"/>
        <w:jc w:val="both"/>
        <w:rPr>
          <w:rFonts w:ascii="Arial" w:hAnsi="Arial" w:cs="Arial"/>
          <w:sz w:val="24"/>
          <w:szCs w:val="24"/>
        </w:rPr>
      </w:pPr>
    </w:p>
    <w:p w:rsidR="00420160" w:rsidRDefault="00007A43" w:rsidP="004673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narrowed-down issues in this appeal the following </w:t>
      </w:r>
      <w:r w:rsidR="007F05AE">
        <w:rPr>
          <w:rFonts w:ascii="Arial" w:hAnsi="Arial" w:cs="Arial"/>
          <w:sz w:val="24"/>
          <w:szCs w:val="24"/>
        </w:rPr>
        <w:t>are the findings of this court</w:t>
      </w:r>
      <w:r>
        <w:rPr>
          <w:rFonts w:ascii="Arial" w:hAnsi="Arial" w:cs="Arial"/>
          <w:sz w:val="24"/>
          <w:szCs w:val="24"/>
        </w:rPr>
        <w:t>:</w:t>
      </w:r>
    </w:p>
    <w:p w:rsidR="00CA13CB" w:rsidRDefault="00CA13CB" w:rsidP="00CA13CB">
      <w:pPr>
        <w:pStyle w:val="NoSpacing"/>
        <w:spacing w:line="480" w:lineRule="auto"/>
        <w:jc w:val="both"/>
        <w:rPr>
          <w:rFonts w:ascii="Arial" w:hAnsi="Arial" w:cs="Arial"/>
          <w:sz w:val="24"/>
          <w:szCs w:val="24"/>
        </w:rPr>
      </w:pPr>
    </w:p>
    <w:p w:rsidR="00420160" w:rsidRDefault="007F05AE" w:rsidP="000121CC">
      <w:pPr>
        <w:pStyle w:val="NoSpacing"/>
        <w:numPr>
          <w:ilvl w:val="0"/>
          <w:numId w:val="13"/>
        </w:numPr>
        <w:spacing w:line="480" w:lineRule="auto"/>
        <w:jc w:val="both"/>
        <w:rPr>
          <w:rFonts w:ascii="Arial" w:hAnsi="Arial" w:cs="Arial"/>
          <w:sz w:val="24"/>
          <w:szCs w:val="24"/>
        </w:rPr>
      </w:pPr>
      <w:r>
        <w:rPr>
          <w:rFonts w:ascii="Arial" w:hAnsi="Arial" w:cs="Arial"/>
          <w:sz w:val="24"/>
          <w:szCs w:val="24"/>
        </w:rPr>
        <w:t>I</w:t>
      </w:r>
      <w:r w:rsidR="00007A43" w:rsidRPr="00007A43">
        <w:rPr>
          <w:rFonts w:ascii="Arial" w:hAnsi="Arial" w:cs="Arial"/>
          <w:sz w:val="24"/>
          <w:szCs w:val="24"/>
        </w:rPr>
        <w:t>t is not necessary to decide whether or not the 2009 agreement lapsed.</w:t>
      </w:r>
    </w:p>
    <w:p w:rsidR="000121CC" w:rsidRDefault="000121CC" w:rsidP="000121CC">
      <w:pPr>
        <w:pStyle w:val="NoSpacing"/>
        <w:spacing w:line="480" w:lineRule="auto"/>
        <w:ind w:left="1440"/>
        <w:jc w:val="both"/>
        <w:rPr>
          <w:rFonts w:ascii="Arial" w:hAnsi="Arial" w:cs="Arial"/>
          <w:sz w:val="24"/>
          <w:szCs w:val="24"/>
        </w:rPr>
      </w:pPr>
    </w:p>
    <w:p w:rsidR="007F05AE" w:rsidRDefault="007F05AE" w:rsidP="009D6571">
      <w:pPr>
        <w:pStyle w:val="NoSpacing"/>
        <w:numPr>
          <w:ilvl w:val="0"/>
          <w:numId w:val="13"/>
        </w:numPr>
        <w:spacing w:line="480" w:lineRule="auto"/>
        <w:jc w:val="both"/>
        <w:rPr>
          <w:rFonts w:ascii="Arial" w:hAnsi="Arial" w:cs="Arial"/>
          <w:sz w:val="24"/>
          <w:szCs w:val="24"/>
        </w:rPr>
      </w:pPr>
      <w:r>
        <w:rPr>
          <w:rFonts w:ascii="Arial" w:hAnsi="Arial" w:cs="Arial"/>
          <w:sz w:val="24"/>
          <w:szCs w:val="24"/>
        </w:rPr>
        <w:t>W</w:t>
      </w:r>
      <w:r w:rsidR="00007A43">
        <w:rPr>
          <w:rFonts w:ascii="Arial" w:hAnsi="Arial" w:cs="Arial"/>
          <w:sz w:val="24"/>
          <w:szCs w:val="24"/>
        </w:rPr>
        <w:t xml:space="preserve">hether or not the 2009 agreement </w:t>
      </w:r>
      <w:r w:rsidR="00AE77E4">
        <w:rPr>
          <w:rFonts w:ascii="Arial" w:hAnsi="Arial" w:cs="Arial"/>
          <w:sz w:val="24"/>
          <w:szCs w:val="24"/>
        </w:rPr>
        <w:t xml:space="preserve">had </w:t>
      </w:r>
      <w:r w:rsidR="00007A43">
        <w:rPr>
          <w:rFonts w:ascii="Arial" w:hAnsi="Arial" w:cs="Arial"/>
          <w:sz w:val="24"/>
          <w:szCs w:val="24"/>
        </w:rPr>
        <w:t xml:space="preserve">lapsed, it was incorporated or superseded by the 2012 agreement because it deals with exactly </w:t>
      </w:r>
      <w:r w:rsidR="00FB4A34">
        <w:rPr>
          <w:rFonts w:ascii="Arial" w:hAnsi="Arial" w:cs="Arial"/>
          <w:sz w:val="24"/>
          <w:szCs w:val="24"/>
        </w:rPr>
        <w:t xml:space="preserve">the same </w:t>
      </w:r>
      <w:r>
        <w:rPr>
          <w:rFonts w:ascii="Arial" w:hAnsi="Arial" w:cs="Arial"/>
          <w:sz w:val="24"/>
          <w:szCs w:val="24"/>
        </w:rPr>
        <w:t xml:space="preserve">subject </w:t>
      </w:r>
      <w:r w:rsidR="00FB4A34">
        <w:rPr>
          <w:rFonts w:ascii="Arial" w:hAnsi="Arial" w:cs="Arial"/>
          <w:sz w:val="24"/>
          <w:szCs w:val="24"/>
        </w:rPr>
        <w:t xml:space="preserve">matter, and </w:t>
      </w:r>
    </w:p>
    <w:p w:rsidR="00427D98" w:rsidRDefault="00427D98" w:rsidP="00427D98">
      <w:pPr>
        <w:pStyle w:val="NoSpacing"/>
        <w:spacing w:line="480" w:lineRule="auto"/>
        <w:ind w:left="1440"/>
        <w:jc w:val="both"/>
        <w:rPr>
          <w:rFonts w:ascii="Arial" w:hAnsi="Arial" w:cs="Arial"/>
          <w:sz w:val="24"/>
          <w:szCs w:val="24"/>
        </w:rPr>
      </w:pPr>
    </w:p>
    <w:p w:rsidR="00007A43" w:rsidRDefault="007F05AE" w:rsidP="007F05AE">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w:t>
      </w:r>
      <w:r w:rsidR="00FB4A34">
        <w:rPr>
          <w:rFonts w:ascii="Arial" w:hAnsi="Arial" w:cs="Arial"/>
          <w:sz w:val="24"/>
          <w:szCs w:val="24"/>
        </w:rPr>
        <w:t>he 2012 agreement</w:t>
      </w:r>
      <w:r w:rsidR="00FA5E04">
        <w:rPr>
          <w:rFonts w:ascii="Arial" w:hAnsi="Arial" w:cs="Arial"/>
          <w:sz w:val="24"/>
          <w:szCs w:val="24"/>
        </w:rPr>
        <w:t>,</w:t>
      </w:r>
      <w:r w:rsidR="00FB4A34">
        <w:rPr>
          <w:rFonts w:ascii="Arial" w:hAnsi="Arial" w:cs="Arial"/>
          <w:sz w:val="24"/>
          <w:szCs w:val="24"/>
        </w:rPr>
        <w:t xml:space="preserve"> </w:t>
      </w:r>
      <w:r>
        <w:rPr>
          <w:rFonts w:ascii="Arial" w:hAnsi="Arial" w:cs="Arial"/>
          <w:sz w:val="24"/>
          <w:szCs w:val="24"/>
        </w:rPr>
        <w:t>because of the conclusion reached in para</w:t>
      </w:r>
      <w:r w:rsidR="00293BBE">
        <w:rPr>
          <w:rFonts w:ascii="Arial" w:hAnsi="Arial" w:cs="Arial"/>
          <w:sz w:val="24"/>
          <w:szCs w:val="24"/>
        </w:rPr>
        <w:t xml:space="preserve">               </w:t>
      </w:r>
      <w:r w:rsidR="006B5262">
        <w:rPr>
          <w:rFonts w:ascii="Arial" w:hAnsi="Arial" w:cs="Arial"/>
          <w:sz w:val="24"/>
          <w:szCs w:val="24"/>
        </w:rPr>
        <w:t xml:space="preserve">[105] </w:t>
      </w:r>
      <w:r w:rsidR="00D14C41" w:rsidRPr="006B5262">
        <w:rPr>
          <w:rFonts w:ascii="Arial" w:hAnsi="Arial" w:cs="Arial"/>
          <w:sz w:val="24"/>
          <w:szCs w:val="24"/>
        </w:rPr>
        <w:t>(b)</w:t>
      </w:r>
      <w:r w:rsidR="00D14C41">
        <w:rPr>
          <w:rFonts w:ascii="Arial" w:hAnsi="Arial" w:cs="Arial"/>
          <w:sz w:val="24"/>
          <w:szCs w:val="24"/>
        </w:rPr>
        <w:t xml:space="preserve"> </w:t>
      </w:r>
      <w:r w:rsidR="00FB4A34">
        <w:rPr>
          <w:rFonts w:ascii="Arial" w:hAnsi="Arial" w:cs="Arial"/>
          <w:sz w:val="24"/>
          <w:szCs w:val="24"/>
        </w:rPr>
        <w:t>imposed no additional obligation on the appellant in respect of qualified teachers in remote and hardship areas.</w:t>
      </w:r>
    </w:p>
    <w:p w:rsidR="00E03D29" w:rsidRDefault="00E03D29" w:rsidP="007F05AE">
      <w:pPr>
        <w:pStyle w:val="NoSpacing"/>
        <w:spacing w:line="480" w:lineRule="auto"/>
        <w:ind w:left="1440" w:hanging="720"/>
        <w:jc w:val="both"/>
        <w:rPr>
          <w:rFonts w:ascii="Arial" w:hAnsi="Arial" w:cs="Arial"/>
          <w:sz w:val="24"/>
          <w:szCs w:val="24"/>
        </w:rPr>
      </w:pPr>
    </w:p>
    <w:p w:rsidR="00420160" w:rsidRDefault="00FB4A34" w:rsidP="0042016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w:t>
      </w:r>
      <w:r w:rsidR="00180D40">
        <w:rPr>
          <w:rFonts w:ascii="Arial" w:hAnsi="Arial" w:cs="Arial"/>
          <w:sz w:val="24"/>
          <w:szCs w:val="24"/>
        </w:rPr>
        <w:t xml:space="preserve"> view of the fact that there are prospects of success on appeal t</w:t>
      </w:r>
      <w:r>
        <w:rPr>
          <w:rFonts w:ascii="Arial" w:hAnsi="Arial" w:cs="Arial"/>
          <w:sz w:val="24"/>
          <w:szCs w:val="24"/>
        </w:rPr>
        <w:t>he following orders are made:</w:t>
      </w:r>
    </w:p>
    <w:p w:rsidR="00C14C1C" w:rsidRDefault="00C14C1C" w:rsidP="00C14C1C">
      <w:pPr>
        <w:pStyle w:val="NoSpacing"/>
        <w:spacing w:line="480" w:lineRule="auto"/>
        <w:jc w:val="both"/>
        <w:rPr>
          <w:rFonts w:ascii="Arial" w:hAnsi="Arial" w:cs="Arial"/>
          <w:sz w:val="24"/>
          <w:szCs w:val="24"/>
        </w:rPr>
      </w:pPr>
    </w:p>
    <w:p w:rsidR="00180D40" w:rsidRDefault="00180D40" w:rsidP="00180D40">
      <w:pPr>
        <w:pStyle w:val="NoSpacing"/>
        <w:numPr>
          <w:ilvl w:val="0"/>
          <w:numId w:val="9"/>
        </w:numPr>
        <w:spacing w:line="480" w:lineRule="auto"/>
        <w:jc w:val="both"/>
        <w:rPr>
          <w:rFonts w:ascii="Arial" w:hAnsi="Arial" w:cs="Arial"/>
          <w:sz w:val="24"/>
          <w:szCs w:val="24"/>
        </w:rPr>
      </w:pPr>
      <w:r>
        <w:rPr>
          <w:rFonts w:ascii="Arial" w:hAnsi="Arial" w:cs="Arial"/>
          <w:sz w:val="24"/>
          <w:szCs w:val="24"/>
        </w:rPr>
        <w:t>The non-compliance with the provisions of</w:t>
      </w:r>
      <w:r w:rsidR="007F05AE">
        <w:rPr>
          <w:rFonts w:ascii="Arial" w:hAnsi="Arial" w:cs="Arial"/>
          <w:sz w:val="24"/>
          <w:szCs w:val="24"/>
        </w:rPr>
        <w:t xml:space="preserve"> the rules of court is condoned and the appeal is reinstated. </w:t>
      </w:r>
    </w:p>
    <w:p w:rsidR="00C14C1C" w:rsidRDefault="00C14C1C" w:rsidP="00C14C1C">
      <w:pPr>
        <w:pStyle w:val="NoSpacing"/>
        <w:spacing w:line="480" w:lineRule="auto"/>
        <w:ind w:left="1440"/>
        <w:jc w:val="both"/>
        <w:rPr>
          <w:rFonts w:ascii="Arial" w:hAnsi="Arial" w:cs="Arial"/>
          <w:sz w:val="24"/>
          <w:szCs w:val="24"/>
        </w:rPr>
      </w:pPr>
    </w:p>
    <w:p w:rsidR="00420160" w:rsidRDefault="00FB4A34" w:rsidP="00FB4A34">
      <w:pPr>
        <w:pStyle w:val="NoSpacing"/>
        <w:numPr>
          <w:ilvl w:val="0"/>
          <w:numId w:val="9"/>
        </w:numPr>
        <w:spacing w:line="480" w:lineRule="auto"/>
        <w:jc w:val="both"/>
        <w:rPr>
          <w:rFonts w:ascii="Arial" w:hAnsi="Arial" w:cs="Arial"/>
          <w:sz w:val="24"/>
          <w:szCs w:val="24"/>
        </w:rPr>
      </w:pPr>
      <w:r>
        <w:rPr>
          <w:rFonts w:ascii="Arial" w:hAnsi="Arial" w:cs="Arial"/>
          <w:sz w:val="24"/>
          <w:szCs w:val="24"/>
        </w:rPr>
        <w:t xml:space="preserve">The appeal is upheld, with costs, including the costs of one instructing </w:t>
      </w:r>
      <w:r w:rsidR="00321434">
        <w:rPr>
          <w:rFonts w:ascii="Arial" w:hAnsi="Arial" w:cs="Arial"/>
          <w:sz w:val="24"/>
          <w:szCs w:val="24"/>
        </w:rPr>
        <w:t xml:space="preserve">legal practitioner </w:t>
      </w:r>
      <w:r>
        <w:rPr>
          <w:rFonts w:ascii="Arial" w:hAnsi="Arial" w:cs="Arial"/>
          <w:sz w:val="24"/>
          <w:szCs w:val="24"/>
        </w:rPr>
        <w:t>and one instructed legal practitioner.</w:t>
      </w:r>
    </w:p>
    <w:p w:rsidR="00C14C1C" w:rsidRDefault="00C14C1C" w:rsidP="00C14C1C">
      <w:pPr>
        <w:pStyle w:val="NoSpacing"/>
        <w:spacing w:line="480" w:lineRule="auto"/>
        <w:ind w:left="1440"/>
        <w:jc w:val="both"/>
        <w:rPr>
          <w:rFonts w:ascii="Arial" w:hAnsi="Arial" w:cs="Arial"/>
          <w:sz w:val="24"/>
          <w:szCs w:val="24"/>
        </w:rPr>
      </w:pPr>
    </w:p>
    <w:p w:rsidR="00FB4A34" w:rsidRDefault="00FB4A34" w:rsidP="00FB4A34">
      <w:pPr>
        <w:pStyle w:val="NoSpacing"/>
        <w:numPr>
          <w:ilvl w:val="0"/>
          <w:numId w:val="9"/>
        </w:numPr>
        <w:spacing w:line="480" w:lineRule="auto"/>
        <w:jc w:val="both"/>
        <w:rPr>
          <w:rFonts w:ascii="Arial" w:hAnsi="Arial" w:cs="Arial"/>
          <w:sz w:val="24"/>
          <w:szCs w:val="24"/>
        </w:rPr>
      </w:pPr>
      <w:r>
        <w:rPr>
          <w:rFonts w:ascii="Arial" w:hAnsi="Arial" w:cs="Arial"/>
          <w:sz w:val="24"/>
          <w:szCs w:val="24"/>
        </w:rPr>
        <w:t>The order by the Labour Court is set aside and replaced with the following:</w:t>
      </w:r>
    </w:p>
    <w:p w:rsidR="00C14C1C" w:rsidRDefault="00C14C1C" w:rsidP="00C14C1C">
      <w:pPr>
        <w:pStyle w:val="NoSpacing"/>
        <w:spacing w:line="480" w:lineRule="auto"/>
        <w:ind w:left="1440"/>
        <w:jc w:val="both"/>
        <w:rPr>
          <w:rFonts w:ascii="Arial" w:hAnsi="Arial" w:cs="Arial"/>
          <w:sz w:val="24"/>
          <w:szCs w:val="24"/>
        </w:rPr>
      </w:pPr>
    </w:p>
    <w:p w:rsidR="00FB4A34" w:rsidRDefault="00FB4A34" w:rsidP="00FB4A34">
      <w:pPr>
        <w:pStyle w:val="NoSpacing"/>
        <w:spacing w:line="480" w:lineRule="auto"/>
        <w:ind w:left="1440"/>
        <w:jc w:val="both"/>
        <w:rPr>
          <w:rFonts w:ascii="Arial" w:hAnsi="Arial" w:cs="Arial"/>
          <w:sz w:val="24"/>
          <w:szCs w:val="24"/>
        </w:rPr>
      </w:pPr>
      <w:r>
        <w:rPr>
          <w:rFonts w:ascii="Arial" w:hAnsi="Arial" w:cs="Arial"/>
          <w:sz w:val="24"/>
          <w:szCs w:val="24"/>
        </w:rPr>
        <w:t>‘The claim is dismissed.’</w:t>
      </w:r>
    </w:p>
    <w:p w:rsidR="00A931ED" w:rsidRPr="00991107" w:rsidRDefault="00A931ED" w:rsidP="00A931ED">
      <w:pPr>
        <w:pStyle w:val="NoSpacing"/>
        <w:rPr>
          <w:rFonts w:ascii="Arial" w:hAnsi="Arial" w:cs="Arial"/>
          <w:b/>
          <w:sz w:val="24"/>
          <w:szCs w:val="24"/>
        </w:rPr>
      </w:pPr>
    </w:p>
    <w:p w:rsidR="00A931ED" w:rsidRDefault="00A931ED" w:rsidP="00A931ED">
      <w:pPr>
        <w:pStyle w:val="NoSpacing"/>
        <w:rPr>
          <w:rFonts w:ascii="Arial" w:hAnsi="Arial" w:cs="Arial"/>
          <w:b/>
          <w:sz w:val="24"/>
          <w:szCs w:val="24"/>
        </w:rPr>
      </w:pPr>
    </w:p>
    <w:p w:rsidR="00427D98" w:rsidRPr="00991107" w:rsidRDefault="00427D98" w:rsidP="00A931ED">
      <w:pPr>
        <w:pStyle w:val="NoSpacing"/>
        <w:rPr>
          <w:rFonts w:ascii="Arial" w:hAnsi="Arial" w:cs="Arial"/>
          <w:b/>
          <w:sz w:val="24"/>
          <w:szCs w:val="24"/>
        </w:rPr>
      </w:pPr>
    </w:p>
    <w:p w:rsidR="00A931ED" w:rsidRPr="00F4471E" w:rsidRDefault="00A931ED" w:rsidP="00A931ED">
      <w:pPr>
        <w:spacing w:after="0" w:line="276" w:lineRule="auto"/>
        <w:jc w:val="both"/>
        <w:rPr>
          <w:rFonts w:ascii="Arial" w:hAnsi="Arial" w:cs="Arial"/>
          <w:b/>
          <w:sz w:val="24"/>
          <w:szCs w:val="24"/>
        </w:rPr>
      </w:pPr>
      <w:r>
        <w:rPr>
          <w:rFonts w:ascii="Arial" w:hAnsi="Arial" w:cs="Arial"/>
          <w:b/>
          <w:sz w:val="24"/>
          <w:szCs w:val="24"/>
        </w:rPr>
        <w:t>__________________</w:t>
      </w:r>
    </w:p>
    <w:p w:rsidR="00A931ED" w:rsidRPr="00F4471E" w:rsidRDefault="00A931ED" w:rsidP="00A931ED">
      <w:pPr>
        <w:spacing w:after="0" w:line="240" w:lineRule="auto"/>
        <w:jc w:val="both"/>
        <w:rPr>
          <w:rFonts w:ascii="Arial" w:hAnsi="Arial" w:cs="Arial"/>
          <w:b/>
          <w:sz w:val="24"/>
          <w:szCs w:val="24"/>
        </w:rPr>
      </w:pPr>
      <w:r w:rsidRPr="00F4471E">
        <w:rPr>
          <w:rFonts w:ascii="Arial" w:hAnsi="Arial" w:cs="Arial"/>
          <w:b/>
          <w:sz w:val="24"/>
          <w:szCs w:val="24"/>
        </w:rPr>
        <w:t>HOFF JA</w:t>
      </w:r>
    </w:p>
    <w:p w:rsidR="007F05AE" w:rsidRDefault="007F05AE" w:rsidP="00A931ED">
      <w:pPr>
        <w:spacing w:after="0" w:line="240" w:lineRule="auto"/>
        <w:jc w:val="both"/>
        <w:rPr>
          <w:rFonts w:ascii="Arial" w:hAnsi="Arial" w:cs="Arial"/>
          <w:b/>
          <w:sz w:val="24"/>
          <w:szCs w:val="24"/>
        </w:rPr>
      </w:pPr>
    </w:p>
    <w:p w:rsidR="00E32C44" w:rsidRDefault="00E32C44" w:rsidP="00A931ED">
      <w:pPr>
        <w:spacing w:after="0" w:line="240" w:lineRule="auto"/>
        <w:jc w:val="both"/>
        <w:rPr>
          <w:rFonts w:ascii="Arial" w:hAnsi="Arial" w:cs="Arial"/>
          <w:b/>
          <w:sz w:val="24"/>
          <w:szCs w:val="24"/>
        </w:rPr>
      </w:pPr>
    </w:p>
    <w:p w:rsidR="00A4072F" w:rsidRDefault="00A4072F" w:rsidP="00A931ED">
      <w:pPr>
        <w:spacing w:after="0" w:line="240" w:lineRule="auto"/>
        <w:jc w:val="both"/>
        <w:rPr>
          <w:rFonts w:ascii="Arial" w:hAnsi="Arial" w:cs="Arial"/>
          <w:b/>
          <w:sz w:val="24"/>
          <w:szCs w:val="24"/>
        </w:rPr>
      </w:pPr>
    </w:p>
    <w:p w:rsidR="000121CC" w:rsidRDefault="000121CC" w:rsidP="00A931ED">
      <w:pPr>
        <w:spacing w:after="0" w:line="240" w:lineRule="auto"/>
        <w:jc w:val="both"/>
        <w:rPr>
          <w:rFonts w:ascii="Arial" w:hAnsi="Arial" w:cs="Arial"/>
          <w:b/>
          <w:sz w:val="24"/>
          <w:szCs w:val="24"/>
        </w:rPr>
      </w:pPr>
    </w:p>
    <w:p w:rsidR="000121CC" w:rsidRDefault="000121CC" w:rsidP="00A931ED">
      <w:pPr>
        <w:spacing w:after="0" w:line="240" w:lineRule="auto"/>
        <w:jc w:val="both"/>
        <w:rPr>
          <w:rFonts w:ascii="Arial" w:hAnsi="Arial" w:cs="Arial"/>
          <w:b/>
          <w:sz w:val="24"/>
          <w:szCs w:val="24"/>
        </w:rPr>
      </w:pPr>
    </w:p>
    <w:p w:rsidR="000121CC" w:rsidRDefault="000121CC" w:rsidP="00A931ED">
      <w:pPr>
        <w:spacing w:after="0" w:line="240" w:lineRule="auto"/>
        <w:jc w:val="both"/>
        <w:rPr>
          <w:rFonts w:ascii="Arial" w:hAnsi="Arial" w:cs="Arial"/>
          <w:b/>
          <w:sz w:val="24"/>
          <w:szCs w:val="24"/>
        </w:rPr>
      </w:pPr>
    </w:p>
    <w:p w:rsidR="00A4072F" w:rsidRDefault="00A4072F" w:rsidP="00A931ED">
      <w:pPr>
        <w:spacing w:after="0" w:line="240" w:lineRule="auto"/>
        <w:jc w:val="both"/>
        <w:rPr>
          <w:rFonts w:ascii="Arial" w:hAnsi="Arial" w:cs="Arial"/>
          <w:b/>
          <w:sz w:val="24"/>
          <w:szCs w:val="24"/>
        </w:rPr>
      </w:pPr>
    </w:p>
    <w:p w:rsidR="00A931ED" w:rsidRDefault="00A931ED" w:rsidP="00A931ED">
      <w:pPr>
        <w:spacing w:after="0" w:line="240" w:lineRule="auto"/>
        <w:jc w:val="both"/>
        <w:rPr>
          <w:rFonts w:ascii="Arial" w:hAnsi="Arial" w:cs="Arial"/>
          <w:b/>
          <w:sz w:val="24"/>
          <w:szCs w:val="24"/>
        </w:rPr>
      </w:pPr>
      <w:r>
        <w:rPr>
          <w:rFonts w:ascii="Arial" w:hAnsi="Arial" w:cs="Arial"/>
          <w:b/>
          <w:sz w:val="24"/>
          <w:szCs w:val="24"/>
        </w:rPr>
        <w:t>__________________</w:t>
      </w:r>
    </w:p>
    <w:p w:rsidR="00A931ED" w:rsidRDefault="001141EB" w:rsidP="00A931ED">
      <w:pPr>
        <w:spacing w:after="0" w:line="240" w:lineRule="auto"/>
        <w:jc w:val="both"/>
        <w:rPr>
          <w:rFonts w:ascii="Arial" w:hAnsi="Arial" w:cs="Arial"/>
          <w:b/>
          <w:sz w:val="24"/>
          <w:szCs w:val="24"/>
        </w:rPr>
      </w:pPr>
      <w:r>
        <w:rPr>
          <w:rFonts w:ascii="Arial" w:hAnsi="Arial" w:cs="Arial"/>
          <w:b/>
          <w:sz w:val="24"/>
          <w:szCs w:val="24"/>
        </w:rPr>
        <w:t>MAINGA JA</w:t>
      </w:r>
    </w:p>
    <w:p w:rsidR="00A931ED" w:rsidRDefault="00A931ED" w:rsidP="00A931ED">
      <w:pPr>
        <w:spacing w:after="0" w:line="240" w:lineRule="auto"/>
        <w:jc w:val="both"/>
        <w:rPr>
          <w:rFonts w:ascii="Arial" w:hAnsi="Arial" w:cs="Arial"/>
          <w:b/>
          <w:sz w:val="24"/>
          <w:szCs w:val="24"/>
        </w:rPr>
      </w:pPr>
    </w:p>
    <w:p w:rsidR="00A931ED" w:rsidRDefault="00A931ED" w:rsidP="00A931ED">
      <w:pPr>
        <w:spacing w:after="0" w:line="240" w:lineRule="auto"/>
        <w:jc w:val="both"/>
        <w:rPr>
          <w:rFonts w:ascii="Arial" w:hAnsi="Arial" w:cs="Arial"/>
          <w:b/>
          <w:sz w:val="24"/>
          <w:szCs w:val="24"/>
        </w:rPr>
      </w:pPr>
    </w:p>
    <w:p w:rsidR="00A931ED" w:rsidRDefault="00A931ED" w:rsidP="00A931ED">
      <w:pPr>
        <w:spacing w:after="0" w:line="240" w:lineRule="auto"/>
        <w:jc w:val="both"/>
        <w:rPr>
          <w:rFonts w:ascii="Arial" w:hAnsi="Arial" w:cs="Arial"/>
          <w:b/>
          <w:sz w:val="24"/>
          <w:szCs w:val="24"/>
        </w:rPr>
      </w:pPr>
    </w:p>
    <w:p w:rsidR="00A931ED" w:rsidRDefault="00A931ED" w:rsidP="00A931ED">
      <w:pPr>
        <w:spacing w:after="0" w:line="240" w:lineRule="auto"/>
        <w:jc w:val="both"/>
        <w:rPr>
          <w:rFonts w:ascii="Arial" w:hAnsi="Arial" w:cs="Arial"/>
          <w:b/>
          <w:sz w:val="24"/>
          <w:szCs w:val="24"/>
        </w:rPr>
      </w:pPr>
    </w:p>
    <w:p w:rsidR="00E32C44" w:rsidRDefault="00E32C44" w:rsidP="00A931ED">
      <w:pPr>
        <w:spacing w:after="0" w:line="240" w:lineRule="auto"/>
        <w:jc w:val="both"/>
        <w:rPr>
          <w:rFonts w:ascii="Arial" w:hAnsi="Arial" w:cs="Arial"/>
          <w:b/>
          <w:sz w:val="24"/>
          <w:szCs w:val="24"/>
        </w:rPr>
      </w:pPr>
    </w:p>
    <w:p w:rsidR="00A4072F" w:rsidRDefault="00A4072F" w:rsidP="00A931ED">
      <w:pPr>
        <w:spacing w:after="0" w:line="240" w:lineRule="auto"/>
        <w:jc w:val="both"/>
        <w:rPr>
          <w:rFonts w:ascii="Arial" w:hAnsi="Arial" w:cs="Arial"/>
          <w:b/>
          <w:sz w:val="24"/>
          <w:szCs w:val="24"/>
        </w:rPr>
      </w:pPr>
    </w:p>
    <w:p w:rsidR="00A931ED" w:rsidRDefault="00A931ED" w:rsidP="00A931ED">
      <w:pPr>
        <w:spacing w:after="0" w:line="240" w:lineRule="auto"/>
        <w:jc w:val="both"/>
        <w:rPr>
          <w:rFonts w:ascii="Arial" w:hAnsi="Arial" w:cs="Arial"/>
          <w:b/>
          <w:sz w:val="24"/>
          <w:szCs w:val="24"/>
        </w:rPr>
      </w:pPr>
      <w:r>
        <w:rPr>
          <w:rFonts w:ascii="Arial" w:hAnsi="Arial" w:cs="Arial"/>
          <w:b/>
          <w:sz w:val="24"/>
          <w:szCs w:val="24"/>
        </w:rPr>
        <w:t>__________________</w:t>
      </w:r>
    </w:p>
    <w:p w:rsidR="00A931ED" w:rsidRDefault="001141EB" w:rsidP="00A931ED">
      <w:pPr>
        <w:spacing w:after="0" w:line="240" w:lineRule="auto"/>
        <w:jc w:val="both"/>
        <w:rPr>
          <w:rFonts w:ascii="Arial" w:hAnsi="Arial" w:cs="Arial"/>
          <w:b/>
          <w:sz w:val="24"/>
          <w:szCs w:val="24"/>
        </w:rPr>
      </w:pPr>
      <w:r>
        <w:rPr>
          <w:rFonts w:ascii="Arial" w:hAnsi="Arial" w:cs="Arial"/>
          <w:b/>
          <w:sz w:val="24"/>
          <w:szCs w:val="24"/>
        </w:rPr>
        <w:t>SMUTS JA</w:t>
      </w:r>
    </w:p>
    <w:p w:rsidR="00E26256" w:rsidRDefault="00E26256"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E03D29" w:rsidRDefault="00E03D29" w:rsidP="00A931ED">
      <w:pPr>
        <w:pStyle w:val="BodyText"/>
        <w:autoSpaceDE w:val="0"/>
        <w:autoSpaceDN w:val="0"/>
        <w:adjustRightInd w:val="0"/>
        <w:spacing w:line="480" w:lineRule="auto"/>
        <w:jc w:val="both"/>
        <w:rPr>
          <w:rFonts w:ascii="Arial" w:hAnsi="Arial" w:cs="Arial"/>
        </w:rPr>
      </w:pPr>
    </w:p>
    <w:p w:rsidR="00A931ED" w:rsidRPr="00F4471E" w:rsidRDefault="00A931ED" w:rsidP="00A931ED">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A931ED" w:rsidRDefault="00A931ED" w:rsidP="00A931ED">
      <w:pPr>
        <w:pStyle w:val="BodyText"/>
        <w:autoSpaceDE w:val="0"/>
        <w:autoSpaceDN w:val="0"/>
        <w:adjustRightInd w:val="0"/>
        <w:spacing w:line="48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106"/>
        <w:gridCol w:w="5005"/>
      </w:tblGrid>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5005" w:type="dxa"/>
            <w:tcBorders>
              <w:top w:val="nil"/>
              <w:left w:val="nil"/>
              <w:bottom w:val="nil"/>
              <w:right w:val="nil"/>
            </w:tcBorders>
          </w:tcPr>
          <w:p w:rsidR="00A931ED" w:rsidRDefault="00144A05" w:rsidP="00E24D15">
            <w:pPr>
              <w:pStyle w:val="BodyText"/>
              <w:autoSpaceDE w:val="0"/>
              <w:autoSpaceDN w:val="0"/>
              <w:adjustRightInd w:val="0"/>
              <w:spacing w:line="480" w:lineRule="auto"/>
              <w:jc w:val="left"/>
              <w:rPr>
                <w:rFonts w:ascii="Arial" w:hAnsi="Arial" w:cs="Arial"/>
              </w:rPr>
            </w:pPr>
            <w:r>
              <w:rPr>
                <w:rFonts w:ascii="Arial" w:hAnsi="Arial" w:cs="Arial"/>
              </w:rPr>
              <w:t>G Budlender SC (with him J Ncube)</w:t>
            </w:r>
          </w:p>
        </w:tc>
      </w:tr>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A931ED" w:rsidRDefault="00A931ED" w:rsidP="001141EB">
            <w:pPr>
              <w:pStyle w:val="BodyText"/>
              <w:autoSpaceDE w:val="0"/>
              <w:autoSpaceDN w:val="0"/>
              <w:adjustRightInd w:val="0"/>
              <w:spacing w:line="480" w:lineRule="auto"/>
              <w:jc w:val="left"/>
              <w:rPr>
                <w:rFonts w:ascii="Arial" w:hAnsi="Arial" w:cs="Arial"/>
              </w:rPr>
            </w:pPr>
            <w:r>
              <w:rPr>
                <w:rFonts w:ascii="Arial" w:hAnsi="Arial" w:cs="Arial"/>
              </w:rPr>
              <w:t xml:space="preserve">Instructed by </w:t>
            </w:r>
            <w:r w:rsidR="001141EB">
              <w:rPr>
                <w:rFonts w:ascii="Arial" w:hAnsi="Arial" w:cs="Arial"/>
              </w:rPr>
              <w:t>Government Attorney</w:t>
            </w:r>
          </w:p>
        </w:tc>
      </w:tr>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A931ED" w:rsidRDefault="00A931ED" w:rsidP="00E24D15">
            <w:pPr>
              <w:pStyle w:val="BodyText"/>
              <w:autoSpaceDE w:val="0"/>
              <w:autoSpaceDN w:val="0"/>
              <w:adjustRightInd w:val="0"/>
              <w:spacing w:line="480" w:lineRule="auto"/>
              <w:jc w:val="left"/>
              <w:rPr>
                <w:rFonts w:ascii="Arial" w:hAnsi="Arial" w:cs="Arial"/>
              </w:rPr>
            </w:pPr>
          </w:p>
        </w:tc>
      </w:tr>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A931ED" w:rsidRDefault="00A931ED" w:rsidP="00E24D15">
            <w:pPr>
              <w:pStyle w:val="BodyText"/>
              <w:autoSpaceDE w:val="0"/>
              <w:autoSpaceDN w:val="0"/>
              <w:adjustRightInd w:val="0"/>
              <w:spacing w:line="480" w:lineRule="auto"/>
              <w:jc w:val="left"/>
              <w:rPr>
                <w:rFonts w:ascii="Arial" w:hAnsi="Arial" w:cs="Arial"/>
              </w:rPr>
            </w:pPr>
          </w:p>
        </w:tc>
      </w:tr>
      <w:tr w:rsidR="00A931ED" w:rsidTr="00E24D15">
        <w:tc>
          <w:tcPr>
            <w:tcW w:w="4106" w:type="dxa"/>
            <w:tcBorders>
              <w:top w:val="nil"/>
              <w:left w:val="nil"/>
              <w:bottom w:val="nil"/>
              <w:right w:val="nil"/>
            </w:tcBorders>
          </w:tcPr>
          <w:p w:rsidR="00A931ED" w:rsidRDefault="00144A05" w:rsidP="00144A05">
            <w:pPr>
              <w:pStyle w:val="BodyText"/>
              <w:autoSpaceDE w:val="0"/>
              <w:autoSpaceDN w:val="0"/>
              <w:adjustRightInd w:val="0"/>
              <w:spacing w:line="480" w:lineRule="auto"/>
              <w:ind w:left="-113"/>
              <w:jc w:val="both"/>
              <w:rPr>
                <w:rFonts w:ascii="Arial" w:hAnsi="Arial" w:cs="Arial"/>
              </w:rPr>
            </w:pPr>
            <w:r>
              <w:rPr>
                <w:rFonts w:ascii="Arial" w:hAnsi="Arial" w:cs="Arial"/>
              </w:rPr>
              <w:t xml:space="preserve">FIRST </w:t>
            </w:r>
            <w:r w:rsidR="00A931ED">
              <w:rPr>
                <w:rFonts w:ascii="Arial" w:hAnsi="Arial" w:cs="Arial"/>
              </w:rPr>
              <w:t>RESPONDENT:</w:t>
            </w:r>
          </w:p>
        </w:tc>
        <w:tc>
          <w:tcPr>
            <w:tcW w:w="5005" w:type="dxa"/>
            <w:tcBorders>
              <w:top w:val="nil"/>
              <w:left w:val="nil"/>
              <w:bottom w:val="nil"/>
              <w:right w:val="nil"/>
            </w:tcBorders>
          </w:tcPr>
          <w:p w:rsidR="00A931ED" w:rsidRDefault="00144A05" w:rsidP="00E24D15">
            <w:pPr>
              <w:pStyle w:val="BodyText"/>
              <w:autoSpaceDE w:val="0"/>
              <w:autoSpaceDN w:val="0"/>
              <w:adjustRightInd w:val="0"/>
              <w:spacing w:line="480" w:lineRule="auto"/>
              <w:jc w:val="left"/>
              <w:rPr>
                <w:rFonts w:ascii="Arial" w:hAnsi="Arial" w:cs="Arial"/>
              </w:rPr>
            </w:pPr>
            <w:r>
              <w:rPr>
                <w:rFonts w:ascii="Arial" w:hAnsi="Arial" w:cs="Arial"/>
              </w:rPr>
              <w:t>R MacWilliam SC (with him E Nekwaya)</w:t>
            </w:r>
          </w:p>
        </w:tc>
      </w:tr>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tcPr>
          <w:p w:rsidR="00A931ED" w:rsidRDefault="00A931ED" w:rsidP="001141EB">
            <w:pPr>
              <w:pStyle w:val="BodyText"/>
              <w:autoSpaceDE w:val="0"/>
              <w:autoSpaceDN w:val="0"/>
              <w:adjustRightInd w:val="0"/>
              <w:spacing w:line="480" w:lineRule="auto"/>
              <w:jc w:val="left"/>
              <w:rPr>
                <w:rFonts w:ascii="Arial" w:hAnsi="Arial" w:cs="Arial"/>
              </w:rPr>
            </w:pPr>
            <w:r>
              <w:rPr>
                <w:rFonts w:ascii="Arial" w:hAnsi="Arial" w:cs="Arial"/>
              </w:rPr>
              <w:t xml:space="preserve">Instructed by </w:t>
            </w:r>
            <w:r w:rsidR="001141EB">
              <w:rPr>
                <w:rFonts w:ascii="Arial" w:hAnsi="Arial" w:cs="Arial"/>
              </w:rPr>
              <w:t xml:space="preserve">Metcalfe </w:t>
            </w:r>
            <w:r w:rsidR="00144A05">
              <w:rPr>
                <w:rFonts w:ascii="Arial" w:hAnsi="Arial" w:cs="Arial"/>
              </w:rPr>
              <w:t>Beukes Attorneys</w:t>
            </w:r>
            <w:r w:rsidR="001141EB">
              <w:rPr>
                <w:rFonts w:ascii="Arial" w:hAnsi="Arial" w:cs="Arial"/>
              </w:rPr>
              <w:t>,</w:t>
            </w:r>
            <w:r>
              <w:rPr>
                <w:rFonts w:ascii="Arial" w:hAnsi="Arial" w:cs="Arial"/>
              </w:rPr>
              <w:t xml:space="preserve"> Windhoek</w:t>
            </w:r>
          </w:p>
        </w:tc>
      </w:tr>
      <w:tr w:rsidR="00A931ED" w:rsidTr="00E24D15">
        <w:tc>
          <w:tcPr>
            <w:tcW w:w="4106" w:type="dxa"/>
            <w:tcBorders>
              <w:top w:val="nil"/>
              <w:left w:val="nil"/>
              <w:bottom w:val="nil"/>
              <w:right w:val="nil"/>
            </w:tcBorders>
          </w:tcPr>
          <w:p w:rsidR="00A931ED" w:rsidRDefault="00A931ED" w:rsidP="00E24D15">
            <w:pPr>
              <w:pStyle w:val="BodyText"/>
              <w:autoSpaceDE w:val="0"/>
              <w:autoSpaceDN w:val="0"/>
              <w:adjustRightInd w:val="0"/>
              <w:spacing w:line="480" w:lineRule="auto"/>
              <w:jc w:val="both"/>
              <w:rPr>
                <w:rFonts w:ascii="Arial" w:hAnsi="Arial" w:cs="Arial"/>
              </w:rPr>
            </w:pPr>
          </w:p>
        </w:tc>
        <w:tc>
          <w:tcPr>
            <w:tcW w:w="5005" w:type="dxa"/>
            <w:tcBorders>
              <w:top w:val="nil"/>
              <w:left w:val="nil"/>
              <w:bottom w:val="nil"/>
              <w:right w:val="nil"/>
            </w:tcBorders>
          </w:tcPr>
          <w:p w:rsidR="00A931ED" w:rsidRPr="00AF4022" w:rsidRDefault="00A931ED" w:rsidP="00E24D15">
            <w:pPr>
              <w:autoSpaceDE w:val="0"/>
              <w:autoSpaceDN w:val="0"/>
              <w:adjustRightInd w:val="0"/>
              <w:spacing w:line="480" w:lineRule="auto"/>
              <w:ind w:left="3780" w:hanging="3780"/>
              <w:rPr>
                <w:rFonts w:ascii="Arial" w:hAnsi="Arial" w:cs="Arial"/>
                <w:sz w:val="24"/>
                <w:szCs w:val="24"/>
              </w:rPr>
            </w:pPr>
          </w:p>
        </w:tc>
      </w:tr>
    </w:tbl>
    <w:p w:rsidR="00A931ED" w:rsidRDefault="00A931ED" w:rsidP="00BA1188">
      <w:pPr>
        <w:pStyle w:val="BodyText"/>
        <w:autoSpaceDE w:val="0"/>
        <w:autoSpaceDN w:val="0"/>
        <w:adjustRightInd w:val="0"/>
        <w:spacing w:line="480" w:lineRule="auto"/>
        <w:jc w:val="both"/>
        <w:rPr>
          <w:rFonts w:ascii="Arial" w:hAnsi="Arial" w:cs="Arial"/>
        </w:rPr>
      </w:pPr>
    </w:p>
    <w:sectPr w:rsidR="00A931ED" w:rsidSect="000D3F15">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C3" w:rsidRDefault="007C32C3">
      <w:pPr>
        <w:spacing w:after="0" w:line="240" w:lineRule="auto"/>
      </w:pPr>
      <w:r>
        <w:separator/>
      </w:r>
    </w:p>
  </w:endnote>
  <w:endnote w:type="continuationSeparator" w:id="0">
    <w:p w:rsidR="007C32C3" w:rsidRDefault="007C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C3" w:rsidRDefault="007C32C3">
      <w:pPr>
        <w:spacing w:after="0" w:line="240" w:lineRule="auto"/>
      </w:pPr>
      <w:r>
        <w:separator/>
      </w:r>
    </w:p>
  </w:footnote>
  <w:footnote w:type="continuationSeparator" w:id="0">
    <w:p w:rsidR="007C32C3" w:rsidRDefault="007C32C3">
      <w:pPr>
        <w:spacing w:after="0" w:line="240" w:lineRule="auto"/>
      </w:pPr>
      <w:r>
        <w:continuationSeparator/>
      </w:r>
    </w:p>
  </w:footnote>
  <w:footnote w:id="1">
    <w:p w:rsidR="003C5F45" w:rsidRPr="00BE5F0E" w:rsidRDefault="003C5F45" w:rsidP="001C2D1E">
      <w:pPr>
        <w:pStyle w:val="FootnoteText"/>
        <w:jc w:val="both"/>
        <w:rPr>
          <w:rFonts w:ascii="Arial" w:hAnsi="Arial" w:cs="Arial"/>
        </w:rPr>
      </w:pPr>
      <w:r w:rsidRPr="00BE5F0E">
        <w:rPr>
          <w:rStyle w:val="FootnoteReference"/>
          <w:rFonts w:ascii="Arial" w:hAnsi="Arial" w:cs="Arial"/>
        </w:rPr>
        <w:footnoteRef/>
      </w:r>
      <w:r w:rsidRPr="00BE5F0E">
        <w:rPr>
          <w:rFonts w:ascii="Arial" w:hAnsi="Arial" w:cs="Arial"/>
        </w:rPr>
        <w:t xml:space="preserve"> </w:t>
      </w:r>
      <w:r w:rsidR="00BE5F0E">
        <w:rPr>
          <w:rFonts w:ascii="Arial" w:hAnsi="Arial" w:cs="Arial"/>
        </w:rPr>
        <w:t>Group A – remotest – N$1750 per month; Group B – remote – N$1150 per month and Group C – least remote – N$750 per month.</w:t>
      </w:r>
    </w:p>
  </w:footnote>
  <w:footnote w:id="2">
    <w:p w:rsidR="008F581D" w:rsidRPr="008F581D" w:rsidRDefault="008F581D" w:rsidP="00A81820">
      <w:pPr>
        <w:pStyle w:val="FootnoteText"/>
        <w:jc w:val="both"/>
        <w:rPr>
          <w:rFonts w:ascii="Arial" w:hAnsi="Arial" w:cs="Arial"/>
        </w:rPr>
      </w:pPr>
      <w:r w:rsidRPr="008F581D">
        <w:rPr>
          <w:rStyle w:val="FootnoteReference"/>
          <w:rFonts w:ascii="Arial" w:hAnsi="Arial" w:cs="Arial"/>
        </w:rPr>
        <w:footnoteRef/>
      </w:r>
      <w:r w:rsidRPr="008F581D">
        <w:rPr>
          <w:rFonts w:ascii="Arial" w:hAnsi="Arial" w:cs="Arial"/>
        </w:rPr>
        <w:t xml:space="preserve"> </w:t>
      </w:r>
      <w:r w:rsidR="00BE5F0E">
        <w:rPr>
          <w:rFonts w:ascii="Arial" w:hAnsi="Arial" w:cs="Arial"/>
        </w:rPr>
        <w:t>The Government of the Republic of Namibia.</w:t>
      </w:r>
    </w:p>
  </w:footnote>
  <w:footnote w:id="3">
    <w:p w:rsidR="00B95A3C" w:rsidRPr="00B95A3C" w:rsidRDefault="00B95A3C">
      <w:pPr>
        <w:pStyle w:val="FootnoteText"/>
        <w:rPr>
          <w:rFonts w:ascii="Arial" w:hAnsi="Arial" w:cs="Arial"/>
        </w:rPr>
      </w:pPr>
      <w:r w:rsidRPr="00B95A3C">
        <w:rPr>
          <w:rStyle w:val="FootnoteReference"/>
          <w:rFonts w:ascii="Arial" w:hAnsi="Arial" w:cs="Arial"/>
        </w:rPr>
        <w:footnoteRef/>
      </w:r>
      <w:r w:rsidRPr="00B95A3C">
        <w:rPr>
          <w:rFonts w:ascii="Arial" w:hAnsi="Arial" w:cs="Arial"/>
        </w:rPr>
        <w:t xml:space="preserve"> </w:t>
      </w:r>
      <w:r w:rsidR="00C537E5">
        <w:rPr>
          <w:rFonts w:ascii="Arial" w:hAnsi="Arial" w:cs="Arial"/>
        </w:rPr>
        <w:t>The appellant and first respondent, together with NAPWU.</w:t>
      </w:r>
    </w:p>
  </w:footnote>
  <w:footnote w:id="4">
    <w:p w:rsidR="00BB3BFB" w:rsidRPr="00BB3BFB" w:rsidRDefault="00BB3BFB">
      <w:pPr>
        <w:pStyle w:val="FootnoteText"/>
        <w:rPr>
          <w:rFonts w:ascii="Arial" w:hAnsi="Arial" w:cs="Arial"/>
        </w:rPr>
      </w:pPr>
      <w:r w:rsidRPr="00BB3BFB">
        <w:rPr>
          <w:rStyle w:val="FootnoteReference"/>
          <w:rFonts w:ascii="Arial" w:hAnsi="Arial" w:cs="Arial"/>
        </w:rPr>
        <w:footnoteRef/>
      </w:r>
      <w:r w:rsidRPr="00BB3BFB">
        <w:rPr>
          <w:rFonts w:ascii="Arial" w:hAnsi="Arial" w:cs="Arial"/>
        </w:rPr>
        <w:t xml:space="preserve"> </w:t>
      </w:r>
      <w:r>
        <w:rPr>
          <w:rFonts w:ascii="Arial" w:hAnsi="Arial" w:cs="Arial"/>
        </w:rPr>
        <w:t>Form LC 21.</w:t>
      </w:r>
    </w:p>
  </w:footnote>
  <w:footnote w:id="5">
    <w:p w:rsidR="00224559" w:rsidRPr="00224559" w:rsidRDefault="00224559">
      <w:pPr>
        <w:pStyle w:val="FootnoteText"/>
        <w:rPr>
          <w:rFonts w:ascii="Arial" w:hAnsi="Arial" w:cs="Arial"/>
        </w:rPr>
      </w:pPr>
      <w:r w:rsidRPr="00224559">
        <w:rPr>
          <w:rStyle w:val="FootnoteReference"/>
          <w:rFonts w:ascii="Arial" w:hAnsi="Arial" w:cs="Arial"/>
        </w:rPr>
        <w:footnoteRef/>
      </w:r>
      <w:r w:rsidRPr="00224559">
        <w:rPr>
          <w:rFonts w:ascii="Arial" w:hAnsi="Arial" w:cs="Arial"/>
        </w:rPr>
        <w:t xml:space="preserve"> </w:t>
      </w:r>
      <w:r>
        <w:rPr>
          <w:rFonts w:ascii="Arial" w:hAnsi="Arial" w:cs="Arial"/>
        </w:rPr>
        <w:t xml:space="preserve">(2014) 35 ILJ 241 </w:t>
      </w:r>
      <w:r w:rsidR="009667D0" w:rsidRPr="00D14C41">
        <w:rPr>
          <w:rFonts w:ascii="Arial" w:hAnsi="Arial" w:cs="Arial"/>
        </w:rPr>
        <w:t xml:space="preserve">(LC) (30 May 2013) </w:t>
      </w:r>
      <w:r w:rsidRPr="00D14C41">
        <w:rPr>
          <w:rFonts w:ascii="Arial" w:hAnsi="Arial" w:cs="Arial"/>
        </w:rPr>
        <w:t>para</w:t>
      </w:r>
      <w:r>
        <w:rPr>
          <w:rFonts w:ascii="Arial" w:hAnsi="Arial" w:cs="Arial"/>
        </w:rPr>
        <w:t xml:space="preserve"> 18.</w:t>
      </w:r>
    </w:p>
  </w:footnote>
  <w:footnote w:id="6">
    <w:p w:rsidR="009625B4" w:rsidRPr="00DF6472" w:rsidRDefault="009625B4" w:rsidP="009625B4">
      <w:pPr>
        <w:pStyle w:val="FootnoteText"/>
        <w:rPr>
          <w:rFonts w:ascii="Arial" w:hAnsi="Arial" w:cs="Arial"/>
        </w:rPr>
      </w:pPr>
      <w:r w:rsidRPr="00DF6472">
        <w:rPr>
          <w:rStyle w:val="FootnoteReference"/>
          <w:rFonts w:ascii="Arial" w:hAnsi="Arial" w:cs="Arial"/>
        </w:rPr>
        <w:footnoteRef/>
      </w:r>
      <w:r w:rsidRPr="00DF6472">
        <w:rPr>
          <w:rFonts w:ascii="Arial" w:hAnsi="Arial" w:cs="Arial"/>
        </w:rPr>
        <w:t xml:space="preserve"> </w:t>
      </w:r>
      <w:r>
        <w:rPr>
          <w:rFonts w:ascii="Arial" w:hAnsi="Arial" w:cs="Arial"/>
        </w:rPr>
        <w:t xml:space="preserve">As reflected in para 1.3 of the collective settlement agreement. </w:t>
      </w:r>
    </w:p>
  </w:footnote>
  <w:footnote w:id="7">
    <w:p w:rsidR="009625B4" w:rsidRPr="00DF6472" w:rsidRDefault="009625B4" w:rsidP="009625B4">
      <w:pPr>
        <w:pStyle w:val="FootnoteText"/>
        <w:rPr>
          <w:rFonts w:ascii="Arial" w:hAnsi="Arial" w:cs="Arial"/>
        </w:rPr>
      </w:pPr>
      <w:r w:rsidRPr="00DF6472">
        <w:rPr>
          <w:rStyle w:val="FootnoteReference"/>
          <w:rFonts w:ascii="Arial" w:hAnsi="Arial" w:cs="Arial"/>
        </w:rPr>
        <w:footnoteRef/>
      </w:r>
      <w:r w:rsidRPr="00DF6472">
        <w:rPr>
          <w:rFonts w:ascii="Arial" w:hAnsi="Arial" w:cs="Arial"/>
        </w:rPr>
        <w:t xml:space="preserve"> </w:t>
      </w:r>
      <w:r>
        <w:rPr>
          <w:rFonts w:ascii="Arial" w:hAnsi="Arial" w:cs="Arial"/>
        </w:rPr>
        <w:t>The terms of the ‘implementation’ are set out in para [</w:t>
      </w:r>
      <w:r w:rsidR="003B66D1">
        <w:rPr>
          <w:rFonts w:ascii="Arial" w:hAnsi="Arial" w:cs="Arial"/>
        </w:rPr>
        <w:t>29</w:t>
      </w:r>
      <w:r>
        <w:rPr>
          <w:rFonts w:ascii="Arial" w:hAnsi="Arial" w:cs="Arial"/>
        </w:rPr>
        <w:t xml:space="preserve">] </w:t>
      </w:r>
      <w:r w:rsidRPr="00DF6472">
        <w:rPr>
          <w:rFonts w:ascii="Arial" w:hAnsi="Arial" w:cs="Arial"/>
          <w:i/>
        </w:rPr>
        <w:t xml:space="preserve">supra </w:t>
      </w:r>
      <w:r>
        <w:rPr>
          <w:rFonts w:ascii="Arial" w:hAnsi="Arial" w:cs="Arial"/>
        </w:rPr>
        <w:t>of this judgment.</w:t>
      </w:r>
    </w:p>
  </w:footnote>
  <w:footnote w:id="8">
    <w:p w:rsidR="00B85A84" w:rsidRPr="00B85A84" w:rsidRDefault="00B85A84" w:rsidP="005B0758">
      <w:pPr>
        <w:pStyle w:val="FootnoteText"/>
        <w:jc w:val="both"/>
        <w:rPr>
          <w:rFonts w:ascii="Arial" w:hAnsi="Arial" w:cs="Arial"/>
        </w:rPr>
      </w:pPr>
      <w:r w:rsidRPr="00B85A84">
        <w:rPr>
          <w:rStyle w:val="FootnoteReference"/>
          <w:rFonts w:ascii="Arial" w:hAnsi="Arial" w:cs="Arial"/>
        </w:rPr>
        <w:footnoteRef/>
      </w:r>
      <w:r w:rsidRPr="00B85A84">
        <w:rPr>
          <w:rFonts w:ascii="Arial" w:hAnsi="Arial" w:cs="Arial"/>
        </w:rPr>
        <w:t xml:space="preserve"> </w:t>
      </w:r>
      <w:r w:rsidR="005218C1">
        <w:rPr>
          <w:rFonts w:ascii="Arial" w:hAnsi="Arial" w:cs="Arial"/>
        </w:rPr>
        <w:t>Section 50(1)</w:t>
      </w:r>
      <w:r w:rsidRPr="005218C1">
        <w:rPr>
          <w:rFonts w:ascii="Arial" w:hAnsi="Arial" w:cs="Arial"/>
          <w:i/>
        </w:rPr>
        <w:t>(e)</w:t>
      </w:r>
      <w:r>
        <w:rPr>
          <w:rFonts w:ascii="Arial" w:hAnsi="Arial" w:cs="Arial"/>
        </w:rPr>
        <w:t xml:space="preserve"> of the Labour Act 11 of 2007</w:t>
      </w:r>
      <w:r w:rsidR="005218C1">
        <w:rPr>
          <w:rFonts w:ascii="Arial" w:hAnsi="Arial" w:cs="Arial"/>
        </w:rPr>
        <w:t>,</w:t>
      </w:r>
      <w:r>
        <w:rPr>
          <w:rFonts w:ascii="Arial" w:hAnsi="Arial" w:cs="Arial"/>
        </w:rPr>
        <w:t xml:space="preserve"> </w:t>
      </w:r>
      <w:r w:rsidRPr="005218C1">
        <w:rPr>
          <w:rFonts w:ascii="Arial" w:hAnsi="Arial" w:cs="Arial"/>
          <w:i/>
        </w:rPr>
        <w:t xml:space="preserve">SAMWU </w:t>
      </w:r>
      <w:r w:rsidR="005218C1" w:rsidRPr="005218C1">
        <w:rPr>
          <w:rFonts w:ascii="Arial" w:hAnsi="Arial" w:cs="Arial"/>
          <w:i/>
        </w:rPr>
        <w:t>v City of Tshwane &amp; another</w:t>
      </w:r>
      <w:r w:rsidR="005218C1">
        <w:rPr>
          <w:rFonts w:ascii="Arial" w:hAnsi="Arial" w:cs="Arial"/>
        </w:rPr>
        <w:t xml:space="preserve"> (2014) 35 ILJ 241 para 18 and </w:t>
      </w:r>
      <w:r w:rsidR="006739EC">
        <w:rPr>
          <w:rFonts w:ascii="Arial" w:hAnsi="Arial" w:cs="Arial"/>
          <w:i/>
        </w:rPr>
        <w:t>Smit</w:t>
      </w:r>
      <w:r w:rsidR="005218C1" w:rsidRPr="005218C1">
        <w:rPr>
          <w:rFonts w:ascii="Arial" w:hAnsi="Arial" w:cs="Arial"/>
          <w:i/>
        </w:rPr>
        <w:t xml:space="preserve"> v Standard Bank of Namibia</w:t>
      </w:r>
      <w:r w:rsidR="005B0758">
        <w:rPr>
          <w:rFonts w:ascii="Arial" w:hAnsi="Arial" w:cs="Arial"/>
        </w:rPr>
        <w:t xml:space="preserve"> 1994 NR 366 (LC) at 370J</w:t>
      </w:r>
      <w:r w:rsidR="005218C1">
        <w:rPr>
          <w:rFonts w:ascii="Arial" w:hAnsi="Arial" w:cs="Arial"/>
        </w:rPr>
        <w:t>-371A.</w:t>
      </w:r>
    </w:p>
  </w:footnote>
  <w:footnote w:id="9">
    <w:p w:rsidR="00EF1950" w:rsidRPr="00EF1950" w:rsidRDefault="00EF1950">
      <w:pPr>
        <w:pStyle w:val="FootnoteText"/>
        <w:rPr>
          <w:rFonts w:ascii="Arial" w:hAnsi="Arial" w:cs="Arial"/>
        </w:rPr>
      </w:pPr>
      <w:r w:rsidRPr="00EF1950">
        <w:rPr>
          <w:rStyle w:val="FootnoteReference"/>
          <w:rFonts w:ascii="Arial" w:hAnsi="Arial" w:cs="Arial"/>
        </w:rPr>
        <w:footnoteRef/>
      </w:r>
      <w:r w:rsidRPr="00EF1950">
        <w:rPr>
          <w:rFonts w:ascii="Arial" w:hAnsi="Arial" w:cs="Arial"/>
        </w:rPr>
        <w:t xml:space="preserve"> </w:t>
      </w:r>
      <w:r>
        <w:rPr>
          <w:rFonts w:ascii="Arial" w:hAnsi="Arial" w:cs="Arial"/>
        </w:rPr>
        <w:t>Emphasis provided.</w:t>
      </w:r>
    </w:p>
  </w:footnote>
  <w:footnote w:id="10">
    <w:p w:rsidR="006623F3" w:rsidRPr="003F0A85" w:rsidRDefault="006623F3" w:rsidP="006623F3">
      <w:pPr>
        <w:pStyle w:val="FootnoteText"/>
        <w:jc w:val="both"/>
        <w:rPr>
          <w:rFonts w:ascii="Arial" w:hAnsi="Arial" w:cs="Arial"/>
        </w:rPr>
      </w:pPr>
      <w:r w:rsidRPr="003F0A85">
        <w:rPr>
          <w:rStyle w:val="FootnoteReference"/>
          <w:rFonts w:ascii="Arial" w:hAnsi="Arial" w:cs="Arial"/>
        </w:rPr>
        <w:footnoteRef/>
      </w:r>
      <w:r w:rsidRPr="003F0A85">
        <w:rPr>
          <w:rFonts w:ascii="Arial" w:hAnsi="Arial" w:cs="Arial"/>
        </w:rPr>
        <w:t xml:space="preserve"> </w:t>
      </w:r>
      <w:r>
        <w:rPr>
          <w:rFonts w:ascii="Arial" w:hAnsi="Arial" w:cs="Arial"/>
        </w:rPr>
        <w:t xml:space="preserve">2017 (3) NR 853 (SC) para 39. See also </w:t>
      </w:r>
      <w:r w:rsidRPr="003F0A85">
        <w:rPr>
          <w:rFonts w:ascii="Arial" w:hAnsi="Arial" w:cs="Arial"/>
          <w:i/>
        </w:rPr>
        <w:t xml:space="preserve">Torbitt </w:t>
      </w:r>
      <w:r>
        <w:rPr>
          <w:rFonts w:ascii="Arial" w:hAnsi="Arial" w:cs="Arial"/>
          <w:i/>
        </w:rPr>
        <w:t xml:space="preserve">&amp; others </w:t>
      </w:r>
      <w:r w:rsidRPr="003F0A85">
        <w:rPr>
          <w:rFonts w:ascii="Arial" w:hAnsi="Arial" w:cs="Arial"/>
          <w:i/>
        </w:rPr>
        <w:t>v International University of Management</w:t>
      </w:r>
      <w:r>
        <w:rPr>
          <w:rFonts w:ascii="Arial" w:hAnsi="Arial" w:cs="Arial"/>
        </w:rPr>
        <w:t xml:space="preserve"> 2017 (2) NR 323 (SC) para 26.</w:t>
      </w:r>
    </w:p>
  </w:footnote>
  <w:footnote w:id="11">
    <w:p w:rsidR="006623F3" w:rsidRPr="003F0A85" w:rsidRDefault="006623F3" w:rsidP="006623F3">
      <w:pPr>
        <w:pStyle w:val="FootnoteText"/>
        <w:jc w:val="both"/>
        <w:rPr>
          <w:rFonts w:ascii="Arial" w:hAnsi="Arial" w:cs="Arial"/>
        </w:rPr>
      </w:pPr>
      <w:r w:rsidRPr="003F0A85">
        <w:rPr>
          <w:rStyle w:val="FootnoteReference"/>
          <w:rFonts w:ascii="Arial" w:hAnsi="Arial" w:cs="Arial"/>
        </w:rPr>
        <w:footnoteRef/>
      </w:r>
      <w:r w:rsidRPr="003F0A85">
        <w:rPr>
          <w:rFonts w:ascii="Arial" w:hAnsi="Arial" w:cs="Arial"/>
        </w:rPr>
        <w:t xml:space="preserve"> </w:t>
      </w:r>
      <w:r>
        <w:rPr>
          <w:rFonts w:ascii="Arial" w:hAnsi="Arial" w:cs="Arial"/>
        </w:rPr>
        <w:t>2012 (4) SA 593 (SCA) para 18-19.</w:t>
      </w:r>
    </w:p>
  </w:footnote>
  <w:footnote w:id="12">
    <w:p w:rsidR="00EC27F3" w:rsidRPr="00EC27F3" w:rsidRDefault="00EC27F3">
      <w:pPr>
        <w:pStyle w:val="FootnoteText"/>
        <w:rPr>
          <w:rFonts w:ascii="Arial" w:hAnsi="Arial" w:cs="Arial"/>
        </w:rPr>
      </w:pPr>
      <w:r w:rsidRPr="00EC27F3">
        <w:rPr>
          <w:rStyle w:val="FootnoteReference"/>
          <w:rFonts w:ascii="Arial" w:hAnsi="Arial" w:cs="Arial"/>
        </w:rPr>
        <w:footnoteRef/>
      </w:r>
      <w:r w:rsidRPr="00EC27F3">
        <w:rPr>
          <w:rFonts w:ascii="Arial" w:hAnsi="Arial" w:cs="Arial"/>
        </w:rPr>
        <w:t xml:space="preserve"> </w:t>
      </w:r>
      <w:r>
        <w:rPr>
          <w:rFonts w:ascii="Arial" w:hAnsi="Arial" w:cs="Arial"/>
        </w:rPr>
        <w:t>Footnotes omitted.</w:t>
      </w:r>
    </w:p>
  </w:footnote>
  <w:footnote w:id="13">
    <w:p w:rsidR="00EE5FC5" w:rsidRPr="00EE5FC5" w:rsidRDefault="00EE5FC5">
      <w:pPr>
        <w:pStyle w:val="FootnoteText"/>
        <w:rPr>
          <w:rFonts w:ascii="Arial" w:hAnsi="Arial" w:cs="Arial"/>
        </w:rPr>
      </w:pPr>
      <w:r w:rsidRPr="00EE5FC5">
        <w:rPr>
          <w:rStyle w:val="FootnoteReference"/>
          <w:rFonts w:ascii="Arial" w:hAnsi="Arial" w:cs="Arial"/>
        </w:rPr>
        <w:footnoteRef/>
      </w:r>
      <w:r w:rsidRPr="00EE5FC5">
        <w:rPr>
          <w:rFonts w:ascii="Arial" w:hAnsi="Arial" w:cs="Arial"/>
        </w:rPr>
        <w:t xml:space="preserve"> </w:t>
      </w:r>
      <w:r w:rsidR="001B1AAE">
        <w:rPr>
          <w:rFonts w:ascii="Arial" w:hAnsi="Arial" w:cs="Arial"/>
        </w:rPr>
        <w:t xml:space="preserve">2018 (1) NR 230 (SC) </w:t>
      </w:r>
      <w:r>
        <w:rPr>
          <w:rFonts w:ascii="Arial" w:hAnsi="Arial" w:cs="Arial"/>
        </w:rPr>
        <w:t xml:space="preserve">para </w:t>
      </w:r>
      <w:r w:rsidR="007E4F95" w:rsidRPr="00D14C41">
        <w:rPr>
          <w:rFonts w:ascii="Arial" w:hAnsi="Arial" w:cs="Arial"/>
        </w:rPr>
        <w:t>34.</w:t>
      </w:r>
    </w:p>
  </w:footnote>
  <w:footnote w:id="14">
    <w:p w:rsidR="00EE5FC5" w:rsidRPr="00EE5FC5" w:rsidRDefault="00EE5FC5">
      <w:pPr>
        <w:pStyle w:val="FootnoteText"/>
        <w:rPr>
          <w:rFonts w:ascii="Arial" w:hAnsi="Arial" w:cs="Arial"/>
        </w:rPr>
      </w:pPr>
      <w:r w:rsidRPr="00EE5FC5">
        <w:rPr>
          <w:rStyle w:val="FootnoteReference"/>
          <w:rFonts w:ascii="Arial" w:hAnsi="Arial" w:cs="Arial"/>
        </w:rPr>
        <w:footnoteRef/>
      </w:r>
      <w:r w:rsidRPr="00EE5FC5">
        <w:rPr>
          <w:rFonts w:ascii="Arial" w:hAnsi="Arial" w:cs="Arial"/>
        </w:rPr>
        <w:t xml:space="preserve"> </w:t>
      </w:r>
      <w:r>
        <w:rPr>
          <w:rFonts w:ascii="Arial" w:hAnsi="Arial" w:cs="Arial"/>
        </w:rPr>
        <w:t>Only part of the paragraph quoted.</w:t>
      </w:r>
    </w:p>
  </w:footnote>
  <w:footnote w:id="15">
    <w:p w:rsidR="00011647" w:rsidRPr="00011647" w:rsidRDefault="00011647">
      <w:pPr>
        <w:pStyle w:val="FootnoteText"/>
        <w:rPr>
          <w:rFonts w:ascii="Arial" w:hAnsi="Arial" w:cs="Arial"/>
        </w:rPr>
      </w:pPr>
      <w:r w:rsidRPr="00011647">
        <w:rPr>
          <w:rStyle w:val="FootnoteReference"/>
          <w:rFonts w:ascii="Arial" w:hAnsi="Arial" w:cs="Arial"/>
        </w:rPr>
        <w:footnoteRef/>
      </w:r>
      <w:r w:rsidRPr="00011647">
        <w:rPr>
          <w:rFonts w:ascii="Arial" w:hAnsi="Arial" w:cs="Arial"/>
        </w:rPr>
        <w:t xml:space="preserve"> </w:t>
      </w:r>
      <w:r>
        <w:rPr>
          <w:rFonts w:ascii="Arial" w:hAnsi="Arial" w:cs="Arial"/>
        </w:rPr>
        <w:t>Collins Dictionary of the English language.</w:t>
      </w:r>
    </w:p>
  </w:footnote>
  <w:footnote w:id="16">
    <w:p w:rsidR="00780AE9" w:rsidRPr="00780AE9" w:rsidRDefault="00780AE9">
      <w:pPr>
        <w:pStyle w:val="FootnoteText"/>
        <w:rPr>
          <w:rFonts w:ascii="Arial" w:hAnsi="Arial" w:cs="Arial"/>
        </w:rPr>
      </w:pPr>
      <w:r w:rsidRPr="00780AE9">
        <w:rPr>
          <w:rStyle w:val="FootnoteReference"/>
          <w:rFonts w:ascii="Arial" w:hAnsi="Arial" w:cs="Arial"/>
        </w:rPr>
        <w:footnoteRef/>
      </w:r>
      <w:r w:rsidRPr="00780AE9">
        <w:rPr>
          <w:rFonts w:ascii="Arial" w:hAnsi="Arial" w:cs="Arial"/>
        </w:rPr>
        <w:t xml:space="preserve"> </w:t>
      </w:r>
      <w:r w:rsidR="00011647">
        <w:rPr>
          <w:rFonts w:ascii="Arial" w:hAnsi="Arial" w:cs="Arial"/>
        </w:rPr>
        <w:t xml:space="preserve">To which the court </w:t>
      </w:r>
      <w:r w:rsidR="00011647" w:rsidRPr="00011647">
        <w:rPr>
          <w:rFonts w:ascii="Arial" w:hAnsi="Arial" w:cs="Arial"/>
          <w:i/>
        </w:rPr>
        <w:t>a quo</w:t>
      </w:r>
      <w:r w:rsidR="00011647">
        <w:rPr>
          <w:rFonts w:ascii="Arial" w:hAnsi="Arial" w:cs="Arial"/>
        </w:rPr>
        <w:t xml:space="preserve"> in its judgment also referred to.</w:t>
      </w:r>
    </w:p>
  </w:footnote>
  <w:footnote w:id="17">
    <w:p w:rsidR="00780AE9" w:rsidRPr="00780AE9" w:rsidRDefault="00780AE9">
      <w:pPr>
        <w:pStyle w:val="FootnoteText"/>
        <w:rPr>
          <w:rFonts w:ascii="Arial" w:hAnsi="Arial" w:cs="Arial"/>
        </w:rPr>
      </w:pPr>
      <w:r w:rsidRPr="00780AE9">
        <w:rPr>
          <w:rStyle w:val="FootnoteReference"/>
          <w:rFonts w:ascii="Arial" w:hAnsi="Arial" w:cs="Arial"/>
        </w:rPr>
        <w:footnoteRef/>
      </w:r>
      <w:r w:rsidRPr="00780AE9">
        <w:rPr>
          <w:rFonts w:ascii="Arial" w:hAnsi="Arial" w:cs="Arial"/>
        </w:rPr>
        <w:t xml:space="preserve"> </w:t>
      </w:r>
      <w:r w:rsidR="00011647">
        <w:rPr>
          <w:rFonts w:ascii="Arial" w:hAnsi="Arial" w:cs="Arial"/>
        </w:rPr>
        <w:t>Emphasis provided.</w:t>
      </w:r>
    </w:p>
  </w:footnote>
  <w:footnote w:id="18">
    <w:p w:rsidR="00971503" w:rsidRPr="00971503" w:rsidRDefault="00971503">
      <w:pPr>
        <w:pStyle w:val="FootnoteText"/>
        <w:rPr>
          <w:rFonts w:ascii="Arial" w:hAnsi="Arial" w:cs="Arial"/>
        </w:rPr>
      </w:pPr>
      <w:r w:rsidRPr="00971503">
        <w:rPr>
          <w:rStyle w:val="FootnoteReference"/>
          <w:rFonts w:ascii="Arial" w:hAnsi="Arial" w:cs="Arial"/>
        </w:rPr>
        <w:footnoteRef/>
      </w:r>
      <w:r w:rsidRPr="00971503">
        <w:rPr>
          <w:rFonts w:ascii="Arial" w:hAnsi="Arial" w:cs="Arial"/>
        </w:rPr>
        <w:t xml:space="preserve"> </w:t>
      </w:r>
      <w:r>
        <w:rPr>
          <w:rFonts w:ascii="Arial" w:hAnsi="Arial" w:cs="Arial"/>
        </w:rPr>
        <w:t>Emphasis provided in para (b) of the letter.</w:t>
      </w:r>
    </w:p>
  </w:footnote>
  <w:footnote w:id="19">
    <w:p w:rsidR="00011647" w:rsidRPr="00011647" w:rsidRDefault="00011647">
      <w:pPr>
        <w:pStyle w:val="FootnoteText"/>
        <w:rPr>
          <w:rFonts w:ascii="Arial" w:hAnsi="Arial" w:cs="Arial"/>
        </w:rPr>
      </w:pPr>
      <w:r w:rsidRPr="00011647">
        <w:rPr>
          <w:rStyle w:val="FootnoteReference"/>
          <w:rFonts w:ascii="Arial" w:hAnsi="Arial" w:cs="Arial"/>
        </w:rPr>
        <w:footnoteRef/>
      </w:r>
      <w:r w:rsidRPr="00011647">
        <w:rPr>
          <w:rFonts w:ascii="Arial" w:hAnsi="Arial" w:cs="Arial"/>
        </w:rPr>
        <w:t xml:space="preserve"> </w:t>
      </w:r>
      <w:r>
        <w:rPr>
          <w:rFonts w:ascii="Arial" w:hAnsi="Arial" w:cs="Arial"/>
        </w:rPr>
        <w:t>E</w:t>
      </w:r>
      <w:r w:rsidR="00AD0111">
        <w:rPr>
          <w:rFonts w:ascii="Arial" w:hAnsi="Arial" w:cs="Arial"/>
        </w:rPr>
        <w:t>xhibit G1, p 37 of the policy</w:t>
      </w:r>
      <w:r>
        <w:rPr>
          <w:rFonts w:ascii="Arial" w:hAnsi="Arial" w:cs="Arial"/>
        </w:rPr>
        <w:t xml:space="preserve"> para 5.21 under the heading ‘Guiding Principles’.</w:t>
      </w:r>
    </w:p>
  </w:footnote>
  <w:footnote w:id="20">
    <w:p w:rsidR="00DC449B" w:rsidRPr="00DC449B" w:rsidRDefault="00DC449B">
      <w:pPr>
        <w:pStyle w:val="FootnoteText"/>
        <w:rPr>
          <w:rFonts w:ascii="Arial" w:hAnsi="Arial" w:cs="Arial"/>
        </w:rPr>
      </w:pPr>
      <w:r w:rsidRPr="00DC449B">
        <w:rPr>
          <w:rStyle w:val="FootnoteReference"/>
          <w:rFonts w:ascii="Arial" w:hAnsi="Arial" w:cs="Arial"/>
        </w:rPr>
        <w:footnoteRef/>
      </w:r>
      <w:r w:rsidRPr="00DC449B">
        <w:rPr>
          <w:rFonts w:ascii="Arial" w:hAnsi="Arial" w:cs="Arial"/>
        </w:rPr>
        <w:t xml:space="preserve"> </w:t>
      </w:r>
      <w:r w:rsidR="006E5105">
        <w:rPr>
          <w:rFonts w:ascii="Arial" w:hAnsi="Arial" w:cs="Arial"/>
        </w:rPr>
        <w:t xml:space="preserve">Emphasis provided. </w:t>
      </w:r>
    </w:p>
  </w:footnote>
  <w:footnote w:id="21">
    <w:p w:rsidR="00FB4A34" w:rsidRPr="00FB4A34" w:rsidRDefault="00FB4A34">
      <w:pPr>
        <w:pStyle w:val="FootnoteText"/>
        <w:rPr>
          <w:rFonts w:ascii="Arial" w:hAnsi="Arial" w:cs="Arial"/>
        </w:rPr>
      </w:pPr>
      <w:r w:rsidRPr="00FB4A34">
        <w:rPr>
          <w:rStyle w:val="FootnoteReference"/>
          <w:rFonts w:ascii="Arial" w:hAnsi="Arial" w:cs="Arial"/>
        </w:rPr>
        <w:footnoteRef/>
      </w:r>
      <w:r w:rsidRPr="00FB4A34">
        <w:rPr>
          <w:rFonts w:ascii="Arial" w:hAnsi="Arial" w:cs="Arial"/>
        </w:rPr>
        <w:t xml:space="preserve"> </w:t>
      </w:r>
      <w:r>
        <w:rPr>
          <w:rFonts w:ascii="Arial" w:hAnsi="Arial" w:cs="Arial"/>
        </w:rPr>
        <w:t>In particular para 2.3.</w:t>
      </w:r>
    </w:p>
  </w:footnote>
  <w:footnote w:id="22">
    <w:p w:rsidR="00007A43" w:rsidRPr="00007A43" w:rsidRDefault="00007A43">
      <w:pPr>
        <w:pStyle w:val="FootnoteText"/>
        <w:rPr>
          <w:rFonts w:ascii="Arial" w:hAnsi="Arial" w:cs="Arial"/>
        </w:rPr>
      </w:pPr>
      <w:r w:rsidRPr="00007A43">
        <w:rPr>
          <w:rStyle w:val="FootnoteReference"/>
          <w:rFonts w:ascii="Arial" w:hAnsi="Arial" w:cs="Arial"/>
        </w:rPr>
        <w:footnoteRef/>
      </w:r>
      <w:r w:rsidRPr="00007A43">
        <w:rPr>
          <w:rFonts w:ascii="Arial" w:hAnsi="Arial" w:cs="Arial"/>
        </w:rPr>
        <w:t xml:space="preserve"> </w:t>
      </w:r>
      <w:r w:rsidRPr="00007A43">
        <w:rPr>
          <w:rFonts w:ascii="Arial" w:hAnsi="Arial" w:cs="Arial"/>
          <w:i/>
        </w:rPr>
        <w:t>Supra</w:t>
      </w:r>
      <w:r>
        <w:rPr>
          <w:rFonts w:ascii="Arial" w:hAnsi="Arial" w:cs="Arial"/>
        </w:rPr>
        <w:t xml:space="preserve"> at p 18.</w:t>
      </w:r>
    </w:p>
  </w:footnote>
  <w:footnote w:id="23">
    <w:p w:rsidR="00DD6F0A" w:rsidRPr="00DD6F0A" w:rsidRDefault="00DD6F0A" w:rsidP="00DD6F0A">
      <w:pPr>
        <w:pStyle w:val="FootnoteText"/>
        <w:jc w:val="both"/>
        <w:rPr>
          <w:rFonts w:ascii="Arial" w:hAnsi="Arial" w:cs="Arial"/>
        </w:rPr>
      </w:pPr>
      <w:r w:rsidRPr="00DD6F0A">
        <w:rPr>
          <w:rStyle w:val="FootnoteReference"/>
          <w:rFonts w:ascii="Arial" w:hAnsi="Arial" w:cs="Arial"/>
        </w:rPr>
        <w:footnoteRef/>
      </w:r>
      <w:r w:rsidRPr="00DD6F0A">
        <w:rPr>
          <w:rFonts w:ascii="Arial" w:hAnsi="Arial" w:cs="Arial"/>
        </w:rPr>
        <w:t xml:space="preserve"> </w:t>
      </w:r>
      <w:r w:rsidRPr="00DD6F0A">
        <w:rPr>
          <w:rFonts w:ascii="Arial" w:hAnsi="Arial" w:cs="Arial"/>
          <w:i/>
        </w:rPr>
        <w:t>Rally for Democracy and Progress &amp; others v Electoral Commission for Namibia &amp; others</w:t>
      </w:r>
      <w:r>
        <w:rPr>
          <w:rFonts w:ascii="Arial" w:hAnsi="Arial" w:cs="Arial"/>
        </w:rPr>
        <w:t xml:space="preserve"> 2013 (3) NR 664 (SC) para 68.</w:t>
      </w:r>
    </w:p>
  </w:footnote>
  <w:footnote w:id="24">
    <w:p w:rsidR="00DD6F0A" w:rsidRPr="00DD6F0A" w:rsidRDefault="00DD6F0A">
      <w:pPr>
        <w:pStyle w:val="FootnoteText"/>
        <w:rPr>
          <w:rFonts w:ascii="Arial" w:hAnsi="Arial" w:cs="Arial"/>
        </w:rPr>
      </w:pPr>
      <w:r w:rsidRPr="00DD6F0A">
        <w:rPr>
          <w:rStyle w:val="FootnoteReference"/>
          <w:rFonts w:ascii="Arial" w:hAnsi="Arial" w:cs="Arial"/>
        </w:rPr>
        <w:footnoteRef/>
      </w:r>
      <w:r w:rsidRPr="00DD6F0A">
        <w:rPr>
          <w:rFonts w:ascii="Arial" w:hAnsi="Arial" w:cs="Arial"/>
        </w:rPr>
        <w:t xml:space="preserve"> </w:t>
      </w:r>
      <w:r w:rsidRPr="007C26E4">
        <w:rPr>
          <w:rFonts w:ascii="Arial" w:hAnsi="Arial" w:cs="Arial"/>
          <w:i/>
        </w:rPr>
        <w:t>Arangies t/a Auto Tech v Quick Build</w:t>
      </w:r>
      <w:r w:rsidR="003C222F">
        <w:rPr>
          <w:rFonts w:ascii="Arial" w:hAnsi="Arial" w:cs="Arial"/>
        </w:rPr>
        <w:t xml:space="preserve"> 2014 (1) NR 187 (SC) </w:t>
      </w:r>
      <w:r>
        <w:rPr>
          <w:rFonts w:ascii="Arial" w:hAnsi="Arial" w:cs="Arial"/>
        </w:rPr>
        <w:t>para</w:t>
      </w:r>
      <w:r w:rsidR="00592AB2">
        <w:rPr>
          <w:rFonts w:ascii="Arial" w:hAnsi="Arial" w:cs="Arial"/>
        </w:rPr>
        <w:t xml:space="preserv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1141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7C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166624" w:rsidRDefault="001141EB">
        <w:pPr>
          <w:pStyle w:val="Header"/>
          <w:jc w:val="right"/>
          <w:rPr>
            <w:rFonts w:ascii="Arial" w:hAnsi="Arial" w:cs="Arial"/>
            <w:sz w:val="24"/>
            <w:szCs w:val="24"/>
          </w:rPr>
        </w:pPr>
        <w:r w:rsidRPr="00166624">
          <w:rPr>
            <w:rFonts w:ascii="Arial" w:hAnsi="Arial" w:cs="Arial"/>
            <w:sz w:val="24"/>
            <w:szCs w:val="24"/>
          </w:rPr>
          <w:fldChar w:fldCharType="begin"/>
        </w:r>
        <w:r w:rsidRPr="00166624">
          <w:rPr>
            <w:rFonts w:ascii="Arial" w:hAnsi="Arial" w:cs="Arial"/>
            <w:sz w:val="24"/>
            <w:szCs w:val="24"/>
          </w:rPr>
          <w:instrText xml:space="preserve"> PAGE   \* MERGEFORMAT </w:instrText>
        </w:r>
        <w:r w:rsidRPr="00166624">
          <w:rPr>
            <w:rFonts w:ascii="Arial" w:hAnsi="Arial" w:cs="Arial"/>
            <w:sz w:val="24"/>
            <w:szCs w:val="24"/>
          </w:rPr>
          <w:fldChar w:fldCharType="separate"/>
        </w:r>
        <w:r w:rsidR="009D7CE2">
          <w:rPr>
            <w:rFonts w:ascii="Arial" w:hAnsi="Arial" w:cs="Arial"/>
            <w:noProof/>
            <w:sz w:val="24"/>
            <w:szCs w:val="24"/>
          </w:rPr>
          <w:t>12</w:t>
        </w:r>
        <w:r w:rsidRPr="00166624">
          <w:rPr>
            <w:rFonts w:ascii="Arial" w:hAnsi="Arial" w:cs="Arial"/>
            <w:noProof/>
            <w:sz w:val="24"/>
            <w:szCs w:val="24"/>
          </w:rPr>
          <w:fldChar w:fldCharType="end"/>
        </w:r>
      </w:p>
    </w:sdtContent>
  </w:sdt>
  <w:p w:rsidR="004D6713" w:rsidRPr="00166624" w:rsidRDefault="007C32C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7B37"/>
    <w:multiLevelType w:val="hybridMultilevel"/>
    <w:tmpl w:val="050CE0FA"/>
    <w:lvl w:ilvl="0" w:tplc="395E44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D705A8"/>
    <w:multiLevelType w:val="hybridMultilevel"/>
    <w:tmpl w:val="72CA4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583465"/>
    <w:multiLevelType w:val="hybridMultilevel"/>
    <w:tmpl w:val="6E2AD17C"/>
    <w:lvl w:ilvl="0" w:tplc="395AC0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B7036D"/>
    <w:multiLevelType w:val="multilevel"/>
    <w:tmpl w:val="23724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6D7B83"/>
    <w:multiLevelType w:val="hybridMultilevel"/>
    <w:tmpl w:val="1FA0920C"/>
    <w:lvl w:ilvl="0" w:tplc="7E60BE3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CB25E43"/>
    <w:multiLevelType w:val="hybridMultilevel"/>
    <w:tmpl w:val="289658F0"/>
    <w:lvl w:ilvl="0" w:tplc="37E6FF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FF503DC"/>
    <w:multiLevelType w:val="hybridMultilevel"/>
    <w:tmpl w:val="D4DC825E"/>
    <w:lvl w:ilvl="0" w:tplc="EDDCB4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2F231F6"/>
    <w:multiLevelType w:val="multilevel"/>
    <w:tmpl w:val="EAA688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3743362"/>
    <w:multiLevelType w:val="hybridMultilevel"/>
    <w:tmpl w:val="1E5E3EAC"/>
    <w:lvl w:ilvl="0" w:tplc="9F44913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47C08C5"/>
    <w:multiLevelType w:val="hybridMultilevel"/>
    <w:tmpl w:val="42785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D2C4A60"/>
    <w:multiLevelType w:val="hybridMultilevel"/>
    <w:tmpl w:val="09AEB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D3A7029"/>
    <w:multiLevelType w:val="hybridMultilevel"/>
    <w:tmpl w:val="AF20DF40"/>
    <w:lvl w:ilvl="0" w:tplc="7898FC2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10"/>
  </w:num>
  <w:num w:numId="6">
    <w:abstractNumId w:val="11"/>
  </w:num>
  <w:num w:numId="7">
    <w:abstractNumId w:val="1"/>
  </w:num>
  <w:num w:numId="8">
    <w:abstractNumId w:val="7"/>
  </w:num>
  <w:num w:numId="9">
    <w:abstractNumId w:val="9"/>
  </w:num>
  <w:num w:numId="10">
    <w:abstractNumId w:val="0"/>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ED"/>
    <w:rsid w:val="00002199"/>
    <w:rsid w:val="00007A43"/>
    <w:rsid w:val="00011647"/>
    <w:rsid w:val="000121CC"/>
    <w:rsid w:val="00014DBD"/>
    <w:rsid w:val="000857CB"/>
    <w:rsid w:val="00087B7A"/>
    <w:rsid w:val="000A4230"/>
    <w:rsid w:val="000C280D"/>
    <w:rsid w:val="000D6555"/>
    <w:rsid w:val="000E4E2D"/>
    <w:rsid w:val="00100760"/>
    <w:rsid w:val="001112A3"/>
    <w:rsid w:val="00112D83"/>
    <w:rsid w:val="001141EB"/>
    <w:rsid w:val="00115694"/>
    <w:rsid w:val="00133A59"/>
    <w:rsid w:val="001435C8"/>
    <w:rsid w:val="00144A05"/>
    <w:rsid w:val="0014590F"/>
    <w:rsid w:val="00157846"/>
    <w:rsid w:val="00166624"/>
    <w:rsid w:val="00166816"/>
    <w:rsid w:val="00166A2F"/>
    <w:rsid w:val="0017768F"/>
    <w:rsid w:val="00180D40"/>
    <w:rsid w:val="001811E3"/>
    <w:rsid w:val="00181664"/>
    <w:rsid w:val="00182740"/>
    <w:rsid w:val="00182A46"/>
    <w:rsid w:val="00191A18"/>
    <w:rsid w:val="001A6265"/>
    <w:rsid w:val="001B1AAE"/>
    <w:rsid w:val="001C0C0A"/>
    <w:rsid w:val="001C2D1E"/>
    <w:rsid w:val="001D097A"/>
    <w:rsid w:val="001D1F09"/>
    <w:rsid w:val="001E10F5"/>
    <w:rsid w:val="00201691"/>
    <w:rsid w:val="00201B1D"/>
    <w:rsid w:val="00207F7C"/>
    <w:rsid w:val="00210213"/>
    <w:rsid w:val="00224559"/>
    <w:rsid w:val="00240019"/>
    <w:rsid w:val="00255DEC"/>
    <w:rsid w:val="00280673"/>
    <w:rsid w:val="00290CE7"/>
    <w:rsid w:val="00292A4C"/>
    <w:rsid w:val="00292C61"/>
    <w:rsid w:val="00293BBE"/>
    <w:rsid w:val="00297EB6"/>
    <w:rsid w:val="002A5D65"/>
    <w:rsid w:val="002B202E"/>
    <w:rsid w:val="002B3A67"/>
    <w:rsid w:val="002B53FC"/>
    <w:rsid w:val="002B64CC"/>
    <w:rsid w:val="0030007B"/>
    <w:rsid w:val="00314EFA"/>
    <w:rsid w:val="00321434"/>
    <w:rsid w:val="00333C10"/>
    <w:rsid w:val="00345B87"/>
    <w:rsid w:val="00346633"/>
    <w:rsid w:val="0034762E"/>
    <w:rsid w:val="00361281"/>
    <w:rsid w:val="00370394"/>
    <w:rsid w:val="00383212"/>
    <w:rsid w:val="00391B78"/>
    <w:rsid w:val="0039587F"/>
    <w:rsid w:val="003B1320"/>
    <w:rsid w:val="003B3FF1"/>
    <w:rsid w:val="003B66D1"/>
    <w:rsid w:val="003C222F"/>
    <w:rsid w:val="003C5F45"/>
    <w:rsid w:val="003D6706"/>
    <w:rsid w:val="003D720B"/>
    <w:rsid w:val="003E4DC1"/>
    <w:rsid w:val="003F0A85"/>
    <w:rsid w:val="00407F82"/>
    <w:rsid w:val="00417FF0"/>
    <w:rsid w:val="00420160"/>
    <w:rsid w:val="0042643B"/>
    <w:rsid w:val="00427D98"/>
    <w:rsid w:val="00442286"/>
    <w:rsid w:val="00444C08"/>
    <w:rsid w:val="00467367"/>
    <w:rsid w:val="00473997"/>
    <w:rsid w:val="0047514C"/>
    <w:rsid w:val="00477889"/>
    <w:rsid w:val="004A2493"/>
    <w:rsid w:val="004B382E"/>
    <w:rsid w:val="004C4A77"/>
    <w:rsid w:val="004D067C"/>
    <w:rsid w:val="004E0F08"/>
    <w:rsid w:val="00502183"/>
    <w:rsid w:val="005069B9"/>
    <w:rsid w:val="00510CC2"/>
    <w:rsid w:val="005218C1"/>
    <w:rsid w:val="005368B4"/>
    <w:rsid w:val="005432B7"/>
    <w:rsid w:val="00555DC3"/>
    <w:rsid w:val="00557063"/>
    <w:rsid w:val="00584985"/>
    <w:rsid w:val="00592AB2"/>
    <w:rsid w:val="005B0758"/>
    <w:rsid w:val="005B1464"/>
    <w:rsid w:val="005C5B7F"/>
    <w:rsid w:val="005D6FBD"/>
    <w:rsid w:val="005D701B"/>
    <w:rsid w:val="0060546C"/>
    <w:rsid w:val="00642AB9"/>
    <w:rsid w:val="006531CE"/>
    <w:rsid w:val="006623F3"/>
    <w:rsid w:val="00666ACF"/>
    <w:rsid w:val="006739EC"/>
    <w:rsid w:val="00674392"/>
    <w:rsid w:val="0067792E"/>
    <w:rsid w:val="00690FCD"/>
    <w:rsid w:val="006A11F5"/>
    <w:rsid w:val="006B27B7"/>
    <w:rsid w:val="006B3B1D"/>
    <w:rsid w:val="006B5262"/>
    <w:rsid w:val="006B613F"/>
    <w:rsid w:val="006C3B3A"/>
    <w:rsid w:val="006D750C"/>
    <w:rsid w:val="006E5105"/>
    <w:rsid w:val="006F34E9"/>
    <w:rsid w:val="006F6EF1"/>
    <w:rsid w:val="006F79C4"/>
    <w:rsid w:val="00702161"/>
    <w:rsid w:val="007171A8"/>
    <w:rsid w:val="00717DAB"/>
    <w:rsid w:val="00721F2B"/>
    <w:rsid w:val="00735474"/>
    <w:rsid w:val="007431AC"/>
    <w:rsid w:val="0075062E"/>
    <w:rsid w:val="0077243D"/>
    <w:rsid w:val="00777623"/>
    <w:rsid w:val="00780AE9"/>
    <w:rsid w:val="0078255B"/>
    <w:rsid w:val="007852A6"/>
    <w:rsid w:val="007B3C1C"/>
    <w:rsid w:val="007C26E4"/>
    <w:rsid w:val="007C32C3"/>
    <w:rsid w:val="007C34DE"/>
    <w:rsid w:val="007D20D0"/>
    <w:rsid w:val="007E02C0"/>
    <w:rsid w:val="007E4F95"/>
    <w:rsid w:val="007F05AE"/>
    <w:rsid w:val="00801562"/>
    <w:rsid w:val="00822204"/>
    <w:rsid w:val="00824DBA"/>
    <w:rsid w:val="00842F4A"/>
    <w:rsid w:val="008518DF"/>
    <w:rsid w:val="00857689"/>
    <w:rsid w:val="00857944"/>
    <w:rsid w:val="00862367"/>
    <w:rsid w:val="008724BB"/>
    <w:rsid w:val="00874A61"/>
    <w:rsid w:val="00897570"/>
    <w:rsid w:val="008B318D"/>
    <w:rsid w:val="008D0107"/>
    <w:rsid w:val="008D12DA"/>
    <w:rsid w:val="008D1CED"/>
    <w:rsid w:val="008D239D"/>
    <w:rsid w:val="008E173E"/>
    <w:rsid w:val="008E3123"/>
    <w:rsid w:val="008E422B"/>
    <w:rsid w:val="008F581D"/>
    <w:rsid w:val="00900F8A"/>
    <w:rsid w:val="00901764"/>
    <w:rsid w:val="00904336"/>
    <w:rsid w:val="00915439"/>
    <w:rsid w:val="00916EBD"/>
    <w:rsid w:val="0093390A"/>
    <w:rsid w:val="0093524F"/>
    <w:rsid w:val="0094755B"/>
    <w:rsid w:val="00952B65"/>
    <w:rsid w:val="0096003B"/>
    <w:rsid w:val="009625B4"/>
    <w:rsid w:val="009667D0"/>
    <w:rsid w:val="00971503"/>
    <w:rsid w:val="009774DF"/>
    <w:rsid w:val="009873FE"/>
    <w:rsid w:val="009B03AA"/>
    <w:rsid w:val="009B6072"/>
    <w:rsid w:val="009D1F39"/>
    <w:rsid w:val="009D41BA"/>
    <w:rsid w:val="009D6571"/>
    <w:rsid w:val="009D7CE2"/>
    <w:rsid w:val="009E3FBD"/>
    <w:rsid w:val="009E5827"/>
    <w:rsid w:val="009F21D5"/>
    <w:rsid w:val="009F7ADC"/>
    <w:rsid w:val="00A00A4C"/>
    <w:rsid w:val="00A21152"/>
    <w:rsid w:val="00A23EB8"/>
    <w:rsid w:val="00A25BD1"/>
    <w:rsid w:val="00A4072F"/>
    <w:rsid w:val="00A749E2"/>
    <w:rsid w:val="00A75D1B"/>
    <w:rsid w:val="00A81820"/>
    <w:rsid w:val="00A86273"/>
    <w:rsid w:val="00A931ED"/>
    <w:rsid w:val="00A96453"/>
    <w:rsid w:val="00AB14A6"/>
    <w:rsid w:val="00AC085F"/>
    <w:rsid w:val="00AC1C46"/>
    <w:rsid w:val="00AC3B1A"/>
    <w:rsid w:val="00AC7909"/>
    <w:rsid w:val="00AD0111"/>
    <w:rsid w:val="00AD04F2"/>
    <w:rsid w:val="00AD5AB5"/>
    <w:rsid w:val="00AD686F"/>
    <w:rsid w:val="00AE77E4"/>
    <w:rsid w:val="00AF688C"/>
    <w:rsid w:val="00B11F58"/>
    <w:rsid w:val="00B14E96"/>
    <w:rsid w:val="00B16A2E"/>
    <w:rsid w:val="00B27625"/>
    <w:rsid w:val="00B37A98"/>
    <w:rsid w:val="00B56A59"/>
    <w:rsid w:val="00B70E60"/>
    <w:rsid w:val="00B85A84"/>
    <w:rsid w:val="00B92B91"/>
    <w:rsid w:val="00B95A3C"/>
    <w:rsid w:val="00BA1188"/>
    <w:rsid w:val="00BA1225"/>
    <w:rsid w:val="00BA21F0"/>
    <w:rsid w:val="00BA31E3"/>
    <w:rsid w:val="00BB2124"/>
    <w:rsid w:val="00BB3BFB"/>
    <w:rsid w:val="00BB7AD6"/>
    <w:rsid w:val="00BD32CD"/>
    <w:rsid w:val="00BD3EB0"/>
    <w:rsid w:val="00BD5B1B"/>
    <w:rsid w:val="00BE5F0E"/>
    <w:rsid w:val="00BF237E"/>
    <w:rsid w:val="00BF3ACB"/>
    <w:rsid w:val="00C1455C"/>
    <w:rsid w:val="00C14C1C"/>
    <w:rsid w:val="00C500DB"/>
    <w:rsid w:val="00C53520"/>
    <w:rsid w:val="00C537E5"/>
    <w:rsid w:val="00C63372"/>
    <w:rsid w:val="00C71583"/>
    <w:rsid w:val="00C94C9A"/>
    <w:rsid w:val="00C96740"/>
    <w:rsid w:val="00CA088E"/>
    <w:rsid w:val="00CA13CB"/>
    <w:rsid w:val="00CA1E4F"/>
    <w:rsid w:val="00CA2974"/>
    <w:rsid w:val="00CE07F3"/>
    <w:rsid w:val="00CE2AEC"/>
    <w:rsid w:val="00CE641F"/>
    <w:rsid w:val="00D07912"/>
    <w:rsid w:val="00D10917"/>
    <w:rsid w:val="00D14C41"/>
    <w:rsid w:val="00D164F6"/>
    <w:rsid w:val="00D2785D"/>
    <w:rsid w:val="00D3719C"/>
    <w:rsid w:val="00D42E33"/>
    <w:rsid w:val="00D60B8B"/>
    <w:rsid w:val="00D700EE"/>
    <w:rsid w:val="00D70C10"/>
    <w:rsid w:val="00D952F8"/>
    <w:rsid w:val="00DC449B"/>
    <w:rsid w:val="00DD41FE"/>
    <w:rsid w:val="00DD6F0A"/>
    <w:rsid w:val="00DE1399"/>
    <w:rsid w:val="00DE2995"/>
    <w:rsid w:val="00DF51DF"/>
    <w:rsid w:val="00DF6472"/>
    <w:rsid w:val="00E01D1D"/>
    <w:rsid w:val="00E01EDD"/>
    <w:rsid w:val="00E03D29"/>
    <w:rsid w:val="00E20F9D"/>
    <w:rsid w:val="00E26256"/>
    <w:rsid w:val="00E264B5"/>
    <w:rsid w:val="00E279F2"/>
    <w:rsid w:val="00E32C44"/>
    <w:rsid w:val="00E348F2"/>
    <w:rsid w:val="00E528A4"/>
    <w:rsid w:val="00E87546"/>
    <w:rsid w:val="00EA0CBF"/>
    <w:rsid w:val="00EA0E95"/>
    <w:rsid w:val="00EB2B39"/>
    <w:rsid w:val="00EC27F3"/>
    <w:rsid w:val="00EC3146"/>
    <w:rsid w:val="00ED0903"/>
    <w:rsid w:val="00EE5FC5"/>
    <w:rsid w:val="00EF1950"/>
    <w:rsid w:val="00EF21D0"/>
    <w:rsid w:val="00F165DC"/>
    <w:rsid w:val="00F208E1"/>
    <w:rsid w:val="00F27CA9"/>
    <w:rsid w:val="00F531F8"/>
    <w:rsid w:val="00F56A69"/>
    <w:rsid w:val="00F652FC"/>
    <w:rsid w:val="00F95CCA"/>
    <w:rsid w:val="00FA5E04"/>
    <w:rsid w:val="00FB10FA"/>
    <w:rsid w:val="00FB2904"/>
    <w:rsid w:val="00FB4A34"/>
    <w:rsid w:val="00FD17CC"/>
    <w:rsid w:val="00FD5265"/>
    <w:rsid w:val="00FE68B1"/>
    <w:rsid w:val="00FF35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77FC-397A-47F9-957B-4B98661D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ED"/>
  </w:style>
  <w:style w:type="paragraph" w:styleId="Heading2">
    <w:name w:val="heading 2"/>
    <w:basedOn w:val="Normal"/>
    <w:link w:val="Heading2Char"/>
    <w:uiPriority w:val="9"/>
    <w:qFormat/>
    <w:rsid w:val="009667D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1ED"/>
    <w:pPr>
      <w:spacing w:after="0" w:line="240" w:lineRule="auto"/>
    </w:pPr>
  </w:style>
  <w:style w:type="paragraph" w:styleId="BodyText">
    <w:name w:val="Body Text"/>
    <w:basedOn w:val="Normal"/>
    <w:link w:val="BodyTextChar"/>
    <w:rsid w:val="00A931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931ED"/>
    <w:rPr>
      <w:rFonts w:ascii="Times New Roman" w:eastAsia="Times New Roman" w:hAnsi="Times New Roman" w:cs="Times New Roman"/>
      <w:sz w:val="24"/>
      <w:szCs w:val="24"/>
      <w:lang w:val="en-GB"/>
    </w:rPr>
  </w:style>
  <w:style w:type="table" w:styleId="TableGrid">
    <w:name w:val="Table Grid"/>
    <w:basedOn w:val="TableNormal"/>
    <w:uiPriority w:val="39"/>
    <w:rsid w:val="00A9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1ED"/>
  </w:style>
  <w:style w:type="paragraph" w:styleId="Footer">
    <w:name w:val="footer"/>
    <w:basedOn w:val="Normal"/>
    <w:link w:val="FooterChar"/>
    <w:uiPriority w:val="99"/>
    <w:unhideWhenUsed/>
    <w:rsid w:val="00EF2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D0"/>
  </w:style>
  <w:style w:type="paragraph" w:styleId="ListParagraph">
    <w:name w:val="List Paragraph"/>
    <w:basedOn w:val="Normal"/>
    <w:uiPriority w:val="34"/>
    <w:qFormat/>
    <w:rsid w:val="00AD04F2"/>
    <w:pPr>
      <w:ind w:left="720"/>
      <w:contextualSpacing/>
    </w:pPr>
  </w:style>
  <w:style w:type="paragraph" w:styleId="FootnoteText">
    <w:name w:val="footnote text"/>
    <w:basedOn w:val="Normal"/>
    <w:link w:val="FootnoteTextChar"/>
    <w:uiPriority w:val="99"/>
    <w:semiHidden/>
    <w:unhideWhenUsed/>
    <w:rsid w:val="008F5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1D"/>
    <w:rPr>
      <w:sz w:val="20"/>
      <w:szCs w:val="20"/>
    </w:rPr>
  </w:style>
  <w:style w:type="character" w:styleId="FootnoteReference">
    <w:name w:val="footnote reference"/>
    <w:basedOn w:val="DefaultParagraphFont"/>
    <w:uiPriority w:val="99"/>
    <w:semiHidden/>
    <w:unhideWhenUsed/>
    <w:rsid w:val="008F581D"/>
    <w:rPr>
      <w:vertAlign w:val="superscript"/>
    </w:rPr>
  </w:style>
  <w:style w:type="character" w:customStyle="1" w:styleId="Heading2Char">
    <w:name w:val="Heading 2 Char"/>
    <w:basedOn w:val="DefaultParagraphFont"/>
    <w:link w:val="Heading2"/>
    <w:uiPriority w:val="9"/>
    <w:rsid w:val="009667D0"/>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666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21">
      <w:bodyDiv w:val="1"/>
      <w:marLeft w:val="0"/>
      <w:marRight w:val="0"/>
      <w:marTop w:val="0"/>
      <w:marBottom w:val="0"/>
      <w:divBdr>
        <w:top w:val="none" w:sz="0" w:space="0" w:color="auto"/>
        <w:left w:val="none" w:sz="0" w:space="0" w:color="auto"/>
        <w:bottom w:val="none" w:sz="0" w:space="0" w:color="auto"/>
        <w:right w:val="none" w:sz="0" w:space="0" w:color="auto"/>
      </w:divBdr>
    </w:div>
    <w:div w:id="6336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2021-04-28T18:30:00+00:00</Judgment_x0020_Date>
    <Year xmlns="63bdd487-88aa-4c54-b893-ddaa81ed2e7c">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D01B-5BFD-4892-B2E1-221CFC3F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69A9-51A7-4022-B37B-8B05696420D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33701B55-BFD4-49F2-87B0-391600AC273F}">
  <ds:schemaRefs>
    <ds:schemaRef ds:uri="http://schemas.microsoft.com/sharepoint/v3/contenttype/forms"/>
  </ds:schemaRefs>
</ds:datastoreItem>
</file>

<file path=customXml/itemProps4.xml><?xml version="1.0" encoding="utf-8"?>
<ds:datastoreItem xmlns:ds="http://schemas.openxmlformats.org/officeDocument/2006/customXml" ds:itemID="{9F2111E1-D94D-469A-A9C3-F8F1C853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Government of the Republic of Namibia v Namibia National Teachers Union</vt:lpstr>
    </vt:vector>
  </TitlesOfParts>
  <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v Namibia National Teachers Union</dc:title>
  <dc:subject/>
  <dc:creator>Juboltine Risuro</dc:creator>
  <cp:keywords/>
  <dc:description/>
  <cp:lastModifiedBy>HOME</cp:lastModifiedBy>
  <cp:revision>2</cp:revision>
  <cp:lastPrinted>2021-04-26T10:28:00Z</cp:lastPrinted>
  <dcterms:created xsi:type="dcterms:W3CDTF">2021-07-08T14:04:00Z</dcterms:created>
  <dcterms:modified xsi:type="dcterms:W3CDTF">2021-07-08T14:04:00Z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