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bookmarkStart w:id="0" w:name="_GoBack"/>
      <w:bookmarkEnd w:id="0"/>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3E29A9B8" wp14:editId="5F60D787">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rsidR="008C3367" w:rsidRPr="001C25CA" w:rsidRDefault="008C3367" w:rsidP="008C3367">
      <w:pPr>
        <w:spacing w:line="480" w:lineRule="auto"/>
        <w:ind w:left="1701"/>
        <w:jc w:val="right"/>
        <w:rPr>
          <w:rFonts w:ascii="Arial" w:hAnsi="Arial" w:cs="Arial"/>
          <w:b/>
          <w:sz w:val="24"/>
          <w:szCs w:val="24"/>
        </w:rPr>
      </w:pPr>
      <w:r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FF1FFC">
        <w:rPr>
          <w:rFonts w:ascii="Arial" w:hAnsi="Arial" w:cs="Arial"/>
          <w:sz w:val="24"/>
          <w:szCs w:val="24"/>
        </w:rPr>
        <w:t>70</w:t>
      </w:r>
      <w:r w:rsidRPr="001C25CA">
        <w:rPr>
          <w:rFonts w:ascii="Arial" w:hAnsi="Arial" w:cs="Arial"/>
          <w:sz w:val="24"/>
          <w:szCs w:val="24"/>
        </w:rPr>
        <w:t>/2</w:t>
      </w:r>
      <w:r w:rsidR="00CD0281">
        <w:rPr>
          <w:rFonts w:ascii="Arial" w:hAnsi="Arial" w:cs="Arial"/>
          <w:sz w:val="24"/>
          <w:szCs w:val="24"/>
        </w:rPr>
        <w:t>0</w:t>
      </w:r>
      <w:r w:rsidR="00FF1FFC">
        <w:rPr>
          <w:rFonts w:ascii="Arial" w:hAnsi="Arial" w:cs="Arial"/>
          <w:sz w:val="24"/>
          <w:szCs w:val="24"/>
        </w:rPr>
        <w:t>19</w:t>
      </w:r>
    </w:p>
    <w:p w:rsidR="00105960" w:rsidRPr="001C25CA" w:rsidRDefault="00105960"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3E3B58" w:rsidRDefault="003E3B58" w:rsidP="00B40CD3">
      <w:pPr>
        <w:spacing w:line="240" w:lineRule="auto"/>
        <w:jc w:val="both"/>
        <w:rPr>
          <w:rFonts w:ascii="Arial" w:hAnsi="Arial" w:cs="Arial"/>
          <w:sz w:val="24"/>
          <w:szCs w:val="24"/>
        </w:rPr>
      </w:pPr>
    </w:p>
    <w:p w:rsidR="008C3367" w:rsidRPr="00E43FB9" w:rsidRDefault="008C3367" w:rsidP="00B40CD3">
      <w:pPr>
        <w:spacing w:line="240" w:lineRule="auto"/>
        <w:jc w:val="both"/>
        <w:rPr>
          <w:rFonts w:ascii="Arial" w:hAnsi="Arial" w:cs="Arial"/>
          <w:sz w:val="24"/>
          <w:szCs w:val="24"/>
        </w:rPr>
      </w:pPr>
      <w:r w:rsidRPr="00E43FB9">
        <w:rPr>
          <w:rFonts w:ascii="Arial" w:hAnsi="Arial" w:cs="Arial"/>
          <w:sz w:val="24"/>
          <w:szCs w:val="24"/>
        </w:rPr>
        <w:t>In the matter between:</w:t>
      </w:r>
    </w:p>
    <w:p w:rsidR="00396B62" w:rsidRPr="00E43FB9" w:rsidRDefault="00396B62"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E43FB9" w:rsidTr="00B40CD3">
        <w:tc>
          <w:tcPr>
            <w:tcW w:w="6204" w:type="dxa"/>
            <w:shd w:val="clear" w:color="auto" w:fill="auto"/>
          </w:tcPr>
          <w:p w:rsidR="002212AD" w:rsidRPr="00E43FB9" w:rsidRDefault="00FF1FFC" w:rsidP="003E3B58">
            <w:pPr>
              <w:pStyle w:val="NoSpacing"/>
              <w:spacing w:line="360" w:lineRule="auto"/>
              <w:ind w:left="142"/>
              <w:rPr>
                <w:rFonts w:ascii="Arial" w:hAnsi="Arial" w:cs="Arial"/>
                <w:b/>
                <w:sz w:val="24"/>
                <w:szCs w:val="24"/>
              </w:rPr>
            </w:pPr>
            <w:r>
              <w:rPr>
                <w:rFonts w:ascii="Arial" w:hAnsi="Arial" w:cs="Arial"/>
                <w:b/>
                <w:sz w:val="24"/>
                <w:szCs w:val="24"/>
              </w:rPr>
              <w:t>MUNICIPAL COUNCIL OF WINDHOEK</w:t>
            </w:r>
          </w:p>
        </w:tc>
        <w:tc>
          <w:tcPr>
            <w:tcW w:w="3011" w:type="dxa"/>
            <w:shd w:val="clear" w:color="auto" w:fill="auto"/>
          </w:tcPr>
          <w:p w:rsidR="008C3367" w:rsidRPr="00E43FB9" w:rsidRDefault="008C3367" w:rsidP="00161C35">
            <w:pPr>
              <w:pStyle w:val="NoSpacing"/>
              <w:spacing w:line="360" w:lineRule="auto"/>
              <w:jc w:val="right"/>
              <w:rPr>
                <w:rFonts w:ascii="Arial" w:hAnsi="Arial" w:cs="Arial"/>
                <w:b/>
                <w:sz w:val="24"/>
                <w:szCs w:val="24"/>
              </w:rPr>
            </w:pPr>
            <w:r w:rsidRPr="00E43FB9">
              <w:rPr>
                <w:rFonts w:ascii="Arial" w:hAnsi="Arial" w:cs="Arial"/>
                <w:b/>
                <w:sz w:val="24"/>
                <w:szCs w:val="24"/>
              </w:rPr>
              <w:t>Appellant</w:t>
            </w:r>
          </w:p>
        </w:tc>
      </w:tr>
      <w:tr w:rsidR="00AF326F" w:rsidRPr="00E43FB9" w:rsidTr="00B40CD3">
        <w:tc>
          <w:tcPr>
            <w:tcW w:w="6204" w:type="dxa"/>
            <w:shd w:val="clear" w:color="auto" w:fill="auto"/>
          </w:tcPr>
          <w:p w:rsidR="00AF326F" w:rsidRPr="00E43FB9" w:rsidRDefault="00AF326F" w:rsidP="003E3B58">
            <w:pPr>
              <w:pStyle w:val="NoSpacing"/>
              <w:spacing w:line="360" w:lineRule="auto"/>
              <w:ind w:left="142"/>
              <w:rPr>
                <w:rFonts w:ascii="Arial" w:hAnsi="Arial" w:cs="Arial"/>
                <w:b/>
                <w:sz w:val="24"/>
                <w:szCs w:val="24"/>
              </w:rPr>
            </w:pPr>
          </w:p>
        </w:tc>
        <w:tc>
          <w:tcPr>
            <w:tcW w:w="3011" w:type="dxa"/>
            <w:shd w:val="clear" w:color="auto" w:fill="auto"/>
          </w:tcPr>
          <w:p w:rsidR="00AF326F" w:rsidRPr="00E43FB9" w:rsidRDefault="00AF326F" w:rsidP="00161C35">
            <w:pPr>
              <w:pStyle w:val="NoSpacing"/>
              <w:spacing w:line="360" w:lineRule="auto"/>
              <w:rPr>
                <w:rFonts w:ascii="Arial" w:hAnsi="Arial" w:cs="Arial"/>
                <w:b/>
                <w:sz w:val="24"/>
                <w:szCs w:val="24"/>
              </w:rPr>
            </w:pPr>
          </w:p>
        </w:tc>
      </w:tr>
      <w:tr w:rsidR="008C3367" w:rsidRPr="00E43FB9" w:rsidTr="00B40CD3">
        <w:tc>
          <w:tcPr>
            <w:tcW w:w="6204" w:type="dxa"/>
            <w:shd w:val="clear" w:color="auto" w:fill="auto"/>
          </w:tcPr>
          <w:p w:rsidR="008C3367" w:rsidRPr="00E43FB9" w:rsidRDefault="00EC3664" w:rsidP="003E3B58">
            <w:pPr>
              <w:pStyle w:val="NoSpacing"/>
              <w:spacing w:line="360" w:lineRule="auto"/>
              <w:ind w:left="142"/>
              <w:rPr>
                <w:rFonts w:ascii="Arial" w:hAnsi="Arial" w:cs="Arial"/>
                <w:sz w:val="24"/>
                <w:szCs w:val="24"/>
              </w:rPr>
            </w:pPr>
            <w:r>
              <w:rPr>
                <w:rFonts w:ascii="Arial" w:hAnsi="Arial" w:cs="Arial"/>
                <w:sz w:val="24"/>
                <w:szCs w:val="24"/>
              </w:rPr>
              <w:t>a</w:t>
            </w:r>
            <w:r w:rsidR="008C3367" w:rsidRPr="00E43FB9">
              <w:rPr>
                <w:rFonts w:ascii="Arial" w:hAnsi="Arial" w:cs="Arial"/>
                <w:sz w:val="24"/>
                <w:szCs w:val="24"/>
              </w:rPr>
              <w:t>nd</w:t>
            </w:r>
          </w:p>
        </w:tc>
        <w:tc>
          <w:tcPr>
            <w:tcW w:w="3011" w:type="dxa"/>
            <w:shd w:val="clear" w:color="auto" w:fill="auto"/>
          </w:tcPr>
          <w:p w:rsidR="008C3367" w:rsidRPr="00E43FB9" w:rsidRDefault="008C3367" w:rsidP="00161C35">
            <w:pPr>
              <w:pStyle w:val="NoSpacing"/>
              <w:spacing w:line="360" w:lineRule="auto"/>
              <w:rPr>
                <w:rFonts w:ascii="Arial" w:hAnsi="Arial" w:cs="Arial"/>
                <w:sz w:val="24"/>
                <w:szCs w:val="24"/>
              </w:rPr>
            </w:pPr>
          </w:p>
        </w:tc>
      </w:tr>
      <w:tr w:rsidR="008C3367" w:rsidRPr="00E43FB9" w:rsidTr="00B40CD3">
        <w:tc>
          <w:tcPr>
            <w:tcW w:w="6204" w:type="dxa"/>
            <w:shd w:val="clear" w:color="auto" w:fill="auto"/>
          </w:tcPr>
          <w:p w:rsidR="008C3367" w:rsidRPr="00E43FB9" w:rsidRDefault="008C3367" w:rsidP="00161C35">
            <w:pPr>
              <w:pStyle w:val="NoSpacing"/>
              <w:spacing w:line="360" w:lineRule="auto"/>
              <w:rPr>
                <w:rFonts w:ascii="Arial" w:hAnsi="Arial" w:cs="Arial"/>
                <w:b/>
                <w:sz w:val="24"/>
                <w:szCs w:val="24"/>
              </w:rPr>
            </w:pPr>
          </w:p>
        </w:tc>
        <w:tc>
          <w:tcPr>
            <w:tcW w:w="3011" w:type="dxa"/>
            <w:shd w:val="clear" w:color="auto" w:fill="auto"/>
          </w:tcPr>
          <w:p w:rsidR="008C3367" w:rsidRPr="00E43FB9" w:rsidRDefault="008C3367" w:rsidP="00161C35">
            <w:pPr>
              <w:pStyle w:val="NoSpacing"/>
              <w:spacing w:line="360" w:lineRule="auto"/>
              <w:rPr>
                <w:rFonts w:ascii="Arial" w:hAnsi="Arial" w:cs="Arial"/>
                <w:b/>
                <w:sz w:val="24"/>
                <w:szCs w:val="24"/>
              </w:rPr>
            </w:pPr>
          </w:p>
        </w:tc>
      </w:tr>
      <w:tr w:rsidR="008C3367" w:rsidRPr="00E43FB9" w:rsidTr="00B40CD3">
        <w:tc>
          <w:tcPr>
            <w:tcW w:w="6204" w:type="dxa"/>
            <w:shd w:val="clear" w:color="auto" w:fill="auto"/>
          </w:tcPr>
          <w:p w:rsidR="00C27754" w:rsidRPr="00E43FB9" w:rsidRDefault="00FF1FFC" w:rsidP="003E3B58">
            <w:pPr>
              <w:pStyle w:val="NoSpacing"/>
              <w:spacing w:line="480" w:lineRule="auto"/>
              <w:ind w:firstLine="142"/>
              <w:rPr>
                <w:rFonts w:ascii="Arial" w:hAnsi="Arial" w:cs="Arial"/>
                <w:b/>
                <w:sz w:val="24"/>
                <w:szCs w:val="24"/>
              </w:rPr>
            </w:pPr>
            <w:r>
              <w:rPr>
                <w:rFonts w:ascii="Arial" w:hAnsi="Arial" w:cs="Arial"/>
                <w:b/>
                <w:sz w:val="24"/>
                <w:szCs w:val="24"/>
              </w:rPr>
              <w:t>PIONEERSPARK DAM INVESTMENT CC</w:t>
            </w:r>
          </w:p>
        </w:tc>
        <w:tc>
          <w:tcPr>
            <w:tcW w:w="3011" w:type="dxa"/>
            <w:shd w:val="clear" w:color="auto" w:fill="auto"/>
          </w:tcPr>
          <w:p w:rsidR="00584213" w:rsidRPr="00E43FB9" w:rsidRDefault="00584213" w:rsidP="001C73CA">
            <w:pPr>
              <w:pStyle w:val="NoSpacing"/>
              <w:spacing w:line="480" w:lineRule="auto"/>
              <w:jc w:val="right"/>
              <w:rPr>
                <w:rFonts w:ascii="Arial" w:hAnsi="Arial" w:cs="Arial"/>
                <w:b/>
                <w:sz w:val="24"/>
                <w:szCs w:val="24"/>
              </w:rPr>
            </w:pPr>
            <w:r w:rsidRPr="00E43FB9">
              <w:rPr>
                <w:rFonts w:ascii="Arial" w:hAnsi="Arial" w:cs="Arial"/>
                <w:b/>
                <w:sz w:val="24"/>
                <w:szCs w:val="24"/>
              </w:rPr>
              <w:t>Respondent</w:t>
            </w:r>
          </w:p>
        </w:tc>
      </w:tr>
    </w:tbl>
    <w:p w:rsidR="00B46340" w:rsidRDefault="00B46340" w:rsidP="00B40CD3">
      <w:pPr>
        <w:spacing w:line="240" w:lineRule="auto"/>
        <w:ind w:left="-142" w:firstLine="142"/>
        <w:jc w:val="both"/>
        <w:rPr>
          <w:rFonts w:ascii="Arial" w:hAnsi="Arial" w:cs="Arial"/>
          <w:b/>
          <w:sz w:val="24"/>
          <w:szCs w:val="24"/>
        </w:rPr>
      </w:pPr>
    </w:p>
    <w:p w:rsidR="00EC4B35" w:rsidRDefault="00EC4B35" w:rsidP="00161C35">
      <w:pPr>
        <w:spacing w:line="240" w:lineRule="auto"/>
        <w:jc w:val="both"/>
        <w:rPr>
          <w:rFonts w:ascii="Arial" w:hAnsi="Arial" w:cs="Arial"/>
          <w:b/>
          <w:sz w:val="24"/>
          <w:szCs w:val="24"/>
        </w:rPr>
      </w:pPr>
    </w:p>
    <w:p w:rsidR="008C3367" w:rsidRPr="00E43FB9" w:rsidRDefault="008C3367" w:rsidP="00161C35">
      <w:pPr>
        <w:spacing w:line="240" w:lineRule="auto"/>
        <w:jc w:val="both"/>
        <w:rPr>
          <w:rFonts w:ascii="Arial" w:hAnsi="Arial" w:cs="Arial"/>
          <w:sz w:val="24"/>
          <w:szCs w:val="24"/>
        </w:rPr>
      </w:pPr>
      <w:r w:rsidRPr="00E43FB9">
        <w:rPr>
          <w:rFonts w:ascii="Arial" w:hAnsi="Arial" w:cs="Arial"/>
          <w:b/>
          <w:sz w:val="24"/>
          <w:szCs w:val="24"/>
        </w:rPr>
        <w:t>Coram:</w:t>
      </w:r>
      <w:r w:rsidRPr="00E43FB9">
        <w:rPr>
          <w:rFonts w:ascii="Arial" w:hAnsi="Arial" w:cs="Arial"/>
          <w:sz w:val="24"/>
          <w:szCs w:val="24"/>
        </w:rPr>
        <w:tab/>
      </w:r>
      <w:r w:rsidRPr="00E43FB9">
        <w:rPr>
          <w:rFonts w:ascii="Arial" w:hAnsi="Arial" w:cs="Arial"/>
          <w:sz w:val="24"/>
          <w:szCs w:val="24"/>
        </w:rPr>
        <w:tab/>
      </w:r>
      <w:r w:rsidR="00BA6DC9">
        <w:rPr>
          <w:rFonts w:ascii="Arial" w:hAnsi="Arial" w:cs="Arial"/>
          <w:sz w:val="24"/>
          <w:szCs w:val="24"/>
        </w:rPr>
        <w:t xml:space="preserve">SHIVUTE CJ, </w:t>
      </w:r>
      <w:r w:rsidR="00FF1FFC">
        <w:rPr>
          <w:rFonts w:ascii="Arial" w:hAnsi="Arial" w:cs="Arial"/>
          <w:sz w:val="24"/>
          <w:szCs w:val="24"/>
        </w:rPr>
        <w:t xml:space="preserve">SMUTS JA </w:t>
      </w:r>
      <w:r w:rsidR="00C27754">
        <w:rPr>
          <w:rFonts w:ascii="Arial" w:hAnsi="Arial" w:cs="Arial"/>
          <w:sz w:val="24"/>
          <w:szCs w:val="24"/>
        </w:rPr>
        <w:t xml:space="preserve">and </w:t>
      </w:r>
      <w:r w:rsidR="00FF1FFC">
        <w:rPr>
          <w:rFonts w:ascii="Arial" w:hAnsi="Arial" w:cs="Arial"/>
          <w:sz w:val="24"/>
          <w:szCs w:val="24"/>
        </w:rPr>
        <w:t>FRANK AJA</w:t>
      </w:r>
    </w:p>
    <w:p w:rsidR="008C3367" w:rsidRPr="00E43FB9" w:rsidRDefault="008C3367" w:rsidP="00161C35">
      <w:pPr>
        <w:spacing w:line="240" w:lineRule="auto"/>
        <w:jc w:val="both"/>
        <w:rPr>
          <w:rFonts w:ascii="Arial" w:hAnsi="Arial" w:cs="Arial"/>
          <w:b/>
          <w:sz w:val="24"/>
          <w:szCs w:val="24"/>
        </w:rPr>
      </w:pPr>
      <w:r w:rsidRPr="00E43FB9">
        <w:rPr>
          <w:rFonts w:ascii="Arial" w:hAnsi="Arial" w:cs="Arial"/>
          <w:b/>
          <w:sz w:val="24"/>
          <w:szCs w:val="24"/>
        </w:rPr>
        <w:t>Heard:</w:t>
      </w:r>
      <w:r w:rsidRPr="00E43FB9">
        <w:rPr>
          <w:rFonts w:ascii="Arial" w:hAnsi="Arial" w:cs="Arial"/>
          <w:b/>
          <w:sz w:val="24"/>
          <w:szCs w:val="24"/>
        </w:rPr>
        <w:tab/>
      </w:r>
      <w:r w:rsidRPr="00E43FB9">
        <w:rPr>
          <w:rFonts w:ascii="Arial" w:hAnsi="Arial" w:cs="Arial"/>
          <w:b/>
          <w:sz w:val="24"/>
          <w:szCs w:val="24"/>
        </w:rPr>
        <w:tab/>
      </w:r>
      <w:r w:rsidR="00FF1FFC">
        <w:rPr>
          <w:rFonts w:ascii="Arial" w:hAnsi="Arial" w:cs="Arial"/>
          <w:b/>
          <w:sz w:val="24"/>
          <w:szCs w:val="24"/>
        </w:rPr>
        <w:t>3 June</w:t>
      </w:r>
      <w:r w:rsidR="003C276A" w:rsidRPr="00E43FB9">
        <w:rPr>
          <w:rFonts w:ascii="Arial" w:hAnsi="Arial" w:cs="Arial"/>
          <w:b/>
          <w:sz w:val="24"/>
          <w:szCs w:val="24"/>
        </w:rPr>
        <w:t xml:space="preserve"> 20</w:t>
      </w:r>
      <w:r w:rsidR="000B1CCA">
        <w:rPr>
          <w:rFonts w:ascii="Arial" w:hAnsi="Arial" w:cs="Arial"/>
          <w:b/>
          <w:sz w:val="24"/>
          <w:szCs w:val="24"/>
        </w:rPr>
        <w:t>21</w:t>
      </w:r>
    </w:p>
    <w:p w:rsidR="008C3367" w:rsidRPr="001C25CA" w:rsidRDefault="008C3367" w:rsidP="00161C35">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DA03C5">
        <w:rPr>
          <w:rFonts w:ascii="Arial" w:hAnsi="Arial" w:cs="Arial"/>
          <w:b/>
          <w:sz w:val="24"/>
          <w:szCs w:val="24"/>
        </w:rPr>
        <w:t>23 June 2021</w:t>
      </w:r>
    </w:p>
    <w:p w:rsidR="005E1AF8" w:rsidRDefault="005E1AF8" w:rsidP="000B1CCA">
      <w:pPr>
        <w:spacing w:after="0" w:line="360" w:lineRule="auto"/>
        <w:jc w:val="both"/>
        <w:rPr>
          <w:rFonts w:ascii="Arial" w:hAnsi="Arial" w:cs="Arial"/>
          <w:b/>
          <w:sz w:val="24"/>
          <w:szCs w:val="24"/>
          <w:lang w:val="en-GB"/>
        </w:rPr>
      </w:pPr>
    </w:p>
    <w:p w:rsidR="00E25B8B" w:rsidRPr="00B31AF4" w:rsidRDefault="00E25B8B" w:rsidP="00E25B8B">
      <w:pPr>
        <w:pStyle w:val="NoSpacing"/>
        <w:spacing w:line="360" w:lineRule="auto"/>
        <w:jc w:val="both"/>
        <w:rPr>
          <w:rFonts w:ascii="Arial" w:hAnsi="Arial" w:cs="Arial"/>
          <w:sz w:val="24"/>
          <w:szCs w:val="24"/>
          <w:shd w:val="clear" w:color="auto" w:fill="FFFFFF"/>
        </w:rPr>
      </w:pPr>
      <w:r w:rsidRPr="00B31AF4">
        <w:rPr>
          <w:rFonts w:ascii="Arial" w:hAnsi="Arial" w:cs="Arial"/>
          <w:b/>
          <w:sz w:val="24"/>
          <w:szCs w:val="24"/>
        </w:rPr>
        <w:t>Summary:</w:t>
      </w:r>
      <w:r w:rsidRPr="00B31AF4">
        <w:rPr>
          <w:rFonts w:ascii="Arial" w:hAnsi="Arial" w:cs="Arial"/>
          <w:b/>
          <w:sz w:val="24"/>
          <w:szCs w:val="24"/>
        </w:rPr>
        <w:tab/>
      </w:r>
      <w:r w:rsidRPr="00B31AF4">
        <w:rPr>
          <w:rFonts w:ascii="Arial" w:hAnsi="Arial" w:cs="Arial"/>
          <w:sz w:val="24"/>
          <w:szCs w:val="24"/>
          <w:shd w:val="clear" w:color="auto" w:fill="FFFFFF"/>
        </w:rPr>
        <w:t xml:space="preserve">The appeal concerns an application to amend which was refused by the High Court. The parties in this matter entered into a lease agreement on 17 March 2003. The appellant purported to cancel the agreement and the respondent instituted an action in 2015 founded upon an alleged breach in the form of a repudiation in which damages in the sum of </w:t>
      </w:r>
      <w:r w:rsidR="009D6D67">
        <w:rPr>
          <w:rFonts w:ascii="Arial" w:hAnsi="Arial" w:cs="Arial"/>
          <w:sz w:val="24"/>
          <w:szCs w:val="24"/>
          <w:shd w:val="clear" w:color="auto" w:fill="FFFFFF"/>
        </w:rPr>
        <w:t>N</w:t>
      </w:r>
      <w:r w:rsidRPr="00B31AF4">
        <w:rPr>
          <w:rFonts w:ascii="Arial" w:hAnsi="Arial" w:cs="Arial"/>
          <w:sz w:val="24"/>
          <w:szCs w:val="24"/>
          <w:shd w:val="clear" w:color="auto" w:fill="FFFFFF"/>
        </w:rPr>
        <w:t xml:space="preserve">$101 493 807 are claimed. After pleadings were closed, the appellant served and filed a notice to amend (dated 11 March 2016) after making </w:t>
      </w:r>
      <w:r w:rsidR="00B31AF4" w:rsidRPr="00B31AF4">
        <w:rPr>
          <w:rFonts w:ascii="Arial" w:hAnsi="Arial" w:cs="Arial"/>
          <w:sz w:val="24"/>
          <w:szCs w:val="24"/>
          <w:shd w:val="clear" w:color="auto" w:fill="FFFFFF"/>
        </w:rPr>
        <w:t xml:space="preserve">known </w:t>
      </w:r>
      <w:r w:rsidRPr="00B31AF4">
        <w:rPr>
          <w:rFonts w:ascii="Arial" w:hAnsi="Arial" w:cs="Arial"/>
          <w:sz w:val="24"/>
          <w:szCs w:val="24"/>
          <w:shd w:val="clear" w:color="auto" w:fill="FFFFFF"/>
        </w:rPr>
        <w:t>its intention to do so in a case management report which report was made an order of court. The respondent objected to this notice to amend. The appellant however failed to launch its application to amend in the time</w:t>
      </w:r>
      <w:r w:rsidR="00476925">
        <w:rPr>
          <w:rFonts w:ascii="Arial" w:hAnsi="Arial" w:cs="Arial"/>
          <w:sz w:val="24"/>
          <w:szCs w:val="24"/>
          <w:shd w:val="clear" w:color="auto" w:fill="FFFFFF"/>
        </w:rPr>
        <w:t xml:space="preserve"> period provided for in rule 52</w:t>
      </w:r>
      <w:r w:rsidRPr="00B31AF4">
        <w:rPr>
          <w:rFonts w:ascii="Arial" w:hAnsi="Arial" w:cs="Arial"/>
          <w:sz w:val="24"/>
          <w:szCs w:val="24"/>
          <w:shd w:val="clear" w:color="auto" w:fill="FFFFFF"/>
        </w:rPr>
        <w:t xml:space="preserve">(4) of the High Court Rules. On 7 July 2016 when the </w:t>
      </w:r>
      <w:r w:rsidRPr="00B31AF4">
        <w:rPr>
          <w:rFonts w:ascii="Arial" w:hAnsi="Arial" w:cs="Arial"/>
          <w:sz w:val="24"/>
          <w:szCs w:val="24"/>
          <w:shd w:val="clear" w:color="auto" w:fill="FFFFFF"/>
        </w:rPr>
        <w:lastRenderedPageBreak/>
        <w:t xml:space="preserve">matter was called for a pre-trial conference, the appellant gave notice in a status report that it intended to further amend its plea, despite not having applied to amend its plea after the objection to its 11 March 2016 notice. The appellant was put on terms to file a ‘proper’ application </w:t>
      </w:r>
      <w:r w:rsidR="00B31AF4">
        <w:rPr>
          <w:rFonts w:ascii="Arial" w:hAnsi="Arial" w:cs="Arial"/>
          <w:sz w:val="24"/>
          <w:szCs w:val="24"/>
          <w:shd w:val="clear" w:color="auto" w:fill="FFFFFF"/>
        </w:rPr>
        <w:t>to amend by 20 September 2016. I</w:t>
      </w:r>
      <w:r w:rsidRPr="00B31AF4">
        <w:rPr>
          <w:rFonts w:ascii="Arial" w:hAnsi="Arial" w:cs="Arial"/>
          <w:sz w:val="24"/>
          <w:szCs w:val="24"/>
          <w:shd w:val="clear" w:color="auto" w:fill="FFFFFF"/>
        </w:rPr>
        <w:t xml:space="preserve">t proceeded to file a notice of motion seeking the granting of the amendments sought in the second notice (raising </w:t>
      </w:r>
      <w:r w:rsidRPr="00B31AF4">
        <w:rPr>
          <w:rFonts w:ascii="Arial" w:hAnsi="Arial" w:cs="Arial"/>
          <w:sz w:val="24"/>
          <w:szCs w:val="24"/>
        </w:rPr>
        <w:t xml:space="preserve">the same two defences contained in the earlier notice – ie that the lease agreement was void </w:t>
      </w:r>
      <w:r w:rsidRPr="00B31AF4">
        <w:rPr>
          <w:rFonts w:ascii="Arial" w:hAnsi="Arial" w:cs="Arial"/>
          <w:i/>
          <w:sz w:val="24"/>
          <w:szCs w:val="24"/>
        </w:rPr>
        <w:t>ab initio</w:t>
      </w:r>
      <w:r w:rsidRPr="00B31AF4">
        <w:rPr>
          <w:rFonts w:ascii="Arial" w:hAnsi="Arial" w:cs="Arial"/>
          <w:sz w:val="24"/>
          <w:szCs w:val="24"/>
        </w:rPr>
        <w:t xml:space="preserve"> because the municipal council resolution had not approved entering</w:t>
      </w:r>
      <w:r w:rsidR="00476925">
        <w:rPr>
          <w:rFonts w:ascii="Arial" w:hAnsi="Arial" w:cs="Arial"/>
          <w:sz w:val="24"/>
          <w:szCs w:val="24"/>
        </w:rPr>
        <w:t xml:space="preserve"> into</w:t>
      </w:r>
      <w:r w:rsidRPr="00B31AF4">
        <w:rPr>
          <w:rFonts w:ascii="Arial" w:hAnsi="Arial" w:cs="Arial"/>
          <w:sz w:val="24"/>
          <w:szCs w:val="24"/>
        </w:rPr>
        <w:t xml:space="preserve"> an agreement with the respondent but rather with a ce</w:t>
      </w:r>
      <w:r w:rsidR="00DA03C5">
        <w:rPr>
          <w:rFonts w:ascii="Arial" w:hAnsi="Arial" w:cs="Arial"/>
          <w:sz w:val="24"/>
          <w:szCs w:val="24"/>
        </w:rPr>
        <w:t>rtain Mr Mouton; and, that s 63</w:t>
      </w:r>
      <w:r w:rsidRPr="00B31AF4">
        <w:rPr>
          <w:rFonts w:ascii="Arial" w:hAnsi="Arial" w:cs="Arial"/>
          <w:sz w:val="24"/>
          <w:szCs w:val="24"/>
        </w:rPr>
        <w:t>(2)</w:t>
      </w:r>
      <w:r w:rsidRPr="00B31AF4">
        <w:rPr>
          <w:rFonts w:ascii="Arial" w:hAnsi="Arial" w:cs="Arial"/>
          <w:i/>
          <w:sz w:val="24"/>
          <w:szCs w:val="24"/>
        </w:rPr>
        <w:t>(b)</w:t>
      </w:r>
      <w:r w:rsidRPr="00B31AF4">
        <w:rPr>
          <w:rFonts w:ascii="Arial" w:hAnsi="Arial" w:cs="Arial"/>
          <w:sz w:val="24"/>
          <w:szCs w:val="24"/>
        </w:rPr>
        <w:t xml:space="preserve"> of the Local Authorities Act 23 of 1992 as amended had not been complied with</w:t>
      </w:r>
      <w:r w:rsidR="00B31AF4">
        <w:rPr>
          <w:rFonts w:ascii="Arial" w:hAnsi="Arial" w:cs="Arial"/>
          <w:sz w:val="24"/>
          <w:szCs w:val="24"/>
        </w:rPr>
        <w:t>,</w:t>
      </w:r>
      <w:r w:rsidRPr="00B31AF4">
        <w:rPr>
          <w:rFonts w:ascii="Arial" w:hAnsi="Arial" w:cs="Arial"/>
          <w:sz w:val="24"/>
          <w:szCs w:val="24"/>
        </w:rPr>
        <w:t xml:space="preserve"> resulting in an illegality).</w:t>
      </w:r>
      <w:r w:rsidRPr="00B31AF4">
        <w:rPr>
          <w:rFonts w:ascii="Arial" w:hAnsi="Arial" w:cs="Arial"/>
          <w:sz w:val="24"/>
          <w:szCs w:val="24"/>
          <w:shd w:val="clear" w:color="auto" w:fill="FFFFFF"/>
        </w:rPr>
        <w:t xml:space="preserve"> The notice of motion was however not accompanied by an affidavit and appellant contended - citing a South African authority - that it did not intend to file an affidavit after the court enquired. The respondent again objected </w:t>
      </w:r>
      <w:r w:rsidR="00D36061">
        <w:rPr>
          <w:rFonts w:ascii="Arial" w:hAnsi="Arial" w:cs="Arial"/>
          <w:sz w:val="24"/>
          <w:szCs w:val="24"/>
          <w:shd w:val="clear" w:color="auto" w:fill="FFFFFF"/>
        </w:rPr>
        <w:t xml:space="preserve">to </w:t>
      </w:r>
      <w:r w:rsidRPr="00B31AF4">
        <w:rPr>
          <w:rFonts w:ascii="Arial" w:hAnsi="Arial" w:cs="Arial"/>
          <w:sz w:val="24"/>
          <w:szCs w:val="24"/>
          <w:shd w:val="clear" w:color="auto" w:fill="FFFFFF"/>
        </w:rPr>
        <w:t>this application.</w:t>
      </w:r>
    </w:p>
    <w:p w:rsidR="00E25B8B" w:rsidRPr="00B31AF4" w:rsidRDefault="00E25B8B" w:rsidP="00E25B8B">
      <w:pPr>
        <w:pStyle w:val="NoSpacing"/>
        <w:spacing w:line="360" w:lineRule="auto"/>
        <w:jc w:val="both"/>
        <w:rPr>
          <w:rFonts w:ascii="Arial" w:hAnsi="Arial" w:cs="Arial"/>
          <w:sz w:val="24"/>
          <w:szCs w:val="24"/>
        </w:rPr>
      </w:pPr>
    </w:p>
    <w:p w:rsidR="00E25B8B" w:rsidRPr="00B31AF4" w:rsidRDefault="00E25B8B" w:rsidP="00E25B8B">
      <w:pPr>
        <w:pStyle w:val="NoSpacing"/>
        <w:spacing w:line="360" w:lineRule="auto"/>
        <w:jc w:val="both"/>
        <w:rPr>
          <w:rFonts w:ascii="Arial" w:hAnsi="Arial" w:cs="Arial"/>
          <w:sz w:val="24"/>
          <w:szCs w:val="24"/>
        </w:rPr>
      </w:pPr>
      <w:r w:rsidRPr="00B31AF4">
        <w:rPr>
          <w:rFonts w:ascii="Arial" w:hAnsi="Arial" w:cs="Arial"/>
          <w:sz w:val="24"/>
          <w:szCs w:val="24"/>
        </w:rPr>
        <w:t>The High Court</w:t>
      </w:r>
      <w:r w:rsidR="00B31AF4">
        <w:rPr>
          <w:rFonts w:ascii="Arial" w:hAnsi="Arial" w:cs="Arial"/>
          <w:sz w:val="24"/>
          <w:szCs w:val="24"/>
        </w:rPr>
        <w:t xml:space="preserve"> dismissed the application, agreeing</w:t>
      </w:r>
      <w:r w:rsidRPr="00B31AF4">
        <w:rPr>
          <w:rFonts w:ascii="Arial" w:hAnsi="Arial" w:cs="Arial"/>
          <w:sz w:val="24"/>
          <w:szCs w:val="24"/>
        </w:rPr>
        <w:t xml:space="preserve"> with the respondent’s argument that the appellant was </w:t>
      </w:r>
      <w:r w:rsidRPr="00B31AF4">
        <w:rPr>
          <w:rFonts w:ascii="Arial" w:hAnsi="Arial" w:cs="Arial"/>
          <w:i/>
          <w:sz w:val="24"/>
          <w:szCs w:val="24"/>
        </w:rPr>
        <w:t>functus officio</w:t>
      </w:r>
      <w:r w:rsidRPr="00B31AF4">
        <w:rPr>
          <w:rFonts w:ascii="Arial" w:hAnsi="Arial" w:cs="Arial"/>
          <w:sz w:val="24"/>
          <w:szCs w:val="24"/>
        </w:rPr>
        <w:t xml:space="preserve"> after it conveyed that it will no longer pursue the first notice to amend</w:t>
      </w:r>
      <w:r w:rsidR="00B31AF4">
        <w:rPr>
          <w:rFonts w:ascii="Arial" w:hAnsi="Arial" w:cs="Arial"/>
          <w:sz w:val="24"/>
          <w:szCs w:val="24"/>
        </w:rPr>
        <w:t>. T</w:t>
      </w:r>
      <w:r w:rsidRPr="00B31AF4">
        <w:rPr>
          <w:rFonts w:ascii="Arial" w:hAnsi="Arial" w:cs="Arial"/>
          <w:sz w:val="24"/>
          <w:szCs w:val="24"/>
        </w:rPr>
        <w:t xml:space="preserve">he court </w:t>
      </w:r>
      <w:r w:rsidRPr="00B31AF4">
        <w:rPr>
          <w:rFonts w:ascii="Arial" w:hAnsi="Arial" w:cs="Arial"/>
          <w:i/>
          <w:sz w:val="24"/>
          <w:szCs w:val="24"/>
        </w:rPr>
        <w:t>a quo</w:t>
      </w:r>
      <w:r w:rsidRPr="00B31AF4">
        <w:rPr>
          <w:rFonts w:ascii="Arial" w:hAnsi="Arial" w:cs="Arial"/>
          <w:sz w:val="24"/>
          <w:szCs w:val="24"/>
        </w:rPr>
        <w:t xml:space="preserve"> </w:t>
      </w:r>
      <w:r w:rsidR="00B31AF4">
        <w:rPr>
          <w:rFonts w:ascii="Arial" w:hAnsi="Arial" w:cs="Arial"/>
          <w:sz w:val="24"/>
          <w:szCs w:val="24"/>
        </w:rPr>
        <w:t xml:space="preserve">also </w:t>
      </w:r>
      <w:r w:rsidRPr="00B31AF4">
        <w:rPr>
          <w:rFonts w:ascii="Arial" w:hAnsi="Arial" w:cs="Arial"/>
          <w:sz w:val="24"/>
          <w:szCs w:val="24"/>
        </w:rPr>
        <w:t xml:space="preserve">found that the appellant was required to establish good cause why it should be entitled to revive its earlier notice to amend and that the appellant should have sought condonation for non-compliance with the rules. Further, the court </w:t>
      </w:r>
      <w:r w:rsidRPr="00B31AF4">
        <w:rPr>
          <w:rFonts w:ascii="Arial" w:hAnsi="Arial" w:cs="Arial"/>
          <w:i/>
          <w:sz w:val="24"/>
          <w:szCs w:val="24"/>
        </w:rPr>
        <w:t>a quo</w:t>
      </w:r>
      <w:r w:rsidRPr="00B31AF4">
        <w:rPr>
          <w:rFonts w:ascii="Arial" w:hAnsi="Arial" w:cs="Arial"/>
          <w:sz w:val="24"/>
          <w:szCs w:val="24"/>
        </w:rPr>
        <w:t xml:space="preserve"> found that once the agreement was signed by authorised signatories, the appellant could not rely on a lack of compliance with internal procedures by virtue of the deeming provision in s 31A of the Local Authorities Act. The High Court further found that a stumbling block to the proposed amendment was moreover the approach adopted in </w:t>
      </w:r>
      <w:r w:rsidR="00CE78C7">
        <w:rPr>
          <w:rFonts w:ascii="Arial" w:hAnsi="Arial" w:cs="Arial"/>
          <w:i/>
          <w:sz w:val="24"/>
          <w:szCs w:val="24"/>
        </w:rPr>
        <w:t>Oudekraal Estate (Pty) Ltd v City Cape Town &amp; others</w:t>
      </w:r>
      <w:r w:rsidR="00B31AF4" w:rsidRPr="00B31AF4">
        <w:rPr>
          <w:rStyle w:val="FootnoteReference"/>
          <w:rFonts w:ascii="Arial" w:hAnsi="Arial" w:cs="Arial"/>
          <w:sz w:val="24"/>
          <w:szCs w:val="24"/>
        </w:rPr>
        <w:footnoteReference w:id="1"/>
      </w:r>
      <w:r w:rsidRPr="00B31AF4">
        <w:rPr>
          <w:rFonts w:ascii="Arial" w:hAnsi="Arial" w:cs="Arial"/>
          <w:sz w:val="24"/>
          <w:szCs w:val="24"/>
        </w:rPr>
        <w:t xml:space="preserve"> and that the current dispute fell squarely within the principles determined in </w:t>
      </w:r>
      <w:r w:rsidRPr="00B31AF4">
        <w:rPr>
          <w:rFonts w:ascii="Arial" w:hAnsi="Arial" w:cs="Arial"/>
          <w:i/>
          <w:sz w:val="24"/>
          <w:szCs w:val="24"/>
        </w:rPr>
        <w:t>Oudekraal</w:t>
      </w:r>
      <w:r w:rsidRPr="00B31AF4">
        <w:rPr>
          <w:rFonts w:ascii="Arial" w:hAnsi="Arial" w:cs="Arial"/>
          <w:sz w:val="24"/>
          <w:szCs w:val="24"/>
        </w:rPr>
        <w:t>.</w:t>
      </w:r>
    </w:p>
    <w:p w:rsidR="00E25B8B" w:rsidRPr="00B31AF4" w:rsidRDefault="00E25B8B" w:rsidP="00E25B8B">
      <w:pPr>
        <w:pStyle w:val="NoSpacing"/>
        <w:spacing w:line="360" w:lineRule="auto"/>
        <w:jc w:val="both"/>
        <w:rPr>
          <w:rFonts w:ascii="Arial" w:hAnsi="Arial" w:cs="Arial"/>
          <w:i/>
          <w:sz w:val="24"/>
          <w:szCs w:val="24"/>
        </w:rPr>
      </w:pPr>
    </w:p>
    <w:p w:rsidR="00E25B8B" w:rsidRPr="00B31AF4" w:rsidRDefault="00E25B8B" w:rsidP="00E25B8B">
      <w:pPr>
        <w:pStyle w:val="NoSpacing"/>
        <w:spacing w:line="360" w:lineRule="auto"/>
        <w:jc w:val="both"/>
        <w:rPr>
          <w:rFonts w:ascii="Arial" w:hAnsi="Arial" w:cs="Arial"/>
          <w:sz w:val="24"/>
          <w:szCs w:val="24"/>
        </w:rPr>
      </w:pPr>
      <w:r w:rsidRPr="00B31AF4">
        <w:rPr>
          <w:rFonts w:ascii="Arial" w:hAnsi="Arial" w:cs="Arial"/>
          <w:sz w:val="24"/>
          <w:szCs w:val="24"/>
          <w:shd w:val="clear" w:color="auto" w:fill="FFFFFF"/>
        </w:rPr>
        <w:t>On appeal, the</w:t>
      </w:r>
      <w:r w:rsidR="00B31AF4">
        <w:rPr>
          <w:rFonts w:ascii="Arial" w:hAnsi="Arial" w:cs="Arial"/>
          <w:sz w:val="24"/>
          <w:szCs w:val="24"/>
          <w:shd w:val="clear" w:color="auto" w:fill="FFFFFF"/>
        </w:rPr>
        <w:t xml:space="preserve"> appellant had not filed security when required and </w:t>
      </w:r>
      <w:r w:rsidRPr="00B31AF4">
        <w:rPr>
          <w:rFonts w:ascii="Arial" w:hAnsi="Arial" w:cs="Arial"/>
          <w:sz w:val="24"/>
          <w:szCs w:val="24"/>
          <w:shd w:val="clear" w:color="auto" w:fill="FFFFFF"/>
        </w:rPr>
        <w:t>respondent raised a preliminary issue of security to be given in respect of appeals against interlocutory orders.</w:t>
      </w:r>
      <w:r w:rsidR="00B31AF4">
        <w:rPr>
          <w:rFonts w:ascii="Arial" w:hAnsi="Arial" w:cs="Arial"/>
          <w:sz w:val="24"/>
          <w:szCs w:val="24"/>
          <w:shd w:val="clear" w:color="auto" w:fill="FFFFFF"/>
        </w:rPr>
        <w:t xml:space="preserve"> The appellant filed a condonation </w:t>
      </w:r>
      <w:r w:rsidR="003D0BA5">
        <w:rPr>
          <w:rFonts w:ascii="Arial" w:hAnsi="Arial" w:cs="Arial"/>
          <w:sz w:val="24"/>
          <w:szCs w:val="24"/>
          <w:shd w:val="clear" w:color="auto" w:fill="FFFFFF"/>
        </w:rPr>
        <w:t xml:space="preserve">application </w:t>
      </w:r>
      <w:r w:rsidR="00B31AF4">
        <w:rPr>
          <w:rFonts w:ascii="Arial" w:hAnsi="Arial" w:cs="Arial"/>
          <w:sz w:val="24"/>
          <w:szCs w:val="24"/>
          <w:shd w:val="clear" w:color="auto" w:fill="FFFFFF"/>
        </w:rPr>
        <w:t>and also sought reinstatement of the appeal.</w:t>
      </w:r>
      <w:r w:rsidRPr="00B31AF4">
        <w:rPr>
          <w:rFonts w:ascii="Arial" w:hAnsi="Arial" w:cs="Arial"/>
          <w:sz w:val="24"/>
          <w:szCs w:val="24"/>
          <w:shd w:val="clear" w:color="auto" w:fill="FFFFFF"/>
        </w:rPr>
        <w:t xml:space="preserve"> </w:t>
      </w:r>
      <w:r w:rsidRPr="00B31AF4">
        <w:rPr>
          <w:rFonts w:ascii="Arial" w:hAnsi="Arial" w:cs="Arial"/>
          <w:sz w:val="24"/>
          <w:szCs w:val="24"/>
        </w:rPr>
        <w:t>The issue is whether rule</w:t>
      </w:r>
      <w:r w:rsidR="00D4116A">
        <w:rPr>
          <w:rFonts w:ascii="Arial" w:hAnsi="Arial" w:cs="Arial"/>
          <w:sz w:val="24"/>
          <w:szCs w:val="24"/>
        </w:rPr>
        <w:t xml:space="preserve"> 14</w:t>
      </w:r>
      <w:r w:rsidRPr="00B31AF4">
        <w:rPr>
          <w:rFonts w:ascii="Arial" w:hAnsi="Arial" w:cs="Arial"/>
          <w:sz w:val="24"/>
          <w:szCs w:val="24"/>
        </w:rPr>
        <w:t xml:space="preserve">(2) is applicable where, as in the present case, the order relating to the amendment can in no manner be regarded as </w:t>
      </w:r>
      <w:r w:rsidRPr="00B31AF4">
        <w:rPr>
          <w:rFonts w:ascii="Arial" w:hAnsi="Arial" w:cs="Arial"/>
          <w:sz w:val="24"/>
          <w:szCs w:val="24"/>
        </w:rPr>
        <w:lastRenderedPageBreak/>
        <w:t>suspended as it was refused, but was accompanied by an adverse costs order against the appellant.</w:t>
      </w:r>
    </w:p>
    <w:p w:rsidR="00E25B8B" w:rsidRPr="00B31AF4" w:rsidRDefault="00E25B8B" w:rsidP="00E25B8B">
      <w:pPr>
        <w:pStyle w:val="NoSpacing"/>
        <w:spacing w:line="360" w:lineRule="auto"/>
        <w:jc w:val="both"/>
        <w:rPr>
          <w:rFonts w:ascii="Arial" w:hAnsi="Arial" w:cs="Arial"/>
          <w:sz w:val="24"/>
          <w:szCs w:val="24"/>
        </w:rPr>
      </w:pPr>
    </w:p>
    <w:p w:rsidR="00E25B8B" w:rsidRPr="00B31AF4" w:rsidRDefault="00E25B8B" w:rsidP="00E25B8B">
      <w:pPr>
        <w:pStyle w:val="NoSpacing"/>
        <w:spacing w:line="360" w:lineRule="auto"/>
        <w:jc w:val="both"/>
        <w:rPr>
          <w:rFonts w:ascii="Arial" w:hAnsi="Arial" w:cs="Arial"/>
          <w:sz w:val="24"/>
          <w:szCs w:val="24"/>
        </w:rPr>
      </w:pPr>
      <w:r w:rsidRPr="00B31AF4">
        <w:rPr>
          <w:rFonts w:ascii="Arial" w:hAnsi="Arial" w:cs="Arial"/>
          <w:sz w:val="24"/>
          <w:szCs w:val="24"/>
        </w:rPr>
        <w:t xml:space="preserve">This court must further determine whether the court </w:t>
      </w:r>
      <w:r w:rsidRPr="00B31AF4">
        <w:rPr>
          <w:rFonts w:ascii="Arial" w:hAnsi="Arial" w:cs="Arial"/>
          <w:i/>
          <w:sz w:val="24"/>
          <w:szCs w:val="24"/>
        </w:rPr>
        <w:t>a quo</w:t>
      </w:r>
      <w:r w:rsidRPr="00B31AF4">
        <w:rPr>
          <w:rFonts w:ascii="Arial" w:hAnsi="Arial" w:cs="Arial"/>
          <w:sz w:val="24"/>
          <w:szCs w:val="24"/>
        </w:rPr>
        <w:t xml:space="preserve"> er</w:t>
      </w:r>
      <w:r w:rsidR="00075678">
        <w:rPr>
          <w:rFonts w:ascii="Arial" w:hAnsi="Arial" w:cs="Arial"/>
          <w:sz w:val="24"/>
          <w:szCs w:val="24"/>
        </w:rPr>
        <w:t xml:space="preserve">red in its approach refusing </w:t>
      </w:r>
      <w:r w:rsidRPr="00B31AF4">
        <w:rPr>
          <w:rFonts w:ascii="Arial" w:hAnsi="Arial" w:cs="Arial"/>
          <w:sz w:val="24"/>
          <w:szCs w:val="24"/>
        </w:rPr>
        <w:t xml:space="preserve">the application for amendment. </w:t>
      </w:r>
    </w:p>
    <w:p w:rsidR="00032DD2" w:rsidRDefault="00032DD2" w:rsidP="00E25B8B">
      <w:pPr>
        <w:pStyle w:val="NoSpacing"/>
        <w:spacing w:line="360" w:lineRule="auto"/>
        <w:jc w:val="both"/>
        <w:rPr>
          <w:rFonts w:ascii="Arial" w:hAnsi="Arial" w:cs="Arial"/>
          <w:i/>
          <w:sz w:val="24"/>
          <w:szCs w:val="24"/>
        </w:rPr>
      </w:pPr>
    </w:p>
    <w:p w:rsidR="00E25B8B" w:rsidRPr="00B31AF4" w:rsidRDefault="00E25B8B" w:rsidP="00E25B8B">
      <w:pPr>
        <w:pStyle w:val="NoSpacing"/>
        <w:spacing w:line="360" w:lineRule="auto"/>
        <w:jc w:val="both"/>
        <w:rPr>
          <w:rFonts w:ascii="Arial" w:hAnsi="Arial" w:cs="Arial"/>
          <w:sz w:val="24"/>
          <w:szCs w:val="24"/>
        </w:rPr>
      </w:pPr>
      <w:r w:rsidRPr="00B31AF4">
        <w:rPr>
          <w:rFonts w:ascii="Arial" w:hAnsi="Arial" w:cs="Arial"/>
          <w:i/>
          <w:sz w:val="24"/>
          <w:szCs w:val="24"/>
        </w:rPr>
        <w:t>Held that</w:t>
      </w:r>
      <w:r w:rsidRPr="00B31AF4">
        <w:rPr>
          <w:rFonts w:ascii="Arial" w:hAnsi="Arial" w:cs="Arial"/>
          <w:sz w:val="24"/>
          <w:szCs w:val="24"/>
        </w:rPr>
        <w:t>, the costs order formed part of the judgment and was suspended pending the appeal and hence security in terms of rule 14(2) was required.</w:t>
      </w:r>
    </w:p>
    <w:p w:rsidR="00E25B8B" w:rsidRPr="00B31AF4" w:rsidRDefault="00E25B8B" w:rsidP="00E25B8B">
      <w:pPr>
        <w:pStyle w:val="NoSpacing"/>
        <w:spacing w:line="360" w:lineRule="auto"/>
        <w:jc w:val="both"/>
        <w:rPr>
          <w:rFonts w:ascii="Arial" w:hAnsi="Arial" w:cs="Arial"/>
          <w:sz w:val="24"/>
          <w:szCs w:val="24"/>
        </w:rPr>
      </w:pPr>
    </w:p>
    <w:p w:rsidR="00E25B8B" w:rsidRPr="00B31AF4" w:rsidRDefault="00E25B8B" w:rsidP="00E25B8B">
      <w:pPr>
        <w:spacing w:after="0" w:line="360" w:lineRule="auto"/>
        <w:jc w:val="both"/>
        <w:rPr>
          <w:rFonts w:ascii="Arial" w:hAnsi="Arial" w:cs="Arial"/>
          <w:sz w:val="24"/>
          <w:szCs w:val="24"/>
        </w:rPr>
      </w:pPr>
      <w:r w:rsidRPr="00B31AF4">
        <w:rPr>
          <w:rFonts w:ascii="Arial" w:hAnsi="Arial" w:cs="Arial"/>
          <w:i/>
          <w:sz w:val="24"/>
          <w:szCs w:val="24"/>
        </w:rPr>
        <w:t>Held that</w:t>
      </w:r>
      <w:r w:rsidRPr="00B31AF4">
        <w:rPr>
          <w:rFonts w:ascii="Arial" w:hAnsi="Arial" w:cs="Arial"/>
          <w:sz w:val="24"/>
          <w:szCs w:val="24"/>
        </w:rPr>
        <w:t xml:space="preserve">, the court </w:t>
      </w:r>
      <w:r w:rsidRPr="00B31AF4">
        <w:rPr>
          <w:rFonts w:ascii="Arial" w:hAnsi="Arial" w:cs="Arial"/>
          <w:i/>
          <w:sz w:val="24"/>
          <w:szCs w:val="24"/>
        </w:rPr>
        <w:t>a quo</w:t>
      </w:r>
      <w:r w:rsidRPr="00B31AF4">
        <w:rPr>
          <w:rFonts w:ascii="Arial" w:hAnsi="Arial" w:cs="Arial"/>
          <w:sz w:val="24"/>
          <w:szCs w:val="24"/>
        </w:rPr>
        <w:t xml:space="preserve"> in exercising its discretion to refuse the application to amend did so upon a wrong approach and did not exercise its discretion judicially.</w:t>
      </w:r>
    </w:p>
    <w:p w:rsidR="00032DD2" w:rsidRDefault="00032DD2" w:rsidP="00E25B8B">
      <w:pPr>
        <w:spacing w:after="0" w:line="360" w:lineRule="auto"/>
        <w:jc w:val="both"/>
        <w:rPr>
          <w:rFonts w:ascii="Arial" w:hAnsi="Arial" w:cs="Arial"/>
          <w:i/>
          <w:sz w:val="24"/>
          <w:szCs w:val="24"/>
        </w:rPr>
      </w:pPr>
    </w:p>
    <w:p w:rsidR="00E25B8B" w:rsidRPr="00B31AF4" w:rsidRDefault="00E25B8B" w:rsidP="00E25B8B">
      <w:pPr>
        <w:spacing w:after="0" w:line="360" w:lineRule="auto"/>
        <w:jc w:val="both"/>
        <w:rPr>
          <w:rFonts w:ascii="Arial" w:hAnsi="Arial" w:cs="Arial"/>
          <w:sz w:val="24"/>
          <w:szCs w:val="24"/>
        </w:rPr>
      </w:pPr>
      <w:r w:rsidRPr="00B31AF4">
        <w:rPr>
          <w:rFonts w:ascii="Arial" w:hAnsi="Arial" w:cs="Arial"/>
          <w:i/>
          <w:sz w:val="24"/>
          <w:szCs w:val="24"/>
        </w:rPr>
        <w:t>Held that</w:t>
      </w:r>
      <w:r w:rsidRPr="00B31AF4">
        <w:rPr>
          <w:rFonts w:ascii="Arial" w:hAnsi="Arial" w:cs="Arial"/>
          <w:sz w:val="24"/>
          <w:szCs w:val="24"/>
        </w:rPr>
        <w:t>, the approach</w:t>
      </w:r>
      <w:r w:rsidR="00B31AF4">
        <w:rPr>
          <w:rFonts w:ascii="Arial" w:hAnsi="Arial" w:cs="Arial"/>
          <w:sz w:val="24"/>
          <w:szCs w:val="24"/>
        </w:rPr>
        <w:t xml:space="preserve"> of the </w:t>
      </w:r>
      <w:r w:rsidR="00B731E2">
        <w:rPr>
          <w:rFonts w:ascii="Arial" w:hAnsi="Arial" w:cs="Arial"/>
          <w:sz w:val="24"/>
          <w:szCs w:val="24"/>
        </w:rPr>
        <w:t xml:space="preserve">Full Bench </w:t>
      </w:r>
      <w:r w:rsidR="00B31AF4">
        <w:rPr>
          <w:rFonts w:ascii="Arial" w:hAnsi="Arial" w:cs="Arial"/>
          <w:sz w:val="24"/>
          <w:szCs w:val="24"/>
        </w:rPr>
        <w:t>of the High Court</w:t>
      </w:r>
      <w:r w:rsidRPr="00B31AF4">
        <w:rPr>
          <w:rFonts w:ascii="Arial" w:hAnsi="Arial" w:cs="Arial"/>
          <w:sz w:val="24"/>
          <w:szCs w:val="24"/>
        </w:rPr>
        <w:t xml:space="preserve"> in </w:t>
      </w:r>
      <w:r w:rsidRPr="00B31AF4">
        <w:rPr>
          <w:rFonts w:ascii="Arial" w:hAnsi="Arial" w:cs="Arial"/>
          <w:i/>
          <w:sz w:val="24"/>
          <w:szCs w:val="24"/>
        </w:rPr>
        <w:t xml:space="preserve">IA Bell Equipment Company (Namibia) (Pty) Ltd v Roadstone Quarries CC </w:t>
      </w:r>
      <w:r w:rsidRPr="00B31AF4">
        <w:rPr>
          <w:rFonts w:ascii="Arial" w:hAnsi="Arial" w:cs="Arial"/>
          <w:sz w:val="24"/>
          <w:szCs w:val="24"/>
        </w:rPr>
        <w:t>(I 601-2013 &amp; I 4084-2010) [2014] NAHCMD 306 (17 October 2014) on amendment of pleadings finds application.</w:t>
      </w:r>
    </w:p>
    <w:p w:rsidR="00E25B8B" w:rsidRPr="00B31AF4" w:rsidRDefault="00E25B8B" w:rsidP="00E25B8B">
      <w:pPr>
        <w:spacing w:after="0" w:line="360" w:lineRule="auto"/>
        <w:jc w:val="both"/>
        <w:rPr>
          <w:rFonts w:ascii="Arial" w:hAnsi="Arial" w:cs="Arial"/>
          <w:sz w:val="24"/>
          <w:szCs w:val="24"/>
        </w:rPr>
      </w:pPr>
    </w:p>
    <w:p w:rsidR="00E25B8B" w:rsidRPr="00B31AF4" w:rsidRDefault="00E25B8B" w:rsidP="00E25B8B">
      <w:pPr>
        <w:spacing w:after="0" w:line="360" w:lineRule="auto"/>
        <w:jc w:val="both"/>
        <w:rPr>
          <w:rFonts w:ascii="Arial" w:hAnsi="Arial" w:cs="Arial"/>
          <w:sz w:val="24"/>
          <w:szCs w:val="24"/>
        </w:rPr>
      </w:pPr>
      <w:r w:rsidRPr="00B31AF4">
        <w:rPr>
          <w:rFonts w:ascii="Arial" w:hAnsi="Arial" w:cs="Arial"/>
          <w:i/>
          <w:sz w:val="24"/>
          <w:szCs w:val="24"/>
        </w:rPr>
        <w:t>Held that</w:t>
      </w:r>
      <w:r w:rsidRPr="00B31AF4">
        <w:rPr>
          <w:rFonts w:ascii="Arial" w:hAnsi="Arial" w:cs="Arial"/>
          <w:sz w:val="24"/>
          <w:szCs w:val="24"/>
        </w:rPr>
        <w:t>, although the position that ‘doing substantial justice between the parties’ is no longer the primary consideration,</w:t>
      </w:r>
      <w:r w:rsidR="00B31AF4">
        <w:rPr>
          <w:rFonts w:ascii="Arial" w:hAnsi="Arial" w:cs="Arial"/>
          <w:sz w:val="24"/>
          <w:szCs w:val="24"/>
        </w:rPr>
        <w:t xml:space="preserve"> it</w:t>
      </w:r>
      <w:r w:rsidRPr="00B31AF4">
        <w:rPr>
          <w:rFonts w:ascii="Arial" w:hAnsi="Arial" w:cs="Arial"/>
          <w:sz w:val="24"/>
          <w:szCs w:val="24"/>
        </w:rPr>
        <w:t xml:space="preserve"> remains of considerable importance but is now to be considered within the context of the objectives of Judicial Case Management, with late amendments being subjected to greater scrutiny than before because of their deleterious effect upon the administration of justice.</w:t>
      </w:r>
    </w:p>
    <w:p w:rsidR="00E25B8B" w:rsidRPr="00B31AF4" w:rsidRDefault="00E25B8B" w:rsidP="00E25B8B">
      <w:pPr>
        <w:spacing w:after="0" w:line="360" w:lineRule="auto"/>
        <w:jc w:val="both"/>
        <w:rPr>
          <w:rFonts w:ascii="Arial" w:hAnsi="Arial" w:cs="Arial"/>
          <w:sz w:val="24"/>
          <w:szCs w:val="24"/>
        </w:rPr>
      </w:pPr>
    </w:p>
    <w:p w:rsidR="00E25B8B" w:rsidRPr="00B31AF4" w:rsidRDefault="00E25B8B" w:rsidP="00E25B8B">
      <w:pPr>
        <w:spacing w:after="0" w:line="360" w:lineRule="auto"/>
        <w:jc w:val="both"/>
        <w:rPr>
          <w:rFonts w:ascii="Arial" w:hAnsi="Arial" w:cs="Arial"/>
          <w:sz w:val="24"/>
          <w:szCs w:val="24"/>
        </w:rPr>
      </w:pPr>
      <w:r w:rsidRPr="00B31AF4">
        <w:rPr>
          <w:rFonts w:ascii="Arial" w:hAnsi="Arial" w:cs="Arial"/>
          <w:i/>
          <w:sz w:val="24"/>
          <w:szCs w:val="24"/>
        </w:rPr>
        <w:t>Held that</w:t>
      </w:r>
      <w:r w:rsidRPr="00B31AF4">
        <w:rPr>
          <w:rFonts w:ascii="Arial" w:hAnsi="Arial" w:cs="Arial"/>
          <w:sz w:val="24"/>
          <w:szCs w:val="24"/>
        </w:rPr>
        <w:t xml:space="preserve">, although it is not a prerequisite in an application under </w:t>
      </w:r>
      <w:r w:rsidR="00B31AF4">
        <w:rPr>
          <w:rFonts w:ascii="Arial" w:hAnsi="Arial" w:cs="Arial"/>
          <w:sz w:val="24"/>
          <w:szCs w:val="24"/>
        </w:rPr>
        <w:t>rule 5</w:t>
      </w:r>
      <w:r w:rsidR="00B731E2">
        <w:rPr>
          <w:rFonts w:ascii="Arial" w:hAnsi="Arial" w:cs="Arial"/>
          <w:sz w:val="24"/>
          <w:szCs w:val="24"/>
        </w:rPr>
        <w:t>2</w:t>
      </w:r>
      <w:r w:rsidR="003C4379">
        <w:rPr>
          <w:rFonts w:ascii="Arial" w:hAnsi="Arial" w:cs="Arial"/>
          <w:sz w:val="24"/>
          <w:szCs w:val="24"/>
        </w:rPr>
        <w:t>(4)</w:t>
      </w:r>
      <w:r w:rsidRPr="00B31AF4">
        <w:rPr>
          <w:rFonts w:ascii="Arial" w:hAnsi="Arial" w:cs="Arial"/>
          <w:sz w:val="24"/>
          <w:szCs w:val="24"/>
        </w:rPr>
        <w:t xml:space="preserve"> to be accompanied by an affidavit for simple and formal amendments (ie to correct arithmetic or clerical errors in pleadings), the position with more substantial amendments (ie withdrawing an admission</w:t>
      </w:r>
      <w:r w:rsidR="00CB1763">
        <w:rPr>
          <w:rFonts w:ascii="Arial" w:hAnsi="Arial" w:cs="Arial"/>
          <w:sz w:val="24"/>
          <w:szCs w:val="24"/>
        </w:rPr>
        <w:t xml:space="preserve"> or a substantial change of front</w:t>
      </w:r>
      <w:r w:rsidRPr="00B31AF4">
        <w:rPr>
          <w:rFonts w:ascii="Arial" w:hAnsi="Arial" w:cs="Arial"/>
          <w:sz w:val="24"/>
          <w:szCs w:val="24"/>
        </w:rPr>
        <w:t>) would need to be done on affidavit.</w:t>
      </w:r>
    </w:p>
    <w:p w:rsidR="00E25B8B" w:rsidRPr="00B31AF4" w:rsidRDefault="00E25B8B" w:rsidP="00E25B8B">
      <w:pPr>
        <w:spacing w:after="0" w:line="360" w:lineRule="auto"/>
        <w:jc w:val="both"/>
        <w:rPr>
          <w:rFonts w:ascii="Arial" w:hAnsi="Arial" w:cs="Arial"/>
          <w:sz w:val="24"/>
          <w:szCs w:val="24"/>
        </w:rPr>
      </w:pPr>
    </w:p>
    <w:p w:rsidR="00E25B8B" w:rsidRPr="00B31AF4" w:rsidRDefault="00E25B8B" w:rsidP="00E25B8B">
      <w:pPr>
        <w:spacing w:after="0" w:line="360" w:lineRule="auto"/>
        <w:jc w:val="both"/>
        <w:rPr>
          <w:rFonts w:ascii="Arial" w:hAnsi="Arial" w:cs="Arial"/>
          <w:sz w:val="24"/>
          <w:szCs w:val="24"/>
        </w:rPr>
      </w:pPr>
      <w:r w:rsidRPr="00B31AF4">
        <w:rPr>
          <w:rFonts w:ascii="Arial" w:hAnsi="Arial" w:cs="Arial"/>
          <w:i/>
          <w:sz w:val="24"/>
          <w:szCs w:val="24"/>
        </w:rPr>
        <w:t>Held that</w:t>
      </w:r>
      <w:r w:rsidRPr="00B31AF4">
        <w:rPr>
          <w:rFonts w:ascii="Arial" w:hAnsi="Arial" w:cs="Arial"/>
          <w:sz w:val="24"/>
          <w:szCs w:val="24"/>
        </w:rPr>
        <w:t xml:space="preserve">, appellant sought to introduce a substantial change of stance with the amendment. There is therefore a need for an explanation under oath </w:t>
      </w:r>
      <w:r w:rsidR="00CB1763">
        <w:rPr>
          <w:rFonts w:ascii="Arial" w:hAnsi="Arial" w:cs="Arial"/>
          <w:sz w:val="24"/>
          <w:szCs w:val="24"/>
        </w:rPr>
        <w:t>for this</w:t>
      </w:r>
      <w:r w:rsidRPr="00B31AF4">
        <w:rPr>
          <w:rFonts w:ascii="Arial" w:hAnsi="Arial" w:cs="Arial"/>
          <w:sz w:val="24"/>
          <w:szCs w:val="24"/>
        </w:rPr>
        <w:t xml:space="preserve">, especially when a similarly worded </w:t>
      </w:r>
      <w:r w:rsidR="00B731E2">
        <w:rPr>
          <w:rFonts w:ascii="Arial" w:hAnsi="Arial" w:cs="Arial"/>
          <w:sz w:val="24"/>
          <w:szCs w:val="24"/>
        </w:rPr>
        <w:t xml:space="preserve">notice to </w:t>
      </w:r>
      <w:r w:rsidRPr="00B31AF4">
        <w:rPr>
          <w:rFonts w:ascii="Arial" w:hAnsi="Arial" w:cs="Arial"/>
          <w:sz w:val="24"/>
          <w:szCs w:val="24"/>
        </w:rPr>
        <w:t xml:space="preserve">amend had been given and abandoned and </w:t>
      </w:r>
      <w:r w:rsidR="00CB1763">
        <w:rPr>
          <w:rFonts w:ascii="Arial" w:hAnsi="Arial" w:cs="Arial"/>
          <w:sz w:val="24"/>
          <w:szCs w:val="24"/>
        </w:rPr>
        <w:t xml:space="preserve">was then </w:t>
      </w:r>
      <w:r w:rsidRPr="00B31AF4">
        <w:rPr>
          <w:rFonts w:ascii="Arial" w:hAnsi="Arial" w:cs="Arial"/>
          <w:sz w:val="24"/>
          <w:szCs w:val="24"/>
        </w:rPr>
        <w:t>resurrected five months later.</w:t>
      </w:r>
    </w:p>
    <w:p w:rsidR="00E25B8B" w:rsidRPr="00B31AF4" w:rsidRDefault="00E25B8B" w:rsidP="00E25B8B">
      <w:pPr>
        <w:spacing w:after="0" w:line="360" w:lineRule="auto"/>
        <w:jc w:val="both"/>
        <w:rPr>
          <w:rFonts w:ascii="Arial" w:hAnsi="Arial" w:cs="Arial"/>
          <w:sz w:val="24"/>
          <w:szCs w:val="24"/>
        </w:rPr>
      </w:pPr>
    </w:p>
    <w:p w:rsidR="00E25B8B" w:rsidRPr="00B31AF4" w:rsidRDefault="00CB1763" w:rsidP="00E25B8B">
      <w:pPr>
        <w:spacing w:after="0" w:line="360" w:lineRule="auto"/>
        <w:jc w:val="both"/>
        <w:rPr>
          <w:rFonts w:ascii="Arial" w:hAnsi="Arial" w:cs="Arial"/>
          <w:sz w:val="24"/>
          <w:szCs w:val="24"/>
        </w:rPr>
      </w:pPr>
      <w:r>
        <w:rPr>
          <w:rFonts w:ascii="Arial" w:hAnsi="Arial" w:cs="Arial"/>
          <w:sz w:val="24"/>
          <w:szCs w:val="24"/>
        </w:rPr>
        <w:lastRenderedPageBreak/>
        <w:t>I</w:t>
      </w:r>
      <w:r w:rsidR="0001341A" w:rsidRPr="00B31AF4">
        <w:rPr>
          <w:rFonts w:ascii="Arial" w:hAnsi="Arial" w:cs="Arial"/>
          <w:sz w:val="24"/>
          <w:szCs w:val="24"/>
        </w:rPr>
        <w:t>n applying the approach of the Full B</w:t>
      </w:r>
      <w:r w:rsidR="00E25B8B" w:rsidRPr="00B31AF4">
        <w:rPr>
          <w:rFonts w:ascii="Arial" w:hAnsi="Arial" w:cs="Arial"/>
          <w:sz w:val="24"/>
          <w:szCs w:val="24"/>
        </w:rPr>
        <w:t xml:space="preserve">ench in </w:t>
      </w:r>
      <w:r w:rsidR="00E25B8B" w:rsidRPr="00B31AF4">
        <w:rPr>
          <w:rFonts w:ascii="Arial" w:hAnsi="Arial" w:cs="Arial"/>
          <w:i/>
          <w:sz w:val="24"/>
          <w:szCs w:val="24"/>
        </w:rPr>
        <w:t>IA Bell</w:t>
      </w:r>
      <w:r w:rsidR="00E25B8B" w:rsidRPr="00B31AF4">
        <w:rPr>
          <w:rFonts w:ascii="Arial" w:hAnsi="Arial" w:cs="Arial"/>
          <w:sz w:val="24"/>
          <w:szCs w:val="24"/>
        </w:rPr>
        <w:t xml:space="preserve"> that a substantial change of front requires an explanation under oath for a court to access, especially at a late stage of proceedings, means that the application for amendment cannot be granted in the absence of such an explanation.</w:t>
      </w:r>
    </w:p>
    <w:p w:rsidR="00B731E2" w:rsidRDefault="00B731E2" w:rsidP="00E25B8B">
      <w:pPr>
        <w:spacing w:after="0" w:line="360" w:lineRule="auto"/>
        <w:jc w:val="both"/>
        <w:rPr>
          <w:rFonts w:ascii="Arial" w:hAnsi="Arial" w:cs="Arial"/>
          <w:i/>
          <w:sz w:val="24"/>
          <w:szCs w:val="24"/>
        </w:rPr>
      </w:pPr>
    </w:p>
    <w:p w:rsidR="00E25B8B" w:rsidRDefault="00CB1763" w:rsidP="00E25B8B">
      <w:pPr>
        <w:spacing w:after="0" w:line="360" w:lineRule="auto"/>
        <w:jc w:val="both"/>
        <w:rPr>
          <w:rFonts w:ascii="Arial" w:hAnsi="Arial" w:cs="Arial"/>
          <w:sz w:val="24"/>
          <w:szCs w:val="24"/>
        </w:rPr>
      </w:pPr>
      <w:r w:rsidRPr="00B31AF4">
        <w:rPr>
          <w:rFonts w:ascii="Arial" w:hAnsi="Arial" w:cs="Arial"/>
          <w:i/>
          <w:sz w:val="24"/>
          <w:szCs w:val="24"/>
        </w:rPr>
        <w:t>Held that</w:t>
      </w:r>
      <w:r w:rsidRPr="00B31AF4">
        <w:rPr>
          <w:rFonts w:ascii="Arial" w:hAnsi="Arial" w:cs="Arial"/>
          <w:sz w:val="24"/>
          <w:szCs w:val="24"/>
        </w:rPr>
        <w:t xml:space="preserve">, the failure to specify in what respects a conflict with s 63(2) is alleged to have occurred would </w:t>
      </w:r>
      <w:r>
        <w:rPr>
          <w:rFonts w:ascii="Arial" w:hAnsi="Arial" w:cs="Arial"/>
          <w:sz w:val="24"/>
          <w:szCs w:val="24"/>
        </w:rPr>
        <w:t xml:space="preserve">furthermore </w:t>
      </w:r>
      <w:r w:rsidRPr="00B31AF4">
        <w:rPr>
          <w:rFonts w:ascii="Arial" w:hAnsi="Arial" w:cs="Arial"/>
          <w:sz w:val="24"/>
          <w:szCs w:val="24"/>
        </w:rPr>
        <w:t>render the pleading excipiable as being vague and embarrassing</w:t>
      </w:r>
      <w:r>
        <w:rPr>
          <w:rFonts w:ascii="Arial" w:hAnsi="Arial" w:cs="Arial"/>
          <w:sz w:val="24"/>
          <w:szCs w:val="24"/>
        </w:rPr>
        <w:t>.</w:t>
      </w:r>
    </w:p>
    <w:p w:rsidR="00CB1763" w:rsidRDefault="00CB1763" w:rsidP="00E25B8B">
      <w:pPr>
        <w:spacing w:after="0" w:line="360" w:lineRule="auto"/>
        <w:jc w:val="both"/>
        <w:rPr>
          <w:rFonts w:ascii="Arial" w:hAnsi="Arial" w:cs="Arial"/>
          <w:i/>
          <w:sz w:val="24"/>
          <w:szCs w:val="24"/>
        </w:rPr>
      </w:pPr>
    </w:p>
    <w:p w:rsidR="00E25B8B" w:rsidRDefault="00E25B8B" w:rsidP="00E25B8B">
      <w:pPr>
        <w:spacing w:after="0" w:line="360" w:lineRule="auto"/>
        <w:jc w:val="both"/>
        <w:rPr>
          <w:rFonts w:ascii="Arial" w:hAnsi="Arial" w:cs="Arial"/>
          <w:sz w:val="24"/>
          <w:szCs w:val="24"/>
        </w:rPr>
      </w:pPr>
      <w:r w:rsidRPr="00BF048A">
        <w:rPr>
          <w:rFonts w:ascii="Arial" w:hAnsi="Arial" w:cs="Arial"/>
          <w:i/>
          <w:sz w:val="24"/>
          <w:szCs w:val="24"/>
        </w:rPr>
        <w:t>Held that</w:t>
      </w:r>
      <w:r>
        <w:rPr>
          <w:rFonts w:ascii="Arial" w:hAnsi="Arial" w:cs="Arial"/>
          <w:sz w:val="24"/>
          <w:szCs w:val="24"/>
        </w:rPr>
        <w:t>, the application to amend in the respects set out in the notice cannot be granted and the appeal thus does not enjoy prospects of success.</w:t>
      </w:r>
    </w:p>
    <w:p w:rsidR="00E25B8B" w:rsidRDefault="00E25B8B" w:rsidP="00E25B8B">
      <w:pPr>
        <w:spacing w:after="0" w:line="360" w:lineRule="auto"/>
        <w:jc w:val="both"/>
        <w:rPr>
          <w:rFonts w:ascii="Arial" w:hAnsi="Arial" w:cs="Arial"/>
          <w:sz w:val="24"/>
          <w:szCs w:val="24"/>
        </w:rPr>
      </w:pPr>
    </w:p>
    <w:p w:rsidR="00E25B8B" w:rsidRDefault="00E25B8B" w:rsidP="00E25B8B">
      <w:pPr>
        <w:pStyle w:val="NoSpacing"/>
        <w:spacing w:line="360" w:lineRule="auto"/>
        <w:jc w:val="both"/>
        <w:rPr>
          <w:rFonts w:ascii="Arial" w:hAnsi="Arial" w:cs="Arial"/>
          <w:sz w:val="24"/>
          <w:szCs w:val="24"/>
        </w:rPr>
      </w:pPr>
      <w:r>
        <w:rPr>
          <w:rFonts w:ascii="Arial" w:hAnsi="Arial" w:cs="Arial"/>
          <w:sz w:val="24"/>
          <w:szCs w:val="24"/>
        </w:rPr>
        <w:t>The application for condonation and reinstatement is to be dismissed with costs.</w:t>
      </w:r>
    </w:p>
    <w:p w:rsidR="00EF6EF1" w:rsidRPr="001C25CA" w:rsidRDefault="00EF6EF1" w:rsidP="002B6F2A">
      <w:pPr>
        <w:pStyle w:val="NoSpacing"/>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957589" w:rsidRPr="001C25CA" w:rsidRDefault="008C3367" w:rsidP="00957589">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3A6287" w:rsidP="00395B99">
      <w:pPr>
        <w:spacing w:line="480" w:lineRule="auto"/>
        <w:jc w:val="both"/>
        <w:rPr>
          <w:rFonts w:ascii="Arial" w:hAnsi="Arial" w:cs="Arial"/>
          <w:sz w:val="24"/>
          <w:szCs w:val="24"/>
        </w:rPr>
      </w:pPr>
      <w:r>
        <w:rPr>
          <w:rFonts w:ascii="Arial" w:hAnsi="Arial" w:cs="Arial"/>
          <w:sz w:val="24"/>
          <w:szCs w:val="24"/>
        </w:rPr>
        <w:t>THE COURT</w:t>
      </w:r>
      <w:r w:rsidR="008C3367" w:rsidRPr="001C25CA">
        <w:rPr>
          <w:rFonts w:ascii="Arial" w:hAnsi="Arial" w:cs="Arial"/>
          <w:sz w:val="24"/>
          <w:szCs w:val="24"/>
        </w:rPr>
        <w:t>:</w:t>
      </w:r>
    </w:p>
    <w:p w:rsidR="00FF1FFC" w:rsidRDefault="00B9404B"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7F76A6">
        <w:rPr>
          <w:rFonts w:ascii="Arial" w:hAnsi="Arial" w:cs="Arial"/>
          <w:sz w:val="24"/>
          <w:szCs w:val="24"/>
        </w:rPr>
        <w:t>h</w:t>
      </w:r>
      <w:r w:rsidR="00C27754">
        <w:rPr>
          <w:rFonts w:ascii="Arial" w:hAnsi="Arial" w:cs="Arial"/>
          <w:sz w:val="24"/>
          <w:szCs w:val="24"/>
        </w:rPr>
        <w:t xml:space="preserve">is appeal concerns </w:t>
      </w:r>
      <w:r w:rsidR="00FF1FFC">
        <w:rPr>
          <w:rFonts w:ascii="Arial" w:hAnsi="Arial" w:cs="Arial"/>
          <w:sz w:val="24"/>
          <w:szCs w:val="24"/>
        </w:rPr>
        <w:t>an application to amend which was refused by the High Court. The appellant approaches this court after obtaining leave to appeal against this interlocutory order.</w:t>
      </w:r>
      <w:r w:rsidR="003164FF">
        <w:rPr>
          <w:rFonts w:ascii="Arial" w:hAnsi="Arial" w:cs="Arial"/>
          <w:sz w:val="24"/>
          <w:szCs w:val="24"/>
        </w:rPr>
        <w:t xml:space="preserve"> This appeal also raises the ques</w:t>
      </w:r>
      <w:r w:rsidR="00C22C62">
        <w:rPr>
          <w:rFonts w:ascii="Arial" w:hAnsi="Arial" w:cs="Arial"/>
          <w:sz w:val="24"/>
          <w:szCs w:val="24"/>
        </w:rPr>
        <w:t>tion of security to be given in</w:t>
      </w:r>
      <w:r w:rsidR="009F0E47">
        <w:rPr>
          <w:rFonts w:ascii="Arial" w:hAnsi="Arial" w:cs="Arial"/>
          <w:sz w:val="24"/>
          <w:szCs w:val="24"/>
        </w:rPr>
        <w:t xml:space="preserve"> respect of appeals</w:t>
      </w:r>
      <w:r w:rsidR="003164FF">
        <w:rPr>
          <w:rFonts w:ascii="Arial" w:hAnsi="Arial" w:cs="Arial"/>
          <w:sz w:val="24"/>
          <w:szCs w:val="24"/>
        </w:rPr>
        <w:t xml:space="preserve"> against interlocutory orders.</w:t>
      </w:r>
    </w:p>
    <w:p w:rsidR="00FF1FFC" w:rsidRDefault="00FF1FFC" w:rsidP="00FF1FFC">
      <w:pPr>
        <w:pStyle w:val="NoSpacing"/>
        <w:spacing w:line="480" w:lineRule="auto"/>
        <w:jc w:val="both"/>
        <w:rPr>
          <w:rFonts w:ascii="Arial" w:hAnsi="Arial" w:cs="Arial"/>
          <w:sz w:val="24"/>
          <w:szCs w:val="24"/>
        </w:rPr>
      </w:pPr>
    </w:p>
    <w:p w:rsidR="00F66131" w:rsidRDefault="00FF1FFC" w:rsidP="00F6613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w:t>
      </w:r>
      <w:r w:rsidR="003164FF">
        <w:rPr>
          <w:rFonts w:ascii="Arial" w:hAnsi="Arial" w:cs="Arial"/>
          <w:sz w:val="24"/>
          <w:szCs w:val="24"/>
        </w:rPr>
        <w:t xml:space="preserve">s a preliminary issue, we first turn to </w:t>
      </w:r>
      <w:r>
        <w:rPr>
          <w:rFonts w:ascii="Arial" w:hAnsi="Arial" w:cs="Arial"/>
          <w:sz w:val="24"/>
          <w:szCs w:val="24"/>
        </w:rPr>
        <w:t>the question of security.</w:t>
      </w:r>
    </w:p>
    <w:p w:rsidR="00F66131" w:rsidRDefault="00F66131" w:rsidP="009F0E47">
      <w:pPr>
        <w:rPr>
          <w:rFonts w:ascii="Arial" w:hAnsi="Arial" w:cs="Arial"/>
          <w:sz w:val="24"/>
          <w:szCs w:val="24"/>
          <w:highlight w:val="yellow"/>
        </w:rPr>
      </w:pPr>
    </w:p>
    <w:p w:rsidR="009F0E47" w:rsidRPr="009F0E47" w:rsidRDefault="009F0E47" w:rsidP="009F0E47">
      <w:pPr>
        <w:rPr>
          <w:rFonts w:ascii="Arial" w:hAnsi="Arial" w:cs="Arial"/>
          <w:sz w:val="24"/>
          <w:szCs w:val="24"/>
          <w:u w:val="single"/>
        </w:rPr>
      </w:pPr>
      <w:r w:rsidRPr="009F0E47">
        <w:rPr>
          <w:rFonts w:ascii="Arial" w:hAnsi="Arial" w:cs="Arial"/>
          <w:sz w:val="24"/>
          <w:szCs w:val="24"/>
          <w:u w:val="single"/>
        </w:rPr>
        <w:t>Security</w:t>
      </w:r>
    </w:p>
    <w:p w:rsidR="00F66131" w:rsidRDefault="008703B0" w:rsidP="00F66131">
      <w:pPr>
        <w:pStyle w:val="NoSpacing"/>
        <w:numPr>
          <w:ilvl w:val="0"/>
          <w:numId w:val="4"/>
        </w:numPr>
        <w:spacing w:line="480" w:lineRule="auto"/>
        <w:ind w:left="0" w:firstLine="0"/>
        <w:jc w:val="both"/>
        <w:rPr>
          <w:rFonts w:ascii="Arial" w:hAnsi="Arial" w:cs="Arial"/>
          <w:sz w:val="24"/>
          <w:szCs w:val="24"/>
        </w:rPr>
      </w:pPr>
      <w:r w:rsidRPr="00F66131">
        <w:rPr>
          <w:rFonts w:ascii="Arial" w:hAnsi="Arial" w:cs="Arial"/>
          <w:sz w:val="24"/>
          <w:szCs w:val="24"/>
        </w:rPr>
        <w:t xml:space="preserve">Counsel for the respondent in their heads of argument took the point that appellant had not filed security for the respondent’s costs of appeal pursuant to rule 14(2) of the </w:t>
      </w:r>
      <w:r w:rsidR="009F0E47">
        <w:rPr>
          <w:rFonts w:ascii="Arial" w:hAnsi="Arial" w:cs="Arial"/>
          <w:sz w:val="24"/>
          <w:szCs w:val="24"/>
        </w:rPr>
        <w:t>rules of this court</w:t>
      </w:r>
      <w:r w:rsidRPr="00F66131">
        <w:rPr>
          <w:rFonts w:ascii="Arial" w:hAnsi="Arial" w:cs="Arial"/>
          <w:sz w:val="24"/>
          <w:szCs w:val="24"/>
        </w:rPr>
        <w:t xml:space="preserve">. This issue arose in the following context. The registrar of this court wrote a letter to the appellant pointing out that no security was in place </w:t>
      </w:r>
      <w:r w:rsidRPr="00F66131">
        <w:rPr>
          <w:rFonts w:ascii="Arial" w:hAnsi="Arial" w:cs="Arial"/>
          <w:sz w:val="24"/>
          <w:szCs w:val="24"/>
        </w:rPr>
        <w:lastRenderedPageBreak/>
        <w:t xml:space="preserve">on 18 December 2019. In February 2020, the appellant’s legal practitioner responded stating that ‘as the order appealed against (refusal to grant an amendment) is an order put into operation without the execution . . .’ </w:t>
      </w:r>
      <w:r w:rsidR="009F0E47">
        <w:rPr>
          <w:rFonts w:ascii="Arial" w:hAnsi="Arial" w:cs="Arial"/>
          <w:sz w:val="24"/>
          <w:szCs w:val="24"/>
        </w:rPr>
        <w:t>of the judgment</w:t>
      </w:r>
      <w:r w:rsidR="00E269CF">
        <w:rPr>
          <w:rFonts w:ascii="Arial" w:hAnsi="Arial" w:cs="Arial"/>
          <w:sz w:val="24"/>
          <w:szCs w:val="24"/>
        </w:rPr>
        <w:t>,</w:t>
      </w:r>
      <w:r w:rsidR="009F0E47">
        <w:rPr>
          <w:rFonts w:ascii="Arial" w:hAnsi="Arial" w:cs="Arial"/>
          <w:sz w:val="24"/>
          <w:szCs w:val="24"/>
        </w:rPr>
        <w:t xml:space="preserve"> </w:t>
      </w:r>
      <w:r w:rsidRPr="00F66131">
        <w:rPr>
          <w:rFonts w:ascii="Arial" w:hAnsi="Arial" w:cs="Arial"/>
          <w:sz w:val="24"/>
          <w:szCs w:val="24"/>
        </w:rPr>
        <w:t xml:space="preserve">security was not required and rule 14 </w:t>
      </w:r>
      <w:r w:rsidR="00243CB0">
        <w:rPr>
          <w:rFonts w:ascii="Arial" w:hAnsi="Arial" w:cs="Arial"/>
          <w:sz w:val="24"/>
          <w:szCs w:val="24"/>
        </w:rPr>
        <w:t xml:space="preserve">is </w:t>
      </w:r>
      <w:r w:rsidRPr="00F66131">
        <w:rPr>
          <w:rFonts w:ascii="Arial" w:hAnsi="Arial" w:cs="Arial"/>
          <w:sz w:val="24"/>
          <w:szCs w:val="24"/>
        </w:rPr>
        <w:t xml:space="preserve">not applicable. Counsel for respondent submitted that the rule was applicable as the pending appeal suspended the execution of a costs order in the respondent’s favour. Because of </w:t>
      </w:r>
      <w:r w:rsidR="009F0E47">
        <w:rPr>
          <w:rFonts w:ascii="Arial" w:hAnsi="Arial" w:cs="Arial"/>
          <w:sz w:val="24"/>
          <w:szCs w:val="24"/>
        </w:rPr>
        <w:t xml:space="preserve">the </w:t>
      </w:r>
      <w:r w:rsidRPr="00F66131">
        <w:rPr>
          <w:rFonts w:ascii="Arial" w:hAnsi="Arial" w:cs="Arial"/>
          <w:sz w:val="24"/>
          <w:szCs w:val="24"/>
        </w:rPr>
        <w:t xml:space="preserve">respondent’s stance as </w:t>
      </w:r>
      <w:r w:rsidR="009F0E47">
        <w:rPr>
          <w:rFonts w:ascii="Arial" w:hAnsi="Arial" w:cs="Arial"/>
          <w:sz w:val="24"/>
          <w:szCs w:val="24"/>
        </w:rPr>
        <w:t>set out in</w:t>
      </w:r>
      <w:r w:rsidRPr="00F66131">
        <w:rPr>
          <w:rFonts w:ascii="Arial" w:hAnsi="Arial" w:cs="Arial"/>
          <w:sz w:val="24"/>
          <w:szCs w:val="24"/>
        </w:rPr>
        <w:t xml:space="preserve"> the heads of argument</w:t>
      </w:r>
      <w:r w:rsidR="009F0E47">
        <w:rPr>
          <w:rFonts w:ascii="Arial" w:hAnsi="Arial" w:cs="Arial"/>
          <w:sz w:val="24"/>
          <w:szCs w:val="24"/>
        </w:rPr>
        <w:t>,</w:t>
      </w:r>
      <w:r w:rsidRPr="00F66131">
        <w:rPr>
          <w:rFonts w:ascii="Arial" w:hAnsi="Arial" w:cs="Arial"/>
          <w:sz w:val="24"/>
          <w:szCs w:val="24"/>
        </w:rPr>
        <w:t xml:space="preserve"> the appellant lodged a condonation application to seek condonation ‘if necessary’ for non-compliance with rule 14.</w:t>
      </w:r>
    </w:p>
    <w:p w:rsidR="00F66131" w:rsidRPr="009F0E47" w:rsidRDefault="00F66131" w:rsidP="009F0E47">
      <w:pPr>
        <w:rPr>
          <w:rFonts w:ascii="Arial" w:hAnsi="Arial" w:cs="Arial"/>
          <w:sz w:val="24"/>
          <w:szCs w:val="24"/>
        </w:rPr>
      </w:pPr>
    </w:p>
    <w:p w:rsidR="00F66131" w:rsidRDefault="008703B0" w:rsidP="00F66131">
      <w:pPr>
        <w:pStyle w:val="NoSpacing"/>
        <w:numPr>
          <w:ilvl w:val="0"/>
          <w:numId w:val="4"/>
        </w:numPr>
        <w:spacing w:line="480" w:lineRule="auto"/>
        <w:ind w:left="0" w:firstLine="0"/>
        <w:jc w:val="both"/>
        <w:rPr>
          <w:rFonts w:ascii="Arial" w:hAnsi="Arial" w:cs="Arial"/>
          <w:sz w:val="24"/>
          <w:szCs w:val="24"/>
        </w:rPr>
      </w:pPr>
      <w:r w:rsidRPr="00F66131">
        <w:rPr>
          <w:rFonts w:ascii="Arial" w:hAnsi="Arial" w:cs="Arial"/>
          <w:sz w:val="24"/>
          <w:szCs w:val="24"/>
        </w:rPr>
        <w:t xml:space="preserve">In the course of the hearing, the appellant’s counsel tendered security in the name of his firm and lead counsel on behalf of the respondent accepted the tender. (We interpose to point out that written security by the appellant’s legal practitioner was indeed filed by close of business on the day of the hearing). This meant, and it was so accepted by respondent’s counsel, that if the appellant could show prospects of success on the merits, the appeal would be reinstated. Conversely, of course, if there were no prospects of success on the merits, the matter would </w:t>
      </w:r>
      <w:r w:rsidR="00CB1763">
        <w:rPr>
          <w:rFonts w:ascii="Arial" w:hAnsi="Arial" w:cs="Arial"/>
          <w:sz w:val="24"/>
          <w:szCs w:val="24"/>
        </w:rPr>
        <w:t>not be reins</w:t>
      </w:r>
      <w:r w:rsidR="00B731E2">
        <w:rPr>
          <w:rFonts w:ascii="Arial" w:hAnsi="Arial" w:cs="Arial"/>
          <w:sz w:val="24"/>
          <w:szCs w:val="24"/>
        </w:rPr>
        <w:t>ta</w:t>
      </w:r>
      <w:r w:rsidR="00CB1763">
        <w:rPr>
          <w:rFonts w:ascii="Arial" w:hAnsi="Arial" w:cs="Arial"/>
          <w:sz w:val="24"/>
          <w:szCs w:val="24"/>
        </w:rPr>
        <w:t>ted and would instead</w:t>
      </w:r>
      <w:r w:rsidRPr="00F66131">
        <w:rPr>
          <w:rFonts w:ascii="Arial" w:hAnsi="Arial" w:cs="Arial"/>
          <w:sz w:val="24"/>
          <w:szCs w:val="24"/>
        </w:rPr>
        <w:t xml:space="preserve"> be struck from the roll. </w:t>
      </w:r>
    </w:p>
    <w:p w:rsidR="00F66131" w:rsidRPr="00E25B8B" w:rsidRDefault="00F66131" w:rsidP="00E25B8B">
      <w:pPr>
        <w:rPr>
          <w:rFonts w:ascii="Arial" w:hAnsi="Arial" w:cs="Arial"/>
          <w:sz w:val="24"/>
          <w:szCs w:val="24"/>
        </w:rPr>
      </w:pPr>
    </w:p>
    <w:p w:rsidR="00F66131" w:rsidRDefault="008703B0" w:rsidP="00F66131">
      <w:pPr>
        <w:pStyle w:val="NoSpacing"/>
        <w:numPr>
          <w:ilvl w:val="0"/>
          <w:numId w:val="4"/>
        </w:numPr>
        <w:spacing w:line="480" w:lineRule="auto"/>
        <w:ind w:left="0" w:firstLine="0"/>
        <w:jc w:val="both"/>
        <w:rPr>
          <w:rFonts w:ascii="Arial" w:hAnsi="Arial" w:cs="Arial"/>
          <w:sz w:val="24"/>
          <w:szCs w:val="24"/>
        </w:rPr>
      </w:pPr>
      <w:r w:rsidRPr="00F66131">
        <w:rPr>
          <w:rFonts w:ascii="Arial" w:hAnsi="Arial" w:cs="Arial"/>
          <w:sz w:val="24"/>
          <w:szCs w:val="24"/>
        </w:rPr>
        <w:t>To avoid any uncertainty as to the question of the furnishing of security in cases such as the present</w:t>
      </w:r>
      <w:r w:rsidR="009F0E47">
        <w:rPr>
          <w:rFonts w:ascii="Arial" w:hAnsi="Arial" w:cs="Arial"/>
          <w:sz w:val="24"/>
          <w:szCs w:val="24"/>
        </w:rPr>
        <w:t>,</w:t>
      </w:r>
      <w:r w:rsidRPr="00F66131">
        <w:rPr>
          <w:rFonts w:ascii="Arial" w:hAnsi="Arial" w:cs="Arial"/>
          <w:sz w:val="24"/>
          <w:szCs w:val="24"/>
        </w:rPr>
        <w:t xml:space="preserve"> it is necessary to briefly refer to this aspect as the parties clearly disputed the position and only for the sake of finalising the matter </w:t>
      </w:r>
      <w:r w:rsidR="00CB1763">
        <w:rPr>
          <w:rFonts w:ascii="Arial" w:hAnsi="Arial" w:cs="Arial"/>
          <w:sz w:val="24"/>
          <w:szCs w:val="24"/>
        </w:rPr>
        <w:t xml:space="preserve">did the respondent </w:t>
      </w:r>
      <w:r w:rsidRPr="00F66131">
        <w:rPr>
          <w:rFonts w:ascii="Arial" w:hAnsi="Arial" w:cs="Arial"/>
          <w:sz w:val="24"/>
          <w:szCs w:val="24"/>
        </w:rPr>
        <w:t>agree that the matter proceed on the basis already set out.</w:t>
      </w:r>
    </w:p>
    <w:p w:rsidR="00F66131" w:rsidRPr="00E25B8B" w:rsidRDefault="00F66131" w:rsidP="00E25B8B">
      <w:pPr>
        <w:rPr>
          <w:rFonts w:ascii="Arial" w:hAnsi="Arial" w:cs="Arial"/>
          <w:sz w:val="24"/>
          <w:szCs w:val="24"/>
        </w:rPr>
      </w:pPr>
    </w:p>
    <w:p w:rsidR="00F66131" w:rsidRDefault="008703B0" w:rsidP="00F66131">
      <w:pPr>
        <w:pStyle w:val="NoSpacing"/>
        <w:numPr>
          <w:ilvl w:val="0"/>
          <w:numId w:val="4"/>
        </w:numPr>
        <w:spacing w:line="480" w:lineRule="auto"/>
        <w:ind w:left="0" w:firstLine="0"/>
        <w:jc w:val="both"/>
        <w:rPr>
          <w:rFonts w:ascii="Arial" w:hAnsi="Arial" w:cs="Arial"/>
          <w:sz w:val="24"/>
          <w:szCs w:val="24"/>
        </w:rPr>
      </w:pPr>
      <w:r w:rsidRPr="00F66131">
        <w:rPr>
          <w:rFonts w:ascii="Arial" w:hAnsi="Arial" w:cs="Arial"/>
          <w:sz w:val="24"/>
          <w:szCs w:val="24"/>
        </w:rPr>
        <w:t>The relevant portion of rule 14 reads as follows:</w:t>
      </w:r>
    </w:p>
    <w:p w:rsidR="00F66131" w:rsidRDefault="00F66131" w:rsidP="00F66131">
      <w:pPr>
        <w:pStyle w:val="ListParagraph"/>
        <w:rPr>
          <w:rFonts w:ascii="Arial" w:hAnsi="Arial" w:cs="Arial"/>
          <w:sz w:val="24"/>
          <w:szCs w:val="24"/>
        </w:rPr>
      </w:pPr>
    </w:p>
    <w:p w:rsidR="00F66131" w:rsidRPr="00D74C51" w:rsidRDefault="00F66131" w:rsidP="00F66131">
      <w:pPr>
        <w:pStyle w:val="NoSpacing"/>
        <w:spacing w:line="360" w:lineRule="auto"/>
        <w:ind w:firstLine="720"/>
        <w:jc w:val="both"/>
        <w:rPr>
          <w:rFonts w:ascii="Arial" w:hAnsi="Arial" w:cs="Arial"/>
        </w:rPr>
      </w:pPr>
      <w:r>
        <w:rPr>
          <w:rFonts w:ascii="Arial" w:hAnsi="Arial" w:cs="Arial"/>
        </w:rPr>
        <w:t>‘</w:t>
      </w:r>
      <w:r w:rsidRPr="00D74C51">
        <w:rPr>
          <w:rFonts w:ascii="Arial" w:hAnsi="Arial" w:cs="Arial"/>
          <w:b/>
        </w:rPr>
        <w:t>Security in case of appeals</w:t>
      </w:r>
    </w:p>
    <w:p w:rsidR="00F66131" w:rsidRPr="00D74C51" w:rsidRDefault="00F66131" w:rsidP="00F66131">
      <w:pPr>
        <w:pStyle w:val="ListParagraph"/>
        <w:spacing w:after="0" w:line="360" w:lineRule="auto"/>
        <w:jc w:val="both"/>
        <w:rPr>
          <w:rFonts w:ascii="Arial" w:hAnsi="Arial" w:cs="Arial"/>
          <w:b/>
        </w:rPr>
      </w:pPr>
    </w:p>
    <w:p w:rsidR="00F66131" w:rsidRDefault="00F66131" w:rsidP="00F66131">
      <w:pPr>
        <w:pStyle w:val="ListParagraph"/>
        <w:spacing w:line="360" w:lineRule="auto"/>
        <w:jc w:val="both"/>
        <w:rPr>
          <w:rFonts w:ascii="Arial" w:hAnsi="Arial" w:cs="Arial"/>
        </w:rPr>
      </w:pPr>
      <w:r>
        <w:rPr>
          <w:rFonts w:ascii="Arial" w:hAnsi="Arial" w:cs="Arial"/>
          <w:b/>
        </w:rPr>
        <w:lastRenderedPageBreak/>
        <w:tab/>
      </w:r>
      <w:r>
        <w:rPr>
          <w:rFonts w:ascii="Arial" w:hAnsi="Arial" w:cs="Arial"/>
        </w:rPr>
        <w:t>14.</w:t>
      </w:r>
      <w:r>
        <w:rPr>
          <w:rFonts w:ascii="Arial" w:hAnsi="Arial" w:cs="Arial"/>
        </w:rPr>
        <w:tab/>
        <w:t>(1)</w:t>
      </w:r>
      <w:r>
        <w:rPr>
          <w:rFonts w:ascii="Arial" w:hAnsi="Arial" w:cs="Arial"/>
        </w:rPr>
        <w:tab/>
        <w:t xml:space="preserve">If the judgment appealed from is carried into execution by direction of the court appealed from, the party requesting execution must, before such execution, enter into good and sufficient security </w:t>
      </w:r>
      <w:r>
        <w:rPr>
          <w:rFonts w:ascii="Arial" w:hAnsi="Arial" w:cs="Arial"/>
          <w:i/>
        </w:rPr>
        <w:t>de restituendo.</w:t>
      </w:r>
    </w:p>
    <w:p w:rsidR="00F66131" w:rsidRDefault="00F66131" w:rsidP="00F66131">
      <w:pPr>
        <w:pStyle w:val="ListParagraph"/>
        <w:spacing w:line="360" w:lineRule="auto"/>
        <w:jc w:val="both"/>
        <w:rPr>
          <w:rFonts w:ascii="Arial" w:hAnsi="Arial" w:cs="Arial"/>
        </w:rPr>
      </w:pPr>
    </w:p>
    <w:p w:rsidR="00F66131" w:rsidRDefault="00F66131" w:rsidP="00F66131">
      <w:pPr>
        <w:pStyle w:val="ListParagraph"/>
        <w:spacing w:line="360" w:lineRule="auto"/>
        <w:jc w:val="both"/>
        <w:rPr>
          <w:rFonts w:ascii="Arial" w:hAnsi="Arial" w:cs="Arial"/>
        </w:rPr>
      </w:pPr>
      <w:r>
        <w:rPr>
          <w:rFonts w:ascii="Arial" w:hAnsi="Arial" w:cs="Arial"/>
        </w:rPr>
        <w:tab/>
      </w:r>
      <w:r>
        <w:rPr>
          <w:rFonts w:ascii="Arial" w:hAnsi="Arial" w:cs="Arial"/>
        </w:rPr>
        <w:tab/>
        <w:t>(2)</w:t>
      </w:r>
      <w:r>
        <w:rPr>
          <w:rFonts w:ascii="Arial" w:hAnsi="Arial" w:cs="Arial"/>
        </w:rPr>
        <w:tab/>
        <w:t>If the execution of a judgment is suspended pending appeal, the appellant must, before lodging copies of the record, enter into good and sufficient security for the respondent’s costs of appeal, unless –</w:t>
      </w:r>
    </w:p>
    <w:p w:rsidR="00F66131" w:rsidRDefault="00F66131" w:rsidP="00F66131">
      <w:pPr>
        <w:pStyle w:val="ListParagraph"/>
        <w:spacing w:line="360" w:lineRule="auto"/>
        <w:jc w:val="both"/>
        <w:rPr>
          <w:rFonts w:ascii="Arial" w:hAnsi="Arial" w:cs="Arial"/>
        </w:rPr>
      </w:pPr>
      <w:r>
        <w:rPr>
          <w:rFonts w:ascii="Arial" w:hAnsi="Arial" w:cs="Arial"/>
        </w:rPr>
        <w:tab/>
      </w:r>
      <w:r>
        <w:rPr>
          <w:rFonts w:ascii="Arial" w:hAnsi="Arial" w:cs="Arial"/>
        </w:rPr>
        <w:tab/>
      </w:r>
    </w:p>
    <w:p w:rsidR="00F66131" w:rsidRDefault="00F66131" w:rsidP="00F66131">
      <w:pPr>
        <w:pStyle w:val="ListParagraph"/>
        <w:numPr>
          <w:ilvl w:val="0"/>
          <w:numId w:val="50"/>
        </w:numPr>
        <w:spacing w:line="360" w:lineRule="auto"/>
        <w:ind w:left="2835" w:hanging="675"/>
        <w:jc w:val="both"/>
        <w:rPr>
          <w:rFonts w:ascii="Arial" w:hAnsi="Arial" w:cs="Arial"/>
        </w:rPr>
      </w:pPr>
      <w:r>
        <w:rPr>
          <w:rFonts w:ascii="Arial" w:hAnsi="Arial" w:cs="Arial"/>
        </w:rPr>
        <w:t>the respondent waives the right to security within 15 days of receipt of the appellant’s notice of appeal; or</w:t>
      </w:r>
    </w:p>
    <w:p w:rsidR="00F66131" w:rsidRDefault="00F66131" w:rsidP="00F66131">
      <w:pPr>
        <w:pStyle w:val="ListParagraph"/>
        <w:spacing w:line="360" w:lineRule="auto"/>
        <w:ind w:left="2835"/>
        <w:jc w:val="both"/>
        <w:rPr>
          <w:rFonts w:ascii="Arial" w:hAnsi="Arial" w:cs="Arial"/>
        </w:rPr>
      </w:pPr>
    </w:p>
    <w:p w:rsidR="00F66131" w:rsidRPr="00131AA5" w:rsidRDefault="00F66131" w:rsidP="00F66131">
      <w:pPr>
        <w:pStyle w:val="ListParagraph"/>
        <w:numPr>
          <w:ilvl w:val="0"/>
          <w:numId w:val="50"/>
        </w:numPr>
        <w:spacing w:line="360" w:lineRule="auto"/>
        <w:ind w:left="2835" w:hanging="675"/>
        <w:jc w:val="both"/>
        <w:rPr>
          <w:rFonts w:ascii="Arial" w:hAnsi="Arial" w:cs="Arial"/>
        </w:rPr>
      </w:pPr>
      <w:r>
        <w:rPr>
          <w:rFonts w:ascii="Arial" w:hAnsi="Arial" w:cs="Arial"/>
        </w:rPr>
        <w:t>the court appealed from, upon application of the appellant delivered within 15 days after delivery of the appellant’s notice of appeal or such longer period as that court on good cause shown, has allowed the appellant to be released wholly or partially from that obligation.</w:t>
      </w:r>
    </w:p>
    <w:p w:rsidR="00F66131" w:rsidRPr="009C7821" w:rsidRDefault="00F66131" w:rsidP="00F66131">
      <w:pPr>
        <w:pStyle w:val="ListParagraph"/>
        <w:rPr>
          <w:rFonts w:ascii="Arial" w:hAnsi="Arial" w:cs="Arial"/>
        </w:rPr>
      </w:pPr>
    </w:p>
    <w:p w:rsidR="00F66131" w:rsidRDefault="00F66131" w:rsidP="00F66131">
      <w:pPr>
        <w:spacing w:after="0" w:line="360" w:lineRule="auto"/>
        <w:ind w:left="709" w:firstLine="1451"/>
        <w:jc w:val="both"/>
        <w:rPr>
          <w:rFonts w:ascii="Arial" w:hAnsi="Arial" w:cs="Arial"/>
        </w:rPr>
      </w:pPr>
      <w:r>
        <w:rPr>
          <w:rFonts w:ascii="Arial" w:hAnsi="Arial" w:cs="Arial"/>
        </w:rPr>
        <w:t>(3)</w:t>
      </w:r>
      <w:r>
        <w:rPr>
          <w:rFonts w:ascii="Arial" w:hAnsi="Arial" w:cs="Arial"/>
        </w:rPr>
        <w:tab/>
        <w:t xml:space="preserve">If the execution of a judgment is suspended pending appeal, the appellant must, when copies of the record are lodged, inform the registrar in writing whether he or she – </w:t>
      </w:r>
    </w:p>
    <w:p w:rsidR="00F66131" w:rsidRDefault="00F66131" w:rsidP="00F66131">
      <w:pPr>
        <w:spacing w:after="0" w:line="360" w:lineRule="auto"/>
        <w:ind w:left="709" w:firstLine="1451"/>
        <w:jc w:val="both"/>
        <w:rPr>
          <w:rFonts w:ascii="Arial" w:hAnsi="Arial" w:cs="Arial"/>
        </w:rPr>
      </w:pPr>
    </w:p>
    <w:p w:rsidR="00F66131" w:rsidRDefault="00F66131" w:rsidP="00F66131">
      <w:pPr>
        <w:spacing w:after="0" w:line="360" w:lineRule="auto"/>
        <w:ind w:left="709" w:firstLine="1451"/>
        <w:jc w:val="both"/>
        <w:rPr>
          <w:rFonts w:ascii="Arial" w:hAnsi="Arial" w:cs="Arial"/>
        </w:rPr>
      </w:pPr>
      <w:r>
        <w:rPr>
          <w:rFonts w:ascii="Arial" w:hAnsi="Arial" w:cs="Arial"/>
        </w:rPr>
        <w:t>(a)</w:t>
      </w:r>
      <w:r>
        <w:rPr>
          <w:rFonts w:ascii="Arial" w:hAnsi="Arial" w:cs="Arial"/>
        </w:rPr>
        <w:tab/>
        <w:t>has entered into security in terms of this rule; or</w:t>
      </w:r>
    </w:p>
    <w:p w:rsidR="00F66131" w:rsidRDefault="00F66131" w:rsidP="00F66131">
      <w:pPr>
        <w:spacing w:after="0" w:line="360" w:lineRule="auto"/>
        <w:ind w:left="709" w:firstLine="1451"/>
        <w:jc w:val="both"/>
        <w:rPr>
          <w:rFonts w:ascii="Arial" w:hAnsi="Arial" w:cs="Arial"/>
        </w:rPr>
      </w:pPr>
    </w:p>
    <w:p w:rsidR="00F66131" w:rsidRDefault="00F66131" w:rsidP="00F66131">
      <w:pPr>
        <w:spacing w:after="0" w:line="360" w:lineRule="auto"/>
        <w:ind w:left="2880" w:hanging="720"/>
        <w:jc w:val="both"/>
        <w:rPr>
          <w:rFonts w:ascii="Arial" w:hAnsi="Arial" w:cs="Arial"/>
        </w:rPr>
      </w:pPr>
      <w:r>
        <w:rPr>
          <w:rFonts w:ascii="Arial" w:hAnsi="Arial" w:cs="Arial"/>
        </w:rPr>
        <w:t>(b)</w:t>
      </w:r>
      <w:r>
        <w:rPr>
          <w:rFonts w:ascii="Arial" w:hAnsi="Arial" w:cs="Arial"/>
        </w:rPr>
        <w:tab/>
        <w:t>has been released from that obligation, either by virtue of a waiver by the respondent or release by the court appealed from, as contemplated in subrule (2),</w:t>
      </w:r>
    </w:p>
    <w:p w:rsidR="00F66131" w:rsidRDefault="00F66131" w:rsidP="00F66131">
      <w:pPr>
        <w:spacing w:after="0" w:line="360" w:lineRule="auto"/>
        <w:ind w:left="2880" w:hanging="720"/>
        <w:jc w:val="both"/>
        <w:rPr>
          <w:rFonts w:ascii="Arial" w:hAnsi="Arial" w:cs="Arial"/>
        </w:rPr>
      </w:pPr>
    </w:p>
    <w:p w:rsidR="00F66131" w:rsidRDefault="00F66131" w:rsidP="00F66131">
      <w:pPr>
        <w:spacing w:after="0" w:line="360" w:lineRule="auto"/>
        <w:ind w:left="709" w:firstLine="1451"/>
        <w:jc w:val="both"/>
        <w:rPr>
          <w:rFonts w:ascii="Arial" w:hAnsi="Arial" w:cs="Arial"/>
        </w:rPr>
      </w:pPr>
      <w:r>
        <w:rPr>
          <w:rFonts w:ascii="Arial" w:hAnsi="Arial" w:cs="Arial"/>
        </w:rPr>
        <w:t>(4)</w:t>
      </w:r>
      <w:r>
        <w:rPr>
          <w:rFonts w:ascii="Arial" w:hAnsi="Arial" w:cs="Arial"/>
        </w:rPr>
        <w:tab/>
        <w:t>Failure to inform the registrar in accordance with subrule (3) within 21 days is deemed to be a failure to comply with the provisions of that subrule.</w:t>
      </w:r>
    </w:p>
    <w:p w:rsidR="00F66131" w:rsidRDefault="00F66131" w:rsidP="00F66131">
      <w:pPr>
        <w:spacing w:after="0" w:line="360" w:lineRule="auto"/>
        <w:ind w:left="709" w:firstLine="1451"/>
        <w:jc w:val="both"/>
        <w:rPr>
          <w:rFonts w:ascii="Arial" w:hAnsi="Arial" w:cs="Arial"/>
        </w:rPr>
      </w:pPr>
    </w:p>
    <w:p w:rsidR="00F66131" w:rsidRDefault="00F66131" w:rsidP="00F66131">
      <w:pPr>
        <w:spacing w:after="0" w:line="360" w:lineRule="auto"/>
        <w:ind w:left="709" w:firstLine="1451"/>
        <w:jc w:val="both"/>
        <w:rPr>
          <w:rFonts w:ascii="Arial" w:hAnsi="Arial" w:cs="Arial"/>
        </w:rPr>
      </w:pPr>
      <w:r>
        <w:rPr>
          <w:rFonts w:ascii="Arial" w:hAnsi="Arial" w:cs="Arial"/>
        </w:rPr>
        <w:t>(5)</w:t>
      </w:r>
      <w:r>
        <w:rPr>
          <w:rFonts w:ascii="Arial" w:hAnsi="Arial" w:cs="Arial"/>
        </w:rPr>
        <w:tab/>
        <w:t>The registrar of the court appealed from must, whenever the parties are unable to agree as to the amount of security to be entered into under this rule, determine and fix the amount.</w:t>
      </w:r>
    </w:p>
    <w:p w:rsidR="00F66131" w:rsidRDefault="00F66131" w:rsidP="00F66131">
      <w:pPr>
        <w:spacing w:after="0" w:line="360" w:lineRule="auto"/>
        <w:ind w:left="709" w:firstLine="1451"/>
        <w:jc w:val="both"/>
        <w:rPr>
          <w:rFonts w:ascii="Arial" w:hAnsi="Arial" w:cs="Arial"/>
        </w:rPr>
      </w:pPr>
    </w:p>
    <w:p w:rsidR="00F66131" w:rsidRDefault="00F66131" w:rsidP="00F66131">
      <w:pPr>
        <w:spacing w:after="0" w:line="360" w:lineRule="auto"/>
        <w:ind w:left="709" w:firstLine="1451"/>
        <w:jc w:val="both"/>
        <w:rPr>
          <w:rFonts w:ascii="Arial" w:hAnsi="Arial" w:cs="Arial"/>
        </w:rPr>
      </w:pPr>
      <w:r>
        <w:rPr>
          <w:rFonts w:ascii="Arial" w:hAnsi="Arial" w:cs="Arial"/>
        </w:rPr>
        <w:t>(6)</w:t>
      </w:r>
      <w:r>
        <w:rPr>
          <w:rFonts w:ascii="Arial" w:hAnsi="Arial" w:cs="Arial"/>
        </w:rPr>
        <w:tab/>
        <w:t xml:space="preserve">. . . </w:t>
      </w:r>
    </w:p>
    <w:p w:rsidR="00F66131" w:rsidRDefault="00F66131" w:rsidP="00F66131">
      <w:pPr>
        <w:spacing w:after="0" w:line="360" w:lineRule="auto"/>
        <w:ind w:left="709" w:firstLine="1451"/>
        <w:jc w:val="both"/>
        <w:rPr>
          <w:rFonts w:ascii="Arial" w:hAnsi="Arial" w:cs="Arial"/>
        </w:rPr>
      </w:pPr>
    </w:p>
    <w:p w:rsidR="00F66131" w:rsidRDefault="00F66131" w:rsidP="00F66131">
      <w:pPr>
        <w:spacing w:line="360" w:lineRule="auto"/>
        <w:ind w:left="709" w:firstLine="1451"/>
        <w:jc w:val="both"/>
        <w:rPr>
          <w:rFonts w:ascii="Arial" w:hAnsi="Arial" w:cs="Arial"/>
        </w:rPr>
      </w:pPr>
      <w:r>
        <w:rPr>
          <w:rFonts w:ascii="Arial" w:hAnsi="Arial" w:cs="Arial"/>
        </w:rPr>
        <w:t>(7)</w:t>
      </w:r>
      <w:r>
        <w:rPr>
          <w:rFonts w:ascii="Arial" w:hAnsi="Arial" w:cs="Arial"/>
        </w:rPr>
        <w:tab/>
        <w:t>. . . ’</w:t>
      </w:r>
    </w:p>
    <w:p w:rsidR="00F66131" w:rsidRPr="00E25B8B" w:rsidRDefault="00F66131" w:rsidP="00E25B8B">
      <w:pPr>
        <w:rPr>
          <w:rFonts w:ascii="Arial" w:hAnsi="Arial" w:cs="Arial"/>
          <w:sz w:val="24"/>
          <w:szCs w:val="24"/>
        </w:rPr>
      </w:pPr>
    </w:p>
    <w:p w:rsidR="00F66131" w:rsidRDefault="008703B0" w:rsidP="00F66131">
      <w:pPr>
        <w:pStyle w:val="NoSpacing"/>
        <w:numPr>
          <w:ilvl w:val="0"/>
          <w:numId w:val="4"/>
        </w:numPr>
        <w:spacing w:line="480" w:lineRule="auto"/>
        <w:ind w:left="0" w:firstLine="0"/>
        <w:jc w:val="both"/>
        <w:rPr>
          <w:rFonts w:ascii="Arial" w:hAnsi="Arial" w:cs="Arial"/>
          <w:sz w:val="24"/>
          <w:szCs w:val="24"/>
        </w:rPr>
      </w:pPr>
      <w:r w:rsidRPr="00F66131">
        <w:rPr>
          <w:rFonts w:ascii="Arial" w:hAnsi="Arial" w:cs="Arial"/>
          <w:sz w:val="24"/>
          <w:szCs w:val="24"/>
        </w:rPr>
        <w:t>In the condonation application for the failure to provide security, a legal practitioner acting for the appellant (not counsel who appeared in this court) stated that after a perusal of a South African case</w:t>
      </w:r>
      <w:r w:rsidR="0001341A">
        <w:rPr>
          <w:rFonts w:ascii="Arial" w:hAnsi="Arial" w:cs="Arial"/>
          <w:sz w:val="24"/>
          <w:szCs w:val="24"/>
        </w:rPr>
        <w:t>,</w:t>
      </w:r>
      <w:r w:rsidRPr="00F66131">
        <w:rPr>
          <w:rFonts w:ascii="Arial" w:hAnsi="Arial" w:cs="Arial"/>
          <w:sz w:val="24"/>
          <w:szCs w:val="24"/>
        </w:rPr>
        <w:t xml:space="preserve"> she concluded that security for costs was not necessary because the refusal to allow an amendment ‘was not the sort of order that one executes’. The South African case that caused her to come to this conclusion was </w:t>
      </w:r>
      <w:r w:rsidRPr="00F66131">
        <w:rPr>
          <w:rFonts w:ascii="Arial" w:hAnsi="Arial" w:cs="Arial"/>
          <w:i/>
          <w:sz w:val="24"/>
          <w:szCs w:val="24"/>
        </w:rPr>
        <w:t xml:space="preserve">Beecham Group </w:t>
      </w:r>
      <w:r w:rsidR="00CB1763">
        <w:rPr>
          <w:rFonts w:ascii="Arial" w:hAnsi="Arial" w:cs="Arial"/>
          <w:i/>
          <w:sz w:val="24"/>
          <w:szCs w:val="24"/>
        </w:rPr>
        <w:t>P</w:t>
      </w:r>
      <w:r w:rsidRPr="00F66131">
        <w:rPr>
          <w:rFonts w:ascii="Arial" w:hAnsi="Arial" w:cs="Arial"/>
          <w:i/>
          <w:sz w:val="24"/>
          <w:szCs w:val="24"/>
        </w:rPr>
        <w:t>lc v South African Druggists Ltd</w:t>
      </w:r>
      <w:r w:rsidR="00EC4B35">
        <w:rPr>
          <w:rFonts w:ascii="Arial" w:hAnsi="Arial" w:cs="Arial"/>
          <w:i/>
          <w:sz w:val="24"/>
          <w:szCs w:val="24"/>
        </w:rPr>
        <w:t>.</w:t>
      </w:r>
      <w:r w:rsidRPr="00CB1763">
        <w:rPr>
          <w:rStyle w:val="FootnoteReference"/>
          <w:rFonts w:ascii="Arial" w:hAnsi="Arial" w:cs="Arial"/>
          <w:sz w:val="24"/>
          <w:szCs w:val="24"/>
        </w:rPr>
        <w:footnoteReference w:id="2"/>
      </w:r>
      <w:r w:rsidRPr="00EC4B35">
        <w:rPr>
          <w:rFonts w:ascii="Arial" w:hAnsi="Arial" w:cs="Arial"/>
          <w:sz w:val="24"/>
          <w:szCs w:val="24"/>
        </w:rPr>
        <w:t xml:space="preserve"> </w:t>
      </w:r>
      <w:r w:rsidRPr="00F66131">
        <w:rPr>
          <w:rFonts w:ascii="Arial" w:hAnsi="Arial" w:cs="Arial"/>
          <w:sz w:val="24"/>
          <w:szCs w:val="24"/>
        </w:rPr>
        <w:t xml:space="preserve">This case however is not relevant to the present matter as it dealt with a case falling within rule 14(1), namely where a respondent (not an appellant) seeks to execute on a judgment pending an appeal. In other words, where the successful party </w:t>
      </w:r>
      <w:r w:rsidRPr="00F66131">
        <w:rPr>
          <w:rFonts w:ascii="Arial" w:hAnsi="Arial" w:cs="Arial"/>
          <w:i/>
          <w:sz w:val="24"/>
          <w:szCs w:val="24"/>
        </w:rPr>
        <w:t>a quo</w:t>
      </w:r>
      <w:r w:rsidRPr="00F66131">
        <w:rPr>
          <w:rFonts w:ascii="Arial" w:hAnsi="Arial" w:cs="Arial"/>
          <w:sz w:val="24"/>
          <w:szCs w:val="24"/>
        </w:rPr>
        <w:t xml:space="preserve"> wishes to execute the order given by the court </w:t>
      </w:r>
      <w:r w:rsidRPr="00F66131">
        <w:rPr>
          <w:rFonts w:ascii="Arial" w:hAnsi="Arial" w:cs="Arial"/>
          <w:i/>
          <w:sz w:val="24"/>
          <w:szCs w:val="24"/>
        </w:rPr>
        <w:t>a quo</w:t>
      </w:r>
      <w:r w:rsidRPr="00F66131">
        <w:rPr>
          <w:rFonts w:ascii="Arial" w:hAnsi="Arial" w:cs="Arial"/>
          <w:sz w:val="24"/>
          <w:szCs w:val="24"/>
        </w:rPr>
        <w:t xml:space="preserve"> pending the appeal which, in terms of the common law is automatically suspended.</w:t>
      </w:r>
      <w:r w:rsidRPr="00F66131">
        <w:rPr>
          <w:rStyle w:val="FootnoteReference"/>
          <w:rFonts w:ascii="Arial" w:hAnsi="Arial" w:cs="Arial"/>
          <w:sz w:val="24"/>
          <w:szCs w:val="24"/>
        </w:rPr>
        <w:footnoteReference w:id="3"/>
      </w:r>
    </w:p>
    <w:p w:rsidR="00F66131" w:rsidRDefault="00F66131" w:rsidP="00F66131">
      <w:pPr>
        <w:pStyle w:val="NoSpacing"/>
        <w:spacing w:line="480" w:lineRule="auto"/>
        <w:jc w:val="both"/>
        <w:rPr>
          <w:rFonts w:ascii="Arial" w:hAnsi="Arial" w:cs="Arial"/>
          <w:sz w:val="24"/>
          <w:szCs w:val="24"/>
        </w:rPr>
      </w:pPr>
    </w:p>
    <w:p w:rsidR="00F66131" w:rsidRDefault="008703B0" w:rsidP="00F66131">
      <w:pPr>
        <w:pStyle w:val="NoSpacing"/>
        <w:numPr>
          <w:ilvl w:val="0"/>
          <w:numId w:val="4"/>
        </w:numPr>
        <w:spacing w:line="480" w:lineRule="auto"/>
        <w:ind w:left="0" w:firstLine="0"/>
        <w:jc w:val="both"/>
        <w:rPr>
          <w:rFonts w:ascii="Arial" w:hAnsi="Arial" w:cs="Arial"/>
          <w:sz w:val="24"/>
          <w:szCs w:val="24"/>
        </w:rPr>
      </w:pPr>
      <w:r w:rsidRPr="00F66131">
        <w:rPr>
          <w:rFonts w:ascii="Arial" w:hAnsi="Arial" w:cs="Arial"/>
          <w:sz w:val="24"/>
          <w:szCs w:val="24"/>
        </w:rPr>
        <w:t>The issue in the present case is whether rule 14(2) is applicable where, as i</w:t>
      </w:r>
      <w:r w:rsidR="00CB1763">
        <w:rPr>
          <w:rFonts w:ascii="Arial" w:hAnsi="Arial" w:cs="Arial"/>
          <w:sz w:val="24"/>
          <w:szCs w:val="24"/>
        </w:rPr>
        <w:t>s</w:t>
      </w:r>
      <w:r w:rsidRPr="00F66131">
        <w:rPr>
          <w:rFonts w:ascii="Arial" w:hAnsi="Arial" w:cs="Arial"/>
          <w:sz w:val="24"/>
          <w:szCs w:val="24"/>
        </w:rPr>
        <w:t xml:space="preserve"> the case</w:t>
      </w:r>
      <w:r w:rsidR="00CB1763">
        <w:rPr>
          <w:rFonts w:ascii="Arial" w:hAnsi="Arial" w:cs="Arial"/>
          <w:sz w:val="24"/>
          <w:szCs w:val="24"/>
        </w:rPr>
        <w:t xml:space="preserve"> here</w:t>
      </w:r>
      <w:r w:rsidRPr="00F66131">
        <w:rPr>
          <w:rFonts w:ascii="Arial" w:hAnsi="Arial" w:cs="Arial"/>
          <w:sz w:val="24"/>
          <w:szCs w:val="24"/>
        </w:rPr>
        <w:t xml:space="preserve">, the order relating to the amendment can in no manner be regarded as suspended as it was refused, but was accompanied by an adverse costs order against the appellant. </w:t>
      </w:r>
    </w:p>
    <w:p w:rsidR="00F66131" w:rsidRPr="00E25B8B" w:rsidRDefault="00F66131" w:rsidP="00E25B8B">
      <w:pPr>
        <w:rPr>
          <w:rFonts w:ascii="Arial" w:hAnsi="Arial" w:cs="Arial"/>
          <w:sz w:val="24"/>
          <w:szCs w:val="24"/>
        </w:rPr>
      </w:pPr>
    </w:p>
    <w:p w:rsidR="00F66131" w:rsidRDefault="008703B0" w:rsidP="00F66131">
      <w:pPr>
        <w:pStyle w:val="NoSpacing"/>
        <w:numPr>
          <w:ilvl w:val="0"/>
          <w:numId w:val="4"/>
        </w:numPr>
        <w:spacing w:line="480" w:lineRule="auto"/>
        <w:ind w:left="0" w:firstLine="0"/>
        <w:jc w:val="both"/>
        <w:rPr>
          <w:rFonts w:ascii="Arial" w:hAnsi="Arial" w:cs="Arial"/>
          <w:sz w:val="24"/>
          <w:szCs w:val="24"/>
        </w:rPr>
      </w:pPr>
      <w:r w:rsidRPr="00F66131">
        <w:rPr>
          <w:rFonts w:ascii="Arial" w:hAnsi="Arial" w:cs="Arial"/>
          <w:sz w:val="24"/>
          <w:szCs w:val="24"/>
        </w:rPr>
        <w:t xml:space="preserve">It seems to be clear that under the common law rule that where the whole order contained in the judgment is appealed against the costs order is also suspended pending the appeal, ie the respondent as successful party </w:t>
      </w:r>
      <w:r w:rsidRPr="00F66131">
        <w:rPr>
          <w:rFonts w:ascii="Arial" w:hAnsi="Arial" w:cs="Arial"/>
          <w:i/>
          <w:sz w:val="24"/>
          <w:szCs w:val="24"/>
        </w:rPr>
        <w:t>a quo</w:t>
      </w:r>
      <w:r w:rsidRPr="00F66131">
        <w:rPr>
          <w:rFonts w:ascii="Arial" w:hAnsi="Arial" w:cs="Arial"/>
          <w:sz w:val="24"/>
          <w:szCs w:val="24"/>
        </w:rPr>
        <w:t xml:space="preserve"> cannot execute the costs order while the appeal is pending. The successful party is not entitled to ‘obtaining the fruits’ of his or her judgment or order as to costs in such </w:t>
      </w:r>
      <w:r w:rsidRPr="00F66131">
        <w:rPr>
          <w:rFonts w:ascii="Arial" w:hAnsi="Arial" w:cs="Arial"/>
          <w:sz w:val="24"/>
          <w:szCs w:val="24"/>
        </w:rPr>
        <w:lastRenderedPageBreak/>
        <w:t>case.</w:t>
      </w:r>
      <w:r>
        <w:rPr>
          <w:rStyle w:val="FootnoteReference"/>
          <w:rFonts w:ascii="Arial" w:hAnsi="Arial" w:cs="Arial"/>
          <w:sz w:val="24"/>
          <w:szCs w:val="24"/>
        </w:rPr>
        <w:footnoteReference w:id="4"/>
      </w:r>
      <w:r w:rsidRPr="00F66131">
        <w:rPr>
          <w:rFonts w:ascii="Arial" w:hAnsi="Arial" w:cs="Arial"/>
          <w:sz w:val="24"/>
          <w:szCs w:val="24"/>
        </w:rPr>
        <w:t xml:space="preserve"> This is so because ‘judgment’ means judgment or order and hence refers to all the orders, including the costs order that follows upon a judgment.</w:t>
      </w:r>
      <w:r>
        <w:rPr>
          <w:rStyle w:val="FootnoteReference"/>
          <w:rFonts w:ascii="Arial" w:hAnsi="Arial" w:cs="Arial"/>
          <w:sz w:val="24"/>
          <w:szCs w:val="24"/>
        </w:rPr>
        <w:footnoteReference w:id="5"/>
      </w:r>
    </w:p>
    <w:p w:rsidR="00F66131" w:rsidRPr="00E25B8B" w:rsidRDefault="00F66131" w:rsidP="00E25B8B">
      <w:pPr>
        <w:rPr>
          <w:rFonts w:ascii="Arial" w:hAnsi="Arial" w:cs="Arial"/>
          <w:sz w:val="24"/>
          <w:szCs w:val="24"/>
        </w:rPr>
      </w:pPr>
    </w:p>
    <w:p w:rsidR="00F66131" w:rsidRDefault="008703B0" w:rsidP="00F66131">
      <w:pPr>
        <w:pStyle w:val="NoSpacing"/>
        <w:numPr>
          <w:ilvl w:val="0"/>
          <w:numId w:val="4"/>
        </w:numPr>
        <w:spacing w:line="480" w:lineRule="auto"/>
        <w:ind w:left="0" w:firstLine="0"/>
        <w:jc w:val="both"/>
        <w:rPr>
          <w:rFonts w:ascii="Arial" w:hAnsi="Arial" w:cs="Arial"/>
          <w:sz w:val="24"/>
          <w:szCs w:val="24"/>
        </w:rPr>
      </w:pPr>
      <w:r w:rsidRPr="00F66131">
        <w:rPr>
          <w:rFonts w:ascii="Arial" w:hAnsi="Arial" w:cs="Arial"/>
          <w:sz w:val="24"/>
          <w:szCs w:val="24"/>
        </w:rPr>
        <w:t>Rule 14 must also be read in conjunction with s 18 of the High Court Act</w:t>
      </w:r>
      <w:r>
        <w:rPr>
          <w:rStyle w:val="FootnoteReference"/>
          <w:rFonts w:ascii="Arial" w:hAnsi="Arial" w:cs="Arial"/>
          <w:sz w:val="24"/>
          <w:szCs w:val="24"/>
        </w:rPr>
        <w:footnoteReference w:id="6"/>
      </w:r>
      <w:r w:rsidRPr="00F66131">
        <w:rPr>
          <w:rFonts w:ascii="Arial" w:hAnsi="Arial" w:cs="Arial"/>
          <w:sz w:val="24"/>
          <w:szCs w:val="24"/>
        </w:rPr>
        <w:t xml:space="preserve"> which deals with appeals from the High Court. This section distinguishes between appeals as of right</w:t>
      </w:r>
      <w:r>
        <w:rPr>
          <w:rStyle w:val="FootnoteReference"/>
          <w:rFonts w:ascii="Arial" w:hAnsi="Arial" w:cs="Arial"/>
          <w:sz w:val="24"/>
          <w:szCs w:val="24"/>
        </w:rPr>
        <w:footnoteReference w:id="7"/>
      </w:r>
      <w:r w:rsidRPr="00F66131">
        <w:rPr>
          <w:rFonts w:ascii="Arial" w:hAnsi="Arial" w:cs="Arial"/>
          <w:sz w:val="24"/>
          <w:szCs w:val="24"/>
        </w:rPr>
        <w:t xml:space="preserve"> and those where leave is required to appeal to this court.</w:t>
      </w:r>
      <w:r>
        <w:rPr>
          <w:rStyle w:val="FootnoteReference"/>
          <w:rFonts w:ascii="Arial" w:hAnsi="Arial" w:cs="Arial"/>
          <w:sz w:val="24"/>
          <w:szCs w:val="24"/>
        </w:rPr>
        <w:footnoteReference w:id="8"/>
      </w:r>
      <w:r w:rsidRPr="00F66131">
        <w:rPr>
          <w:rFonts w:ascii="Arial" w:hAnsi="Arial" w:cs="Arial"/>
          <w:sz w:val="24"/>
          <w:szCs w:val="24"/>
        </w:rPr>
        <w:t xml:space="preserve"> When an appeal lies as of right to the Supreme Court and the High Court Act does not address the issue of security at all, security is required in accordance with rule 14</w:t>
      </w:r>
      <w:r w:rsidR="00455D55">
        <w:rPr>
          <w:rFonts w:ascii="Arial" w:hAnsi="Arial" w:cs="Arial"/>
          <w:sz w:val="24"/>
          <w:szCs w:val="24"/>
        </w:rPr>
        <w:t xml:space="preserve"> </w:t>
      </w:r>
      <w:r w:rsidRPr="00F66131">
        <w:rPr>
          <w:rFonts w:ascii="Arial" w:hAnsi="Arial" w:cs="Arial"/>
          <w:sz w:val="24"/>
          <w:szCs w:val="24"/>
        </w:rPr>
        <w:t xml:space="preserve">(2) </w:t>
      </w:r>
      <w:r w:rsidR="00455D55">
        <w:rPr>
          <w:rFonts w:ascii="Arial" w:hAnsi="Arial" w:cs="Arial"/>
          <w:sz w:val="24"/>
          <w:szCs w:val="24"/>
        </w:rPr>
        <w:t>as</w:t>
      </w:r>
      <w:r w:rsidRPr="00F66131">
        <w:rPr>
          <w:rFonts w:ascii="Arial" w:hAnsi="Arial" w:cs="Arial"/>
          <w:sz w:val="24"/>
          <w:szCs w:val="24"/>
        </w:rPr>
        <w:t xml:space="preserve"> the judgment is suspended pending the appeal.</w:t>
      </w:r>
      <w:r>
        <w:rPr>
          <w:rStyle w:val="FootnoteReference"/>
          <w:rFonts w:ascii="Arial" w:hAnsi="Arial" w:cs="Arial"/>
          <w:sz w:val="24"/>
          <w:szCs w:val="24"/>
        </w:rPr>
        <w:footnoteReference w:id="9"/>
      </w:r>
    </w:p>
    <w:p w:rsidR="00F66131" w:rsidRPr="00E25B8B" w:rsidRDefault="00F66131" w:rsidP="00E25B8B">
      <w:pPr>
        <w:rPr>
          <w:rFonts w:ascii="Arial" w:hAnsi="Arial" w:cs="Arial"/>
          <w:sz w:val="24"/>
          <w:szCs w:val="24"/>
        </w:rPr>
      </w:pPr>
    </w:p>
    <w:p w:rsidR="00F66131" w:rsidRDefault="008703B0" w:rsidP="00F66131">
      <w:pPr>
        <w:pStyle w:val="NoSpacing"/>
        <w:numPr>
          <w:ilvl w:val="0"/>
          <w:numId w:val="4"/>
        </w:numPr>
        <w:spacing w:line="480" w:lineRule="auto"/>
        <w:ind w:left="0" w:firstLine="0"/>
        <w:jc w:val="both"/>
        <w:rPr>
          <w:rFonts w:ascii="Arial" w:hAnsi="Arial" w:cs="Arial"/>
          <w:sz w:val="24"/>
          <w:szCs w:val="24"/>
        </w:rPr>
      </w:pPr>
      <w:r w:rsidRPr="00F66131">
        <w:rPr>
          <w:rFonts w:ascii="Arial" w:hAnsi="Arial" w:cs="Arial"/>
          <w:sz w:val="24"/>
          <w:szCs w:val="24"/>
        </w:rPr>
        <w:t>Where the High Court sits as a court of appeal, eg from a decision made in a magistrates’ court, an appeal to the Supreme Court is only possible with leave from the High Court (or if this is refused</w:t>
      </w:r>
      <w:r w:rsidR="009F0E47">
        <w:rPr>
          <w:rFonts w:ascii="Arial" w:hAnsi="Arial" w:cs="Arial"/>
          <w:sz w:val="24"/>
          <w:szCs w:val="24"/>
        </w:rPr>
        <w:t>,</w:t>
      </w:r>
      <w:r w:rsidRPr="00F66131">
        <w:rPr>
          <w:rFonts w:ascii="Arial" w:hAnsi="Arial" w:cs="Arial"/>
          <w:sz w:val="24"/>
          <w:szCs w:val="24"/>
        </w:rPr>
        <w:t xml:space="preserve"> from the Supreme Court). Where leave is granted in this situation, ‘the court granting leave’ must order the applicant for leave to appeal to furnish security for costs of the appeal.</w:t>
      </w:r>
      <w:r>
        <w:rPr>
          <w:rStyle w:val="FootnoteReference"/>
          <w:rFonts w:ascii="Arial" w:hAnsi="Arial" w:cs="Arial"/>
          <w:sz w:val="24"/>
          <w:szCs w:val="24"/>
        </w:rPr>
        <w:footnoteReference w:id="10"/>
      </w:r>
      <w:r w:rsidRPr="00F66131">
        <w:rPr>
          <w:rFonts w:ascii="Arial" w:hAnsi="Arial" w:cs="Arial"/>
          <w:sz w:val="24"/>
          <w:szCs w:val="24"/>
        </w:rPr>
        <w:t xml:space="preserve"> It follows that in this scenario rule 14(2) does not apply as the High Court Act provides for security to be determined by the court granting leave to appeal and the security (if any) must be filed pursuant to the determination by that court.</w:t>
      </w:r>
      <w:r>
        <w:rPr>
          <w:rStyle w:val="FootnoteReference"/>
          <w:rFonts w:ascii="Arial" w:hAnsi="Arial" w:cs="Arial"/>
          <w:sz w:val="24"/>
          <w:szCs w:val="24"/>
        </w:rPr>
        <w:footnoteReference w:id="11"/>
      </w:r>
    </w:p>
    <w:p w:rsidR="00F66131" w:rsidRPr="00E25B8B" w:rsidRDefault="00F66131" w:rsidP="00E25B8B">
      <w:pPr>
        <w:rPr>
          <w:rFonts w:ascii="Arial" w:hAnsi="Arial" w:cs="Arial"/>
          <w:sz w:val="24"/>
          <w:szCs w:val="24"/>
        </w:rPr>
      </w:pPr>
    </w:p>
    <w:p w:rsidR="00F66131" w:rsidRDefault="008703B0" w:rsidP="00F66131">
      <w:pPr>
        <w:pStyle w:val="NoSpacing"/>
        <w:numPr>
          <w:ilvl w:val="0"/>
          <w:numId w:val="4"/>
        </w:numPr>
        <w:spacing w:line="480" w:lineRule="auto"/>
        <w:ind w:left="0" w:firstLine="0"/>
        <w:jc w:val="both"/>
        <w:rPr>
          <w:rFonts w:ascii="Arial" w:hAnsi="Arial" w:cs="Arial"/>
          <w:sz w:val="24"/>
          <w:szCs w:val="24"/>
        </w:rPr>
      </w:pPr>
      <w:r w:rsidRPr="00F66131">
        <w:rPr>
          <w:rFonts w:ascii="Arial" w:hAnsi="Arial" w:cs="Arial"/>
          <w:sz w:val="24"/>
          <w:szCs w:val="24"/>
        </w:rPr>
        <w:t>This leaves a third category of appeals, namely in interlocutory orders or orders as to costs only which can only occur with leave from t</w:t>
      </w:r>
      <w:r w:rsidR="009F0E47">
        <w:rPr>
          <w:rFonts w:ascii="Arial" w:hAnsi="Arial" w:cs="Arial"/>
          <w:sz w:val="24"/>
          <w:szCs w:val="24"/>
        </w:rPr>
        <w:t xml:space="preserve">he court which gave </w:t>
      </w:r>
      <w:r w:rsidR="009F0E47">
        <w:rPr>
          <w:rFonts w:ascii="Arial" w:hAnsi="Arial" w:cs="Arial"/>
          <w:sz w:val="24"/>
          <w:szCs w:val="24"/>
        </w:rPr>
        <w:lastRenderedPageBreak/>
        <w:t xml:space="preserve">such order or </w:t>
      </w:r>
      <w:r w:rsidRPr="00F66131">
        <w:rPr>
          <w:rFonts w:ascii="Arial" w:hAnsi="Arial" w:cs="Arial"/>
          <w:sz w:val="24"/>
          <w:szCs w:val="24"/>
        </w:rPr>
        <w:t>failing which</w:t>
      </w:r>
      <w:r w:rsidR="009F0E47">
        <w:rPr>
          <w:rFonts w:ascii="Arial" w:hAnsi="Arial" w:cs="Arial"/>
          <w:sz w:val="24"/>
          <w:szCs w:val="24"/>
        </w:rPr>
        <w:t>,</w:t>
      </w:r>
      <w:r w:rsidRPr="00F66131">
        <w:rPr>
          <w:rFonts w:ascii="Arial" w:hAnsi="Arial" w:cs="Arial"/>
          <w:sz w:val="24"/>
          <w:szCs w:val="24"/>
        </w:rPr>
        <w:t xml:space="preserve"> from the Supreme Court. In this category, as with the first category (appeals as of right), s 18 does not deal with security at all. </w:t>
      </w:r>
    </w:p>
    <w:p w:rsidR="00F66131" w:rsidRPr="00E25B8B" w:rsidRDefault="00F66131" w:rsidP="00E25B8B">
      <w:pPr>
        <w:rPr>
          <w:rFonts w:ascii="Arial" w:hAnsi="Arial" w:cs="Arial"/>
          <w:sz w:val="24"/>
          <w:szCs w:val="24"/>
        </w:rPr>
      </w:pPr>
    </w:p>
    <w:p w:rsidR="00F66131" w:rsidRDefault="008703B0" w:rsidP="00F66131">
      <w:pPr>
        <w:pStyle w:val="NoSpacing"/>
        <w:numPr>
          <w:ilvl w:val="0"/>
          <w:numId w:val="4"/>
        </w:numPr>
        <w:spacing w:line="480" w:lineRule="auto"/>
        <w:ind w:left="0" w:firstLine="0"/>
        <w:jc w:val="both"/>
        <w:rPr>
          <w:rFonts w:ascii="Arial" w:hAnsi="Arial" w:cs="Arial"/>
          <w:sz w:val="24"/>
          <w:szCs w:val="24"/>
        </w:rPr>
      </w:pPr>
      <w:r w:rsidRPr="00F66131">
        <w:rPr>
          <w:rFonts w:ascii="Arial" w:hAnsi="Arial" w:cs="Arial"/>
          <w:sz w:val="24"/>
          <w:szCs w:val="24"/>
        </w:rPr>
        <w:t xml:space="preserve">To summarise the provisions of s 18 of the High Court Act dealt with above: In respect of appeals as of right </w:t>
      </w:r>
      <w:r w:rsidR="009F0E47">
        <w:rPr>
          <w:rFonts w:ascii="Arial" w:hAnsi="Arial" w:cs="Arial"/>
          <w:sz w:val="24"/>
          <w:szCs w:val="24"/>
        </w:rPr>
        <w:t>[</w:t>
      </w:r>
      <w:r w:rsidRPr="00F66131">
        <w:rPr>
          <w:rFonts w:ascii="Arial" w:hAnsi="Arial" w:cs="Arial"/>
          <w:sz w:val="24"/>
          <w:szCs w:val="24"/>
        </w:rPr>
        <w:t>s 18(2)</w:t>
      </w:r>
      <w:r w:rsidRPr="00F66131">
        <w:rPr>
          <w:rFonts w:ascii="Arial" w:hAnsi="Arial" w:cs="Arial"/>
          <w:i/>
          <w:sz w:val="24"/>
          <w:szCs w:val="24"/>
        </w:rPr>
        <w:t>(a)</w:t>
      </w:r>
      <w:r w:rsidR="009F0E47">
        <w:rPr>
          <w:rFonts w:ascii="Arial" w:hAnsi="Arial" w:cs="Arial"/>
          <w:sz w:val="24"/>
          <w:szCs w:val="24"/>
        </w:rPr>
        <w:t>]</w:t>
      </w:r>
      <w:r w:rsidRPr="00F66131">
        <w:rPr>
          <w:rFonts w:ascii="Arial" w:hAnsi="Arial" w:cs="Arial"/>
          <w:sz w:val="24"/>
          <w:szCs w:val="24"/>
        </w:rPr>
        <w:t xml:space="preserve"> and in respect of appeals in respect of interlocutory decisions and app</w:t>
      </w:r>
      <w:r w:rsidR="009F0E47">
        <w:rPr>
          <w:rFonts w:ascii="Arial" w:hAnsi="Arial" w:cs="Arial"/>
          <w:sz w:val="24"/>
          <w:szCs w:val="24"/>
        </w:rPr>
        <w:t>eals against costs orders only [</w:t>
      </w:r>
      <w:r w:rsidRPr="00F66131">
        <w:rPr>
          <w:rFonts w:ascii="Arial" w:hAnsi="Arial" w:cs="Arial"/>
          <w:sz w:val="24"/>
          <w:szCs w:val="24"/>
        </w:rPr>
        <w:t>s 18(3)</w:t>
      </w:r>
      <w:r w:rsidR="009F0E47">
        <w:rPr>
          <w:rFonts w:ascii="Arial" w:hAnsi="Arial" w:cs="Arial"/>
          <w:sz w:val="24"/>
          <w:szCs w:val="24"/>
        </w:rPr>
        <w:t>]</w:t>
      </w:r>
      <w:r w:rsidRPr="00F66131">
        <w:rPr>
          <w:rFonts w:ascii="Arial" w:hAnsi="Arial" w:cs="Arial"/>
          <w:sz w:val="24"/>
          <w:szCs w:val="24"/>
        </w:rPr>
        <w:t>, the High Court Act is silent as to the issue of security. In respect of appeals from the High Court whe</w:t>
      </w:r>
      <w:r w:rsidR="009F0E47">
        <w:rPr>
          <w:rFonts w:ascii="Arial" w:hAnsi="Arial" w:cs="Arial"/>
          <w:sz w:val="24"/>
          <w:szCs w:val="24"/>
        </w:rPr>
        <w:t>re it sat as a court of appeal [</w:t>
      </w:r>
      <w:r w:rsidRPr="00F66131">
        <w:rPr>
          <w:rFonts w:ascii="Arial" w:hAnsi="Arial" w:cs="Arial"/>
          <w:sz w:val="24"/>
          <w:szCs w:val="24"/>
        </w:rPr>
        <w:t>s 18(2)</w:t>
      </w:r>
      <w:r w:rsidRPr="00F66131">
        <w:rPr>
          <w:rFonts w:ascii="Arial" w:hAnsi="Arial" w:cs="Arial"/>
          <w:i/>
          <w:sz w:val="24"/>
          <w:szCs w:val="24"/>
        </w:rPr>
        <w:t>(b)</w:t>
      </w:r>
      <w:r w:rsidR="009F0E47">
        <w:rPr>
          <w:rFonts w:ascii="Arial" w:hAnsi="Arial" w:cs="Arial"/>
          <w:sz w:val="24"/>
          <w:szCs w:val="24"/>
        </w:rPr>
        <w:t>]</w:t>
      </w:r>
      <w:r w:rsidRPr="00F66131">
        <w:rPr>
          <w:rFonts w:ascii="Arial" w:hAnsi="Arial" w:cs="Arial"/>
          <w:sz w:val="24"/>
          <w:szCs w:val="24"/>
        </w:rPr>
        <w:t xml:space="preserve"> the issue of security must be addressed by the court granting leave to appeal.</w:t>
      </w:r>
    </w:p>
    <w:p w:rsidR="00F66131" w:rsidRPr="00E25B8B" w:rsidRDefault="00F66131" w:rsidP="00E25B8B">
      <w:pPr>
        <w:rPr>
          <w:rFonts w:ascii="Arial" w:hAnsi="Arial" w:cs="Arial"/>
          <w:sz w:val="24"/>
          <w:szCs w:val="24"/>
        </w:rPr>
      </w:pPr>
    </w:p>
    <w:p w:rsidR="00F66131" w:rsidRDefault="008703B0" w:rsidP="00F66131">
      <w:pPr>
        <w:pStyle w:val="NoSpacing"/>
        <w:numPr>
          <w:ilvl w:val="0"/>
          <w:numId w:val="4"/>
        </w:numPr>
        <w:spacing w:line="480" w:lineRule="auto"/>
        <w:ind w:left="0" w:firstLine="0"/>
        <w:jc w:val="both"/>
        <w:rPr>
          <w:rFonts w:ascii="Arial" w:hAnsi="Arial" w:cs="Arial"/>
          <w:sz w:val="24"/>
          <w:szCs w:val="24"/>
        </w:rPr>
      </w:pPr>
      <w:r w:rsidRPr="00F66131">
        <w:rPr>
          <w:rFonts w:ascii="Arial" w:hAnsi="Arial" w:cs="Arial"/>
          <w:sz w:val="24"/>
          <w:szCs w:val="24"/>
        </w:rPr>
        <w:t>When reading s 18 of the High Court Act together with rule 14 of the Supreme Court Rules, it follows that it is only in appeals from the High Court where it sat as a court of appeal that the issue of security is to be addressed in the court which grants leave to appeal to the Supreme Court. In all other cases security must be furnished pursuant to rule 14 where the rule is applicable. We caution against a rigid and unqualified reliance on South African authorities because, although the Namibian High Court Act was modelled on its South African counterpart when promulgated, the South African Act has since undergone fundamental changes. The current position in South Africa is that security for costs is determined by the court granting leave to appeal to the Supreme Court of Appeal and there is, generally speaking, no appeal as of right to the Supreme Court of Appeal.</w:t>
      </w:r>
      <w:r>
        <w:rPr>
          <w:rStyle w:val="FootnoteReference"/>
          <w:rFonts w:ascii="Arial" w:hAnsi="Arial" w:cs="Arial"/>
          <w:sz w:val="24"/>
          <w:szCs w:val="24"/>
        </w:rPr>
        <w:footnoteReference w:id="12"/>
      </w:r>
    </w:p>
    <w:p w:rsidR="00F66131" w:rsidRPr="00E25B8B" w:rsidRDefault="00F66131" w:rsidP="00E25B8B">
      <w:pPr>
        <w:rPr>
          <w:rFonts w:ascii="Arial" w:hAnsi="Arial" w:cs="Arial"/>
          <w:sz w:val="24"/>
          <w:szCs w:val="24"/>
        </w:rPr>
      </w:pPr>
    </w:p>
    <w:p w:rsidR="008703B0" w:rsidRPr="00F66131" w:rsidRDefault="008703B0" w:rsidP="00F66131">
      <w:pPr>
        <w:pStyle w:val="NoSpacing"/>
        <w:numPr>
          <w:ilvl w:val="0"/>
          <w:numId w:val="4"/>
        </w:numPr>
        <w:spacing w:line="480" w:lineRule="auto"/>
        <w:ind w:left="0" w:firstLine="0"/>
        <w:jc w:val="both"/>
        <w:rPr>
          <w:rFonts w:ascii="Arial" w:hAnsi="Arial" w:cs="Arial"/>
          <w:sz w:val="24"/>
          <w:szCs w:val="24"/>
        </w:rPr>
      </w:pPr>
      <w:r w:rsidRPr="00F66131">
        <w:rPr>
          <w:rFonts w:ascii="Arial" w:hAnsi="Arial" w:cs="Arial"/>
          <w:sz w:val="24"/>
          <w:szCs w:val="24"/>
        </w:rPr>
        <w:lastRenderedPageBreak/>
        <w:t xml:space="preserve">It thus follows that the costs order formed part of the judgment </w:t>
      </w:r>
      <w:r w:rsidR="00243CB0">
        <w:rPr>
          <w:rFonts w:ascii="Arial" w:hAnsi="Arial" w:cs="Arial"/>
          <w:sz w:val="24"/>
          <w:szCs w:val="24"/>
        </w:rPr>
        <w:t>and</w:t>
      </w:r>
      <w:r w:rsidRPr="00F66131">
        <w:rPr>
          <w:rFonts w:ascii="Arial" w:hAnsi="Arial" w:cs="Arial"/>
          <w:sz w:val="24"/>
          <w:szCs w:val="24"/>
        </w:rPr>
        <w:t xml:space="preserve"> was suspended pending the appeal and hence security in terms of rule 14(2) was required.</w:t>
      </w:r>
    </w:p>
    <w:p w:rsidR="00FF1FFC" w:rsidRDefault="00FF1FFC" w:rsidP="00FF1FFC">
      <w:pPr>
        <w:rPr>
          <w:rFonts w:ascii="Arial" w:hAnsi="Arial" w:cs="Arial"/>
          <w:sz w:val="24"/>
          <w:szCs w:val="24"/>
        </w:rPr>
      </w:pPr>
    </w:p>
    <w:p w:rsidR="00FF1FFC" w:rsidRPr="00FF1FFC" w:rsidRDefault="00FF1FFC" w:rsidP="00FF1FFC">
      <w:pPr>
        <w:rPr>
          <w:rFonts w:ascii="Arial" w:hAnsi="Arial" w:cs="Arial"/>
          <w:sz w:val="24"/>
          <w:szCs w:val="24"/>
          <w:u w:val="single"/>
        </w:rPr>
      </w:pPr>
      <w:r>
        <w:rPr>
          <w:rFonts w:ascii="Arial" w:hAnsi="Arial" w:cs="Arial"/>
          <w:sz w:val="24"/>
          <w:szCs w:val="24"/>
          <w:u w:val="single"/>
        </w:rPr>
        <w:t>Background facts</w:t>
      </w:r>
    </w:p>
    <w:p w:rsidR="00B129B9" w:rsidRPr="00B129B9" w:rsidRDefault="00B129B9" w:rsidP="00B129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background facts </w:t>
      </w:r>
      <w:r w:rsidR="00FB0B96">
        <w:rPr>
          <w:rFonts w:ascii="Arial" w:hAnsi="Arial" w:cs="Arial"/>
          <w:sz w:val="24"/>
          <w:szCs w:val="24"/>
        </w:rPr>
        <w:t>giving rise</w:t>
      </w:r>
      <w:r>
        <w:rPr>
          <w:rFonts w:ascii="Arial" w:hAnsi="Arial" w:cs="Arial"/>
          <w:sz w:val="24"/>
          <w:szCs w:val="24"/>
        </w:rPr>
        <w:t xml:space="preserve"> to this appeal can be shortly stated. </w:t>
      </w:r>
    </w:p>
    <w:p w:rsidR="00FF1FFC" w:rsidRPr="00E25B8B" w:rsidRDefault="00FF1FFC" w:rsidP="00E25B8B">
      <w:pPr>
        <w:rPr>
          <w:rFonts w:ascii="Arial" w:hAnsi="Arial" w:cs="Arial"/>
          <w:sz w:val="24"/>
          <w:szCs w:val="24"/>
        </w:rPr>
      </w:pPr>
    </w:p>
    <w:p w:rsidR="00FF1FFC" w:rsidRDefault="00B129B9"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parties entered into a lease agreement on 17 March 2003. The appellant, the </w:t>
      </w:r>
      <w:r w:rsidR="003164FF">
        <w:rPr>
          <w:rFonts w:ascii="Arial" w:hAnsi="Arial" w:cs="Arial"/>
          <w:sz w:val="24"/>
          <w:szCs w:val="24"/>
        </w:rPr>
        <w:t>Municipality</w:t>
      </w:r>
      <w:r>
        <w:rPr>
          <w:rFonts w:ascii="Arial" w:hAnsi="Arial" w:cs="Arial"/>
          <w:sz w:val="24"/>
          <w:szCs w:val="24"/>
        </w:rPr>
        <w:t xml:space="preserve"> of Windhoek, </w:t>
      </w:r>
      <w:r w:rsidR="00E06CE7">
        <w:rPr>
          <w:rFonts w:ascii="Arial" w:hAnsi="Arial" w:cs="Arial"/>
          <w:sz w:val="24"/>
          <w:szCs w:val="24"/>
        </w:rPr>
        <w:t xml:space="preserve">purported to cancel the agreement and the respondent instituted an action in 2015 founded upon an alleged breach in the form </w:t>
      </w:r>
      <w:r w:rsidR="00A1200B">
        <w:rPr>
          <w:rFonts w:ascii="Arial" w:hAnsi="Arial" w:cs="Arial"/>
          <w:sz w:val="24"/>
          <w:szCs w:val="24"/>
        </w:rPr>
        <w:t xml:space="preserve">of </w:t>
      </w:r>
      <w:r w:rsidR="00E06CE7">
        <w:rPr>
          <w:rFonts w:ascii="Arial" w:hAnsi="Arial" w:cs="Arial"/>
          <w:sz w:val="24"/>
          <w:szCs w:val="24"/>
        </w:rPr>
        <w:t xml:space="preserve">repudiation </w:t>
      </w:r>
      <w:r w:rsidR="00A1200B">
        <w:rPr>
          <w:rFonts w:ascii="Arial" w:hAnsi="Arial" w:cs="Arial"/>
          <w:sz w:val="24"/>
          <w:szCs w:val="24"/>
        </w:rPr>
        <w:t>in which</w:t>
      </w:r>
      <w:r w:rsidR="00E06CE7">
        <w:rPr>
          <w:rFonts w:ascii="Arial" w:hAnsi="Arial" w:cs="Arial"/>
          <w:sz w:val="24"/>
          <w:szCs w:val="24"/>
        </w:rPr>
        <w:t xml:space="preserve"> d</w:t>
      </w:r>
      <w:r w:rsidR="009F0E47">
        <w:rPr>
          <w:rFonts w:ascii="Arial" w:hAnsi="Arial" w:cs="Arial"/>
          <w:sz w:val="24"/>
          <w:szCs w:val="24"/>
        </w:rPr>
        <w:t xml:space="preserve">amages in the sum of N$101 493 </w:t>
      </w:r>
      <w:r w:rsidR="00E06CE7">
        <w:rPr>
          <w:rFonts w:ascii="Arial" w:hAnsi="Arial" w:cs="Arial"/>
          <w:sz w:val="24"/>
          <w:szCs w:val="24"/>
        </w:rPr>
        <w:t>807</w:t>
      </w:r>
      <w:r w:rsidR="00A1200B">
        <w:rPr>
          <w:rFonts w:ascii="Arial" w:hAnsi="Arial" w:cs="Arial"/>
          <w:sz w:val="24"/>
          <w:szCs w:val="24"/>
        </w:rPr>
        <w:t xml:space="preserve"> are claimed</w:t>
      </w:r>
      <w:r w:rsidR="00E06CE7">
        <w:rPr>
          <w:rFonts w:ascii="Arial" w:hAnsi="Arial" w:cs="Arial"/>
          <w:sz w:val="24"/>
          <w:szCs w:val="24"/>
        </w:rPr>
        <w:t xml:space="preserve">. </w:t>
      </w:r>
    </w:p>
    <w:p w:rsidR="00E06CE7" w:rsidRPr="00E25B8B" w:rsidRDefault="00E06CE7" w:rsidP="00E25B8B">
      <w:pPr>
        <w:rPr>
          <w:rFonts w:ascii="Arial" w:hAnsi="Arial" w:cs="Arial"/>
          <w:sz w:val="24"/>
          <w:szCs w:val="24"/>
        </w:rPr>
      </w:pPr>
    </w:p>
    <w:p w:rsidR="00E06CE7" w:rsidRDefault="00E06CE7" w:rsidP="009F0E4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3164FF">
        <w:rPr>
          <w:rFonts w:ascii="Arial" w:hAnsi="Arial" w:cs="Arial"/>
          <w:sz w:val="24"/>
          <w:szCs w:val="24"/>
        </w:rPr>
        <w:t>Municipality</w:t>
      </w:r>
      <w:r>
        <w:rPr>
          <w:rFonts w:ascii="Arial" w:hAnsi="Arial" w:cs="Arial"/>
          <w:sz w:val="24"/>
          <w:szCs w:val="24"/>
        </w:rPr>
        <w:t xml:space="preserve"> defended the claim and filed a plea in January 2016. A</w:t>
      </w:r>
      <w:r w:rsidR="00A1200B">
        <w:rPr>
          <w:rFonts w:ascii="Arial" w:hAnsi="Arial" w:cs="Arial"/>
          <w:sz w:val="24"/>
          <w:szCs w:val="24"/>
        </w:rPr>
        <w:t xml:space="preserve">fter pleadings were closed, the </w:t>
      </w:r>
      <w:r w:rsidR="003164FF">
        <w:rPr>
          <w:rFonts w:ascii="Arial" w:hAnsi="Arial" w:cs="Arial"/>
          <w:sz w:val="24"/>
          <w:szCs w:val="24"/>
        </w:rPr>
        <w:t>Municipality</w:t>
      </w:r>
      <w:r w:rsidR="00A1200B">
        <w:rPr>
          <w:rFonts w:ascii="Arial" w:hAnsi="Arial" w:cs="Arial"/>
          <w:sz w:val="24"/>
          <w:szCs w:val="24"/>
        </w:rPr>
        <w:t xml:space="preserve"> served and filed a</w:t>
      </w:r>
      <w:r>
        <w:rPr>
          <w:rFonts w:ascii="Arial" w:hAnsi="Arial" w:cs="Arial"/>
          <w:sz w:val="24"/>
          <w:szCs w:val="24"/>
        </w:rPr>
        <w:t xml:space="preserve"> notice to amend dated 11 March 2016 after </w:t>
      </w:r>
      <w:r w:rsidR="00A1200B">
        <w:rPr>
          <w:rFonts w:ascii="Arial" w:hAnsi="Arial" w:cs="Arial"/>
          <w:sz w:val="24"/>
          <w:szCs w:val="24"/>
        </w:rPr>
        <w:t>making known</w:t>
      </w:r>
      <w:r>
        <w:rPr>
          <w:rFonts w:ascii="Arial" w:hAnsi="Arial" w:cs="Arial"/>
          <w:sz w:val="24"/>
          <w:szCs w:val="24"/>
        </w:rPr>
        <w:t xml:space="preserve"> </w:t>
      </w:r>
      <w:r w:rsidR="003164FF">
        <w:rPr>
          <w:rFonts w:ascii="Arial" w:hAnsi="Arial" w:cs="Arial"/>
          <w:sz w:val="24"/>
          <w:szCs w:val="24"/>
        </w:rPr>
        <w:t>its</w:t>
      </w:r>
      <w:r>
        <w:rPr>
          <w:rFonts w:ascii="Arial" w:hAnsi="Arial" w:cs="Arial"/>
          <w:sz w:val="24"/>
          <w:szCs w:val="24"/>
        </w:rPr>
        <w:t xml:space="preserve"> intention to do </w:t>
      </w:r>
      <w:r w:rsidR="00FB0B96">
        <w:rPr>
          <w:rFonts w:ascii="Arial" w:hAnsi="Arial" w:cs="Arial"/>
          <w:sz w:val="24"/>
          <w:szCs w:val="24"/>
        </w:rPr>
        <w:t xml:space="preserve">so </w:t>
      </w:r>
      <w:r>
        <w:rPr>
          <w:rFonts w:ascii="Arial" w:hAnsi="Arial" w:cs="Arial"/>
          <w:sz w:val="24"/>
          <w:szCs w:val="24"/>
        </w:rPr>
        <w:t>in a case management report filed on 25 February 2016 which was made an order of court on 3 March 2016. The respondent timeously objected to this notice to amend in a detailed objection.</w:t>
      </w:r>
    </w:p>
    <w:p w:rsidR="00E25B8B" w:rsidRPr="009F0E47" w:rsidRDefault="00E25B8B" w:rsidP="00E25B8B">
      <w:pPr>
        <w:pStyle w:val="NoSpacing"/>
        <w:spacing w:line="480" w:lineRule="auto"/>
        <w:jc w:val="both"/>
        <w:rPr>
          <w:rFonts w:ascii="Arial" w:hAnsi="Arial" w:cs="Arial"/>
          <w:sz w:val="24"/>
          <w:szCs w:val="24"/>
        </w:rPr>
      </w:pPr>
    </w:p>
    <w:p w:rsidR="00E06CE7" w:rsidRDefault="00E06CE7"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3164FF">
        <w:rPr>
          <w:rFonts w:ascii="Arial" w:hAnsi="Arial" w:cs="Arial"/>
          <w:sz w:val="24"/>
          <w:szCs w:val="24"/>
        </w:rPr>
        <w:t>Municipality</w:t>
      </w:r>
      <w:r>
        <w:rPr>
          <w:rFonts w:ascii="Arial" w:hAnsi="Arial" w:cs="Arial"/>
          <w:sz w:val="24"/>
          <w:szCs w:val="24"/>
        </w:rPr>
        <w:t xml:space="preserve"> did not however launch an application to amend in the time period provided for in rule 52(</w:t>
      </w:r>
      <w:r w:rsidR="00FB0B96">
        <w:rPr>
          <w:rFonts w:ascii="Arial" w:hAnsi="Arial" w:cs="Arial"/>
          <w:sz w:val="24"/>
          <w:szCs w:val="24"/>
        </w:rPr>
        <w:t>4</w:t>
      </w:r>
      <w:r>
        <w:rPr>
          <w:rFonts w:ascii="Arial" w:hAnsi="Arial" w:cs="Arial"/>
          <w:sz w:val="24"/>
          <w:szCs w:val="24"/>
        </w:rPr>
        <w:t>) of the High Court rules. Nor did it do so thereafter</w:t>
      </w:r>
      <w:r w:rsidR="009313DD">
        <w:rPr>
          <w:rFonts w:ascii="Arial" w:hAnsi="Arial" w:cs="Arial"/>
          <w:sz w:val="24"/>
          <w:szCs w:val="24"/>
        </w:rPr>
        <w:t xml:space="preserve"> in respect of that notice to amend</w:t>
      </w:r>
      <w:r>
        <w:rPr>
          <w:rFonts w:ascii="Arial" w:hAnsi="Arial" w:cs="Arial"/>
          <w:sz w:val="24"/>
          <w:szCs w:val="24"/>
        </w:rPr>
        <w:t>.</w:t>
      </w:r>
    </w:p>
    <w:p w:rsidR="00E25B8B" w:rsidRPr="00E25B8B" w:rsidRDefault="00E25B8B" w:rsidP="00E25B8B">
      <w:pPr>
        <w:rPr>
          <w:rFonts w:ascii="Arial" w:hAnsi="Arial" w:cs="Arial"/>
          <w:sz w:val="24"/>
          <w:szCs w:val="24"/>
        </w:rPr>
      </w:pPr>
    </w:p>
    <w:p w:rsidR="00E06CE7" w:rsidRDefault="00073B76"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matter was then postponed for </w:t>
      </w:r>
      <w:r w:rsidR="00FB0B96">
        <w:rPr>
          <w:rFonts w:ascii="Arial" w:hAnsi="Arial" w:cs="Arial"/>
          <w:sz w:val="24"/>
          <w:szCs w:val="24"/>
        </w:rPr>
        <w:t xml:space="preserve">a </w:t>
      </w:r>
      <w:r>
        <w:rPr>
          <w:rFonts w:ascii="Arial" w:hAnsi="Arial" w:cs="Arial"/>
          <w:sz w:val="24"/>
          <w:szCs w:val="24"/>
        </w:rPr>
        <w:t xml:space="preserve">pre-trial conference on 7 July 2016. In the meantime, witness statements were to be exchanged and filed by 20 May 2016 and expert summaries </w:t>
      </w:r>
      <w:r w:rsidR="003164FF">
        <w:rPr>
          <w:rFonts w:ascii="Arial" w:hAnsi="Arial" w:cs="Arial"/>
          <w:sz w:val="24"/>
          <w:szCs w:val="24"/>
        </w:rPr>
        <w:t xml:space="preserve">to be </w:t>
      </w:r>
      <w:r>
        <w:rPr>
          <w:rFonts w:ascii="Arial" w:hAnsi="Arial" w:cs="Arial"/>
          <w:sz w:val="24"/>
          <w:szCs w:val="24"/>
        </w:rPr>
        <w:t xml:space="preserve">exchanged on 3 June 2016. </w:t>
      </w:r>
      <w:r w:rsidR="003164FF">
        <w:rPr>
          <w:rFonts w:ascii="Arial" w:hAnsi="Arial" w:cs="Arial"/>
          <w:sz w:val="24"/>
          <w:szCs w:val="24"/>
        </w:rPr>
        <w:t>On the day</w:t>
      </w:r>
      <w:r>
        <w:rPr>
          <w:rFonts w:ascii="Arial" w:hAnsi="Arial" w:cs="Arial"/>
          <w:sz w:val="24"/>
          <w:szCs w:val="24"/>
        </w:rPr>
        <w:t xml:space="preserve"> of the scheduled pre</w:t>
      </w:r>
      <w:r w:rsidR="00FB0B96">
        <w:rPr>
          <w:rFonts w:ascii="Arial" w:hAnsi="Arial" w:cs="Arial"/>
          <w:sz w:val="24"/>
          <w:szCs w:val="24"/>
        </w:rPr>
        <w:t>-</w:t>
      </w:r>
      <w:r>
        <w:rPr>
          <w:rFonts w:ascii="Arial" w:hAnsi="Arial" w:cs="Arial"/>
          <w:sz w:val="24"/>
          <w:szCs w:val="24"/>
        </w:rPr>
        <w:t>trial</w:t>
      </w:r>
      <w:r w:rsidR="00A94E26">
        <w:rPr>
          <w:rFonts w:ascii="Arial" w:hAnsi="Arial" w:cs="Arial"/>
          <w:sz w:val="24"/>
          <w:szCs w:val="24"/>
        </w:rPr>
        <w:t xml:space="preserve"> conference, the </w:t>
      </w:r>
      <w:r w:rsidR="003164FF">
        <w:rPr>
          <w:rFonts w:ascii="Arial" w:hAnsi="Arial" w:cs="Arial"/>
          <w:sz w:val="24"/>
          <w:szCs w:val="24"/>
        </w:rPr>
        <w:t>Municipality</w:t>
      </w:r>
      <w:r w:rsidR="00A94E26">
        <w:rPr>
          <w:rFonts w:ascii="Arial" w:hAnsi="Arial" w:cs="Arial"/>
          <w:sz w:val="24"/>
          <w:szCs w:val="24"/>
        </w:rPr>
        <w:t xml:space="preserve"> gave notice in a status report dated </w:t>
      </w:r>
      <w:r w:rsidR="00A94E26">
        <w:rPr>
          <w:rFonts w:ascii="Arial" w:hAnsi="Arial" w:cs="Arial"/>
          <w:sz w:val="24"/>
          <w:szCs w:val="24"/>
        </w:rPr>
        <w:lastRenderedPageBreak/>
        <w:t>7 July 2016 that it intended to further amen</w:t>
      </w:r>
      <w:r w:rsidR="00FB0B96">
        <w:rPr>
          <w:rFonts w:ascii="Arial" w:hAnsi="Arial" w:cs="Arial"/>
          <w:sz w:val="24"/>
          <w:szCs w:val="24"/>
        </w:rPr>
        <w:t>d</w:t>
      </w:r>
      <w:r w:rsidR="00A94E26">
        <w:rPr>
          <w:rFonts w:ascii="Arial" w:hAnsi="Arial" w:cs="Arial"/>
          <w:sz w:val="24"/>
          <w:szCs w:val="24"/>
        </w:rPr>
        <w:t xml:space="preserve"> its plea, despite not having applied to amend its plea after the objection</w:t>
      </w:r>
      <w:r w:rsidR="00FB0B96">
        <w:rPr>
          <w:rFonts w:ascii="Arial" w:hAnsi="Arial" w:cs="Arial"/>
          <w:sz w:val="24"/>
          <w:szCs w:val="24"/>
        </w:rPr>
        <w:t xml:space="preserve"> to its 11 March 2016 notice</w:t>
      </w:r>
      <w:r w:rsidR="00A94E26">
        <w:rPr>
          <w:rFonts w:ascii="Arial" w:hAnsi="Arial" w:cs="Arial"/>
          <w:sz w:val="24"/>
          <w:szCs w:val="24"/>
        </w:rPr>
        <w:t>. I</w:t>
      </w:r>
      <w:r w:rsidR="003164FF">
        <w:rPr>
          <w:rFonts w:ascii="Arial" w:hAnsi="Arial" w:cs="Arial"/>
          <w:sz w:val="24"/>
          <w:szCs w:val="24"/>
        </w:rPr>
        <w:t>n i</w:t>
      </w:r>
      <w:r w:rsidR="00A94E26">
        <w:rPr>
          <w:rFonts w:ascii="Arial" w:hAnsi="Arial" w:cs="Arial"/>
          <w:sz w:val="24"/>
          <w:szCs w:val="24"/>
        </w:rPr>
        <w:t>t</w:t>
      </w:r>
      <w:r w:rsidR="003164FF">
        <w:rPr>
          <w:rFonts w:ascii="Arial" w:hAnsi="Arial" w:cs="Arial"/>
          <w:sz w:val="24"/>
          <w:szCs w:val="24"/>
        </w:rPr>
        <w:t>s status report, the Municipality</w:t>
      </w:r>
      <w:r w:rsidR="00A94E26">
        <w:rPr>
          <w:rFonts w:ascii="Arial" w:hAnsi="Arial" w:cs="Arial"/>
          <w:sz w:val="24"/>
          <w:szCs w:val="24"/>
        </w:rPr>
        <w:t xml:space="preserve"> proposed filing its new notice to amend by 8 August 2016. </w:t>
      </w:r>
      <w:r w:rsidR="003164FF">
        <w:rPr>
          <w:rFonts w:ascii="Arial" w:hAnsi="Arial" w:cs="Arial"/>
          <w:sz w:val="24"/>
          <w:szCs w:val="24"/>
        </w:rPr>
        <w:t>It</w:t>
      </w:r>
      <w:r w:rsidR="00A94E26">
        <w:rPr>
          <w:rFonts w:ascii="Arial" w:hAnsi="Arial" w:cs="Arial"/>
          <w:sz w:val="24"/>
          <w:szCs w:val="24"/>
        </w:rPr>
        <w:t xml:space="preserve"> also sought a postponement of the pre</w:t>
      </w:r>
      <w:r w:rsidR="00FB0B96">
        <w:rPr>
          <w:rFonts w:ascii="Arial" w:hAnsi="Arial" w:cs="Arial"/>
          <w:sz w:val="24"/>
          <w:szCs w:val="24"/>
        </w:rPr>
        <w:t>-</w:t>
      </w:r>
      <w:r w:rsidR="00A94E26">
        <w:rPr>
          <w:rFonts w:ascii="Arial" w:hAnsi="Arial" w:cs="Arial"/>
          <w:sz w:val="24"/>
          <w:szCs w:val="24"/>
        </w:rPr>
        <w:t>trial conference</w:t>
      </w:r>
      <w:r w:rsidR="009F0E47">
        <w:rPr>
          <w:rFonts w:ascii="Arial" w:hAnsi="Arial" w:cs="Arial"/>
          <w:sz w:val="24"/>
          <w:szCs w:val="24"/>
        </w:rPr>
        <w:t xml:space="preserve"> as a</w:t>
      </w:r>
      <w:r w:rsidR="003164FF">
        <w:rPr>
          <w:rFonts w:ascii="Arial" w:hAnsi="Arial" w:cs="Arial"/>
          <w:sz w:val="24"/>
          <w:szCs w:val="24"/>
        </w:rPr>
        <w:t xml:space="preserve"> </w:t>
      </w:r>
      <w:r w:rsidR="00A94E26">
        <w:rPr>
          <w:rFonts w:ascii="Arial" w:hAnsi="Arial" w:cs="Arial"/>
          <w:sz w:val="24"/>
          <w:szCs w:val="24"/>
        </w:rPr>
        <w:t>consequence</w:t>
      </w:r>
      <w:r w:rsidR="009313DD">
        <w:rPr>
          <w:rFonts w:ascii="Arial" w:hAnsi="Arial" w:cs="Arial"/>
          <w:sz w:val="24"/>
          <w:szCs w:val="24"/>
        </w:rPr>
        <w:t xml:space="preserve"> and the court postpone</w:t>
      </w:r>
      <w:r w:rsidR="00A1200B">
        <w:rPr>
          <w:rFonts w:ascii="Arial" w:hAnsi="Arial" w:cs="Arial"/>
          <w:sz w:val="24"/>
          <w:szCs w:val="24"/>
        </w:rPr>
        <w:t>d</w:t>
      </w:r>
      <w:r w:rsidR="009313DD">
        <w:rPr>
          <w:rFonts w:ascii="Arial" w:hAnsi="Arial" w:cs="Arial"/>
          <w:sz w:val="24"/>
          <w:szCs w:val="24"/>
        </w:rPr>
        <w:t xml:space="preserve"> the matter for a status hearing on 8 September 2016</w:t>
      </w:r>
      <w:r w:rsidR="00A94E26">
        <w:rPr>
          <w:rFonts w:ascii="Arial" w:hAnsi="Arial" w:cs="Arial"/>
          <w:sz w:val="24"/>
          <w:szCs w:val="24"/>
        </w:rPr>
        <w:t>.</w:t>
      </w:r>
      <w:r w:rsidR="00FB0B96">
        <w:rPr>
          <w:rFonts w:ascii="Arial" w:hAnsi="Arial" w:cs="Arial"/>
          <w:sz w:val="24"/>
          <w:szCs w:val="24"/>
        </w:rPr>
        <w:t xml:space="preserve"> </w:t>
      </w:r>
      <w:r w:rsidR="009313DD">
        <w:rPr>
          <w:rFonts w:ascii="Arial" w:hAnsi="Arial" w:cs="Arial"/>
          <w:sz w:val="24"/>
          <w:szCs w:val="24"/>
        </w:rPr>
        <w:t>The</w:t>
      </w:r>
      <w:r w:rsidR="00FB0B96">
        <w:rPr>
          <w:rFonts w:ascii="Arial" w:hAnsi="Arial" w:cs="Arial"/>
          <w:sz w:val="24"/>
          <w:szCs w:val="24"/>
        </w:rPr>
        <w:t xml:space="preserve"> second notice to amend</w:t>
      </w:r>
      <w:r w:rsidR="009313DD">
        <w:rPr>
          <w:rFonts w:ascii="Arial" w:hAnsi="Arial" w:cs="Arial"/>
          <w:sz w:val="24"/>
          <w:szCs w:val="24"/>
        </w:rPr>
        <w:t xml:space="preserve"> was duly filed</w:t>
      </w:r>
      <w:r w:rsidR="00FB0B96">
        <w:rPr>
          <w:rFonts w:ascii="Arial" w:hAnsi="Arial" w:cs="Arial"/>
          <w:sz w:val="24"/>
          <w:szCs w:val="24"/>
        </w:rPr>
        <w:t xml:space="preserve"> on 8 August 2016. It was met with an objection.</w:t>
      </w:r>
    </w:p>
    <w:p w:rsidR="00E25B8B" w:rsidRPr="00E25B8B" w:rsidRDefault="00E25B8B" w:rsidP="00E25B8B">
      <w:pPr>
        <w:rPr>
          <w:rFonts w:ascii="Arial" w:hAnsi="Arial" w:cs="Arial"/>
          <w:sz w:val="24"/>
          <w:szCs w:val="24"/>
        </w:rPr>
      </w:pPr>
    </w:p>
    <w:p w:rsidR="00A94E26" w:rsidRDefault="009313DD"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At the status hearing on</w:t>
      </w:r>
      <w:r w:rsidR="00A94E26">
        <w:rPr>
          <w:rFonts w:ascii="Arial" w:hAnsi="Arial" w:cs="Arial"/>
          <w:sz w:val="24"/>
          <w:szCs w:val="24"/>
        </w:rPr>
        <w:t xml:space="preserve"> 8 September 2016</w:t>
      </w:r>
      <w:r>
        <w:rPr>
          <w:rFonts w:ascii="Arial" w:hAnsi="Arial" w:cs="Arial"/>
          <w:sz w:val="24"/>
          <w:szCs w:val="24"/>
        </w:rPr>
        <w:t>,</w:t>
      </w:r>
      <w:r w:rsidR="00A94E26">
        <w:rPr>
          <w:rFonts w:ascii="Arial" w:hAnsi="Arial" w:cs="Arial"/>
          <w:sz w:val="24"/>
          <w:szCs w:val="24"/>
        </w:rPr>
        <w:t xml:space="preserve"> the </w:t>
      </w:r>
      <w:r w:rsidR="003164FF">
        <w:rPr>
          <w:rFonts w:ascii="Arial" w:hAnsi="Arial" w:cs="Arial"/>
          <w:sz w:val="24"/>
          <w:szCs w:val="24"/>
        </w:rPr>
        <w:t>Municipality</w:t>
      </w:r>
      <w:r w:rsidR="00A94E26">
        <w:rPr>
          <w:rFonts w:ascii="Arial" w:hAnsi="Arial" w:cs="Arial"/>
          <w:sz w:val="24"/>
          <w:szCs w:val="24"/>
        </w:rPr>
        <w:t xml:space="preserve"> was put on terms to file a ‘proper’ application to amend by 20 September 201</w:t>
      </w:r>
      <w:r w:rsidR="00773035">
        <w:rPr>
          <w:rFonts w:ascii="Arial" w:hAnsi="Arial" w:cs="Arial"/>
          <w:sz w:val="24"/>
          <w:szCs w:val="24"/>
        </w:rPr>
        <w:t>6</w:t>
      </w:r>
      <w:r>
        <w:rPr>
          <w:rFonts w:ascii="Arial" w:hAnsi="Arial" w:cs="Arial"/>
          <w:sz w:val="24"/>
          <w:szCs w:val="24"/>
        </w:rPr>
        <w:t xml:space="preserve">. It proceeded to </w:t>
      </w:r>
      <w:r w:rsidR="00773035">
        <w:rPr>
          <w:rFonts w:ascii="Arial" w:hAnsi="Arial" w:cs="Arial"/>
          <w:sz w:val="24"/>
          <w:szCs w:val="24"/>
        </w:rPr>
        <w:t>file a notice of motion seeking the granting of the amendments sought in the second notice to amend. The notice of motion was not accompanied by an affidavit.</w:t>
      </w:r>
    </w:p>
    <w:p w:rsidR="00FF1FFC" w:rsidRDefault="00FF1FFC" w:rsidP="00773035">
      <w:pPr>
        <w:rPr>
          <w:rFonts w:ascii="Arial" w:hAnsi="Arial" w:cs="Arial"/>
          <w:sz w:val="24"/>
          <w:szCs w:val="24"/>
        </w:rPr>
      </w:pPr>
    </w:p>
    <w:p w:rsidR="00773035" w:rsidRPr="00773035" w:rsidRDefault="00773035" w:rsidP="00773035">
      <w:pPr>
        <w:rPr>
          <w:rFonts w:ascii="Arial" w:hAnsi="Arial" w:cs="Arial"/>
          <w:sz w:val="24"/>
          <w:szCs w:val="24"/>
          <w:u w:val="single"/>
        </w:rPr>
      </w:pPr>
      <w:r>
        <w:rPr>
          <w:rFonts w:ascii="Arial" w:hAnsi="Arial" w:cs="Arial"/>
          <w:sz w:val="24"/>
          <w:szCs w:val="24"/>
          <w:u w:val="single"/>
        </w:rPr>
        <w:t>The proposed amendment</w:t>
      </w:r>
    </w:p>
    <w:p w:rsidR="00FF1FFC" w:rsidRDefault="00773035"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second notice to amend essentially sought to raise </w:t>
      </w:r>
      <w:r w:rsidR="00A1200B">
        <w:rPr>
          <w:rFonts w:ascii="Arial" w:hAnsi="Arial" w:cs="Arial"/>
          <w:sz w:val="24"/>
          <w:szCs w:val="24"/>
        </w:rPr>
        <w:t xml:space="preserve">the same </w:t>
      </w:r>
      <w:r>
        <w:rPr>
          <w:rFonts w:ascii="Arial" w:hAnsi="Arial" w:cs="Arial"/>
          <w:sz w:val="24"/>
          <w:szCs w:val="24"/>
        </w:rPr>
        <w:t xml:space="preserve">two further defences to the action </w:t>
      </w:r>
      <w:r w:rsidR="00A1200B">
        <w:rPr>
          <w:rFonts w:ascii="Arial" w:hAnsi="Arial" w:cs="Arial"/>
          <w:sz w:val="24"/>
          <w:szCs w:val="24"/>
        </w:rPr>
        <w:t>raised in</w:t>
      </w:r>
      <w:r>
        <w:rPr>
          <w:rFonts w:ascii="Arial" w:hAnsi="Arial" w:cs="Arial"/>
          <w:sz w:val="24"/>
          <w:szCs w:val="24"/>
        </w:rPr>
        <w:t xml:space="preserve"> the earlier notice to amend which had not been persisted with.</w:t>
      </w:r>
    </w:p>
    <w:p w:rsidR="00FF1FFC" w:rsidRPr="009F0E47" w:rsidRDefault="00FF1FFC" w:rsidP="009F0E47">
      <w:pPr>
        <w:rPr>
          <w:rFonts w:ascii="Arial" w:hAnsi="Arial" w:cs="Arial"/>
          <w:sz w:val="24"/>
          <w:szCs w:val="24"/>
        </w:rPr>
      </w:pPr>
    </w:p>
    <w:p w:rsidR="00FF1FFC" w:rsidRDefault="00773035"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first further defence raised was that the lease agreement was void </w:t>
      </w:r>
      <w:r>
        <w:rPr>
          <w:rFonts w:ascii="Arial" w:hAnsi="Arial" w:cs="Arial"/>
          <w:i/>
          <w:sz w:val="24"/>
          <w:szCs w:val="24"/>
        </w:rPr>
        <w:t>ab initio</w:t>
      </w:r>
      <w:r>
        <w:rPr>
          <w:rFonts w:ascii="Arial" w:hAnsi="Arial" w:cs="Arial"/>
          <w:sz w:val="24"/>
          <w:szCs w:val="24"/>
        </w:rPr>
        <w:t xml:space="preserve"> because the municipal council resolution had not approved </w:t>
      </w:r>
      <w:r w:rsidR="00FB0B96">
        <w:rPr>
          <w:rFonts w:ascii="Arial" w:hAnsi="Arial" w:cs="Arial"/>
          <w:sz w:val="24"/>
          <w:szCs w:val="24"/>
        </w:rPr>
        <w:t>entering an</w:t>
      </w:r>
      <w:r>
        <w:rPr>
          <w:rFonts w:ascii="Arial" w:hAnsi="Arial" w:cs="Arial"/>
          <w:sz w:val="24"/>
          <w:szCs w:val="24"/>
        </w:rPr>
        <w:t xml:space="preserve"> agreement with the respondent but rather </w:t>
      </w:r>
      <w:r w:rsidR="00FB0B96">
        <w:rPr>
          <w:rFonts w:ascii="Arial" w:hAnsi="Arial" w:cs="Arial"/>
          <w:sz w:val="24"/>
          <w:szCs w:val="24"/>
        </w:rPr>
        <w:t xml:space="preserve">with </w:t>
      </w:r>
      <w:r>
        <w:rPr>
          <w:rFonts w:ascii="Arial" w:hAnsi="Arial" w:cs="Arial"/>
          <w:sz w:val="24"/>
          <w:szCs w:val="24"/>
        </w:rPr>
        <w:t>a certain Mr Mouton.</w:t>
      </w:r>
    </w:p>
    <w:p w:rsidR="00FF1FFC" w:rsidRPr="009F0E47" w:rsidRDefault="00FF1FFC" w:rsidP="009F0E47">
      <w:pPr>
        <w:rPr>
          <w:rFonts w:ascii="Arial" w:hAnsi="Arial" w:cs="Arial"/>
          <w:sz w:val="24"/>
          <w:szCs w:val="24"/>
        </w:rPr>
      </w:pPr>
    </w:p>
    <w:p w:rsidR="00FF1FFC" w:rsidRDefault="00773035"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second further defence sought to be inserted in the plea is that s 63 (2)</w:t>
      </w:r>
      <w:r w:rsidRPr="00012D56">
        <w:rPr>
          <w:rFonts w:ascii="Arial" w:hAnsi="Arial" w:cs="Arial"/>
          <w:i/>
          <w:sz w:val="24"/>
          <w:szCs w:val="24"/>
        </w:rPr>
        <w:t>(b)</w:t>
      </w:r>
      <w:r>
        <w:rPr>
          <w:rFonts w:ascii="Arial" w:hAnsi="Arial" w:cs="Arial"/>
          <w:sz w:val="24"/>
          <w:szCs w:val="24"/>
        </w:rPr>
        <w:t xml:space="preserve"> of the Local Authorities Act</w:t>
      </w:r>
      <w:r>
        <w:rPr>
          <w:rStyle w:val="FootnoteReference"/>
          <w:rFonts w:ascii="Arial" w:hAnsi="Arial" w:cs="Arial"/>
          <w:sz w:val="24"/>
          <w:szCs w:val="24"/>
        </w:rPr>
        <w:footnoteReference w:id="13"/>
      </w:r>
      <w:r>
        <w:rPr>
          <w:rFonts w:ascii="Arial" w:hAnsi="Arial" w:cs="Arial"/>
          <w:sz w:val="24"/>
          <w:szCs w:val="24"/>
        </w:rPr>
        <w:t xml:space="preserve"> as amended had not been complied with</w:t>
      </w:r>
      <w:r w:rsidR="00D35137">
        <w:rPr>
          <w:rFonts w:ascii="Arial" w:hAnsi="Arial" w:cs="Arial"/>
          <w:sz w:val="24"/>
          <w:szCs w:val="24"/>
        </w:rPr>
        <w:t xml:space="preserve"> resulting in an illegality</w:t>
      </w:r>
      <w:r>
        <w:rPr>
          <w:rFonts w:ascii="Arial" w:hAnsi="Arial" w:cs="Arial"/>
          <w:sz w:val="24"/>
          <w:szCs w:val="24"/>
        </w:rPr>
        <w:t xml:space="preserve">. Section 63(2) requires in peremptory terms that before a local authority can sell or let immovable property, it is required to advertise </w:t>
      </w:r>
      <w:r w:rsidR="00FB0B96">
        <w:rPr>
          <w:rFonts w:ascii="Arial" w:hAnsi="Arial" w:cs="Arial"/>
          <w:sz w:val="24"/>
          <w:szCs w:val="24"/>
        </w:rPr>
        <w:t>(</w:t>
      </w:r>
      <w:r>
        <w:rPr>
          <w:rFonts w:ascii="Arial" w:hAnsi="Arial" w:cs="Arial"/>
          <w:sz w:val="24"/>
          <w:szCs w:val="24"/>
        </w:rPr>
        <w:t xml:space="preserve">in two </w:t>
      </w:r>
      <w:r>
        <w:rPr>
          <w:rFonts w:ascii="Arial" w:hAnsi="Arial" w:cs="Arial"/>
          <w:sz w:val="24"/>
          <w:szCs w:val="24"/>
        </w:rPr>
        <w:lastRenderedPageBreak/>
        <w:t>newspapers circulating in its area</w:t>
      </w:r>
      <w:r w:rsidR="00FB0B96">
        <w:rPr>
          <w:rFonts w:ascii="Arial" w:hAnsi="Arial" w:cs="Arial"/>
          <w:sz w:val="24"/>
          <w:szCs w:val="24"/>
        </w:rPr>
        <w:t>)</w:t>
      </w:r>
      <w:r>
        <w:rPr>
          <w:rFonts w:ascii="Arial" w:hAnsi="Arial" w:cs="Arial"/>
          <w:sz w:val="24"/>
          <w:szCs w:val="24"/>
        </w:rPr>
        <w:t xml:space="preserve"> its intention to do so, providing the details of such lease or sale as specified in the section. Interested parties are afforded the opportunity to object to </w:t>
      </w:r>
      <w:r w:rsidR="00FB0B96">
        <w:rPr>
          <w:rFonts w:ascii="Arial" w:hAnsi="Arial" w:cs="Arial"/>
          <w:sz w:val="24"/>
          <w:szCs w:val="24"/>
        </w:rPr>
        <w:t xml:space="preserve">the proposed </w:t>
      </w:r>
      <w:r>
        <w:rPr>
          <w:rFonts w:ascii="Arial" w:hAnsi="Arial" w:cs="Arial"/>
          <w:sz w:val="24"/>
          <w:szCs w:val="24"/>
        </w:rPr>
        <w:t>sale or lease within a specific time.</w:t>
      </w:r>
    </w:p>
    <w:p w:rsidR="00FF1FFC" w:rsidRPr="00E25B8B" w:rsidRDefault="00FF1FFC" w:rsidP="00E25B8B">
      <w:pPr>
        <w:rPr>
          <w:rFonts w:ascii="Arial" w:hAnsi="Arial" w:cs="Arial"/>
          <w:sz w:val="24"/>
          <w:szCs w:val="24"/>
        </w:rPr>
      </w:pPr>
    </w:p>
    <w:p w:rsidR="00FF1FFC" w:rsidRDefault="00773035" w:rsidP="00E25B8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respondent’s objection to the second notice to amend was in terms similar to its objection to the earlier notice, </w:t>
      </w:r>
      <w:r w:rsidR="003164FF">
        <w:rPr>
          <w:rFonts w:ascii="Arial" w:hAnsi="Arial" w:cs="Arial"/>
          <w:sz w:val="24"/>
          <w:szCs w:val="24"/>
        </w:rPr>
        <w:t xml:space="preserve">although </w:t>
      </w:r>
      <w:r>
        <w:rPr>
          <w:rFonts w:ascii="Arial" w:hAnsi="Arial" w:cs="Arial"/>
          <w:sz w:val="24"/>
          <w:szCs w:val="24"/>
        </w:rPr>
        <w:t xml:space="preserve">adding that the </w:t>
      </w:r>
      <w:r w:rsidR="003164FF">
        <w:rPr>
          <w:rFonts w:ascii="Arial" w:hAnsi="Arial" w:cs="Arial"/>
          <w:sz w:val="24"/>
          <w:szCs w:val="24"/>
        </w:rPr>
        <w:t>Municipality</w:t>
      </w:r>
      <w:r>
        <w:rPr>
          <w:rFonts w:ascii="Arial" w:hAnsi="Arial" w:cs="Arial"/>
          <w:sz w:val="24"/>
          <w:szCs w:val="24"/>
        </w:rPr>
        <w:t xml:space="preserve"> was precluded from raising substantially</w:t>
      </w:r>
      <w:r w:rsidR="00FE60AD">
        <w:rPr>
          <w:rFonts w:ascii="Arial" w:hAnsi="Arial" w:cs="Arial"/>
          <w:sz w:val="24"/>
          <w:szCs w:val="24"/>
        </w:rPr>
        <w:t xml:space="preserve"> the same issue raised in the earlier notice and was also </w:t>
      </w:r>
      <w:r w:rsidR="00FE60AD" w:rsidRPr="00FE60AD">
        <w:rPr>
          <w:rFonts w:ascii="Arial" w:hAnsi="Arial" w:cs="Arial"/>
          <w:i/>
          <w:sz w:val="24"/>
          <w:szCs w:val="24"/>
        </w:rPr>
        <w:t>functus officio</w:t>
      </w:r>
      <w:r w:rsidR="00FE60AD">
        <w:rPr>
          <w:rFonts w:ascii="Arial" w:hAnsi="Arial" w:cs="Arial"/>
          <w:sz w:val="24"/>
          <w:szCs w:val="24"/>
        </w:rPr>
        <w:t xml:space="preserve"> in relation to its previous decision not to pursue the earlier amendment.</w:t>
      </w:r>
    </w:p>
    <w:p w:rsidR="00CB1763" w:rsidRPr="00E25B8B" w:rsidRDefault="00CB1763" w:rsidP="00CB1763">
      <w:pPr>
        <w:pStyle w:val="NoSpacing"/>
        <w:spacing w:line="480" w:lineRule="auto"/>
        <w:jc w:val="both"/>
        <w:rPr>
          <w:rFonts w:ascii="Arial" w:hAnsi="Arial" w:cs="Arial"/>
          <w:sz w:val="24"/>
          <w:szCs w:val="24"/>
        </w:rPr>
      </w:pPr>
    </w:p>
    <w:p w:rsidR="000F76DB" w:rsidRDefault="00FE60AD" w:rsidP="00FE60A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respondent</w:t>
      </w:r>
      <w:r w:rsidR="00FB0B96">
        <w:rPr>
          <w:rFonts w:ascii="Arial" w:hAnsi="Arial" w:cs="Arial"/>
          <w:sz w:val="24"/>
          <w:szCs w:val="24"/>
        </w:rPr>
        <w:t>’s objection</w:t>
      </w:r>
      <w:r>
        <w:rPr>
          <w:rFonts w:ascii="Arial" w:hAnsi="Arial" w:cs="Arial"/>
          <w:sz w:val="24"/>
          <w:szCs w:val="24"/>
        </w:rPr>
        <w:t xml:space="preserve"> further contended that the plea would be rendered vague and embarrassing by failing to specify the respects in which s 63(2)</w:t>
      </w:r>
      <w:r w:rsidR="009313DD">
        <w:rPr>
          <w:rFonts w:ascii="Arial" w:hAnsi="Arial" w:cs="Arial"/>
          <w:sz w:val="24"/>
          <w:szCs w:val="24"/>
        </w:rPr>
        <w:t xml:space="preserve"> had not been complied with</w:t>
      </w:r>
      <w:r>
        <w:rPr>
          <w:rFonts w:ascii="Arial" w:hAnsi="Arial" w:cs="Arial"/>
          <w:sz w:val="24"/>
          <w:szCs w:val="24"/>
        </w:rPr>
        <w:t>. The respondent also objected to the amendment on the grounds that the intended amendment would be contrary to the deeming provision</w:t>
      </w:r>
      <w:r w:rsidR="003164FF">
        <w:rPr>
          <w:rFonts w:ascii="Arial" w:hAnsi="Arial" w:cs="Arial"/>
          <w:sz w:val="24"/>
          <w:szCs w:val="24"/>
        </w:rPr>
        <w:t xml:space="preserve"> relating to the authority of local authority signatories</w:t>
      </w:r>
      <w:r>
        <w:rPr>
          <w:rFonts w:ascii="Arial" w:hAnsi="Arial" w:cs="Arial"/>
          <w:sz w:val="24"/>
          <w:szCs w:val="24"/>
        </w:rPr>
        <w:t xml:space="preserve"> embodied in s 31A of the Act. The intended amendment was</w:t>
      </w:r>
      <w:r w:rsidR="0001341A">
        <w:rPr>
          <w:rFonts w:ascii="Arial" w:hAnsi="Arial" w:cs="Arial"/>
          <w:sz w:val="24"/>
          <w:szCs w:val="24"/>
        </w:rPr>
        <w:t xml:space="preserve"> also objected to on the ground</w:t>
      </w:r>
      <w:r>
        <w:rPr>
          <w:rFonts w:ascii="Arial" w:hAnsi="Arial" w:cs="Arial"/>
          <w:sz w:val="24"/>
          <w:szCs w:val="24"/>
        </w:rPr>
        <w:t xml:space="preserve"> that it would be in breach </w:t>
      </w:r>
      <w:r w:rsidR="00CB1763">
        <w:rPr>
          <w:rFonts w:ascii="Arial" w:hAnsi="Arial" w:cs="Arial"/>
          <w:sz w:val="24"/>
          <w:szCs w:val="24"/>
        </w:rPr>
        <w:t>of</w:t>
      </w:r>
      <w:r>
        <w:rPr>
          <w:rFonts w:ascii="Arial" w:hAnsi="Arial" w:cs="Arial"/>
          <w:sz w:val="24"/>
          <w:szCs w:val="24"/>
        </w:rPr>
        <w:t xml:space="preserve"> the principle determined in </w:t>
      </w:r>
      <w:r>
        <w:rPr>
          <w:rFonts w:ascii="Arial" w:hAnsi="Arial" w:cs="Arial"/>
          <w:i/>
          <w:sz w:val="24"/>
          <w:szCs w:val="24"/>
        </w:rPr>
        <w:t xml:space="preserve">Oudekraal Estate (Pty) Ltd v City Cape </w:t>
      </w:r>
      <w:r w:rsidR="00C22C62">
        <w:rPr>
          <w:rFonts w:ascii="Arial" w:hAnsi="Arial" w:cs="Arial"/>
          <w:i/>
          <w:sz w:val="24"/>
          <w:szCs w:val="24"/>
        </w:rPr>
        <w:t>Town &amp;</w:t>
      </w:r>
      <w:r>
        <w:rPr>
          <w:rFonts w:ascii="Arial" w:hAnsi="Arial" w:cs="Arial"/>
          <w:i/>
          <w:sz w:val="24"/>
          <w:szCs w:val="24"/>
        </w:rPr>
        <w:t xml:space="preserve"> others.</w:t>
      </w:r>
      <w:r w:rsidRPr="00FE60AD">
        <w:rPr>
          <w:rStyle w:val="FootnoteReference"/>
          <w:rFonts w:ascii="Arial" w:hAnsi="Arial" w:cs="Arial"/>
          <w:sz w:val="24"/>
          <w:szCs w:val="24"/>
        </w:rPr>
        <w:footnoteReference w:id="14"/>
      </w:r>
      <w:r>
        <w:rPr>
          <w:rFonts w:ascii="Arial" w:hAnsi="Arial" w:cs="Arial"/>
          <w:i/>
          <w:sz w:val="24"/>
          <w:szCs w:val="24"/>
        </w:rPr>
        <w:t xml:space="preserve"> </w:t>
      </w:r>
      <w:r>
        <w:rPr>
          <w:rFonts w:ascii="Arial" w:hAnsi="Arial" w:cs="Arial"/>
          <w:sz w:val="24"/>
          <w:szCs w:val="24"/>
        </w:rPr>
        <w:t xml:space="preserve">In support of this ground, the respondent contended that the decision to grant authority </w:t>
      </w:r>
      <w:r w:rsidR="003164FF">
        <w:rPr>
          <w:rFonts w:ascii="Arial" w:hAnsi="Arial" w:cs="Arial"/>
          <w:sz w:val="24"/>
          <w:szCs w:val="24"/>
        </w:rPr>
        <w:t xml:space="preserve">to the signatories </w:t>
      </w:r>
      <w:r>
        <w:rPr>
          <w:rFonts w:ascii="Arial" w:hAnsi="Arial" w:cs="Arial"/>
          <w:sz w:val="24"/>
          <w:szCs w:val="24"/>
        </w:rPr>
        <w:t xml:space="preserve">to enter into the agreement, taken in 2003, existed as a fact and that the </w:t>
      </w:r>
      <w:r w:rsidR="003164FF">
        <w:rPr>
          <w:rFonts w:ascii="Arial" w:hAnsi="Arial" w:cs="Arial"/>
          <w:sz w:val="24"/>
          <w:szCs w:val="24"/>
        </w:rPr>
        <w:t>Municipality</w:t>
      </w:r>
      <w:r>
        <w:rPr>
          <w:rFonts w:ascii="Arial" w:hAnsi="Arial" w:cs="Arial"/>
          <w:sz w:val="24"/>
          <w:szCs w:val="24"/>
        </w:rPr>
        <w:t xml:space="preserve"> had not applied to set aside that decision in the intervening</w:t>
      </w:r>
      <w:r w:rsidR="009313DD">
        <w:rPr>
          <w:rFonts w:ascii="Arial" w:hAnsi="Arial" w:cs="Arial"/>
          <w:sz w:val="24"/>
          <w:szCs w:val="24"/>
        </w:rPr>
        <w:t xml:space="preserve"> thirteen</w:t>
      </w:r>
      <w:r>
        <w:rPr>
          <w:rFonts w:ascii="Arial" w:hAnsi="Arial" w:cs="Arial"/>
          <w:sz w:val="24"/>
          <w:szCs w:val="24"/>
        </w:rPr>
        <w:t xml:space="preserve"> years and in the intended amendment sought to do so as a collateral challenge to t</w:t>
      </w:r>
      <w:r w:rsidR="00FB0B96">
        <w:rPr>
          <w:rFonts w:ascii="Arial" w:hAnsi="Arial" w:cs="Arial"/>
          <w:sz w:val="24"/>
          <w:szCs w:val="24"/>
        </w:rPr>
        <w:t xml:space="preserve">he enforcement of the agreement, which the </w:t>
      </w:r>
      <w:r w:rsidR="003164FF">
        <w:rPr>
          <w:rFonts w:ascii="Arial" w:hAnsi="Arial" w:cs="Arial"/>
          <w:sz w:val="24"/>
          <w:szCs w:val="24"/>
        </w:rPr>
        <w:t>Municipality</w:t>
      </w:r>
      <w:r w:rsidR="00FB0B96">
        <w:rPr>
          <w:rFonts w:ascii="Arial" w:hAnsi="Arial" w:cs="Arial"/>
          <w:sz w:val="24"/>
          <w:szCs w:val="24"/>
        </w:rPr>
        <w:t xml:space="preserve"> was precluded from doing.</w:t>
      </w:r>
    </w:p>
    <w:p w:rsidR="000F76DB" w:rsidRDefault="000F76DB" w:rsidP="000F76DB">
      <w:pPr>
        <w:rPr>
          <w:rFonts w:ascii="Arial" w:hAnsi="Arial" w:cs="Arial"/>
          <w:sz w:val="24"/>
          <w:szCs w:val="24"/>
        </w:rPr>
      </w:pPr>
    </w:p>
    <w:p w:rsidR="00CE78C7" w:rsidRDefault="00CE78C7" w:rsidP="000F76DB">
      <w:pPr>
        <w:rPr>
          <w:rFonts w:ascii="Arial" w:hAnsi="Arial" w:cs="Arial"/>
          <w:sz w:val="24"/>
          <w:szCs w:val="24"/>
          <w:u w:val="single"/>
        </w:rPr>
      </w:pPr>
    </w:p>
    <w:p w:rsidR="000F76DB" w:rsidRPr="00FE60AD" w:rsidRDefault="000F76DB" w:rsidP="000F76DB">
      <w:pPr>
        <w:rPr>
          <w:rFonts w:ascii="Arial" w:hAnsi="Arial" w:cs="Arial"/>
          <w:sz w:val="24"/>
          <w:szCs w:val="24"/>
          <w:u w:val="single"/>
        </w:rPr>
      </w:pPr>
      <w:r>
        <w:rPr>
          <w:rFonts w:ascii="Arial" w:hAnsi="Arial" w:cs="Arial"/>
          <w:sz w:val="24"/>
          <w:szCs w:val="24"/>
          <w:u w:val="single"/>
        </w:rPr>
        <w:lastRenderedPageBreak/>
        <w:t>The approach of the High Court</w:t>
      </w:r>
    </w:p>
    <w:p w:rsidR="00FF1FFC" w:rsidRDefault="00FE60AD" w:rsidP="00523919">
      <w:pPr>
        <w:pStyle w:val="NoSpacing"/>
        <w:numPr>
          <w:ilvl w:val="0"/>
          <w:numId w:val="4"/>
        </w:numPr>
        <w:spacing w:line="480" w:lineRule="auto"/>
        <w:ind w:left="0" w:firstLine="0"/>
        <w:jc w:val="both"/>
        <w:rPr>
          <w:rFonts w:ascii="Arial" w:hAnsi="Arial" w:cs="Arial"/>
          <w:sz w:val="24"/>
          <w:szCs w:val="24"/>
        </w:rPr>
      </w:pPr>
      <w:r w:rsidRPr="000F76DB">
        <w:rPr>
          <w:rFonts w:ascii="Arial" w:hAnsi="Arial" w:cs="Arial"/>
          <w:sz w:val="24"/>
          <w:szCs w:val="24"/>
        </w:rPr>
        <w:t xml:space="preserve">The High Court found that the </w:t>
      </w:r>
      <w:r w:rsidR="003164FF">
        <w:rPr>
          <w:rFonts w:ascii="Arial" w:hAnsi="Arial" w:cs="Arial"/>
          <w:sz w:val="24"/>
          <w:szCs w:val="24"/>
        </w:rPr>
        <w:t>Municipality</w:t>
      </w:r>
      <w:r w:rsidRPr="000F76DB">
        <w:rPr>
          <w:rFonts w:ascii="Arial" w:hAnsi="Arial" w:cs="Arial"/>
          <w:sz w:val="24"/>
          <w:szCs w:val="24"/>
        </w:rPr>
        <w:t xml:space="preserve"> was required to establish good cause why it should be entitled to revi</w:t>
      </w:r>
      <w:r w:rsidR="00FB0B96">
        <w:rPr>
          <w:rFonts w:ascii="Arial" w:hAnsi="Arial" w:cs="Arial"/>
          <w:sz w:val="24"/>
          <w:szCs w:val="24"/>
        </w:rPr>
        <w:t>s</w:t>
      </w:r>
      <w:r w:rsidRPr="000F76DB">
        <w:rPr>
          <w:rFonts w:ascii="Arial" w:hAnsi="Arial" w:cs="Arial"/>
          <w:sz w:val="24"/>
          <w:szCs w:val="24"/>
        </w:rPr>
        <w:t xml:space="preserve">e its earlier notice to amend. In reaching this conclusion, the High Court referred to </w:t>
      </w:r>
      <w:r w:rsidR="00D35137">
        <w:rPr>
          <w:rFonts w:ascii="Arial" w:hAnsi="Arial" w:cs="Arial"/>
          <w:sz w:val="24"/>
          <w:szCs w:val="24"/>
        </w:rPr>
        <w:t xml:space="preserve">the respondent’s </w:t>
      </w:r>
      <w:r w:rsidRPr="000F76DB">
        <w:rPr>
          <w:rFonts w:ascii="Arial" w:hAnsi="Arial" w:cs="Arial"/>
          <w:sz w:val="24"/>
          <w:szCs w:val="24"/>
        </w:rPr>
        <w:t>argument to the effect that</w:t>
      </w:r>
      <w:r w:rsidR="009313DD">
        <w:rPr>
          <w:rFonts w:ascii="Arial" w:hAnsi="Arial" w:cs="Arial"/>
          <w:sz w:val="24"/>
          <w:szCs w:val="24"/>
        </w:rPr>
        <w:t>,</w:t>
      </w:r>
      <w:r w:rsidRPr="000F76DB">
        <w:rPr>
          <w:rFonts w:ascii="Arial" w:hAnsi="Arial" w:cs="Arial"/>
          <w:sz w:val="24"/>
          <w:szCs w:val="24"/>
        </w:rPr>
        <w:t xml:space="preserve"> after the </w:t>
      </w:r>
      <w:r w:rsidR="003164FF">
        <w:rPr>
          <w:rFonts w:ascii="Arial" w:hAnsi="Arial" w:cs="Arial"/>
          <w:sz w:val="24"/>
          <w:szCs w:val="24"/>
        </w:rPr>
        <w:t>Municipality</w:t>
      </w:r>
      <w:r w:rsidRPr="000F76DB">
        <w:rPr>
          <w:rFonts w:ascii="Arial" w:hAnsi="Arial" w:cs="Arial"/>
          <w:sz w:val="24"/>
          <w:szCs w:val="24"/>
        </w:rPr>
        <w:t xml:space="preserve"> conveyed that it no longer pursued the first notice to amend, it was </w:t>
      </w:r>
      <w:r w:rsidRPr="000F76DB">
        <w:rPr>
          <w:rFonts w:ascii="Arial" w:hAnsi="Arial" w:cs="Arial"/>
          <w:i/>
          <w:sz w:val="24"/>
          <w:szCs w:val="24"/>
        </w:rPr>
        <w:t>functus officio</w:t>
      </w:r>
      <w:r w:rsidRPr="000F76DB">
        <w:rPr>
          <w:rFonts w:ascii="Arial" w:hAnsi="Arial" w:cs="Arial"/>
          <w:sz w:val="24"/>
          <w:szCs w:val="24"/>
        </w:rPr>
        <w:t xml:space="preserve"> and could not seek the second </w:t>
      </w:r>
      <w:r w:rsidR="00FB0B96">
        <w:rPr>
          <w:rFonts w:ascii="Arial" w:hAnsi="Arial" w:cs="Arial"/>
          <w:sz w:val="24"/>
          <w:szCs w:val="24"/>
        </w:rPr>
        <w:t>amendment</w:t>
      </w:r>
      <w:r w:rsidRPr="000F76DB">
        <w:rPr>
          <w:rFonts w:ascii="Arial" w:hAnsi="Arial" w:cs="Arial"/>
          <w:sz w:val="24"/>
          <w:szCs w:val="24"/>
        </w:rPr>
        <w:t xml:space="preserve"> and further on the strength of </w:t>
      </w:r>
      <w:r w:rsidR="00C22C62">
        <w:rPr>
          <w:rFonts w:ascii="Arial" w:hAnsi="Arial" w:cs="Arial"/>
          <w:i/>
          <w:sz w:val="24"/>
          <w:szCs w:val="24"/>
        </w:rPr>
        <w:t>Rothe v Asmus &amp;</w:t>
      </w:r>
      <w:r w:rsidRPr="000F76DB">
        <w:rPr>
          <w:rFonts w:ascii="Arial" w:hAnsi="Arial" w:cs="Arial"/>
          <w:i/>
          <w:sz w:val="24"/>
          <w:szCs w:val="24"/>
        </w:rPr>
        <w:t xml:space="preserve"> another</w:t>
      </w:r>
      <w:r w:rsidRPr="000F76DB">
        <w:rPr>
          <w:rFonts w:ascii="Arial" w:hAnsi="Arial" w:cs="Arial"/>
          <w:sz w:val="24"/>
          <w:szCs w:val="24"/>
        </w:rPr>
        <w:t>,</w:t>
      </w:r>
      <w:r>
        <w:rPr>
          <w:rStyle w:val="FootnoteReference"/>
          <w:rFonts w:ascii="Arial" w:hAnsi="Arial" w:cs="Arial"/>
          <w:sz w:val="24"/>
          <w:szCs w:val="24"/>
        </w:rPr>
        <w:footnoteReference w:id="15"/>
      </w:r>
      <w:r w:rsidRPr="000F76DB">
        <w:rPr>
          <w:rFonts w:ascii="Arial" w:hAnsi="Arial" w:cs="Arial"/>
          <w:sz w:val="24"/>
          <w:szCs w:val="24"/>
        </w:rPr>
        <w:t xml:space="preserve"> </w:t>
      </w:r>
      <w:r w:rsidR="0001341A">
        <w:rPr>
          <w:rFonts w:ascii="Arial" w:hAnsi="Arial" w:cs="Arial"/>
          <w:sz w:val="24"/>
          <w:szCs w:val="24"/>
        </w:rPr>
        <w:t xml:space="preserve"> </w:t>
      </w:r>
      <w:r w:rsidRPr="000F76DB">
        <w:rPr>
          <w:rFonts w:ascii="Arial" w:hAnsi="Arial" w:cs="Arial"/>
          <w:sz w:val="24"/>
          <w:szCs w:val="24"/>
        </w:rPr>
        <w:t>it was incumbent upon the appellant to show good cause why it should be entitled to revi</w:t>
      </w:r>
      <w:r w:rsidR="00D35137">
        <w:rPr>
          <w:rFonts w:ascii="Arial" w:hAnsi="Arial" w:cs="Arial"/>
          <w:sz w:val="24"/>
          <w:szCs w:val="24"/>
        </w:rPr>
        <w:t>v</w:t>
      </w:r>
      <w:r w:rsidRPr="000F76DB">
        <w:rPr>
          <w:rFonts w:ascii="Arial" w:hAnsi="Arial" w:cs="Arial"/>
          <w:sz w:val="24"/>
          <w:szCs w:val="24"/>
        </w:rPr>
        <w:t>e the first notice. The court below then expressed its agreement with this submission and further stated that the appellant</w:t>
      </w:r>
      <w:r w:rsidR="003164FF">
        <w:rPr>
          <w:rFonts w:ascii="Arial" w:hAnsi="Arial" w:cs="Arial"/>
          <w:sz w:val="24"/>
          <w:szCs w:val="24"/>
        </w:rPr>
        <w:t>,</w:t>
      </w:r>
      <w:r w:rsidRPr="000F76DB">
        <w:rPr>
          <w:rFonts w:ascii="Arial" w:hAnsi="Arial" w:cs="Arial"/>
          <w:sz w:val="24"/>
          <w:szCs w:val="24"/>
        </w:rPr>
        <w:t xml:space="preserve"> by seeking to circumvent </w:t>
      </w:r>
      <w:r w:rsidR="00D35137">
        <w:rPr>
          <w:rFonts w:ascii="Arial" w:hAnsi="Arial" w:cs="Arial"/>
          <w:sz w:val="24"/>
          <w:szCs w:val="24"/>
        </w:rPr>
        <w:t xml:space="preserve">the </w:t>
      </w:r>
      <w:r w:rsidRPr="000F76DB">
        <w:rPr>
          <w:rFonts w:ascii="Arial" w:hAnsi="Arial" w:cs="Arial"/>
          <w:sz w:val="24"/>
          <w:szCs w:val="24"/>
        </w:rPr>
        <w:t>rules</w:t>
      </w:r>
      <w:r w:rsidR="003164FF">
        <w:rPr>
          <w:rFonts w:ascii="Arial" w:hAnsi="Arial" w:cs="Arial"/>
          <w:sz w:val="24"/>
          <w:szCs w:val="24"/>
        </w:rPr>
        <w:t>,</w:t>
      </w:r>
      <w:r w:rsidRPr="000F76DB">
        <w:rPr>
          <w:rFonts w:ascii="Arial" w:hAnsi="Arial" w:cs="Arial"/>
          <w:sz w:val="24"/>
          <w:szCs w:val="24"/>
        </w:rPr>
        <w:t xml:space="preserve"> should have sought condonation for non-compliance with the rules. </w:t>
      </w:r>
    </w:p>
    <w:p w:rsidR="00523919" w:rsidRDefault="00523919" w:rsidP="00523919">
      <w:pPr>
        <w:pStyle w:val="NoSpacing"/>
        <w:spacing w:line="480" w:lineRule="auto"/>
        <w:jc w:val="both"/>
        <w:rPr>
          <w:rFonts w:ascii="Arial" w:hAnsi="Arial" w:cs="Arial"/>
          <w:sz w:val="24"/>
          <w:szCs w:val="24"/>
        </w:rPr>
      </w:pPr>
    </w:p>
    <w:p w:rsidR="00FF1FFC" w:rsidRDefault="000F76DB"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also agreed with the respondent’s two further submissions. Firstly, that once the agreement was signed by authorised signatories, the </w:t>
      </w:r>
      <w:r w:rsidR="003164FF">
        <w:rPr>
          <w:rFonts w:ascii="Arial" w:hAnsi="Arial" w:cs="Arial"/>
          <w:sz w:val="24"/>
          <w:szCs w:val="24"/>
        </w:rPr>
        <w:t>Municipality</w:t>
      </w:r>
      <w:r>
        <w:rPr>
          <w:rFonts w:ascii="Arial" w:hAnsi="Arial" w:cs="Arial"/>
          <w:sz w:val="24"/>
          <w:szCs w:val="24"/>
        </w:rPr>
        <w:t xml:space="preserve"> could not rely on a lack of compliance with internal procedures</w:t>
      </w:r>
      <w:r w:rsidR="009F0E47">
        <w:rPr>
          <w:rFonts w:ascii="Arial" w:hAnsi="Arial" w:cs="Arial"/>
          <w:sz w:val="24"/>
          <w:szCs w:val="24"/>
        </w:rPr>
        <w:t xml:space="preserve"> </w:t>
      </w:r>
      <w:r w:rsidR="00D35137">
        <w:rPr>
          <w:rFonts w:ascii="Arial" w:hAnsi="Arial" w:cs="Arial"/>
          <w:sz w:val="24"/>
          <w:szCs w:val="24"/>
        </w:rPr>
        <w:t>by virtue of the deeming provision in s 31A</w:t>
      </w:r>
      <w:r w:rsidR="009F0E47">
        <w:rPr>
          <w:rFonts w:ascii="Arial" w:hAnsi="Arial" w:cs="Arial"/>
          <w:sz w:val="24"/>
          <w:szCs w:val="24"/>
        </w:rPr>
        <w:t xml:space="preserve"> of the Act</w:t>
      </w:r>
      <w:r>
        <w:rPr>
          <w:rFonts w:ascii="Arial" w:hAnsi="Arial" w:cs="Arial"/>
          <w:sz w:val="24"/>
          <w:szCs w:val="24"/>
        </w:rPr>
        <w:t xml:space="preserve">. </w:t>
      </w:r>
    </w:p>
    <w:p w:rsidR="00FF1FFC" w:rsidRPr="00E25B8B" w:rsidRDefault="00FF1FFC" w:rsidP="00E25B8B">
      <w:pPr>
        <w:rPr>
          <w:rFonts w:ascii="Arial" w:hAnsi="Arial" w:cs="Arial"/>
          <w:sz w:val="24"/>
          <w:szCs w:val="24"/>
        </w:rPr>
      </w:pPr>
    </w:p>
    <w:p w:rsidR="00FF1FFC" w:rsidRDefault="000F76DB"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also found that a stumbling block to the proposed amendment was moreover the approach adopted in </w:t>
      </w:r>
      <w:r>
        <w:rPr>
          <w:rFonts w:ascii="Arial" w:hAnsi="Arial" w:cs="Arial"/>
          <w:i/>
          <w:sz w:val="24"/>
          <w:szCs w:val="24"/>
        </w:rPr>
        <w:t>Oudekraal</w:t>
      </w:r>
      <w:r>
        <w:rPr>
          <w:rFonts w:ascii="Arial" w:hAnsi="Arial" w:cs="Arial"/>
          <w:sz w:val="24"/>
          <w:szCs w:val="24"/>
        </w:rPr>
        <w:t xml:space="preserve"> and that the current dispute fell squarely with</w:t>
      </w:r>
      <w:r w:rsidR="00D35137">
        <w:rPr>
          <w:rFonts w:ascii="Arial" w:hAnsi="Arial" w:cs="Arial"/>
          <w:sz w:val="24"/>
          <w:szCs w:val="24"/>
        </w:rPr>
        <w:t>in</w:t>
      </w:r>
      <w:r>
        <w:rPr>
          <w:rFonts w:ascii="Arial" w:hAnsi="Arial" w:cs="Arial"/>
          <w:sz w:val="24"/>
          <w:szCs w:val="24"/>
        </w:rPr>
        <w:t xml:space="preserve"> the principles determined in </w:t>
      </w:r>
      <w:r>
        <w:rPr>
          <w:rFonts w:ascii="Arial" w:hAnsi="Arial" w:cs="Arial"/>
          <w:i/>
          <w:sz w:val="24"/>
          <w:szCs w:val="24"/>
        </w:rPr>
        <w:t>Oudekraal.</w:t>
      </w:r>
    </w:p>
    <w:p w:rsidR="00FF1FFC" w:rsidRDefault="00FF1FFC" w:rsidP="000F76DB">
      <w:pPr>
        <w:rPr>
          <w:rFonts w:ascii="Arial" w:hAnsi="Arial" w:cs="Arial"/>
          <w:sz w:val="24"/>
          <w:szCs w:val="24"/>
        </w:rPr>
      </w:pPr>
    </w:p>
    <w:p w:rsidR="000F76DB" w:rsidRPr="000F76DB" w:rsidRDefault="000F76DB" w:rsidP="000F76DB">
      <w:pPr>
        <w:rPr>
          <w:rFonts w:ascii="Arial" w:hAnsi="Arial" w:cs="Arial"/>
          <w:sz w:val="24"/>
          <w:szCs w:val="24"/>
          <w:u w:val="single"/>
        </w:rPr>
      </w:pPr>
      <w:r>
        <w:rPr>
          <w:rFonts w:ascii="Arial" w:hAnsi="Arial" w:cs="Arial"/>
          <w:sz w:val="24"/>
          <w:szCs w:val="24"/>
          <w:u w:val="single"/>
        </w:rPr>
        <w:t>Submissions on appeal</w:t>
      </w:r>
    </w:p>
    <w:p w:rsidR="00FF1FFC" w:rsidRDefault="000F76DB"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for the </w:t>
      </w:r>
      <w:r w:rsidR="003164FF">
        <w:rPr>
          <w:rFonts w:ascii="Arial" w:hAnsi="Arial" w:cs="Arial"/>
          <w:sz w:val="24"/>
          <w:szCs w:val="24"/>
        </w:rPr>
        <w:t>Municipality</w:t>
      </w:r>
      <w:r>
        <w:rPr>
          <w:rFonts w:ascii="Arial" w:hAnsi="Arial" w:cs="Arial"/>
          <w:sz w:val="24"/>
          <w:szCs w:val="24"/>
        </w:rPr>
        <w:t xml:space="preserve"> contended that the High Court misdirected itself by finding that condonation was required. Counsel also submitted that by granting dates for the filing of the application to amend, the High Court had by implication </w:t>
      </w:r>
      <w:r>
        <w:rPr>
          <w:rFonts w:ascii="Arial" w:hAnsi="Arial" w:cs="Arial"/>
          <w:sz w:val="24"/>
          <w:szCs w:val="24"/>
        </w:rPr>
        <w:lastRenderedPageBreak/>
        <w:t xml:space="preserve">condoned the failure to proceed with the first notice to amend. It was further submitted that all </w:t>
      </w:r>
      <w:r w:rsidR="003164FF">
        <w:rPr>
          <w:rFonts w:ascii="Arial" w:hAnsi="Arial" w:cs="Arial"/>
          <w:sz w:val="24"/>
          <w:szCs w:val="24"/>
        </w:rPr>
        <w:t xml:space="preserve">that </w:t>
      </w:r>
      <w:r>
        <w:rPr>
          <w:rFonts w:ascii="Arial" w:hAnsi="Arial" w:cs="Arial"/>
          <w:sz w:val="24"/>
          <w:szCs w:val="24"/>
        </w:rPr>
        <w:t>remained was for the court to consider whether the pleading in its amended form would be excipiable.</w:t>
      </w:r>
    </w:p>
    <w:p w:rsidR="00FF1FFC" w:rsidRPr="00E25B8B" w:rsidRDefault="00FF1FFC" w:rsidP="00E25B8B">
      <w:pPr>
        <w:rPr>
          <w:rFonts w:ascii="Arial" w:hAnsi="Arial" w:cs="Arial"/>
          <w:sz w:val="24"/>
          <w:szCs w:val="24"/>
        </w:rPr>
      </w:pPr>
    </w:p>
    <w:p w:rsidR="00FF1FFC" w:rsidRDefault="000F76DB" w:rsidP="00E25B8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for the </w:t>
      </w:r>
      <w:r w:rsidR="003164FF">
        <w:rPr>
          <w:rFonts w:ascii="Arial" w:hAnsi="Arial" w:cs="Arial"/>
          <w:sz w:val="24"/>
          <w:szCs w:val="24"/>
        </w:rPr>
        <w:t>Municipality</w:t>
      </w:r>
      <w:r>
        <w:rPr>
          <w:rFonts w:ascii="Arial" w:hAnsi="Arial" w:cs="Arial"/>
          <w:sz w:val="24"/>
          <w:szCs w:val="24"/>
        </w:rPr>
        <w:t xml:space="preserve"> argued that the two defences raised by the notice were not excipiable. The first </w:t>
      </w:r>
      <w:r w:rsidR="003164FF">
        <w:rPr>
          <w:rFonts w:ascii="Arial" w:hAnsi="Arial" w:cs="Arial"/>
          <w:sz w:val="24"/>
          <w:szCs w:val="24"/>
        </w:rPr>
        <w:t xml:space="preserve">further defence </w:t>
      </w:r>
      <w:r>
        <w:rPr>
          <w:rFonts w:ascii="Arial" w:hAnsi="Arial" w:cs="Arial"/>
          <w:sz w:val="24"/>
          <w:szCs w:val="24"/>
        </w:rPr>
        <w:t xml:space="preserve">raised an issue as to whether the lease agreement with the respondent as opposed to Mr Mouton was authorised. The second defence raised an illegality by virtue of </w:t>
      </w:r>
      <w:r w:rsidR="00EF281F">
        <w:rPr>
          <w:rFonts w:ascii="Arial" w:hAnsi="Arial" w:cs="Arial"/>
          <w:sz w:val="24"/>
          <w:szCs w:val="24"/>
        </w:rPr>
        <w:t xml:space="preserve">non-compliance with s </w:t>
      </w:r>
      <w:r>
        <w:rPr>
          <w:rFonts w:ascii="Arial" w:hAnsi="Arial" w:cs="Arial"/>
          <w:sz w:val="24"/>
          <w:szCs w:val="24"/>
        </w:rPr>
        <w:t>63</w:t>
      </w:r>
      <w:r w:rsidR="00455D55">
        <w:rPr>
          <w:rFonts w:ascii="Arial" w:hAnsi="Arial" w:cs="Arial"/>
          <w:sz w:val="24"/>
          <w:szCs w:val="24"/>
        </w:rPr>
        <w:t xml:space="preserve"> </w:t>
      </w:r>
      <w:r>
        <w:rPr>
          <w:rFonts w:ascii="Arial" w:hAnsi="Arial" w:cs="Arial"/>
          <w:sz w:val="24"/>
          <w:szCs w:val="24"/>
        </w:rPr>
        <w:t>(2). Counsel</w:t>
      </w:r>
      <w:r w:rsidR="00CB6DF2">
        <w:rPr>
          <w:rFonts w:ascii="Arial" w:hAnsi="Arial" w:cs="Arial"/>
          <w:sz w:val="24"/>
          <w:szCs w:val="24"/>
        </w:rPr>
        <w:t xml:space="preserve"> contested the application of the principle</w:t>
      </w:r>
      <w:r>
        <w:rPr>
          <w:rFonts w:ascii="Arial" w:hAnsi="Arial" w:cs="Arial"/>
          <w:sz w:val="24"/>
          <w:szCs w:val="24"/>
        </w:rPr>
        <w:t xml:space="preserve"> in </w:t>
      </w:r>
      <w:r>
        <w:rPr>
          <w:rFonts w:ascii="Arial" w:hAnsi="Arial" w:cs="Arial"/>
          <w:i/>
          <w:sz w:val="24"/>
          <w:szCs w:val="24"/>
        </w:rPr>
        <w:t>Oudekraal</w:t>
      </w:r>
      <w:r>
        <w:rPr>
          <w:rFonts w:ascii="Arial" w:hAnsi="Arial" w:cs="Arial"/>
          <w:sz w:val="24"/>
          <w:szCs w:val="24"/>
        </w:rPr>
        <w:t xml:space="preserve"> and argued that the question was debatable and</w:t>
      </w:r>
      <w:r w:rsidR="00EF281F">
        <w:rPr>
          <w:rFonts w:ascii="Arial" w:hAnsi="Arial" w:cs="Arial"/>
          <w:sz w:val="24"/>
          <w:szCs w:val="24"/>
        </w:rPr>
        <w:t xml:space="preserve"> that</w:t>
      </w:r>
      <w:r>
        <w:rPr>
          <w:rFonts w:ascii="Arial" w:hAnsi="Arial" w:cs="Arial"/>
          <w:sz w:val="24"/>
          <w:szCs w:val="24"/>
        </w:rPr>
        <w:t xml:space="preserve"> </w:t>
      </w:r>
      <w:r w:rsidR="00D35137">
        <w:rPr>
          <w:rFonts w:ascii="Arial" w:hAnsi="Arial" w:cs="Arial"/>
          <w:sz w:val="24"/>
          <w:szCs w:val="24"/>
        </w:rPr>
        <w:t xml:space="preserve">the </w:t>
      </w:r>
      <w:r>
        <w:rPr>
          <w:rFonts w:ascii="Arial" w:hAnsi="Arial" w:cs="Arial"/>
          <w:sz w:val="24"/>
          <w:szCs w:val="24"/>
        </w:rPr>
        <w:t>amendment should have been granted.</w:t>
      </w:r>
    </w:p>
    <w:p w:rsidR="00EB28BA" w:rsidRPr="00E25B8B" w:rsidRDefault="00EB28BA" w:rsidP="00EB28BA">
      <w:pPr>
        <w:pStyle w:val="NoSpacing"/>
        <w:spacing w:line="480" w:lineRule="auto"/>
        <w:jc w:val="both"/>
        <w:rPr>
          <w:rFonts w:ascii="Arial" w:hAnsi="Arial" w:cs="Arial"/>
          <w:sz w:val="24"/>
          <w:szCs w:val="24"/>
        </w:rPr>
      </w:pPr>
    </w:p>
    <w:p w:rsidR="00FF1FFC" w:rsidRDefault="000F76DB"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w:t>
      </w:r>
      <w:r w:rsidR="00EF281F">
        <w:rPr>
          <w:rFonts w:ascii="Arial" w:hAnsi="Arial" w:cs="Arial"/>
          <w:sz w:val="24"/>
          <w:szCs w:val="24"/>
        </w:rPr>
        <w:t xml:space="preserve">for the respondent </w:t>
      </w:r>
      <w:r>
        <w:rPr>
          <w:rFonts w:ascii="Arial" w:hAnsi="Arial" w:cs="Arial"/>
          <w:sz w:val="24"/>
          <w:szCs w:val="24"/>
        </w:rPr>
        <w:t xml:space="preserve">reiterated the contentions raised </w:t>
      </w:r>
      <w:r w:rsidR="00D35137">
        <w:rPr>
          <w:rFonts w:ascii="Arial" w:hAnsi="Arial" w:cs="Arial"/>
          <w:sz w:val="24"/>
          <w:szCs w:val="24"/>
        </w:rPr>
        <w:t xml:space="preserve">in </w:t>
      </w:r>
      <w:r>
        <w:rPr>
          <w:rFonts w:ascii="Arial" w:hAnsi="Arial" w:cs="Arial"/>
          <w:sz w:val="24"/>
          <w:szCs w:val="24"/>
        </w:rPr>
        <w:t xml:space="preserve">and accepted by the High Court. Counsel argued that condonation was required and that the </w:t>
      </w:r>
      <w:r w:rsidR="003164FF">
        <w:rPr>
          <w:rFonts w:ascii="Arial" w:hAnsi="Arial" w:cs="Arial"/>
          <w:sz w:val="24"/>
          <w:szCs w:val="24"/>
        </w:rPr>
        <w:t>Municipality</w:t>
      </w:r>
      <w:r w:rsidR="00DD4B47">
        <w:rPr>
          <w:rFonts w:ascii="Arial" w:hAnsi="Arial" w:cs="Arial"/>
          <w:sz w:val="24"/>
          <w:szCs w:val="24"/>
        </w:rPr>
        <w:t xml:space="preserve"> had not provided any explanation by way of affidavit to establish good cause. It was also contended that the intended amendments would be excipiable by virtue of a conflict with the principle decided in </w:t>
      </w:r>
      <w:r w:rsidR="00DD4B47">
        <w:rPr>
          <w:rFonts w:ascii="Arial" w:hAnsi="Arial" w:cs="Arial"/>
          <w:i/>
          <w:sz w:val="24"/>
          <w:szCs w:val="24"/>
        </w:rPr>
        <w:t>Oudekraal</w:t>
      </w:r>
      <w:r w:rsidR="00DD4B47">
        <w:rPr>
          <w:rFonts w:ascii="Arial" w:hAnsi="Arial" w:cs="Arial"/>
          <w:sz w:val="24"/>
          <w:szCs w:val="24"/>
        </w:rPr>
        <w:t xml:space="preserve"> and </w:t>
      </w:r>
      <w:r w:rsidR="003164FF">
        <w:rPr>
          <w:rFonts w:ascii="Arial" w:hAnsi="Arial" w:cs="Arial"/>
          <w:sz w:val="24"/>
          <w:szCs w:val="24"/>
        </w:rPr>
        <w:t xml:space="preserve">furthermore </w:t>
      </w:r>
      <w:r w:rsidR="00DD4B47">
        <w:rPr>
          <w:rFonts w:ascii="Arial" w:hAnsi="Arial" w:cs="Arial"/>
          <w:sz w:val="24"/>
          <w:szCs w:val="24"/>
        </w:rPr>
        <w:t xml:space="preserve">that </w:t>
      </w:r>
      <w:r w:rsidR="009F0E47">
        <w:rPr>
          <w:rFonts w:ascii="Arial" w:hAnsi="Arial" w:cs="Arial"/>
          <w:sz w:val="24"/>
          <w:szCs w:val="24"/>
        </w:rPr>
        <w:t xml:space="preserve">             </w:t>
      </w:r>
      <w:r w:rsidR="00DD4B47">
        <w:rPr>
          <w:rFonts w:ascii="Arial" w:hAnsi="Arial" w:cs="Arial"/>
          <w:sz w:val="24"/>
          <w:szCs w:val="24"/>
        </w:rPr>
        <w:t>s 31</w:t>
      </w:r>
      <w:r w:rsidR="009F0E47">
        <w:rPr>
          <w:rFonts w:ascii="Arial" w:hAnsi="Arial" w:cs="Arial"/>
          <w:sz w:val="24"/>
          <w:szCs w:val="24"/>
        </w:rPr>
        <w:t>A</w:t>
      </w:r>
      <w:r w:rsidR="00DD4B47">
        <w:rPr>
          <w:rFonts w:ascii="Arial" w:hAnsi="Arial" w:cs="Arial"/>
          <w:sz w:val="24"/>
          <w:szCs w:val="24"/>
        </w:rPr>
        <w:t xml:space="preserve"> precluded a denial of authority. It was also contended that the reliance upon s 63(2)(</w:t>
      </w:r>
      <w:r w:rsidR="00DD4B47" w:rsidRPr="00DD4B47">
        <w:rPr>
          <w:rFonts w:ascii="Arial" w:hAnsi="Arial" w:cs="Arial"/>
          <w:i/>
          <w:sz w:val="24"/>
          <w:szCs w:val="24"/>
        </w:rPr>
        <w:t>b</w:t>
      </w:r>
      <w:r w:rsidR="00DD4B47">
        <w:rPr>
          <w:rFonts w:ascii="Arial" w:hAnsi="Arial" w:cs="Arial"/>
          <w:sz w:val="24"/>
          <w:szCs w:val="24"/>
        </w:rPr>
        <w:t>) was hopelessly unspecified and that the pleading would be vague and embarrassing in the absence of setting out in what respects</w:t>
      </w:r>
      <w:r w:rsidR="00CB6DF2">
        <w:rPr>
          <w:rFonts w:ascii="Arial" w:hAnsi="Arial" w:cs="Arial"/>
          <w:sz w:val="24"/>
          <w:szCs w:val="24"/>
        </w:rPr>
        <w:t xml:space="preserve"> it was contended that </w:t>
      </w:r>
      <w:r w:rsidR="00DD4B47">
        <w:rPr>
          <w:rFonts w:ascii="Arial" w:hAnsi="Arial" w:cs="Arial"/>
          <w:sz w:val="24"/>
          <w:szCs w:val="24"/>
        </w:rPr>
        <w:t>the section had not been complied with.</w:t>
      </w:r>
    </w:p>
    <w:p w:rsidR="00FF1FFC" w:rsidRDefault="00FF1FFC" w:rsidP="00B82939">
      <w:pPr>
        <w:rPr>
          <w:rFonts w:ascii="Arial" w:hAnsi="Arial" w:cs="Arial"/>
          <w:sz w:val="24"/>
          <w:szCs w:val="24"/>
        </w:rPr>
      </w:pPr>
    </w:p>
    <w:p w:rsidR="00B82939" w:rsidRPr="00B82939" w:rsidRDefault="00B82939" w:rsidP="00B82939">
      <w:pPr>
        <w:rPr>
          <w:rFonts w:ascii="Arial" w:hAnsi="Arial" w:cs="Arial"/>
          <w:sz w:val="24"/>
          <w:szCs w:val="24"/>
          <w:u w:val="single"/>
        </w:rPr>
      </w:pPr>
      <w:r>
        <w:rPr>
          <w:rFonts w:ascii="Arial" w:hAnsi="Arial" w:cs="Arial"/>
          <w:sz w:val="24"/>
          <w:szCs w:val="24"/>
          <w:u w:val="single"/>
        </w:rPr>
        <w:t>Principles governing the granting of amendments</w:t>
      </w:r>
    </w:p>
    <w:p w:rsidR="00FF1FFC" w:rsidRDefault="00B82939"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Rule 52 of the rules of the High Court governs the amendment of pleadings. The actual procedure to be followed in doing so does not substantially depart from that previously provided for in rule 28 of the erstwhile rules. A party desiring to amend a pleading must give notice of the intention to do so. The other parties to the </w:t>
      </w:r>
      <w:r>
        <w:rPr>
          <w:rFonts w:ascii="Arial" w:hAnsi="Arial" w:cs="Arial"/>
          <w:sz w:val="24"/>
          <w:szCs w:val="24"/>
        </w:rPr>
        <w:lastRenderedPageBreak/>
        <w:t>litigation are afforded the opportunity to object within ten days. In that event the party seeking an amendment is required to bring an application to amend within ten days (or such period as is directed by a managing judge in j</w:t>
      </w:r>
      <w:r w:rsidR="0001341A">
        <w:rPr>
          <w:rFonts w:ascii="Arial" w:hAnsi="Arial" w:cs="Arial"/>
          <w:sz w:val="24"/>
          <w:szCs w:val="24"/>
        </w:rPr>
        <w:t>udicial case management (JCM</w:t>
      </w:r>
      <w:r w:rsidR="009F0E47">
        <w:rPr>
          <w:rFonts w:ascii="Arial" w:hAnsi="Arial" w:cs="Arial"/>
          <w:sz w:val="24"/>
          <w:szCs w:val="24"/>
        </w:rPr>
        <w:t>).</w:t>
      </w:r>
    </w:p>
    <w:p w:rsidR="00FF1FFC" w:rsidRPr="009F0E47" w:rsidRDefault="00FF1FFC" w:rsidP="009F0E47">
      <w:pPr>
        <w:rPr>
          <w:rFonts w:ascii="Arial" w:hAnsi="Arial" w:cs="Arial"/>
          <w:sz w:val="24"/>
          <w:szCs w:val="24"/>
        </w:rPr>
      </w:pPr>
    </w:p>
    <w:p w:rsidR="00FF1FFC" w:rsidRDefault="00B82939"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 court may grant an amendment at any stage of </w:t>
      </w:r>
      <w:r w:rsidR="00D35137">
        <w:rPr>
          <w:rFonts w:ascii="Arial" w:hAnsi="Arial" w:cs="Arial"/>
          <w:sz w:val="24"/>
          <w:szCs w:val="24"/>
        </w:rPr>
        <w:t xml:space="preserve">the </w:t>
      </w:r>
      <w:r>
        <w:rPr>
          <w:rFonts w:ascii="Arial" w:hAnsi="Arial" w:cs="Arial"/>
          <w:sz w:val="24"/>
          <w:szCs w:val="24"/>
        </w:rPr>
        <w:t>proceedings</w:t>
      </w:r>
      <w:r>
        <w:rPr>
          <w:rStyle w:val="FootnoteReference"/>
          <w:rFonts w:ascii="Arial" w:hAnsi="Arial" w:cs="Arial"/>
          <w:sz w:val="24"/>
          <w:szCs w:val="24"/>
        </w:rPr>
        <w:footnoteReference w:id="16"/>
      </w:r>
      <w:r>
        <w:rPr>
          <w:rFonts w:ascii="Arial" w:hAnsi="Arial" w:cs="Arial"/>
          <w:sz w:val="24"/>
          <w:szCs w:val="24"/>
        </w:rPr>
        <w:t xml:space="preserve"> on terms considered suitable or proper by the court. </w:t>
      </w:r>
    </w:p>
    <w:p w:rsidR="00B82939" w:rsidRPr="00E25B8B" w:rsidRDefault="00B82939" w:rsidP="00E25B8B">
      <w:pPr>
        <w:rPr>
          <w:rFonts w:ascii="Arial" w:hAnsi="Arial" w:cs="Arial"/>
          <w:sz w:val="24"/>
          <w:szCs w:val="24"/>
        </w:rPr>
      </w:pPr>
    </w:p>
    <w:p w:rsidR="00B82939" w:rsidRDefault="00B82939"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What has however changed since the advent of JCM is that the previously liberal attitude to granting </w:t>
      </w:r>
      <w:r w:rsidR="0001341A">
        <w:rPr>
          <w:rFonts w:ascii="Arial" w:hAnsi="Arial" w:cs="Arial"/>
          <w:sz w:val="24"/>
          <w:szCs w:val="24"/>
        </w:rPr>
        <w:t>amendments has been found by a F</w:t>
      </w:r>
      <w:r>
        <w:rPr>
          <w:rFonts w:ascii="Arial" w:hAnsi="Arial" w:cs="Arial"/>
          <w:sz w:val="24"/>
          <w:szCs w:val="24"/>
        </w:rPr>
        <w:t>u</w:t>
      </w:r>
      <w:r w:rsidR="0001341A">
        <w:rPr>
          <w:rFonts w:ascii="Arial" w:hAnsi="Arial" w:cs="Arial"/>
          <w:sz w:val="24"/>
          <w:szCs w:val="24"/>
        </w:rPr>
        <w:t>ll B</w:t>
      </w:r>
      <w:r>
        <w:rPr>
          <w:rFonts w:ascii="Arial" w:hAnsi="Arial" w:cs="Arial"/>
          <w:sz w:val="24"/>
          <w:szCs w:val="24"/>
        </w:rPr>
        <w:t xml:space="preserve">ench of the High Court </w:t>
      </w:r>
      <w:r w:rsidR="00AC478B">
        <w:rPr>
          <w:rFonts w:ascii="Arial" w:hAnsi="Arial" w:cs="Arial"/>
          <w:sz w:val="24"/>
          <w:szCs w:val="24"/>
        </w:rPr>
        <w:t xml:space="preserve">in </w:t>
      </w:r>
      <w:r w:rsidR="00AC478B" w:rsidRPr="00AC478B">
        <w:rPr>
          <w:rFonts w:ascii="Arial" w:hAnsi="Arial" w:cs="Arial"/>
          <w:i/>
          <w:sz w:val="24"/>
          <w:szCs w:val="24"/>
        </w:rPr>
        <w:t>I</w:t>
      </w:r>
      <w:r w:rsidRPr="00AC478B">
        <w:rPr>
          <w:rFonts w:ascii="Arial" w:hAnsi="Arial" w:cs="Arial"/>
          <w:i/>
          <w:sz w:val="24"/>
          <w:szCs w:val="24"/>
        </w:rPr>
        <w:t>A Bell</w:t>
      </w:r>
      <w:r w:rsidR="00FB0B96">
        <w:rPr>
          <w:rFonts w:ascii="Arial" w:hAnsi="Arial" w:cs="Arial"/>
          <w:i/>
          <w:sz w:val="24"/>
          <w:szCs w:val="24"/>
        </w:rPr>
        <w:t xml:space="preserve"> Equipment Company (Namibia) (Pty) Ltd v Roadstone Quarries CC</w:t>
      </w:r>
      <w:r>
        <w:rPr>
          <w:rStyle w:val="FootnoteReference"/>
          <w:rFonts w:ascii="Arial" w:hAnsi="Arial" w:cs="Arial"/>
          <w:sz w:val="24"/>
          <w:szCs w:val="24"/>
        </w:rPr>
        <w:footnoteReference w:id="17"/>
      </w:r>
      <w:r>
        <w:rPr>
          <w:rFonts w:ascii="Arial" w:hAnsi="Arial" w:cs="Arial"/>
          <w:sz w:val="24"/>
          <w:szCs w:val="24"/>
        </w:rPr>
        <w:t xml:space="preserve"> to </w:t>
      </w:r>
      <w:r w:rsidR="00CB6DF2">
        <w:rPr>
          <w:rFonts w:ascii="Arial" w:hAnsi="Arial" w:cs="Arial"/>
          <w:sz w:val="24"/>
          <w:szCs w:val="24"/>
        </w:rPr>
        <w:t>no longer apply because it is</w:t>
      </w:r>
      <w:r>
        <w:rPr>
          <w:rFonts w:ascii="Arial" w:hAnsi="Arial" w:cs="Arial"/>
          <w:sz w:val="24"/>
          <w:szCs w:val="24"/>
        </w:rPr>
        <w:t xml:space="preserve"> inimical to the ethos of JCM</w:t>
      </w:r>
      <w:r w:rsidR="00D35137">
        <w:rPr>
          <w:rFonts w:ascii="Arial" w:hAnsi="Arial" w:cs="Arial"/>
          <w:sz w:val="24"/>
          <w:szCs w:val="24"/>
        </w:rPr>
        <w:t>,</w:t>
      </w:r>
      <w:r>
        <w:rPr>
          <w:rFonts w:ascii="Arial" w:hAnsi="Arial" w:cs="Arial"/>
          <w:sz w:val="24"/>
          <w:szCs w:val="24"/>
        </w:rPr>
        <w:t xml:space="preserve"> with the emphasis shifting from ‘doing</w:t>
      </w:r>
      <w:r w:rsidR="00AC478B">
        <w:rPr>
          <w:rFonts w:ascii="Arial" w:hAnsi="Arial" w:cs="Arial"/>
          <w:sz w:val="24"/>
          <w:szCs w:val="24"/>
        </w:rPr>
        <w:t xml:space="preserve"> substantial </w:t>
      </w:r>
      <w:r w:rsidR="00CB6DF2">
        <w:rPr>
          <w:rFonts w:ascii="Arial" w:hAnsi="Arial" w:cs="Arial"/>
          <w:sz w:val="24"/>
          <w:szCs w:val="24"/>
        </w:rPr>
        <w:t xml:space="preserve">justice between parties’ to the </w:t>
      </w:r>
      <w:r w:rsidR="00D35137">
        <w:rPr>
          <w:rFonts w:ascii="Arial" w:hAnsi="Arial" w:cs="Arial"/>
          <w:sz w:val="24"/>
          <w:szCs w:val="24"/>
        </w:rPr>
        <w:t>‘</w:t>
      </w:r>
      <w:r w:rsidR="00CB6DF2">
        <w:rPr>
          <w:rFonts w:ascii="Arial" w:hAnsi="Arial" w:cs="Arial"/>
          <w:sz w:val="24"/>
          <w:szCs w:val="24"/>
        </w:rPr>
        <w:t xml:space="preserve">interests of the </w:t>
      </w:r>
      <w:r w:rsidR="00AC478B">
        <w:rPr>
          <w:rFonts w:ascii="Arial" w:hAnsi="Arial" w:cs="Arial"/>
          <w:sz w:val="24"/>
          <w:szCs w:val="24"/>
        </w:rPr>
        <w:t>administration of justice overall’ – of which doing justice between the parties is but one consideration.</w:t>
      </w:r>
      <w:r w:rsidR="00AC478B">
        <w:rPr>
          <w:rStyle w:val="FootnoteReference"/>
          <w:rFonts w:ascii="Arial" w:hAnsi="Arial" w:cs="Arial"/>
          <w:sz w:val="24"/>
          <w:szCs w:val="24"/>
        </w:rPr>
        <w:footnoteReference w:id="18"/>
      </w:r>
      <w:r w:rsidR="003164FF">
        <w:rPr>
          <w:rFonts w:ascii="Arial" w:hAnsi="Arial" w:cs="Arial"/>
          <w:sz w:val="24"/>
          <w:szCs w:val="24"/>
        </w:rPr>
        <w:t xml:space="preserve"> We endorse this approach except to add that ‘doing substantial justice between the parties’ although no longer being the </w:t>
      </w:r>
      <w:r w:rsidR="00E269CF">
        <w:rPr>
          <w:rFonts w:ascii="Arial" w:hAnsi="Arial" w:cs="Arial"/>
          <w:sz w:val="24"/>
          <w:szCs w:val="24"/>
        </w:rPr>
        <w:t>primary</w:t>
      </w:r>
      <w:r w:rsidR="003164FF">
        <w:rPr>
          <w:rFonts w:ascii="Arial" w:hAnsi="Arial" w:cs="Arial"/>
          <w:sz w:val="24"/>
          <w:szCs w:val="24"/>
        </w:rPr>
        <w:t xml:space="preserve"> consideration, remains of </w:t>
      </w:r>
      <w:r w:rsidR="00E269CF">
        <w:rPr>
          <w:rFonts w:ascii="Arial" w:hAnsi="Arial" w:cs="Arial"/>
          <w:sz w:val="24"/>
          <w:szCs w:val="24"/>
        </w:rPr>
        <w:t>considerable</w:t>
      </w:r>
      <w:r w:rsidR="003164FF">
        <w:rPr>
          <w:rFonts w:ascii="Arial" w:hAnsi="Arial" w:cs="Arial"/>
          <w:sz w:val="24"/>
          <w:szCs w:val="24"/>
        </w:rPr>
        <w:t xml:space="preserve"> importance but is</w:t>
      </w:r>
      <w:r w:rsidR="00E269CF">
        <w:rPr>
          <w:rFonts w:ascii="Arial" w:hAnsi="Arial" w:cs="Arial"/>
          <w:sz w:val="24"/>
          <w:szCs w:val="24"/>
        </w:rPr>
        <w:t xml:space="preserve"> now</w:t>
      </w:r>
      <w:r w:rsidR="003164FF">
        <w:rPr>
          <w:rFonts w:ascii="Arial" w:hAnsi="Arial" w:cs="Arial"/>
          <w:sz w:val="24"/>
          <w:szCs w:val="24"/>
        </w:rPr>
        <w:t xml:space="preserve"> to be considered within the context of </w:t>
      </w:r>
      <w:r w:rsidR="009F0E47">
        <w:rPr>
          <w:rFonts w:ascii="Arial" w:hAnsi="Arial" w:cs="Arial"/>
          <w:sz w:val="24"/>
          <w:szCs w:val="24"/>
        </w:rPr>
        <w:t xml:space="preserve">the objectives of </w:t>
      </w:r>
      <w:r w:rsidR="003164FF">
        <w:rPr>
          <w:rFonts w:ascii="Arial" w:hAnsi="Arial" w:cs="Arial"/>
          <w:sz w:val="24"/>
          <w:szCs w:val="24"/>
        </w:rPr>
        <w:t>JCM</w:t>
      </w:r>
      <w:r w:rsidR="009F0E47">
        <w:rPr>
          <w:rFonts w:ascii="Arial" w:hAnsi="Arial" w:cs="Arial"/>
          <w:sz w:val="24"/>
          <w:szCs w:val="24"/>
        </w:rPr>
        <w:t>,</w:t>
      </w:r>
      <w:r w:rsidR="003164FF">
        <w:rPr>
          <w:rFonts w:ascii="Arial" w:hAnsi="Arial" w:cs="Arial"/>
          <w:sz w:val="24"/>
          <w:szCs w:val="24"/>
        </w:rPr>
        <w:t xml:space="preserve"> with late amendments being </w:t>
      </w:r>
      <w:r w:rsidR="009F0E47">
        <w:rPr>
          <w:rFonts w:ascii="Arial" w:hAnsi="Arial" w:cs="Arial"/>
          <w:sz w:val="24"/>
          <w:szCs w:val="24"/>
        </w:rPr>
        <w:t xml:space="preserve">subjected </w:t>
      </w:r>
      <w:r w:rsidR="00243CB0">
        <w:rPr>
          <w:rFonts w:ascii="Arial" w:hAnsi="Arial" w:cs="Arial"/>
          <w:sz w:val="24"/>
          <w:szCs w:val="24"/>
        </w:rPr>
        <w:t xml:space="preserve">to </w:t>
      </w:r>
      <w:r w:rsidR="003164FF">
        <w:rPr>
          <w:rFonts w:ascii="Arial" w:hAnsi="Arial" w:cs="Arial"/>
          <w:sz w:val="24"/>
          <w:szCs w:val="24"/>
        </w:rPr>
        <w:t>greater scrutiny than before because of their d</w:t>
      </w:r>
      <w:r w:rsidR="00E269CF">
        <w:rPr>
          <w:rFonts w:ascii="Arial" w:hAnsi="Arial" w:cs="Arial"/>
          <w:sz w:val="24"/>
          <w:szCs w:val="24"/>
        </w:rPr>
        <w:t>eleter</w:t>
      </w:r>
      <w:r w:rsidR="003164FF">
        <w:rPr>
          <w:rFonts w:ascii="Arial" w:hAnsi="Arial" w:cs="Arial"/>
          <w:sz w:val="24"/>
          <w:szCs w:val="24"/>
        </w:rPr>
        <w:t>ious</w:t>
      </w:r>
      <w:r w:rsidR="00B207EA">
        <w:rPr>
          <w:rFonts w:ascii="Arial" w:hAnsi="Arial" w:cs="Arial"/>
          <w:sz w:val="24"/>
          <w:szCs w:val="24"/>
        </w:rPr>
        <w:t xml:space="preserve"> effect upon the administration of justice.</w:t>
      </w:r>
      <w:r w:rsidR="003164FF">
        <w:rPr>
          <w:rFonts w:ascii="Arial" w:hAnsi="Arial" w:cs="Arial"/>
          <w:sz w:val="24"/>
          <w:szCs w:val="24"/>
        </w:rPr>
        <w:t xml:space="preserve"> </w:t>
      </w:r>
    </w:p>
    <w:p w:rsidR="00FF1FFC" w:rsidRPr="00E25B8B" w:rsidRDefault="00FF1FFC" w:rsidP="00E25B8B">
      <w:pPr>
        <w:rPr>
          <w:rFonts w:ascii="Arial" w:hAnsi="Arial" w:cs="Arial"/>
          <w:sz w:val="24"/>
          <w:szCs w:val="24"/>
        </w:rPr>
      </w:pPr>
    </w:p>
    <w:p w:rsidR="00FF1FFC" w:rsidRDefault="00AC478B"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CB6DF2">
        <w:rPr>
          <w:rFonts w:ascii="Arial" w:hAnsi="Arial" w:cs="Arial"/>
          <w:sz w:val="24"/>
          <w:szCs w:val="24"/>
        </w:rPr>
        <w:t>he Judge President</w:t>
      </w:r>
      <w:r w:rsidR="00D35137">
        <w:rPr>
          <w:rFonts w:ascii="Arial" w:hAnsi="Arial" w:cs="Arial"/>
          <w:sz w:val="24"/>
          <w:szCs w:val="24"/>
        </w:rPr>
        <w:t>,</w:t>
      </w:r>
      <w:r w:rsidR="00CB6DF2">
        <w:rPr>
          <w:rFonts w:ascii="Arial" w:hAnsi="Arial" w:cs="Arial"/>
          <w:sz w:val="24"/>
          <w:szCs w:val="24"/>
        </w:rPr>
        <w:t xml:space="preserve"> writing for the</w:t>
      </w:r>
      <w:r w:rsidR="0001341A">
        <w:rPr>
          <w:rFonts w:ascii="Arial" w:hAnsi="Arial" w:cs="Arial"/>
          <w:sz w:val="24"/>
          <w:szCs w:val="24"/>
        </w:rPr>
        <w:t xml:space="preserve"> Full C</w:t>
      </w:r>
      <w:r>
        <w:rPr>
          <w:rFonts w:ascii="Arial" w:hAnsi="Arial" w:cs="Arial"/>
          <w:sz w:val="24"/>
          <w:szCs w:val="24"/>
        </w:rPr>
        <w:t>ou</w:t>
      </w:r>
      <w:r w:rsidR="00CB6DF2">
        <w:rPr>
          <w:rFonts w:ascii="Arial" w:hAnsi="Arial" w:cs="Arial"/>
          <w:sz w:val="24"/>
          <w:szCs w:val="24"/>
        </w:rPr>
        <w:t>r</w:t>
      </w:r>
      <w:r>
        <w:rPr>
          <w:rFonts w:ascii="Arial" w:hAnsi="Arial" w:cs="Arial"/>
          <w:sz w:val="24"/>
          <w:szCs w:val="24"/>
        </w:rPr>
        <w:t xml:space="preserve">t in </w:t>
      </w:r>
      <w:r w:rsidRPr="00AC478B">
        <w:rPr>
          <w:rFonts w:ascii="Arial" w:hAnsi="Arial" w:cs="Arial"/>
          <w:i/>
          <w:sz w:val="24"/>
          <w:szCs w:val="24"/>
        </w:rPr>
        <w:t>IA Bell</w:t>
      </w:r>
      <w:r w:rsidR="00CB6DF2">
        <w:rPr>
          <w:rFonts w:ascii="Arial" w:hAnsi="Arial" w:cs="Arial"/>
          <w:sz w:val="24"/>
          <w:szCs w:val="24"/>
        </w:rPr>
        <w:t>,</w:t>
      </w:r>
      <w:r>
        <w:rPr>
          <w:rFonts w:ascii="Arial" w:hAnsi="Arial" w:cs="Arial"/>
          <w:sz w:val="24"/>
          <w:szCs w:val="24"/>
        </w:rPr>
        <w:t xml:space="preserve"> reached this conclusion after</w:t>
      </w:r>
      <w:r w:rsidR="00D35137">
        <w:rPr>
          <w:rFonts w:ascii="Arial" w:hAnsi="Arial" w:cs="Arial"/>
          <w:sz w:val="24"/>
          <w:szCs w:val="24"/>
        </w:rPr>
        <w:t xml:space="preserve"> considering </w:t>
      </w:r>
      <w:r w:rsidR="00B207EA">
        <w:rPr>
          <w:rFonts w:ascii="Arial" w:hAnsi="Arial" w:cs="Arial"/>
          <w:sz w:val="24"/>
          <w:szCs w:val="24"/>
        </w:rPr>
        <w:t>recent decisions of</w:t>
      </w:r>
      <w:r w:rsidR="00D35137">
        <w:rPr>
          <w:rFonts w:ascii="Arial" w:hAnsi="Arial" w:cs="Arial"/>
          <w:sz w:val="24"/>
          <w:szCs w:val="24"/>
        </w:rPr>
        <w:t xml:space="preserve"> the High Court on the issue</w:t>
      </w:r>
      <w:r>
        <w:rPr>
          <w:rFonts w:ascii="Arial" w:hAnsi="Arial" w:cs="Arial"/>
          <w:sz w:val="24"/>
          <w:szCs w:val="24"/>
        </w:rPr>
        <w:t xml:space="preserve"> </w:t>
      </w:r>
      <w:r w:rsidR="00D35137">
        <w:rPr>
          <w:rFonts w:ascii="Arial" w:hAnsi="Arial" w:cs="Arial"/>
          <w:sz w:val="24"/>
          <w:szCs w:val="24"/>
        </w:rPr>
        <w:t xml:space="preserve">since the introduction of JCM in Namibia in 2011 and </w:t>
      </w:r>
      <w:r w:rsidR="00B207EA">
        <w:rPr>
          <w:rFonts w:ascii="Arial" w:hAnsi="Arial" w:cs="Arial"/>
          <w:sz w:val="24"/>
          <w:szCs w:val="24"/>
        </w:rPr>
        <w:t>after an exhaustive</w:t>
      </w:r>
      <w:r>
        <w:rPr>
          <w:rFonts w:ascii="Arial" w:hAnsi="Arial" w:cs="Arial"/>
          <w:sz w:val="24"/>
          <w:szCs w:val="24"/>
        </w:rPr>
        <w:t xml:space="preserve"> survey of the approach followed in Australia after that jurisdiction introduced JCM</w:t>
      </w:r>
      <w:r w:rsidR="00B207EA">
        <w:rPr>
          <w:rFonts w:ascii="Arial" w:hAnsi="Arial" w:cs="Arial"/>
          <w:sz w:val="24"/>
          <w:szCs w:val="24"/>
        </w:rPr>
        <w:t>.</w:t>
      </w:r>
      <w:r w:rsidR="00CB6DF2">
        <w:rPr>
          <w:rFonts w:ascii="Arial" w:hAnsi="Arial" w:cs="Arial"/>
          <w:sz w:val="24"/>
          <w:szCs w:val="24"/>
        </w:rPr>
        <w:t xml:space="preserve"> </w:t>
      </w:r>
      <w:r>
        <w:rPr>
          <w:rFonts w:ascii="Arial" w:hAnsi="Arial" w:cs="Arial"/>
          <w:sz w:val="24"/>
          <w:szCs w:val="24"/>
        </w:rPr>
        <w:t xml:space="preserve">The </w:t>
      </w:r>
      <w:r w:rsidR="00EB28BA">
        <w:rPr>
          <w:rFonts w:ascii="Arial" w:hAnsi="Arial" w:cs="Arial"/>
          <w:sz w:val="24"/>
          <w:szCs w:val="24"/>
        </w:rPr>
        <w:t>F</w:t>
      </w:r>
      <w:r>
        <w:rPr>
          <w:rFonts w:ascii="Arial" w:hAnsi="Arial" w:cs="Arial"/>
          <w:sz w:val="24"/>
          <w:szCs w:val="24"/>
        </w:rPr>
        <w:t xml:space="preserve">ull </w:t>
      </w:r>
      <w:r w:rsidR="00EB28BA">
        <w:rPr>
          <w:rFonts w:ascii="Arial" w:hAnsi="Arial" w:cs="Arial"/>
          <w:sz w:val="24"/>
          <w:szCs w:val="24"/>
        </w:rPr>
        <w:t>C</w:t>
      </w:r>
      <w:r>
        <w:rPr>
          <w:rFonts w:ascii="Arial" w:hAnsi="Arial" w:cs="Arial"/>
          <w:sz w:val="24"/>
          <w:szCs w:val="24"/>
        </w:rPr>
        <w:t xml:space="preserve">ourt </w:t>
      </w:r>
      <w:r>
        <w:rPr>
          <w:rFonts w:ascii="Arial" w:hAnsi="Arial" w:cs="Arial"/>
          <w:sz w:val="24"/>
          <w:szCs w:val="24"/>
        </w:rPr>
        <w:lastRenderedPageBreak/>
        <w:t xml:space="preserve">stressed that a new approach to amendments under JCM was underpinned by the </w:t>
      </w:r>
      <w:r w:rsidR="001D281C">
        <w:rPr>
          <w:rFonts w:ascii="Arial" w:hAnsi="Arial" w:cs="Arial"/>
          <w:sz w:val="24"/>
          <w:szCs w:val="24"/>
        </w:rPr>
        <w:t xml:space="preserve">following </w:t>
      </w:r>
      <w:r>
        <w:rPr>
          <w:rFonts w:ascii="Arial" w:hAnsi="Arial" w:cs="Arial"/>
          <w:sz w:val="24"/>
          <w:szCs w:val="24"/>
        </w:rPr>
        <w:t xml:space="preserve">overriding </w:t>
      </w:r>
      <w:r w:rsidR="00CB6DF2">
        <w:rPr>
          <w:rFonts w:ascii="Arial" w:hAnsi="Arial" w:cs="Arial"/>
          <w:sz w:val="24"/>
          <w:szCs w:val="24"/>
        </w:rPr>
        <w:t>objectives of JCM:</w:t>
      </w:r>
    </w:p>
    <w:p w:rsidR="00AC478B" w:rsidRDefault="00AC478B" w:rsidP="00CE78C7">
      <w:pPr>
        <w:pStyle w:val="ListParagraph"/>
        <w:spacing w:after="0" w:line="360" w:lineRule="auto"/>
        <w:rPr>
          <w:rFonts w:ascii="Arial" w:hAnsi="Arial" w:cs="Arial"/>
          <w:sz w:val="24"/>
          <w:szCs w:val="24"/>
        </w:rPr>
      </w:pPr>
    </w:p>
    <w:p w:rsidR="00CB6DF2" w:rsidRDefault="00281B9E" w:rsidP="00281B9E">
      <w:pPr>
        <w:pStyle w:val="NoSpacing"/>
        <w:spacing w:line="360" w:lineRule="auto"/>
        <w:ind w:left="720"/>
        <w:jc w:val="both"/>
        <w:rPr>
          <w:rFonts w:ascii="Arial" w:hAnsi="Arial" w:cs="Arial"/>
        </w:rPr>
      </w:pPr>
      <w:r w:rsidRPr="00281B9E">
        <w:rPr>
          <w:rFonts w:ascii="Arial" w:hAnsi="Arial" w:cs="Arial"/>
        </w:rPr>
        <w:t>‘</w:t>
      </w:r>
      <w:r w:rsidR="00CB6DF2">
        <w:rPr>
          <w:rFonts w:ascii="Arial" w:hAnsi="Arial" w:cs="Arial"/>
        </w:rPr>
        <w:t>(a)</w:t>
      </w:r>
      <w:r w:rsidR="00CB6DF2">
        <w:rPr>
          <w:rFonts w:ascii="Arial" w:hAnsi="Arial" w:cs="Arial"/>
        </w:rPr>
        <w:tab/>
      </w:r>
      <w:r w:rsidRPr="00281B9E">
        <w:rPr>
          <w:rFonts w:ascii="Arial" w:hAnsi="Arial" w:cs="Arial"/>
        </w:rPr>
        <w:t xml:space="preserve">to ensure the speedy disposal of any action or application, </w:t>
      </w:r>
    </w:p>
    <w:p w:rsidR="00CB6DF2" w:rsidRDefault="00281B9E" w:rsidP="00281B9E">
      <w:pPr>
        <w:pStyle w:val="NoSpacing"/>
        <w:spacing w:line="360" w:lineRule="auto"/>
        <w:ind w:left="720"/>
        <w:jc w:val="both"/>
        <w:rPr>
          <w:rFonts w:ascii="Arial" w:hAnsi="Arial" w:cs="Arial"/>
        </w:rPr>
      </w:pPr>
      <w:r w:rsidRPr="00281B9E">
        <w:rPr>
          <w:rFonts w:ascii="Arial" w:hAnsi="Arial" w:cs="Arial"/>
        </w:rPr>
        <w:t>(b)</w:t>
      </w:r>
      <w:r w:rsidR="00CB6DF2">
        <w:rPr>
          <w:rFonts w:ascii="Arial" w:hAnsi="Arial" w:cs="Arial"/>
        </w:rPr>
        <w:tab/>
      </w:r>
      <w:r w:rsidRPr="00281B9E">
        <w:rPr>
          <w:rFonts w:ascii="Arial" w:hAnsi="Arial" w:cs="Arial"/>
        </w:rPr>
        <w:t>to promote the prompt and economic disposal of</w:t>
      </w:r>
      <w:r w:rsidR="00CB6DF2">
        <w:rPr>
          <w:rFonts w:ascii="Arial" w:hAnsi="Arial" w:cs="Arial"/>
        </w:rPr>
        <w:t xml:space="preserve"> any action or application, (c)</w:t>
      </w:r>
      <w:r w:rsidR="00CB6DF2">
        <w:rPr>
          <w:rFonts w:ascii="Arial" w:hAnsi="Arial" w:cs="Arial"/>
        </w:rPr>
        <w:tab/>
      </w:r>
      <w:r w:rsidRPr="00281B9E">
        <w:rPr>
          <w:rFonts w:ascii="Arial" w:hAnsi="Arial" w:cs="Arial"/>
        </w:rPr>
        <w:t xml:space="preserve">to use efficiently the available judicial, legal and administrative resources, </w:t>
      </w:r>
    </w:p>
    <w:p w:rsidR="00CB6DF2" w:rsidRDefault="00281B9E" w:rsidP="00281B9E">
      <w:pPr>
        <w:pStyle w:val="NoSpacing"/>
        <w:spacing w:line="360" w:lineRule="auto"/>
        <w:ind w:left="720"/>
        <w:jc w:val="both"/>
        <w:rPr>
          <w:rFonts w:ascii="Arial" w:hAnsi="Arial" w:cs="Arial"/>
        </w:rPr>
      </w:pPr>
      <w:r w:rsidRPr="00281B9E">
        <w:rPr>
          <w:rFonts w:ascii="Arial" w:hAnsi="Arial" w:cs="Arial"/>
        </w:rPr>
        <w:t>(d)</w:t>
      </w:r>
      <w:r w:rsidR="00CB6DF2">
        <w:rPr>
          <w:rFonts w:ascii="Arial" w:hAnsi="Arial" w:cs="Arial"/>
        </w:rPr>
        <w:tab/>
      </w:r>
      <w:r w:rsidRPr="00281B9E">
        <w:rPr>
          <w:rFonts w:ascii="Arial" w:hAnsi="Arial" w:cs="Arial"/>
        </w:rPr>
        <w:t>to identify issues in dispute at an early stage,</w:t>
      </w:r>
    </w:p>
    <w:p w:rsidR="00CB6DF2" w:rsidRDefault="00281B9E" w:rsidP="00281B9E">
      <w:pPr>
        <w:pStyle w:val="NoSpacing"/>
        <w:spacing w:line="360" w:lineRule="auto"/>
        <w:ind w:left="720"/>
        <w:jc w:val="both"/>
        <w:rPr>
          <w:rFonts w:ascii="Arial" w:hAnsi="Arial" w:cs="Arial"/>
        </w:rPr>
      </w:pPr>
      <w:r w:rsidRPr="00281B9E">
        <w:rPr>
          <w:rFonts w:ascii="Arial" w:hAnsi="Arial" w:cs="Arial"/>
        </w:rPr>
        <w:t>(e)</w:t>
      </w:r>
      <w:r w:rsidR="00CB6DF2">
        <w:rPr>
          <w:rFonts w:ascii="Arial" w:hAnsi="Arial" w:cs="Arial"/>
        </w:rPr>
        <w:tab/>
      </w:r>
      <w:r w:rsidRPr="00281B9E">
        <w:rPr>
          <w:rFonts w:ascii="Arial" w:hAnsi="Arial" w:cs="Arial"/>
        </w:rPr>
        <w:t xml:space="preserve">to curtail proceedings, and </w:t>
      </w:r>
    </w:p>
    <w:p w:rsidR="00AC478B" w:rsidRPr="00281B9E" w:rsidRDefault="00281B9E" w:rsidP="00CB6DF2">
      <w:pPr>
        <w:pStyle w:val="NoSpacing"/>
        <w:spacing w:line="360" w:lineRule="auto"/>
        <w:ind w:left="1440" w:hanging="720"/>
        <w:jc w:val="both"/>
        <w:rPr>
          <w:rFonts w:ascii="Arial" w:hAnsi="Arial" w:cs="Arial"/>
        </w:rPr>
      </w:pPr>
      <w:r w:rsidRPr="00281B9E">
        <w:rPr>
          <w:rFonts w:ascii="Arial" w:hAnsi="Arial" w:cs="Arial"/>
        </w:rPr>
        <w:t xml:space="preserve">(f) </w:t>
      </w:r>
      <w:r w:rsidR="00CB6DF2">
        <w:rPr>
          <w:rFonts w:ascii="Arial" w:hAnsi="Arial" w:cs="Arial"/>
        </w:rPr>
        <w:tab/>
      </w:r>
      <w:r w:rsidRPr="00281B9E">
        <w:rPr>
          <w:rFonts w:ascii="Arial" w:hAnsi="Arial" w:cs="Arial"/>
        </w:rPr>
        <w:t>to reduce the delay and expense of interlocutory processes. Rule 1B imposed an obligation on the parties ‘to assist the managing judge in curtai</w:t>
      </w:r>
      <w:r w:rsidR="00012D56">
        <w:rPr>
          <w:rFonts w:ascii="Arial" w:hAnsi="Arial" w:cs="Arial"/>
        </w:rPr>
        <w:t>ling the proceedings</w:t>
      </w:r>
      <w:r w:rsidRPr="00281B9E">
        <w:rPr>
          <w:rFonts w:ascii="Arial" w:hAnsi="Arial" w:cs="Arial"/>
        </w:rPr>
        <w:t>.</w:t>
      </w:r>
      <w:r w:rsidR="00001BAF" w:rsidRPr="00281B9E">
        <w:rPr>
          <w:rFonts w:ascii="Arial" w:hAnsi="Arial" w:cs="Arial"/>
        </w:rPr>
        <w:t>’</w:t>
      </w:r>
      <w:r w:rsidR="00AC478B" w:rsidRPr="00281B9E">
        <w:rPr>
          <w:rStyle w:val="FootnoteReference"/>
          <w:rFonts w:ascii="Arial" w:hAnsi="Arial" w:cs="Arial"/>
        </w:rPr>
        <w:footnoteReference w:id="19"/>
      </w:r>
    </w:p>
    <w:p w:rsidR="00AC478B" w:rsidRDefault="00AC478B" w:rsidP="00AC478B">
      <w:pPr>
        <w:pStyle w:val="ListParagraph"/>
        <w:rPr>
          <w:rFonts w:ascii="Arial" w:hAnsi="Arial" w:cs="Arial"/>
          <w:sz w:val="24"/>
          <w:szCs w:val="24"/>
        </w:rPr>
      </w:pPr>
    </w:p>
    <w:p w:rsidR="00AC478B" w:rsidRDefault="0001341A"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Full C</w:t>
      </w:r>
      <w:r w:rsidR="00AC478B">
        <w:rPr>
          <w:rFonts w:ascii="Arial" w:hAnsi="Arial" w:cs="Arial"/>
          <w:sz w:val="24"/>
          <w:szCs w:val="24"/>
        </w:rPr>
        <w:t xml:space="preserve">ourt in </w:t>
      </w:r>
      <w:r w:rsidR="00AC478B" w:rsidRPr="00001BAF">
        <w:rPr>
          <w:rFonts w:ascii="Arial" w:hAnsi="Arial" w:cs="Arial"/>
          <w:i/>
          <w:sz w:val="24"/>
          <w:szCs w:val="24"/>
        </w:rPr>
        <w:t>IA</w:t>
      </w:r>
      <w:r w:rsidR="00001BAF" w:rsidRPr="00001BAF">
        <w:rPr>
          <w:rFonts w:ascii="Arial" w:hAnsi="Arial" w:cs="Arial"/>
          <w:i/>
          <w:sz w:val="24"/>
          <w:szCs w:val="24"/>
        </w:rPr>
        <w:t xml:space="preserve"> Bell</w:t>
      </w:r>
      <w:r w:rsidR="00001BAF">
        <w:rPr>
          <w:rFonts w:ascii="Arial" w:hAnsi="Arial" w:cs="Arial"/>
          <w:sz w:val="24"/>
          <w:szCs w:val="24"/>
        </w:rPr>
        <w:t xml:space="preserve"> proceeded to provide detailed guiding principles applicable to a</w:t>
      </w:r>
      <w:r w:rsidR="00CB6DF2">
        <w:rPr>
          <w:rFonts w:ascii="Arial" w:hAnsi="Arial" w:cs="Arial"/>
          <w:sz w:val="24"/>
          <w:szCs w:val="24"/>
        </w:rPr>
        <w:t>mendment of pleadings under JCM which are</w:t>
      </w:r>
      <w:r w:rsidR="00D4116A">
        <w:rPr>
          <w:rFonts w:ascii="Arial" w:hAnsi="Arial" w:cs="Arial"/>
          <w:sz w:val="24"/>
          <w:szCs w:val="24"/>
        </w:rPr>
        <w:t xml:space="preserve"> neatly summarised by the Judge-</w:t>
      </w:r>
      <w:r w:rsidR="00CB6DF2">
        <w:rPr>
          <w:rFonts w:ascii="Arial" w:hAnsi="Arial" w:cs="Arial"/>
          <w:sz w:val="24"/>
          <w:szCs w:val="24"/>
        </w:rPr>
        <w:t xml:space="preserve">President in his recent work </w:t>
      </w:r>
      <w:r w:rsidR="00CB6DF2" w:rsidRPr="001D281C">
        <w:rPr>
          <w:rFonts w:ascii="Arial" w:hAnsi="Arial" w:cs="Arial"/>
          <w:i/>
          <w:sz w:val="24"/>
          <w:szCs w:val="24"/>
        </w:rPr>
        <w:t xml:space="preserve">Court Management Civil Procedure of the High </w:t>
      </w:r>
      <w:r w:rsidR="00CB6DF2" w:rsidRPr="0001341A">
        <w:rPr>
          <w:rFonts w:ascii="Arial" w:hAnsi="Arial" w:cs="Arial"/>
          <w:i/>
          <w:sz w:val="24"/>
          <w:szCs w:val="24"/>
        </w:rPr>
        <w:t xml:space="preserve">Court of </w:t>
      </w:r>
      <w:r w:rsidRPr="0001341A">
        <w:rPr>
          <w:rFonts w:ascii="Arial" w:hAnsi="Arial" w:cs="Arial"/>
          <w:i/>
          <w:sz w:val="24"/>
          <w:szCs w:val="24"/>
        </w:rPr>
        <w:t>Namibia: Law, Procedure and Practice</w:t>
      </w:r>
      <w:r w:rsidR="00CB6DF2">
        <w:rPr>
          <w:rFonts w:ascii="Arial" w:hAnsi="Arial" w:cs="Arial"/>
          <w:sz w:val="24"/>
          <w:szCs w:val="24"/>
        </w:rPr>
        <w:t>.</w:t>
      </w:r>
      <w:r w:rsidR="00CB6DF2">
        <w:rPr>
          <w:rStyle w:val="FootnoteReference"/>
          <w:rFonts w:ascii="Arial" w:hAnsi="Arial" w:cs="Arial"/>
          <w:sz w:val="24"/>
          <w:szCs w:val="24"/>
        </w:rPr>
        <w:footnoteReference w:id="20"/>
      </w:r>
      <w:r w:rsidR="00CB6DF2">
        <w:rPr>
          <w:rFonts w:ascii="Arial" w:hAnsi="Arial" w:cs="Arial"/>
          <w:sz w:val="24"/>
          <w:szCs w:val="24"/>
        </w:rPr>
        <w:t xml:space="preserve"> Relevant for present purposes </w:t>
      </w:r>
      <w:r w:rsidR="00B207EA">
        <w:rPr>
          <w:rFonts w:ascii="Arial" w:hAnsi="Arial" w:cs="Arial"/>
          <w:sz w:val="24"/>
          <w:szCs w:val="24"/>
        </w:rPr>
        <w:t>are</w:t>
      </w:r>
      <w:r w:rsidR="00CB6DF2">
        <w:rPr>
          <w:rFonts w:ascii="Arial" w:hAnsi="Arial" w:cs="Arial"/>
          <w:sz w:val="24"/>
          <w:szCs w:val="24"/>
        </w:rPr>
        <w:t xml:space="preserve"> the following:</w:t>
      </w:r>
    </w:p>
    <w:p w:rsidR="00B207EA" w:rsidRDefault="00B207EA" w:rsidP="00CE78C7">
      <w:pPr>
        <w:pStyle w:val="NoSpacing"/>
        <w:spacing w:line="360" w:lineRule="auto"/>
        <w:jc w:val="both"/>
        <w:rPr>
          <w:rFonts w:ascii="Arial" w:hAnsi="Arial" w:cs="Arial"/>
          <w:sz w:val="24"/>
          <w:szCs w:val="24"/>
        </w:rPr>
      </w:pPr>
    </w:p>
    <w:p w:rsidR="00E44BCE" w:rsidRDefault="001D281C" w:rsidP="00E25B8B">
      <w:pPr>
        <w:pStyle w:val="ListParagraph"/>
        <w:numPr>
          <w:ilvl w:val="0"/>
          <w:numId w:val="48"/>
        </w:numPr>
        <w:spacing w:after="0" w:line="360" w:lineRule="auto"/>
        <w:rPr>
          <w:rFonts w:ascii="Arial" w:hAnsi="Arial" w:cs="Arial"/>
        </w:rPr>
      </w:pPr>
      <w:r>
        <w:rPr>
          <w:rFonts w:ascii="Arial" w:hAnsi="Arial" w:cs="Arial"/>
          <w:sz w:val="24"/>
          <w:szCs w:val="24"/>
        </w:rPr>
        <w:t>‘</w:t>
      </w:r>
      <w:r w:rsidR="00E44BCE" w:rsidRPr="00E44BCE">
        <w:rPr>
          <w:rFonts w:ascii="Arial" w:hAnsi="Arial" w:cs="Arial"/>
        </w:rPr>
        <w:t>Although the court has discretion to allow or refuse an amendment, the discretion must be exercised judicially.</w:t>
      </w:r>
    </w:p>
    <w:p w:rsidR="00012D56" w:rsidRPr="00C63F7B" w:rsidRDefault="00012D56" w:rsidP="00E25B8B">
      <w:pPr>
        <w:spacing w:after="0" w:line="360" w:lineRule="auto"/>
        <w:ind w:left="1080"/>
        <w:jc w:val="both"/>
        <w:rPr>
          <w:rFonts w:ascii="Arial" w:hAnsi="Arial" w:cs="Arial"/>
        </w:rPr>
      </w:pPr>
    </w:p>
    <w:p w:rsidR="00E44BCE" w:rsidRDefault="00E44BCE" w:rsidP="00E25B8B">
      <w:pPr>
        <w:pStyle w:val="ListParagraph"/>
        <w:numPr>
          <w:ilvl w:val="0"/>
          <w:numId w:val="47"/>
        </w:numPr>
        <w:spacing w:after="0" w:line="360" w:lineRule="auto"/>
        <w:jc w:val="both"/>
        <w:rPr>
          <w:rFonts w:ascii="Arial" w:hAnsi="Arial" w:cs="Arial"/>
        </w:rPr>
      </w:pPr>
      <w:r w:rsidRPr="00E44BCE">
        <w:rPr>
          <w:rFonts w:ascii="Arial" w:hAnsi="Arial" w:cs="Arial"/>
        </w:rPr>
        <w:t>An amendment may be brought at any stage of a proceeding. The overriding consideration is that the parties, in an adversarial system of justice, decide what their case is; and that includes changing a pleading previously filed to correct what it feels is a mistake made in its pleadings.</w:t>
      </w:r>
    </w:p>
    <w:p w:rsidR="00012D56" w:rsidRPr="00E44BCE" w:rsidRDefault="00012D56" w:rsidP="00E25B8B">
      <w:pPr>
        <w:pStyle w:val="ListParagraph"/>
        <w:spacing w:after="0" w:line="360" w:lineRule="auto"/>
        <w:ind w:left="1440"/>
        <w:jc w:val="both"/>
        <w:rPr>
          <w:rFonts w:ascii="Arial" w:hAnsi="Arial" w:cs="Arial"/>
        </w:rPr>
      </w:pPr>
    </w:p>
    <w:p w:rsidR="00012D56" w:rsidRDefault="00E44BCE" w:rsidP="00E25B8B">
      <w:pPr>
        <w:pStyle w:val="ListParagraph"/>
        <w:numPr>
          <w:ilvl w:val="0"/>
          <w:numId w:val="47"/>
        </w:numPr>
        <w:spacing w:after="0" w:line="360" w:lineRule="auto"/>
        <w:jc w:val="both"/>
        <w:rPr>
          <w:rFonts w:ascii="Arial" w:hAnsi="Arial" w:cs="Arial"/>
        </w:rPr>
      </w:pPr>
      <w:r w:rsidRPr="00E44BCE">
        <w:rPr>
          <w:rFonts w:ascii="Arial" w:hAnsi="Arial" w:cs="Arial"/>
        </w:rPr>
        <w:t>A litigant seeking an amendment is craving an indulgence and therefore must offer some explanation for why the amendment is sought.</w:t>
      </w:r>
    </w:p>
    <w:p w:rsidR="00012D56" w:rsidRPr="00012D56" w:rsidRDefault="00012D56" w:rsidP="00E25B8B">
      <w:pPr>
        <w:pStyle w:val="ListParagraph"/>
        <w:spacing w:after="0" w:line="360" w:lineRule="auto"/>
        <w:ind w:left="1440"/>
        <w:jc w:val="both"/>
        <w:rPr>
          <w:rFonts w:ascii="Arial" w:hAnsi="Arial" w:cs="Arial"/>
        </w:rPr>
      </w:pPr>
    </w:p>
    <w:p w:rsidR="00E44BCE" w:rsidRDefault="00E44BCE" w:rsidP="00E25B8B">
      <w:pPr>
        <w:pStyle w:val="ListParagraph"/>
        <w:numPr>
          <w:ilvl w:val="0"/>
          <w:numId w:val="47"/>
        </w:numPr>
        <w:spacing w:after="0" w:line="360" w:lineRule="auto"/>
        <w:jc w:val="both"/>
        <w:rPr>
          <w:rFonts w:ascii="Arial" w:hAnsi="Arial" w:cs="Arial"/>
        </w:rPr>
      </w:pPr>
      <w:r w:rsidRPr="00E44BCE">
        <w:rPr>
          <w:rFonts w:ascii="Arial" w:hAnsi="Arial" w:cs="Arial"/>
        </w:rPr>
        <w:t>The case for an explanation of why the amendment is sought and the form it will take will also be determined by the nature of the amendment: whether or not an explanation under oath would be required will thus depend on the circumstances of each case; the more substantial an amendment, the more compelling the case for an explanation under oath. Correcting a typographical error would thus not require an explanation under oath.</w:t>
      </w:r>
    </w:p>
    <w:p w:rsidR="00012D56" w:rsidRPr="00E44BCE" w:rsidRDefault="00012D56" w:rsidP="00E25B8B">
      <w:pPr>
        <w:pStyle w:val="ListParagraph"/>
        <w:spacing w:after="0" w:line="360" w:lineRule="auto"/>
        <w:ind w:left="1440"/>
        <w:jc w:val="both"/>
        <w:rPr>
          <w:rFonts w:ascii="Arial" w:hAnsi="Arial" w:cs="Arial"/>
        </w:rPr>
      </w:pPr>
    </w:p>
    <w:p w:rsidR="00E44BCE" w:rsidRPr="001D281C" w:rsidRDefault="001D281C" w:rsidP="00E25B8B">
      <w:pPr>
        <w:pStyle w:val="ListParagraph"/>
        <w:numPr>
          <w:ilvl w:val="0"/>
          <w:numId w:val="47"/>
        </w:numPr>
        <w:spacing w:after="0" w:line="360" w:lineRule="auto"/>
        <w:jc w:val="both"/>
        <w:rPr>
          <w:rFonts w:ascii="Arial" w:hAnsi="Arial" w:cs="Arial"/>
        </w:rPr>
      </w:pPr>
      <w:r>
        <w:rPr>
          <w:rFonts w:ascii="Arial" w:hAnsi="Arial" w:cs="Arial"/>
        </w:rPr>
        <w:t>(The need for) a</w:t>
      </w:r>
      <w:r w:rsidR="00E44BCE" w:rsidRPr="00E44BCE">
        <w:rPr>
          <w:rFonts w:ascii="Arial" w:hAnsi="Arial" w:cs="Arial"/>
        </w:rPr>
        <w:t xml:space="preserve"> reasonably satisfactory explanation for a proposed amendment is strongest where it is brought late in proceedings and or where it involves a change of front or withdrawal of a material admission. In the latter instance, tendering wasted costs or the possibility of a postponement to cure prejudice is not enough. The interests of the administration of justice require that trials proceed on dates assigned for the hearing of a matter.</w:t>
      </w:r>
      <w:r w:rsidR="00B207EA">
        <w:rPr>
          <w:rFonts w:ascii="Arial" w:hAnsi="Arial" w:cs="Arial"/>
        </w:rPr>
        <w:t>’</w:t>
      </w:r>
    </w:p>
    <w:p w:rsidR="00E44BCE" w:rsidRDefault="00E44BCE" w:rsidP="00E44BCE">
      <w:pPr>
        <w:pStyle w:val="NoSpacing"/>
        <w:spacing w:line="480" w:lineRule="auto"/>
        <w:jc w:val="both"/>
        <w:rPr>
          <w:rFonts w:ascii="Arial" w:hAnsi="Arial" w:cs="Arial"/>
          <w:sz w:val="24"/>
          <w:szCs w:val="24"/>
        </w:rPr>
      </w:pPr>
    </w:p>
    <w:p w:rsidR="00E44BCE" w:rsidRDefault="00B90AA4"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Full C</w:t>
      </w:r>
      <w:r w:rsidR="00E44BCE">
        <w:rPr>
          <w:rFonts w:ascii="Arial" w:hAnsi="Arial" w:cs="Arial"/>
          <w:sz w:val="24"/>
          <w:szCs w:val="24"/>
        </w:rPr>
        <w:t xml:space="preserve">ourt in </w:t>
      </w:r>
      <w:r w:rsidR="00EC4B35">
        <w:rPr>
          <w:rFonts w:ascii="Arial" w:hAnsi="Arial" w:cs="Arial"/>
          <w:i/>
          <w:sz w:val="24"/>
          <w:szCs w:val="24"/>
        </w:rPr>
        <w:t>IA</w:t>
      </w:r>
      <w:r w:rsidR="00E44BCE">
        <w:rPr>
          <w:rFonts w:ascii="Arial" w:hAnsi="Arial" w:cs="Arial"/>
          <w:i/>
          <w:sz w:val="24"/>
          <w:szCs w:val="24"/>
        </w:rPr>
        <w:t xml:space="preserve"> Bell</w:t>
      </w:r>
      <w:r w:rsidR="00E44BCE">
        <w:rPr>
          <w:rFonts w:ascii="Arial" w:hAnsi="Arial" w:cs="Arial"/>
          <w:sz w:val="24"/>
          <w:szCs w:val="24"/>
        </w:rPr>
        <w:t xml:space="preserve"> further held </w:t>
      </w:r>
      <w:r w:rsidR="001D281C">
        <w:rPr>
          <w:rFonts w:ascii="Arial" w:hAnsi="Arial" w:cs="Arial"/>
          <w:sz w:val="24"/>
          <w:szCs w:val="24"/>
        </w:rPr>
        <w:t xml:space="preserve">that </w:t>
      </w:r>
      <w:r w:rsidR="00E44BCE">
        <w:rPr>
          <w:rFonts w:ascii="Arial" w:hAnsi="Arial" w:cs="Arial"/>
          <w:sz w:val="24"/>
          <w:szCs w:val="24"/>
        </w:rPr>
        <w:t>if a party has failed to provide an explanation on oath or otherwise in circumstances where one was called for, the proposed amendment should be disallowed.</w:t>
      </w:r>
      <w:r w:rsidR="00E44BCE">
        <w:rPr>
          <w:rStyle w:val="FootnoteReference"/>
          <w:rFonts w:ascii="Arial" w:hAnsi="Arial" w:cs="Arial"/>
          <w:sz w:val="24"/>
          <w:szCs w:val="24"/>
        </w:rPr>
        <w:footnoteReference w:id="21"/>
      </w:r>
    </w:p>
    <w:p w:rsidR="00E44BCE" w:rsidRDefault="00E44BCE" w:rsidP="00E44BCE">
      <w:pPr>
        <w:pStyle w:val="NoSpacing"/>
        <w:spacing w:line="480" w:lineRule="auto"/>
        <w:jc w:val="both"/>
        <w:rPr>
          <w:rFonts w:ascii="Arial" w:hAnsi="Arial" w:cs="Arial"/>
          <w:sz w:val="24"/>
          <w:szCs w:val="24"/>
        </w:rPr>
      </w:pPr>
    </w:p>
    <w:p w:rsidR="00CF3785" w:rsidRDefault="00E44BCE" w:rsidP="00C63F7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FA07D2">
        <w:rPr>
          <w:rFonts w:ascii="Arial" w:hAnsi="Arial" w:cs="Arial"/>
          <w:sz w:val="24"/>
          <w:szCs w:val="24"/>
        </w:rPr>
        <w:t>Judge</w:t>
      </w:r>
      <w:r w:rsidR="00DA03C5">
        <w:rPr>
          <w:rFonts w:ascii="Arial" w:hAnsi="Arial" w:cs="Arial"/>
          <w:sz w:val="24"/>
          <w:szCs w:val="24"/>
        </w:rPr>
        <w:t>-</w:t>
      </w:r>
      <w:r w:rsidR="00FA07D2">
        <w:rPr>
          <w:rFonts w:ascii="Arial" w:hAnsi="Arial" w:cs="Arial"/>
          <w:sz w:val="24"/>
          <w:szCs w:val="24"/>
        </w:rPr>
        <w:t xml:space="preserve">President in </w:t>
      </w:r>
      <w:r w:rsidR="00FA07D2" w:rsidRPr="00C63F7B">
        <w:rPr>
          <w:rFonts w:ascii="Arial" w:hAnsi="Arial" w:cs="Arial"/>
          <w:i/>
          <w:sz w:val="24"/>
          <w:szCs w:val="24"/>
        </w:rPr>
        <w:t>IA Bell</w:t>
      </w:r>
      <w:r w:rsidR="00FA07D2">
        <w:rPr>
          <w:rFonts w:ascii="Arial" w:hAnsi="Arial" w:cs="Arial"/>
          <w:sz w:val="24"/>
          <w:szCs w:val="24"/>
        </w:rPr>
        <w:t xml:space="preserve"> stressed that </w:t>
      </w:r>
      <w:r>
        <w:rPr>
          <w:rFonts w:ascii="Arial" w:hAnsi="Arial" w:cs="Arial"/>
          <w:sz w:val="24"/>
          <w:szCs w:val="24"/>
        </w:rPr>
        <w:t>amendments</w:t>
      </w:r>
      <w:r w:rsidR="00FA07D2">
        <w:rPr>
          <w:rFonts w:ascii="Arial" w:hAnsi="Arial" w:cs="Arial"/>
          <w:sz w:val="24"/>
          <w:szCs w:val="24"/>
        </w:rPr>
        <w:t xml:space="preserve"> should less readily arise </w:t>
      </w:r>
      <w:r>
        <w:rPr>
          <w:rFonts w:ascii="Arial" w:hAnsi="Arial" w:cs="Arial"/>
          <w:sz w:val="24"/>
          <w:szCs w:val="24"/>
        </w:rPr>
        <w:t>following the introduction of JCM:</w:t>
      </w:r>
      <w:r w:rsidR="00B207EA" w:rsidRPr="00F66131">
        <w:rPr>
          <w:rStyle w:val="FootnoteReference"/>
          <w:rFonts w:ascii="Arial" w:hAnsi="Arial" w:cs="Arial"/>
          <w:sz w:val="24"/>
          <w:szCs w:val="24"/>
        </w:rPr>
        <w:footnoteReference w:id="22"/>
      </w:r>
    </w:p>
    <w:p w:rsidR="00E25B8B" w:rsidRPr="00C63F7B" w:rsidRDefault="00E25B8B" w:rsidP="00CE78C7">
      <w:pPr>
        <w:pStyle w:val="NoSpacing"/>
        <w:spacing w:line="360" w:lineRule="auto"/>
        <w:jc w:val="both"/>
        <w:rPr>
          <w:rFonts w:ascii="Arial" w:hAnsi="Arial" w:cs="Arial"/>
          <w:sz w:val="24"/>
          <w:szCs w:val="24"/>
        </w:rPr>
      </w:pPr>
    </w:p>
    <w:p w:rsidR="00CF3785" w:rsidRPr="001D281C" w:rsidRDefault="00CF3785" w:rsidP="00CF3785">
      <w:pPr>
        <w:pStyle w:val="NoSpacing"/>
        <w:spacing w:line="360" w:lineRule="auto"/>
        <w:ind w:left="720"/>
        <w:jc w:val="both"/>
        <w:rPr>
          <w:rFonts w:ascii="Arial" w:hAnsi="Arial" w:cs="Arial"/>
        </w:rPr>
      </w:pPr>
      <w:r w:rsidRPr="00E44BCE">
        <w:rPr>
          <w:rFonts w:ascii="Arial" w:hAnsi="Arial" w:cs="Arial"/>
          <w:bCs/>
        </w:rPr>
        <w:t xml:space="preserve">‘The system of judicial case management in which practitioners are by law required from an early stage in the life of a case to limit issues and identify the real issues for determination by the court has the undoubted merit, and therefore imposes the duty on the practitioner, to consult early, thoroughly and to obtain all relevant evidence from the client. That must, of necessity, limit the number of mistakes by counsel on account of not properly understanding a client’s version. It is that logic that informs the ratio in </w:t>
      </w:r>
      <w:r w:rsidRPr="00E44BCE">
        <w:rPr>
          <w:rFonts w:ascii="Arial" w:hAnsi="Arial" w:cs="Arial"/>
          <w:i/>
          <w:color w:val="000000" w:themeColor="text1"/>
        </w:rPr>
        <w:t xml:space="preserve">Scania </w:t>
      </w:r>
      <w:r>
        <w:rPr>
          <w:rFonts w:ascii="Arial" w:hAnsi="Arial" w:cs="Arial"/>
          <w:i/>
          <w:color w:val="000000" w:themeColor="text1"/>
        </w:rPr>
        <w:t>F</w:t>
      </w:r>
      <w:r w:rsidRPr="00E44BCE">
        <w:rPr>
          <w:rFonts w:ascii="Arial" w:hAnsi="Arial" w:cs="Arial"/>
          <w:i/>
          <w:color w:val="000000" w:themeColor="text1"/>
        </w:rPr>
        <w:t xml:space="preserve">inance Southern Africa (Pty) Ltd v Aggressive Transport CC </w:t>
      </w:r>
      <w:r w:rsidRPr="00E44BCE">
        <w:rPr>
          <w:rFonts w:ascii="Arial" w:hAnsi="Arial" w:cs="Arial"/>
          <w:color w:val="000000" w:themeColor="text1"/>
        </w:rPr>
        <w:t>and</w:t>
      </w:r>
      <w:r w:rsidRPr="00E44BCE">
        <w:rPr>
          <w:rFonts w:ascii="Arial" w:hAnsi="Arial" w:cs="Arial"/>
          <w:i/>
          <w:color w:val="000000" w:themeColor="text1"/>
        </w:rPr>
        <w:t xml:space="preserve"> </w:t>
      </w:r>
      <w:r w:rsidRPr="00E44BCE">
        <w:rPr>
          <w:rFonts w:ascii="Arial" w:hAnsi="Arial" w:cs="Arial"/>
          <w:i/>
        </w:rPr>
        <w:t>Jin Casings &amp; Tyre Supplies CC v Hambabi.’</w:t>
      </w:r>
      <w:r w:rsidRPr="001D281C">
        <w:rPr>
          <w:rStyle w:val="FootnoteReference"/>
          <w:rFonts w:ascii="Arial" w:hAnsi="Arial" w:cs="Arial"/>
          <w:i/>
          <w:color w:val="000000" w:themeColor="text1"/>
        </w:rPr>
        <w:t xml:space="preserve"> </w:t>
      </w:r>
      <w:r w:rsidRPr="00F66131">
        <w:rPr>
          <w:rStyle w:val="FootnoteReference"/>
          <w:rFonts w:ascii="Arial" w:hAnsi="Arial" w:cs="Arial"/>
          <w:color w:val="000000" w:themeColor="text1"/>
        </w:rPr>
        <w:footnoteReference w:id="23"/>
      </w:r>
    </w:p>
    <w:p w:rsidR="00CF3785" w:rsidRPr="00FA07D2" w:rsidRDefault="00CF3785" w:rsidP="00FA07D2">
      <w:pPr>
        <w:rPr>
          <w:rFonts w:ascii="Arial" w:hAnsi="Arial" w:cs="Arial"/>
          <w:sz w:val="24"/>
          <w:szCs w:val="24"/>
        </w:rPr>
      </w:pPr>
    </w:p>
    <w:p w:rsidR="00B207EA" w:rsidRPr="00CF3785" w:rsidRDefault="00B207EA" w:rsidP="00CF3785">
      <w:pPr>
        <w:pStyle w:val="NoSpacing"/>
        <w:numPr>
          <w:ilvl w:val="0"/>
          <w:numId w:val="4"/>
        </w:numPr>
        <w:spacing w:line="480" w:lineRule="auto"/>
        <w:ind w:left="0" w:firstLine="0"/>
        <w:jc w:val="both"/>
        <w:rPr>
          <w:rFonts w:ascii="Arial" w:hAnsi="Arial" w:cs="Arial"/>
          <w:sz w:val="24"/>
          <w:szCs w:val="24"/>
        </w:rPr>
      </w:pPr>
      <w:r w:rsidRPr="00CF3785">
        <w:rPr>
          <w:rFonts w:ascii="Arial" w:hAnsi="Arial" w:cs="Arial"/>
          <w:sz w:val="24"/>
          <w:szCs w:val="24"/>
        </w:rPr>
        <w:t>In considering an explanation for an amendment, a court would</w:t>
      </w:r>
      <w:r w:rsidR="00E269CF">
        <w:rPr>
          <w:rFonts w:ascii="Arial" w:hAnsi="Arial" w:cs="Arial"/>
          <w:sz w:val="24"/>
          <w:szCs w:val="24"/>
        </w:rPr>
        <w:t xml:space="preserve"> in our view</w:t>
      </w:r>
      <w:r w:rsidR="00FA07D2">
        <w:rPr>
          <w:rFonts w:ascii="Arial" w:hAnsi="Arial" w:cs="Arial"/>
          <w:sz w:val="24"/>
          <w:szCs w:val="24"/>
        </w:rPr>
        <w:t>,</w:t>
      </w:r>
      <w:r w:rsidRPr="00CF3785">
        <w:rPr>
          <w:rFonts w:ascii="Arial" w:hAnsi="Arial" w:cs="Arial"/>
          <w:sz w:val="24"/>
          <w:szCs w:val="24"/>
        </w:rPr>
        <w:t xml:space="preserve"> in addition to the guiding principles enumerated by the court in </w:t>
      </w:r>
      <w:r w:rsidRPr="00CF3785">
        <w:rPr>
          <w:rFonts w:ascii="Arial" w:hAnsi="Arial" w:cs="Arial"/>
          <w:i/>
          <w:sz w:val="24"/>
          <w:szCs w:val="24"/>
        </w:rPr>
        <w:t>IA Bell</w:t>
      </w:r>
      <w:r w:rsidRPr="00CF3785">
        <w:rPr>
          <w:rFonts w:ascii="Arial" w:hAnsi="Arial" w:cs="Arial"/>
          <w:sz w:val="24"/>
          <w:szCs w:val="24"/>
        </w:rPr>
        <w:t xml:space="preserve">, require that an applicant establish that it did not unduly delay its notice to amend after becoming aware of the evidentiary material upon which it proposes to rely. The applicant would also need to show, as was stressed in </w:t>
      </w:r>
      <w:r w:rsidRPr="00CF3785">
        <w:rPr>
          <w:rFonts w:ascii="Arial" w:hAnsi="Arial" w:cs="Arial"/>
          <w:i/>
          <w:sz w:val="24"/>
          <w:szCs w:val="24"/>
        </w:rPr>
        <w:t>Scania</w:t>
      </w:r>
      <w:r w:rsidRPr="00CF3785">
        <w:rPr>
          <w:rFonts w:ascii="Arial" w:hAnsi="Arial" w:cs="Arial"/>
          <w:sz w:val="24"/>
          <w:szCs w:val="24"/>
        </w:rPr>
        <w:t xml:space="preserve"> </w:t>
      </w:r>
      <w:r w:rsidR="00FA07D2">
        <w:rPr>
          <w:rFonts w:ascii="Arial" w:hAnsi="Arial" w:cs="Arial"/>
          <w:sz w:val="24"/>
          <w:szCs w:val="24"/>
        </w:rPr>
        <w:t xml:space="preserve">that </w:t>
      </w:r>
      <w:r w:rsidRPr="00CF3785">
        <w:rPr>
          <w:rFonts w:ascii="Arial" w:hAnsi="Arial" w:cs="Arial"/>
          <w:sz w:val="24"/>
          <w:szCs w:val="24"/>
        </w:rPr>
        <w:t>the proposed amendment raises a triable issue, which is</w:t>
      </w:r>
      <w:r w:rsidR="00E269CF">
        <w:rPr>
          <w:rFonts w:ascii="Arial" w:hAnsi="Arial" w:cs="Arial"/>
          <w:sz w:val="24"/>
          <w:szCs w:val="24"/>
        </w:rPr>
        <w:t xml:space="preserve"> a</w:t>
      </w:r>
      <w:r w:rsidRPr="00CF3785">
        <w:rPr>
          <w:rFonts w:ascii="Arial" w:hAnsi="Arial" w:cs="Arial"/>
          <w:sz w:val="24"/>
          <w:szCs w:val="24"/>
        </w:rPr>
        <w:t xml:space="preserve"> dispute which, if establish</w:t>
      </w:r>
      <w:r w:rsidR="00FA07D2">
        <w:rPr>
          <w:rFonts w:ascii="Arial" w:hAnsi="Arial" w:cs="Arial"/>
          <w:sz w:val="24"/>
          <w:szCs w:val="24"/>
        </w:rPr>
        <w:t>ed</w:t>
      </w:r>
      <w:r w:rsidRPr="00CF3785">
        <w:rPr>
          <w:rFonts w:ascii="Arial" w:hAnsi="Arial" w:cs="Arial"/>
          <w:sz w:val="24"/>
          <w:szCs w:val="24"/>
        </w:rPr>
        <w:t xml:space="preserve"> on evidence foreshadowed by the proposed amendment, will be viable or relevant. Following the advent of JCM, where an amendment is sought at a late stage of proceedings, an applicant should also be required to indicate how it proposes to establish its amended case and its prospects of succeeding with the new cause would properly be element</w:t>
      </w:r>
      <w:r w:rsidR="00E269CF">
        <w:rPr>
          <w:rFonts w:ascii="Arial" w:hAnsi="Arial" w:cs="Arial"/>
          <w:sz w:val="24"/>
          <w:szCs w:val="24"/>
        </w:rPr>
        <w:t>s</w:t>
      </w:r>
      <w:r w:rsidRPr="00CF3785">
        <w:rPr>
          <w:rFonts w:ascii="Arial" w:hAnsi="Arial" w:cs="Arial"/>
          <w:sz w:val="24"/>
          <w:szCs w:val="24"/>
        </w:rPr>
        <w:t xml:space="preserve"> in the exercise of the court’s discretion, as </w:t>
      </w:r>
      <w:r w:rsidR="00FA07D2">
        <w:rPr>
          <w:rFonts w:ascii="Arial" w:hAnsi="Arial" w:cs="Arial"/>
          <w:sz w:val="24"/>
          <w:szCs w:val="24"/>
        </w:rPr>
        <w:t xml:space="preserve">was </w:t>
      </w:r>
      <w:r w:rsidRPr="00CF3785">
        <w:rPr>
          <w:rFonts w:ascii="Arial" w:hAnsi="Arial" w:cs="Arial"/>
          <w:sz w:val="24"/>
          <w:szCs w:val="24"/>
        </w:rPr>
        <w:t xml:space="preserve">expressed in </w:t>
      </w:r>
      <w:r w:rsidRPr="00CF3785">
        <w:rPr>
          <w:rFonts w:ascii="Arial" w:hAnsi="Arial" w:cs="Arial"/>
          <w:i/>
          <w:sz w:val="24"/>
          <w:szCs w:val="24"/>
        </w:rPr>
        <w:t>Ciba-Geigy (Pty) Ltd v Lushof Farms (Pty) Ltd &amp; another</w:t>
      </w:r>
      <w:r w:rsidRPr="00F66131">
        <w:rPr>
          <w:rStyle w:val="FootnoteReference"/>
          <w:rFonts w:ascii="Arial" w:hAnsi="Arial" w:cs="Arial"/>
          <w:sz w:val="24"/>
          <w:szCs w:val="24"/>
        </w:rPr>
        <w:footnoteReference w:id="24"/>
      </w:r>
      <w:r w:rsidR="00CF3785" w:rsidRPr="00CF3785">
        <w:rPr>
          <w:rFonts w:ascii="Arial" w:hAnsi="Arial" w:cs="Arial"/>
          <w:sz w:val="24"/>
          <w:szCs w:val="24"/>
        </w:rPr>
        <w:t xml:space="preserve"> where the court concluded,</w:t>
      </w:r>
      <w:r w:rsidR="00243CB0">
        <w:rPr>
          <w:rFonts w:ascii="Arial" w:hAnsi="Arial" w:cs="Arial"/>
          <w:sz w:val="24"/>
          <w:szCs w:val="24"/>
        </w:rPr>
        <w:t xml:space="preserve"> </w:t>
      </w:r>
      <w:r w:rsidR="00FA07D2">
        <w:rPr>
          <w:rFonts w:ascii="Arial" w:hAnsi="Arial" w:cs="Arial"/>
          <w:sz w:val="24"/>
          <w:szCs w:val="24"/>
        </w:rPr>
        <w:t>(</w:t>
      </w:r>
      <w:r w:rsidR="00CF3785" w:rsidRPr="00CF3785">
        <w:rPr>
          <w:rFonts w:ascii="Arial" w:hAnsi="Arial" w:cs="Arial"/>
          <w:sz w:val="24"/>
          <w:szCs w:val="24"/>
        </w:rPr>
        <w:t>as</w:t>
      </w:r>
      <w:r w:rsidR="00FA07D2">
        <w:rPr>
          <w:rFonts w:ascii="Arial" w:hAnsi="Arial" w:cs="Arial"/>
          <w:sz w:val="24"/>
          <w:szCs w:val="24"/>
        </w:rPr>
        <w:t xml:space="preserve"> is </w:t>
      </w:r>
      <w:r w:rsidR="00CF3785" w:rsidRPr="00CF3785">
        <w:rPr>
          <w:rFonts w:ascii="Arial" w:hAnsi="Arial" w:cs="Arial"/>
          <w:sz w:val="24"/>
          <w:szCs w:val="24"/>
        </w:rPr>
        <w:t>accurately translated in the headnote</w:t>
      </w:r>
      <w:r w:rsidR="00FA07D2">
        <w:rPr>
          <w:rFonts w:ascii="Arial" w:hAnsi="Arial" w:cs="Arial"/>
          <w:sz w:val="24"/>
          <w:szCs w:val="24"/>
        </w:rPr>
        <w:t>)</w:t>
      </w:r>
      <w:r w:rsidR="00CF3785" w:rsidRPr="00CF3785">
        <w:rPr>
          <w:rFonts w:ascii="Arial" w:hAnsi="Arial" w:cs="Arial"/>
          <w:sz w:val="24"/>
          <w:szCs w:val="24"/>
        </w:rPr>
        <w:t>:</w:t>
      </w:r>
      <w:r w:rsidR="00CF3785" w:rsidRPr="00F66131">
        <w:rPr>
          <w:rStyle w:val="FootnoteReference"/>
          <w:rFonts w:ascii="Arial" w:hAnsi="Arial" w:cs="Arial"/>
          <w:sz w:val="24"/>
          <w:szCs w:val="24"/>
        </w:rPr>
        <w:footnoteReference w:id="25"/>
      </w:r>
    </w:p>
    <w:p w:rsidR="00CF3785" w:rsidRDefault="00CF3785" w:rsidP="00CE78C7">
      <w:pPr>
        <w:pStyle w:val="NoSpacing"/>
        <w:spacing w:line="360" w:lineRule="auto"/>
        <w:jc w:val="both"/>
        <w:rPr>
          <w:rFonts w:ascii="Arial" w:hAnsi="Arial" w:cs="Arial"/>
          <w:sz w:val="24"/>
          <w:szCs w:val="24"/>
        </w:rPr>
      </w:pPr>
    </w:p>
    <w:p w:rsidR="00012D56" w:rsidRPr="00E25B8B" w:rsidRDefault="00CF3785" w:rsidP="00E25B8B">
      <w:pPr>
        <w:pStyle w:val="NoSpacing"/>
        <w:spacing w:line="360" w:lineRule="auto"/>
        <w:ind w:left="720"/>
        <w:jc w:val="both"/>
        <w:rPr>
          <w:rFonts w:ascii="Arial" w:hAnsi="Arial" w:cs="Arial"/>
        </w:rPr>
      </w:pPr>
      <w:r w:rsidRPr="00E25B8B">
        <w:rPr>
          <w:rFonts w:ascii="Arial" w:hAnsi="Arial" w:cs="Arial"/>
        </w:rPr>
        <w:t>‘The greater the disruption caused by an amendment, the greater the indulgence sought and, accordingly, the burden upon the applicant to convince the Court to accommodate (it).’</w:t>
      </w:r>
      <w:r w:rsidRPr="00E25B8B">
        <w:rPr>
          <w:rStyle w:val="FootnoteReference"/>
          <w:rFonts w:ascii="Arial" w:hAnsi="Arial" w:cs="Arial"/>
        </w:rPr>
        <w:footnoteReference w:id="26"/>
      </w:r>
    </w:p>
    <w:p w:rsidR="00E25B8B" w:rsidRPr="00C63F7B" w:rsidRDefault="00E25B8B" w:rsidP="00E25B8B">
      <w:pPr>
        <w:pStyle w:val="NoSpacing"/>
        <w:spacing w:line="480" w:lineRule="auto"/>
        <w:jc w:val="both"/>
        <w:rPr>
          <w:rFonts w:ascii="Arial" w:hAnsi="Arial" w:cs="Arial"/>
          <w:sz w:val="24"/>
          <w:szCs w:val="24"/>
        </w:rPr>
      </w:pPr>
    </w:p>
    <w:p w:rsidR="00EF281F" w:rsidRPr="00EF281F" w:rsidRDefault="00EF281F" w:rsidP="00EF281F">
      <w:pPr>
        <w:rPr>
          <w:rFonts w:ascii="Arial" w:hAnsi="Arial" w:cs="Arial"/>
          <w:sz w:val="24"/>
          <w:szCs w:val="24"/>
          <w:u w:val="single"/>
        </w:rPr>
      </w:pPr>
      <w:r>
        <w:rPr>
          <w:rFonts w:ascii="Arial" w:hAnsi="Arial" w:cs="Arial"/>
          <w:sz w:val="24"/>
          <w:szCs w:val="24"/>
          <w:u w:val="single"/>
        </w:rPr>
        <w:t>Application of the principles</w:t>
      </w:r>
    </w:p>
    <w:p w:rsidR="00523919" w:rsidRPr="00E44BCE" w:rsidRDefault="00EF281F" w:rsidP="000E3165">
      <w:pPr>
        <w:pStyle w:val="NoSpacing"/>
        <w:numPr>
          <w:ilvl w:val="0"/>
          <w:numId w:val="4"/>
        </w:numPr>
        <w:spacing w:line="480" w:lineRule="auto"/>
        <w:ind w:left="0" w:firstLine="0"/>
        <w:jc w:val="both"/>
        <w:rPr>
          <w:rFonts w:ascii="Arial" w:hAnsi="Arial" w:cs="Arial"/>
          <w:sz w:val="24"/>
          <w:szCs w:val="24"/>
        </w:rPr>
      </w:pPr>
      <w:r w:rsidRPr="00E44BCE">
        <w:rPr>
          <w:rFonts w:ascii="Arial" w:hAnsi="Arial" w:cs="Arial"/>
          <w:sz w:val="24"/>
          <w:szCs w:val="24"/>
        </w:rPr>
        <w:t>The High Court refused the amendment on three enumerated grounds</w:t>
      </w:r>
      <w:r w:rsidR="00E44BCE" w:rsidRPr="00E44BCE">
        <w:rPr>
          <w:rFonts w:ascii="Arial" w:hAnsi="Arial" w:cs="Arial"/>
          <w:sz w:val="24"/>
          <w:szCs w:val="24"/>
        </w:rPr>
        <w:t>. The first of these is that</w:t>
      </w:r>
      <w:r w:rsidRPr="00E44BCE">
        <w:rPr>
          <w:rFonts w:ascii="Arial" w:hAnsi="Arial" w:cs="Arial"/>
          <w:sz w:val="24"/>
          <w:szCs w:val="24"/>
        </w:rPr>
        <w:t xml:space="preserve"> the </w:t>
      </w:r>
      <w:r w:rsidR="003164FF">
        <w:rPr>
          <w:rFonts w:ascii="Arial" w:hAnsi="Arial" w:cs="Arial"/>
          <w:sz w:val="24"/>
          <w:szCs w:val="24"/>
        </w:rPr>
        <w:t>Municipality</w:t>
      </w:r>
      <w:r w:rsidRPr="00E44BCE">
        <w:rPr>
          <w:rFonts w:ascii="Arial" w:hAnsi="Arial" w:cs="Arial"/>
          <w:sz w:val="24"/>
          <w:szCs w:val="24"/>
        </w:rPr>
        <w:t xml:space="preserve"> was required to seek </w:t>
      </w:r>
      <w:r w:rsidR="00523919" w:rsidRPr="00E44BCE">
        <w:rPr>
          <w:rFonts w:ascii="Arial" w:hAnsi="Arial" w:cs="Arial"/>
          <w:sz w:val="24"/>
          <w:szCs w:val="24"/>
        </w:rPr>
        <w:t>condonation for its failure to comply with the rules in seeking its amendment</w:t>
      </w:r>
      <w:r w:rsidR="001D281C">
        <w:rPr>
          <w:rFonts w:ascii="Arial" w:hAnsi="Arial" w:cs="Arial"/>
          <w:sz w:val="24"/>
          <w:szCs w:val="24"/>
        </w:rPr>
        <w:t xml:space="preserve">, relying upon </w:t>
      </w:r>
      <w:r w:rsidR="001D281C">
        <w:rPr>
          <w:rFonts w:ascii="Arial" w:hAnsi="Arial" w:cs="Arial"/>
          <w:i/>
          <w:sz w:val="24"/>
          <w:szCs w:val="24"/>
        </w:rPr>
        <w:t>Rothe</w:t>
      </w:r>
      <w:r w:rsidR="001D281C" w:rsidRPr="001D281C">
        <w:rPr>
          <w:rFonts w:ascii="Arial" w:hAnsi="Arial" w:cs="Arial"/>
          <w:sz w:val="24"/>
          <w:szCs w:val="24"/>
        </w:rPr>
        <w:t>,</w:t>
      </w:r>
      <w:r w:rsidR="00523919" w:rsidRPr="00E44BCE">
        <w:rPr>
          <w:rFonts w:ascii="Arial" w:hAnsi="Arial" w:cs="Arial"/>
          <w:sz w:val="24"/>
          <w:szCs w:val="24"/>
        </w:rPr>
        <w:t xml:space="preserve"> and was </w:t>
      </w:r>
      <w:r w:rsidR="00523919" w:rsidRPr="00E44BCE">
        <w:rPr>
          <w:rFonts w:ascii="Arial" w:hAnsi="Arial" w:cs="Arial"/>
          <w:i/>
          <w:sz w:val="24"/>
          <w:szCs w:val="24"/>
        </w:rPr>
        <w:t>functus officio</w:t>
      </w:r>
      <w:r w:rsidR="00523919" w:rsidRPr="00E44BCE">
        <w:rPr>
          <w:rFonts w:ascii="Arial" w:hAnsi="Arial" w:cs="Arial"/>
          <w:sz w:val="24"/>
          <w:szCs w:val="24"/>
        </w:rPr>
        <w:t xml:space="preserve"> and </w:t>
      </w:r>
      <w:r w:rsidR="00E44BCE" w:rsidRPr="00E44BCE">
        <w:rPr>
          <w:rFonts w:ascii="Arial" w:hAnsi="Arial" w:cs="Arial"/>
          <w:sz w:val="24"/>
          <w:szCs w:val="24"/>
        </w:rPr>
        <w:t xml:space="preserve">could not </w:t>
      </w:r>
      <w:r w:rsidR="00523919" w:rsidRPr="00E44BCE">
        <w:rPr>
          <w:rFonts w:ascii="Arial" w:hAnsi="Arial" w:cs="Arial"/>
          <w:sz w:val="24"/>
          <w:szCs w:val="24"/>
        </w:rPr>
        <w:t>pursue the second notice, having decided not to proceed with the first. Similar argument was advanced by the respondent in this court. This approach unfortunately conflates</w:t>
      </w:r>
      <w:r w:rsidR="00CF3785">
        <w:rPr>
          <w:rFonts w:ascii="Arial" w:hAnsi="Arial" w:cs="Arial"/>
          <w:sz w:val="24"/>
          <w:szCs w:val="24"/>
        </w:rPr>
        <w:t xml:space="preserve"> two separate</w:t>
      </w:r>
      <w:r w:rsidR="00523919" w:rsidRPr="00E44BCE">
        <w:rPr>
          <w:rFonts w:ascii="Arial" w:hAnsi="Arial" w:cs="Arial"/>
          <w:sz w:val="24"/>
          <w:szCs w:val="24"/>
        </w:rPr>
        <w:t xml:space="preserve"> issues and is unsound</w:t>
      </w:r>
      <w:r w:rsidR="00CF3785">
        <w:rPr>
          <w:rFonts w:ascii="Arial" w:hAnsi="Arial" w:cs="Arial"/>
          <w:sz w:val="24"/>
          <w:szCs w:val="24"/>
        </w:rPr>
        <w:t xml:space="preserve"> in both respects</w:t>
      </w:r>
      <w:r w:rsidR="00523919" w:rsidRPr="00E44BCE">
        <w:rPr>
          <w:rFonts w:ascii="Arial" w:hAnsi="Arial" w:cs="Arial"/>
          <w:sz w:val="24"/>
          <w:szCs w:val="24"/>
        </w:rPr>
        <w:t>.</w:t>
      </w:r>
    </w:p>
    <w:p w:rsidR="00523919" w:rsidRPr="00E25B8B" w:rsidRDefault="00523919" w:rsidP="00E25B8B">
      <w:pPr>
        <w:rPr>
          <w:rFonts w:ascii="Arial" w:hAnsi="Arial" w:cs="Arial"/>
          <w:sz w:val="24"/>
          <w:szCs w:val="24"/>
        </w:rPr>
      </w:pPr>
    </w:p>
    <w:p w:rsidR="00523919" w:rsidRPr="00523919" w:rsidRDefault="00523919" w:rsidP="00523919">
      <w:pPr>
        <w:pStyle w:val="NoSpacing"/>
        <w:numPr>
          <w:ilvl w:val="0"/>
          <w:numId w:val="4"/>
        </w:numPr>
        <w:spacing w:line="480" w:lineRule="auto"/>
        <w:ind w:left="0" w:firstLine="0"/>
        <w:jc w:val="both"/>
        <w:rPr>
          <w:rFonts w:ascii="Arial" w:hAnsi="Arial" w:cs="Arial"/>
          <w:sz w:val="24"/>
          <w:szCs w:val="24"/>
        </w:rPr>
      </w:pPr>
      <w:r w:rsidRPr="00523919">
        <w:rPr>
          <w:rFonts w:ascii="Arial" w:hAnsi="Arial" w:cs="Arial"/>
          <w:sz w:val="24"/>
          <w:szCs w:val="24"/>
        </w:rPr>
        <w:t xml:space="preserve">In the first instance, the doctrine of </w:t>
      </w:r>
      <w:r w:rsidRPr="00523919">
        <w:rPr>
          <w:rFonts w:ascii="Arial" w:hAnsi="Arial" w:cs="Arial"/>
          <w:i/>
          <w:sz w:val="24"/>
          <w:szCs w:val="24"/>
        </w:rPr>
        <w:t>functus officio</w:t>
      </w:r>
      <w:r w:rsidRPr="00523919">
        <w:rPr>
          <w:rFonts w:ascii="Arial" w:hAnsi="Arial" w:cs="Arial"/>
          <w:sz w:val="24"/>
          <w:szCs w:val="24"/>
        </w:rPr>
        <w:t xml:space="preserve"> does not arise. Decisions in the course of litigation (including its institution) do not constitute administrative action on the part of the </w:t>
      </w:r>
      <w:r w:rsidR="003164FF">
        <w:rPr>
          <w:rFonts w:ascii="Arial" w:hAnsi="Arial" w:cs="Arial"/>
          <w:sz w:val="24"/>
          <w:szCs w:val="24"/>
        </w:rPr>
        <w:t>Municipality</w:t>
      </w:r>
      <w:r w:rsidR="00CF3785">
        <w:rPr>
          <w:rFonts w:ascii="Arial" w:hAnsi="Arial" w:cs="Arial"/>
          <w:sz w:val="24"/>
          <w:szCs w:val="24"/>
        </w:rPr>
        <w:t xml:space="preserve"> but rather a procedural step ‘open to any member of the public’</w:t>
      </w:r>
      <w:r w:rsidRPr="00523919">
        <w:rPr>
          <w:rFonts w:ascii="Arial" w:hAnsi="Arial" w:cs="Arial"/>
          <w:sz w:val="24"/>
          <w:szCs w:val="24"/>
        </w:rPr>
        <w:t>.</w:t>
      </w:r>
      <w:r w:rsidRPr="00523919">
        <w:rPr>
          <w:rStyle w:val="FootnoteReference"/>
          <w:rFonts w:ascii="Arial" w:hAnsi="Arial" w:cs="Arial"/>
          <w:sz w:val="24"/>
          <w:szCs w:val="24"/>
        </w:rPr>
        <w:footnoteReference w:id="27"/>
      </w:r>
      <w:r w:rsidRPr="00523919">
        <w:rPr>
          <w:rFonts w:ascii="Arial" w:hAnsi="Arial" w:cs="Arial"/>
          <w:sz w:val="24"/>
          <w:szCs w:val="24"/>
        </w:rPr>
        <w:t xml:space="preserve"> </w:t>
      </w:r>
      <w:r w:rsidRPr="00523919">
        <w:rPr>
          <w:rFonts w:ascii="Arial" w:hAnsi="Arial" w:cs="Arial"/>
          <w:i/>
          <w:sz w:val="24"/>
          <w:szCs w:val="24"/>
        </w:rPr>
        <w:t>Functus officio</w:t>
      </w:r>
      <w:r w:rsidRPr="00523919">
        <w:rPr>
          <w:rFonts w:ascii="Arial" w:hAnsi="Arial" w:cs="Arial"/>
          <w:sz w:val="24"/>
          <w:szCs w:val="24"/>
        </w:rPr>
        <w:t xml:space="preserve"> would thus not arise in these circumstances.</w:t>
      </w:r>
    </w:p>
    <w:p w:rsidR="00523919" w:rsidRPr="00E25B8B" w:rsidRDefault="00523919" w:rsidP="00E25B8B">
      <w:pPr>
        <w:rPr>
          <w:rFonts w:ascii="Arial" w:hAnsi="Arial" w:cs="Arial"/>
          <w:sz w:val="24"/>
          <w:szCs w:val="24"/>
        </w:rPr>
      </w:pPr>
    </w:p>
    <w:p w:rsidR="003B3FCB" w:rsidRDefault="00523919" w:rsidP="00C63F7B">
      <w:pPr>
        <w:pStyle w:val="NoSpacing"/>
        <w:numPr>
          <w:ilvl w:val="0"/>
          <w:numId w:val="4"/>
        </w:numPr>
        <w:spacing w:line="480" w:lineRule="auto"/>
        <w:ind w:left="0" w:firstLine="0"/>
        <w:jc w:val="both"/>
        <w:rPr>
          <w:rFonts w:ascii="Arial" w:hAnsi="Arial" w:cs="Arial"/>
          <w:sz w:val="24"/>
          <w:szCs w:val="24"/>
        </w:rPr>
      </w:pPr>
      <w:r w:rsidRPr="00523919">
        <w:rPr>
          <w:rFonts w:ascii="Arial" w:hAnsi="Arial" w:cs="Arial"/>
          <w:sz w:val="24"/>
          <w:szCs w:val="24"/>
        </w:rPr>
        <w:t xml:space="preserve">In the second place, </w:t>
      </w:r>
      <w:r w:rsidRPr="00523919">
        <w:rPr>
          <w:rFonts w:ascii="Arial" w:hAnsi="Arial" w:cs="Arial"/>
          <w:i/>
          <w:sz w:val="24"/>
          <w:szCs w:val="24"/>
        </w:rPr>
        <w:t>Rothe</w:t>
      </w:r>
      <w:r w:rsidR="00E44BCE">
        <w:rPr>
          <w:rFonts w:ascii="Arial" w:hAnsi="Arial" w:cs="Arial"/>
          <w:sz w:val="24"/>
          <w:szCs w:val="24"/>
        </w:rPr>
        <w:t xml:space="preserve">, relied upon for </w:t>
      </w:r>
      <w:r w:rsidR="001D281C">
        <w:rPr>
          <w:rFonts w:ascii="Arial" w:hAnsi="Arial" w:cs="Arial"/>
          <w:sz w:val="24"/>
          <w:szCs w:val="24"/>
        </w:rPr>
        <w:t xml:space="preserve">holding </w:t>
      </w:r>
      <w:r w:rsidR="00E44BCE">
        <w:rPr>
          <w:rFonts w:ascii="Arial" w:hAnsi="Arial" w:cs="Arial"/>
          <w:sz w:val="24"/>
          <w:szCs w:val="24"/>
        </w:rPr>
        <w:t>the need to seek condonation,</w:t>
      </w:r>
      <w:r w:rsidRPr="00523919">
        <w:rPr>
          <w:rFonts w:ascii="Arial" w:hAnsi="Arial" w:cs="Arial"/>
          <w:sz w:val="24"/>
          <w:szCs w:val="24"/>
        </w:rPr>
        <w:t xml:space="preserve"> </w:t>
      </w:r>
      <w:r w:rsidR="001D281C">
        <w:rPr>
          <w:rFonts w:ascii="Arial" w:hAnsi="Arial" w:cs="Arial"/>
          <w:sz w:val="24"/>
          <w:szCs w:val="24"/>
        </w:rPr>
        <w:t>concerned</w:t>
      </w:r>
      <w:r w:rsidRPr="00523919">
        <w:rPr>
          <w:rFonts w:ascii="Arial" w:hAnsi="Arial" w:cs="Arial"/>
          <w:sz w:val="24"/>
          <w:szCs w:val="24"/>
        </w:rPr>
        <w:t xml:space="preserve"> an application for condonation for non-compliance with the erstwhile rule 28</w:t>
      </w:r>
      <w:r w:rsidR="00A72471">
        <w:rPr>
          <w:rFonts w:ascii="Arial" w:hAnsi="Arial" w:cs="Arial"/>
          <w:sz w:val="24"/>
          <w:szCs w:val="24"/>
        </w:rPr>
        <w:t xml:space="preserve"> </w:t>
      </w:r>
      <w:r w:rsidRPr="00523919">
        <w:rPr>
          <w:rFonts w:ascii="Arial" w:hAnsi="Arial" w:cs="Arial"/>
          <w:sz w:val="24"/>
          <w:szCs w:val="24"/>
        </w:rPr>
        <w:t xml:space="preserve">(4) where an applicant failed to bring his application for amendment within the peremptory period of ten days as prescribed in that sub-rule. The court in </w:t>
      </w:r>
      <w:r w:rsidRPr="00523919">
        <w:rPr>
          <w:rFonts w:ascii="Arial" w:hAnsi="Arial" w:cs="Arial"/>
          <w:i/>
          <w:sz w:val="24"/>
          <w:szCs w:val="24"/>
        </w:rPr>
        <w:t>Rothe</w:t>
      </w:r>
      <w:r w:rsidRPr="00523919">
        <w:rPr>
          <w:rFonts w:ascii="Arial" w:hAnsi="Arial" w:cs="Arial"/>
          <w:sz w:val="24"/>
          <w:szCs w:val="24"/>
        </w:rPr>
        <w:t xml:space="preserve"> found that the applicant failed to discharge the onus of establishing good cause</w:t>
      </w:r>
      <w:r w:rsidR="001D281C">
        <w:rPr>
          <w:rFonts w:ascii="Arial" w:hAnsi="Arial" w:cs="Arial"/>
          <w:sz w:val="24"/>
          <w:szCs w:val="24"/>
        </w:rPr>
        <w:t xml:space="preserve"> to establish condonation</w:t>
      </w:r>
      <w:r w:rsidRPr="00523919">
        <w:rPr>
          <w:rFonts w:ascii="Arial" w:hAnsi="Arial" w:cs="Arial"/>
          <w:sz w:val="24"/>
          <w:szCs w:val="24"/>
        </w:rPr>
        <w:t xml:space="preserve"> for his non-compliance</w:t>
      </w:r>
      <w:r w:rsidR="00012D56">
        <w:rPr>
          <w:rFonts w:ascii="Arial" w:hAnsi="Arial" w:cs="Arial"/>
          <w:sz w:val="24"/>
          <w:szCs w:val="24"/>
        </w:rPr>
        <w:t xml:space="preserve"> with that sub-rule</w:t>
      </w:r>
      <w:r w:rsidRPr="00523919">
        <w:rPr>
          <w:rFonts w:ascii="Arial" w:hAnsi="Arial" w:cs="Arial"/>
          <w:sz w:val="24"/>
          <w:szCs w:val="24"/>
        </w:rPr>
        <w:t>, given both the inadequacy of the explanation tendered and the lack of prospects of success. In that matter there had been a previous inept application for a similar amendment which was brought and withdrawn. That aspect was but one of the factors taken into account in the history of delays which plagued that matter.</w:t>
      </w:r>
    </w:p>
    <w:p w:rsidR="00E25B8B" w:rsidRPr="00C63F7B" w:rsidRDefault="00E25B8B" w:rsidP="00E25B8B">
      <w:pPr>
        <w:pStyle w:val="NoSpacing"/>
        <w:spacing w:line="480" w:lineRule="auto"/>
        <w:jc w:val="both"/>
        <w:rPr>
          <w:rFonts w:ascii="Arial" w:hAnsi="Arial" w:cs="Arial"/>
          <w:sz w:val="24"/>
          <w:szCs w:val="24"/>
        </w:rPr>
      </w:pPr>
    </w:p>
    <w:p w:rsidR="003B3FCB" w:rsidRDefault="00012D56" w:rsidP="003B3FC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this matter t</w:t>
      </w:r>
      <w:r w:rsidR="003B3FCB" w:rsidRPr="003B3FCB">
        <w:rPr>
          <w:rFonts w:ascii="Arial" w:hAnsi="Arial" w:cs="Arial"/>
          <w:sz w:val="24"/>
          <w:szCs w:val="24"/>
        </w:rPr>
        <w:t>he High Court had in the course of case management provided dates for the filing of an objection and the subsequent bringing of the application</w:t>
      </w:r>
      <w:r w:rsidR="001D281C">
        <w:rPr>
          <w:rFonts w:ascii="Arial" w:hAnsi="Arial" w:cs="Arial"/>
          <w:sz w:val="24"/>
          <w:szCs w:val="24"/>
        </w:rPr>
        <w:t xml:space="preserve"> to amend</w:t>
      </w:r>
      <w:r w:rsidR="003B3FCB" w:rsidRPr="003B3FCB">
        <w:rPr>
          <w:rFonts w:ascii="Arial" w:hAnsi="Arial" w:cs="Arial"/>
          <w:sz w:val="24"/>
          <w:szCs w:val="24"/>
        </w:rPr>
        <w:t xml:space="preserve">. The appellant had met the deadline provided by the High Court in case management (of 20 September 2016) for filing </w:t>
      </w:r>
      <w:r w:rsidR="001D281C">
        <w:rPr>
          <w:rFonts w:ascii="Arial" w:hAnsi="Arial" w:cs="Arial"/>
          <w:sz w:val="24"/>
          <w:szCs w:val="24"/>
        </w:rPr>
        <w:t>its</w:t>
      </w:r>
      <w:r w:rsidR="003B3FCB" w:rsidRPr="003B3FCB">
        <w:rPr>
          <w:rFonts w:ascii="Arial" w:hAnsi="Arial" w:cs="Arial"/>
          <w:sz w:val="24"/>
          <w:szCs w:val="24"/>
        </w:rPr>
        <w:t xml:space="preserve"> application to amend.</w:t>
      </w:r>
    </w:p>
    <w:p w:rsidR="003B3FCB" w:rsidRPr="00C63F7B" w:rsidRDefault="003B3FCB" w:rsidP="00C63F7B">
      <w:pPr>
        <w:rPr>
          <w:rFonts w:ascii="Arial" w:hAnsi="Arial" w:cs="Arial"/>
          <w:sz w:val="24"/>
          <w:szCs w:val="24"/>
        </w:rPr>
      </w:pPr>
    </w:p>
    <w:p w:rsidR="003B3FCB" w:rsidRPr="003B3FCB" w:rsidRDefault="003B3FCB" w:rsidP="003B3FCB">
      <w:pPr>
        <w:pStyle w:val="NoSpacing"/>
        <w:numPr>
          <w:ilvl w:val="0"/>
          <w:numId w:val="4"/>
        </w:numPr>
        <w:spacing w:line="480" w:lineRule="auto"/>
        <w:ind w:left="0" w:firstLine="0"/>
        <w:jc w:val="both"/>
        <w:rPr>
          <w:rFonts w:ascii="Arial" w:hAnsi="Arial" w:cs="Arial"/>
          <w:sz w:val="24"/>
          <w:szCs w:val="24"/>
        </w:rPr>
      </w:pPr>
      <w:r w:rsidRPr="003B3FCB">
        <w:rPr>
          <w:rFonts w:ascii="Arial" w:hAnsi="Arial" w:cs="Arial"/>
          <w:sz w:val="24"/>
          <w:szCs w:val="24"/>
        </w:rPr>
        <w:t xml:space="preserve">The question of condonation for non-compliance with the rules </w:t>
      </w:r>
      <w:r w:rsidR="00012D56" w:rsidRPr="003B3FCB">
        <w:rPr>
          <w:rFonts w:ascii="Arial" w:hAnsi="Arial" w:cs="Arial"/>
          <w:sz w:val="24"/>
          <w:szCs w:val="24"/>
        </w:rPr>
        <w:t xml:space="preserve">accordingly </w:t>
      </w:r>
      <w:r w:rsidRPr="003B3FCB">
        <w:rPr>
          <w:rFonts w:ascii="Arial" w:hAnsi="Arial" w:cs="Arial"/>
          <w:sz w:val="24"/>
          <w:szCs w:val="24"/>
        </w:rPr>
        <w:t xml:space="preserve">does not arise. But that does not dispose of the question as to whether the absence of an explanation for the late attempt to amend could </w:t>
      </w:r>
      <w:r w:rsidR="00012D56">
        <w:rPr>
          <w:rFonts w:ascii="Arial" w:hAnsi="Arial" w:cs="Arial"/>
          <w:sz w:val="24"/>
          <w:szCs w:val="24"/>
        </w:rPr>
        <w:t xml:space="preserve">and should </w:t>
      </w:r>
      <w:r w:rsidRPr="003B3FCB">
        <w:rPr>
          <w:rFonts w:ascii="Arial" w:hAnsi="Arial" w:cs="Arial"/>
          <w:sz w:val="24"/>
          <w:szCs w:val="24"/>
        </w:rPr>
        <w:t>have been a factor in the exercise of the court’s discretion under r</w:t>
      </w:r>
      <w:r>
        <w:rPr>
          <w:rFonts w:ascii="Arial" w:hAnsi="Arial" w:cs="Arial"/>
          <w:sz w:val="24"/>
          <w:szCs w:val="24"/>
        </w:rPr>
        <w:t>ule</w:t>
      </w:r>
      <w:r w:rsidRPr="003B3FCB">
        <w:rPr>
          <w:rFonts w:ascii="Arial" w:hAnsi="Arial" w:cs="Arial"/>
          <w:sz w:val="24"/>
          <w:szCs w:val="24"/>
        </w:rPr>
        <w:t xml:space="preserve"> 52(5)</w:t>
      </w:r>
      <w:r w:rsidR="00012D56">
        <w:rPr>
          <w:rFonts w:ascii="Arial" w:hAnsi="Arial" w:cs="Arial"/>
          <w:sz w:val="24"/>
          <w:szCs w:val="24"/>
        </w:rPr>
        <w:t xml:space="preserve"> in view of the approach of the </w:t>
      </w:r>
      <w:r w:rsidR="002E3346">
        <w:rPr>
          <w:rFonts w:ascii="Arial" w:hAnsi="Arial" w:cs="Arial"/>
          <w:sz w:val="24"/>
          <w:szCs w:val="24"/>
        </w:rPr>
        <w:t>F</w:t>
      </w:r>
      <w:r w:rsidR="00012D56">
        <w:rPr>
          <w:rFonts w:ascii="Arial" w:hAnsi="Arial" w:cs="Arial"/>
          <w:sz w:val="24"/>
          <w:szCs w:val="24"/>
        </w:rPr>
        <w:t xml:space="preserve">ull </w:t>
      </w:r>
      <w:r w:rsidR="002E3346">
        <w:rPr>
          <w:rFonts w:ascii="Arial" w:hAnsi="Arial" w:cs="Arial"/>
          <w:sz w:val="24"/>
          <w:szCs w:val="24"/>
        </w:rPr>
        <w:t>B</w:t>
      </w:r>
      <w:r w:rsidR="00012D56">
        <w:rPr>
          <w:rFonts w:ascii="Arial" w:hAnsi="Arial" w:cs="Arial"/>
          <w:sz w:val="24"/>
          <w:szCs w:val="24"/>
        </w:rPr>
        <w:t xml:space="preserve">ench </w:t>
      </w:r>
      <w:r w:rsidR="00CF3785">
        <w:rPr>
          <w:rFonts w:ascii="Arial" w:hAnsi="Arial" w:cs="Arial"/>
          <w:sz w:val="24"/>
          <w:szCs w:val="24"/>
        </w:rPr>
        <w:t xml:space="preserve">of the High Court </w:t>
      </w:r>
      <w:r w:rsidR="00012D56">
        <w:rPr>
          <w:rFonts w:ascii="Arial" w:hAnsi="Arial" w:cs="Arial"/>
          <w:sz w:val="24"/>
          <w:szCs w:val="24"/>
        </w:rPr>
        <w:t xml:space="preserve">in </w:t>
      </w:r>
      <w:r w:rsidR="00012D56">
        <w:rPr>
          <w:rFonts w:ascii="Arial" w:hAnsi="Arial" w:cs="Arial"/>
          <w:i/>
          <w:sz w:val="24"/>
          <w:szCs w:val="24"/>
        </w:rPr>
        <w:t>IA Bell</w:t>
      </w:r>
      <w:r w:rsidRPr="003B3FCB">
        <w:rPr>
          <w:rFonts w:ascii="Arial" w:hAnsi="Arial" w:cs="Arial"/>
          <w:sz w:val="24"/>
          <w:szCs w:val="24"/>
        </w:rPr>
        <w:t>.</w:t>
      </w:r>
    </w:p>
    <w:p w:rsidR="00AC478B" w:rsidRPr="00C63F7B" w:rsidRDefault="00AC478B" w:rsidP="00C63F7B">
      <w:pPr>
        <w:rPr>
          <w:rFonts w:ascii="Arial" w:hAnsi="Arial" w:cs="Arial"/>
          <w:sz w:val="24"/>
          <w:szCs w:val="24"/>
        </w:rPr>
      </w:pPr>
    </w:p>
    <w:p w:rsidR="00AC478B" w:rsidRDefault="003B3FCB"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second ground for the court’s refusal of the amendment was that the </w:t>
      </w:r>
      <w:r w:rsidR="003164FF">
        <w:rPr>
          <w:rFonts w:ascii="Arial" w:hAnsi="Arial" w:cs="Arial"/>
          <w:sz w:val="24"/>
          <w:szCs w:val="24"/>
        </w:rPr>
        <w:t>Municipality</w:t>
      </w:r>
      <w:r>
        <w:rPr>
          <w:rFonts w:ascii="Arial" w:hAnsi="Arial" w:cs="Arial"/>
          <w:sz w:val="24"/>
          <w:szCs w:val="24"/>
        </w:rPr>
        <w:t xml:space="preserve"> could not rely on a lack of compliance with internal procedures once the agreement had been signed by the authorised signatories.</w:t>
      </w:r>
    </w:p>
    <w:p w:rsidR="00AC478B" w:rsidRPr="00C63F7B" w:rsidRDefault="00AC478B" w:rsidP="00C63F7B">
      <w:pPr>
        <w:rPr>
          <w:rFonts w:ascii="Arial" w:hAnsi="Arial" w:cs="Arial"/>
          <w:sz w:val="24"/>
          <w:szCs w:val="24"/>
        </w:rPr>
      </w:pPr>
    </w:p>
    <w:p w:rsidR="00CF3785" w:rsidRDefault="003B3FCB" w:rsidP="00C63F7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Although not specifically cited, this ground is supported by the deeming provision </w:t>
      </w:r>
      <w:r w:rsidR="00012D56">
        <w:rPr>
          <w:rFonts w:ascii="Arial" w:hAnsi="Arial" w:cs="Arial"/>
          <w:sz w:val="24"/>
          <w:szCs w:val="24"/>
        </w:rPr>
        <w:t>relating to</w:t>
      </w:r>
      <w:r w:rsidR="00FA07D2">
        <w:rPr>
          <w:rFonts w:ascii="Arial" w:hAnsi="Arial" w:cs="Arial"/>
          <w:sz w:val="24"/>
          <w:szCs w:val="24"/>
        </w:rPr>
        <w:t xml:space="preserve"> authority in s 31</w:t>
      </w:r>
      <w:r>
        <w:rPr>
          <w:rFonts w:ascii="Arial" w:hAnsi="Arial" w:cs="Arial"/>
          <w:sz w:val="24"/>
          <w:szCs w:val="24"/>
        </w:rPr>
        <w:t>A of the Act.</w:t>
      </w:r>
    </w:p>
    <w:p w:rsidR="00D4116A" w:rsidRPr="00E25B8B" w:rsidRDefault="00D4116A" w:rsidP="00D4116A">
      <w:pPr>
        <w:pStyle w:val="NoSpacing"/>
        <w:spacing w:line="480" w:lineRule="auto"/>
        <w:jc w:val="both"/>
        <w:rPr>
          <w:rFonts w:ascii="Arial" w:hAnsi="Arial" w:cs="Arial"/>
          <w:sz w:val="24"/>
          <w:szCs w:val="24"/>
        </w:rPr>
      </w:pPr>
    </w:p>
    <w:p w:rsidR="008703B0" w:rsidRDefault="00CF3785" w:rsidP="008703B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Whilst this court in </w:t>
      </w:r>
      <w:r>
        <w:rPr>
          <w:rFonts w:ascii="Arial" w:hAnsi="Arial" w:cs="Arial"/>
          <w:i/>
          <w:sz w:val="24"/>
          <w:szCs w:val="24"/>
        </w:rPr>
        <w:t>Walvis Bay Municipality &amp; another v Occupiers of the Caravan Sites at Long Beach</w:t>
      </w:r>
      <w:r w:rsidR="008768C8">
        <w:rPr>
          <w:rFonts w:ascii="Arial" w:hAnsi="Arial" w:cs="Arial"/>
          <w:i/>
          <w:sz w:val="24"/>
          <w:szCs w:val="24"/>
        </w:rPr>
        <w:t xml:space="preserve"> Caravan Park, Walvis Bay</w:t>
      </w:r>
      <w:r w:rsidR="008768C8" w:rsidRPr="008768C8">
        <w:rPr>
          <w:rStyle w:val="FootnoteReference"/>
          <w:rFonts w:ascii="Arial" w:hAnsi="Arial" w:cs="Arial"/>
          <w:sz w:val="24"/>
          <w:szCs w:val="24"/>
        </w:rPr>
        <w:footnoteReference w:id="28"/>
      </w:r>
      <w:r w:rsidR="008768C8">
        <w:rPr>
          <w:rFonts w:ascii="Arial" w:hAnsi="Arial" w:cs="Arial"/>
          <w:i/>
          <w:sz w:val="24"/>
          <w:szCs w:val="24"/>
        </w:rPr>
        <w:t xml:space="preserve"> </w:t>
      </w:r>
      <w:r w:rsidR="008768C8">
        <w:rPr>
          <w:rFonts w:ascii="Arial" w:hAnsi="Arial" w:cs="Arial"/>
          <w:sz w:val="24"/>
          <w:szCs w:val="24"/>
        </w:rPr>
        <w:t xml:space="preserve">reaffirmed the applicability of the rule in the </w:t>
      </w:r>
      <w:r w:rsidR="008768C8" w:rsidRPr="008768C8">
        <w:rPr>
          <w:rFonts w:ascii="Arial" w:hAnsi="Arial" w:cs="Arial"/>
          <w:i/>
          <w:sz w:val="24"/>
          <w:szCs w:val="24"/>
        </w:rPr>
        <w:t>Tur</w:t>
      </w:r>
      <w:r w:rsidR="00D21ADF">
        <w:rPr>
          <w:rFonts w:ascii="Arial" w:hAnsi="Arial" w:cs="Arial"/>
          <w:i/>
          <w:sz w:val="24"/>
          <w:szCs w:val="24"/>
        </w:rPr>
        <w:t>q</w:t>
      </w:r>
      <w:r w:rsidR="008768C8" w:rsidRPr="008768C8">
        <w:rPr>
          <w:rFonts w:ascii="Arial" w:hAnsi="Arial" w:cs="Arial"/>
          <w:i/>
          <w:sz w:val="24"/>
          <w:szCs w:val="24"/>
        </w:rPr>
        <w:t>ua</w:t>
      </w:r>
      <w:r w:rsidR="008768C8">
        <w:rPr>
          <w:rFonts w:ascii="Arial" w:hAnsi="Arial" w:cs="Arial"/>
          <w:i/>
          <w:sz w:val="24"/>
          <w:szCs w:val="24"/>
        </w:rPr>
        <w:t>n</w:t>
      </w:r>
      <w:r w:rsidR="008768C8" w:rsidRPr="008768C8">
        <w:rPr>
          <w:rFonts w:ascii="Arial" w:hAnsi="Arial" w:cs="Arial"/>
          <w:i/>
          <w:sz w:val="24"/>
          <w:szCs w:val="24"/>
        </w:rPr>
        <w:t>d</w:t>
      </w:r>
      <w:r w:rsidR="008768C8">
        <w:rPr>
          <w:rFonts w:ascii="Arial" w:hAnsi="Arial" w:cs="Arial"/>
          <w:sz w:val="24"/>
          <w:szCs w:val="24"/>
        </w:rPr>
        <w:t xml:space="preserve"> case</w:t>
      </w:r>
      <w:r w:rsidR="008768C8">
        <w:rPr>
          <w:rStyle w:val="FootnoteReference"/>
          <w:rFonts w:ascii="Arial" w:hAnsi="Arial" w:cs="Arial"/>
          <w:sz w:val="24"/>
          <w:szCs w:val="24"/>
        </w:rPr>
        <w:footnoteReference w:id="29"/>
      </w:r>
      <w:r w:rsidR="008768C8">
        <w:rPr>
          <w:rFonts w:ascii="Arial" w:hAnsi="Arial" w:cs="Arial"/>
          <w:sz w:val="24"/>
          <w:szCs w:val="24"/>
        </w:rPr>
        <w:t xml:space="preserve"> </w:t>
      </w:r>
      <w:r w:rsidR="00FA07D2">
        <w:rPr>
          <w:rFonts w:ascii="Arial" w:hAnsi="Arial" w:cs="Arial"/>
          <w:sz w:val="24"/>
          <w:szCs w:val="24"/>
        </w:rPr>
        <w:t xml:space="preserve">to </w:t>
      </w:r>
      <w:r w:rsidR="008768C8">
        <w:rPr>
          <w:rFonts w:ascii="Arial" w:hAnsi="Arial" w:cs="Arial"/>
          <w:sz w:val="24"/>
          <w:szCs w:val="24"/>
        </w:rPr>
        <w:t>municipalities, this court further stated:</w:t>
      </w:r>
    </w:p>
    <w:p w:rsidR="008703B0" w:rsidRPr="00C63F7B" w:rsidRDefault="008703B0" w:rsidP="00EB28BA">
      <w:pPr>
        <w:spacing w:after="0" w:line="360" w:lineRule="auto"/>
        <w:rPr>
          <w:rFonts w:ascii="Arial" w:hAnsi="Arial" w:cs="Arial"/>
          <w:sz w:val="24"/>
          <w:szCs w:val="24"/>
        </w:rPr>
      </w:pPr>
    </w:p>
    <w:p w:rsidR="008703B0" w:rsidRPr="00F66131" w:rsidRDefault="008703B0" w:rsidP="008703B0">
      <w:pPr>
        <w:pStyle w:val="NoSpacing"/>
        <w:spacing w:line="360" w:lineRule="auto"/>
        <w:ind w:left="709"/>
        <w:jc w:val="both"/>
        <w:rPr>
          <w:rFonts w:ascii="Arial" w:hAnsi="Arial" w:cs="Arial"/>
        </w:rPr>
      </w:pPr>
      <w:r w:rsidRPr="00541729">
        <w:rPr>
          <w:rFonts w:ascii="Arial" w:hAnsi="Arial" w:cs="Arial"/>
        </w:rPr>
        <w:t xml:space="preserve">‘As was pointed out by learned judge in the </w:t>
      </w:r>
      <w:r w:rsidRPr="000B7805">
        <w:rPr>
          <w:rFonts w:ascii="Arial" w:hAnsi="Arial" w:cs="Arial"/>
          <w:i/>
        </w:rPr>
        <w:t>Potchefstroomse Stadsraad</w:t>
      </w:r>
      <w:r w:rsidRPr="00541729">
        <w:rPr>
          <w:rFonts w:ascii="Arial" w:hAnsi="Arial" w:cs="Arial"/>
        </w:rPr>
        <w:t xml:space="preserve"> case a prerequisite for the enforcement of the </w:t>
      </w:r>
      <w:r w:rsidRPr="000B7805">
        <w:rPr>
          <w:rFonts w:ascii="Arial" w:hAnsi="Arial" w:cs="Arial"/>
          <w:i/>
        </w:rPr>
        <w:t>Turquand</w:t>
      </w:r>
      <w:r w:rsidRPr="00541729">
        <w:rPr>
          <w:rFonts w:ascii="Arial" w:hAnsi="Arial" w:cs="Arial"/>
        </w:rPr>
        <w:t xml:space="preserve"> rule is that the council could legally, through the mayor and the town clerk, conclude the agreement of lease without being bound to the compliance with certain statutory preconditions or directions.</w:t>
      </w:r>
      <w:r>
        <w:rPr>
          <w:rFonts w:ascii="Arial" w:hAnsi="Arial" w:cs="Arial"/>
        </w:rPr>
        <w:t>’</w:t>
      </w:r>
      <w:r w:rsidRPr="00F66131">
        <w:rPr>
          <w:rStyle w:val="FootnoteReference"/>
          <w:rFonts w:ascii="Arial" w:hAnsi="Arial" w:cs="Arial"/>
        </w:rPr>
        <w:footnoteReference w:id="30"/>
      </w:r>
    </w:p>
    <w:p w:rsidR="008703B0" w:rsidRPr="00FA07D2" w:rsidRDefault="008703B0" w:rsidP="00FA07D2">
      <w:pPr>
        <w:rPr>
          <w:rFonts w:ascii="Arial" w:hAnsi="Arial" w:cs="Arial"/>
          <w:sz w:val="24"/>
          <w:szCs w:val="24"/>
        </w:rPr>
      </w:pPr>
    </w:p>
    <w:p w:rsidR="008703B0" w:rsidRPr="008703B0" w:rsidRDefault="008703B0" w:rsidP="008703B0">
      <w:pPr>
        <w:pStyle w:val="NoSpacing"/>
        <w:numPr>
          <w:ilvl w:val="0"/>
          <w:numId w:val="4"/>
        </w:numPr>
        <w:spacing w:line="480" w:lineRule="auto"/>
        <w:ind w:left="0" w:firstLine="0"/>
        <w:jc w:val="both"/>
        <w:rPr>
          <w:rFonts w:ascii="Arial" w:hAnsi="Arial" w:cs="Arial"/>
          <w:sz w:val="24"/>
          <w:szCs w:val="24"/>
        </w:rPr>
      </w:pPr>
      <w:r w:rsidRPr="008703B0">
        <w:rPr>
          <w:rFonts w:ascii="Arial" w:hAnsi="Arial" w:cs="Arial"/>
          <w:sz w:val="24"/>
          <w:szCs w:val="24"/>
        </w:rPr>
        <w:t>It follows that the reference to non-compliance with s 63(2)</w:t>
      </w:r>
      <w:r w:rsidRPr="008703B0">
        <w:rPr>
          <w:rFonts w:ascii="Arial" w:hAnsi="Arial" w:cs="Arial"/>
          <w:i/>
          <w:sz w:val="24"/>
          <w:szCs w:val="24"/>
        </w:rPr>
        <w:t>(b)</w:t>
      </w:r>
      <w:r w:rsidRPr="008703B0">
        <w:rPr>
          <w:rFonts w:ascii="Arial" w:hAnsi="Arial" w:cs="Arial"/>
          <w:sz w:val="24"/>
          <w:szCs w:val="24"/>
        </w:rPr>
        <w:t xml:space="preserve"> of the Local Authorities Act cannot be excluded by reference to internal procedures as it contains ‘statutory preconditions’. As is usefully summarised in </w:t>
      </w:r>
      <w:r w:rsidRPr="008703B0">
        <w:rPr>
          <w:rFonts w:ascii="Arial" w:hAnsi="Arial" w:cs="Arial"/>
          <w:i/>
          <w:sz w:val="24"/>
          <w:szCs w:val="24"/>
        </w:rPr>
        <w:t>Lawsa</w:t>
      </w:r>
      <w:r w:rsidRPr="008703B0">
        <w:rPr>
          <w:rFonts w:ascii="Arial" w:hAnsi="Arial" w:cs="Arial"/>
          <w:sz w:val="24"/>
          <w:szCs w:val="24"/>
        </w:rPr>
        <w:t>:</w:t>
      </w:r>
      <w:r w:rsidRPr="00F66131">
        <w:rPr>
          <w:rStyle w:val="FootnoteReference"/>
          <w:rFonts w:ascii="Arial" w:hAnsi="Arial" w:cs="Arial"/>
          <w:sz w:val="24"/>
          <w:szCs w:val="24"/>
        </w:rPr>
        <w:footnoteReference w:id="31"/>
      </w:r>
    </w:p>
    <w:p w:rsidR="008703B0" w:rsidRDefault="008703B0" w:rsidP="008703B0">
      <w:pPr>
        <w:pStyle w:val="NoSpacing"/>
        <w:spacing w:line="360" w:lineRule="auto"/>
        <w:jc w:val="both"/>
        <w:rPr>
          <w:rFonts w:ascii="Arial" w:hAnsi="Arial" w:cs="Arial"/>
          <w:sz w:val="24"/>
          <w:szCs w:val="24"/>
        </w:rPr>
      </w:pPr>
    </w:p>
    <w:p w:rsidR="008703B0" w:rsidRPr="00A04367" w:rsidRDefault="008703B0" w:rsidP="008703B0">
      <w:pPr>
        <w:pStyle w:val="NoSpacing"/>
        <w:spacing w:line="360" w:lineRule="auto"/>
        <w:ind w:left="709" w:hanging="709"/>
        <w:jc w:val="both"/>
        <w:rPr>
          <w:rFonts w:ascii="Arial" w:hAnsi="Arial" w:cs="Arial"/>
        </w:rPr>
      </w:pPr>
      <w:r>
        <w:rPr>
          <w:rFonts w:ascii="Arial" w:hAnsi="Arial" w:cs="Arial"/>
          <w:sz w:val="24"/>
          <w:szCs w:val="24"/>
        </w:rPr>
        <w:tab/>
      </w:r>
      <w:r w:rsidRPr="00A04367">
        <w:rPr>
          <w:rFonts w:ascii="Arial" w:hAnsi="Arial" w:cs="Arial"/>
        </w:rPr>
        <w:t xml:space="preserve">‘Because the rule in </w:t>
      </w:r>
      <w:r w:rsidRPr="00A04367">
        <w:rPr>
          <w:rFonts w:ascii="Arial" w:hAnsi="Arial" w:cs="Arial"/>
          <w:i/>
        </w:rPr>
        <w:t>Turquand</w:t>
      </w:r>
      <w:r w:rsidR="00FA07D2">
        <w:rPr>
          <w:rFonts w:ascii="Arial" w:hAnsi="Arial" w:cs="Arial"/>
        </w:rPr>
        <w:t xml:space="preserve">’s </w:t>
      </w:r>
      <w:r w:rsidRPr="00A04367">
        <w:rPr>
          <w:rFonts w:ascii="Arial" w:hAnsi="Arial" w:cs="Arial"/>
        </w:rPr>
        <w:t>case is not an absolute and unqualified rule of law, but applies only in favour of persons dealing with the company in good faith, it is not a mere plea of law which does not have to be pleaded. Rather, it is a plea of mixed fact and law, therefore, it is at the very least incumbent on the person invoking it to plead that he did not know of the irregularity and was entitled to assume that the relevant provisions of the company’s constitution had been properly and duly complied with.’</w:t>
      </w:r>
    </w:p>
    <w:p w:rsidR="003B3FCB" w:rsidRPr="008703B0" w:rsidRDefault="003B3FCB" w:rsidP="008703B0">
      <w:pPr>
        <w:rPr>
          <w:rFonts w:ascii="Arial" w:hAnsi="Arial" w:cs="Arial"/>
          <w:sz w:val="24"/>
          <w:szCs w:val="24"/>
        </w:rPr>
      </w:pPr>
    </w:p>
    <w:p w:rsidR="003B3FCB" w:rsidRDefault="003B3FCB"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ground </w:t>
      </w:r>
      <w:r w:rsidR="00012D56">
        <w:rPr>
          <w:rFonts w:ascii="Arial" w:hAnsi="Arial" w:cs="Arial"/>
          <w:sz w:val="24"/>
          <w:szCs w:val="24"/>
        </w:rPr>
        <w:t>would</w:t>
      </w:r>
      <w:r>
        <w:rPr>
          <w:rFonts w:ascii="Arial" w:hAnsi="Arial" w:cs="Arial"/>
          <w:sz w:val="24"/>
          <w:szCs w:val="24"/>
        </w:rPr>
        <w:t xml:space="preserve"> </w:t>
      </w:r>
      <w:r w:rsidR="001D281C">
        <w:rPr>
          <w:rFonts w:ascii="Arial" w:hAnsi="Arial" w:cs="Arial"/>
          <w:sz w:val="24"/>
          <w:szCs w:val="24"/>
        </w:rPr>
        <w:t>however</w:t>
      </w:r>
      <w:r>
        <w:rPr>
          <w:rFonts w:ascii="Arial" w:hAnsi="Arial" w:cs="Arial"/>
          <w:sz w:val="24"/>
          <w:szCs w:val="24"/>
        </w:rPr>
        <w:t xml:space="preserve"> not</w:t>
      </w:r>
      <w:r w:rsidR="00FA07D2">
        <w:rPr>
          <w:rFonts w:ascii="Arial" w:hAnsi="Arial" w:cs="Arial"/>
          <w:sz w:val="24"/>
          <w:szCs w:val="24"/>
        </w:rPr>
        <w:t xml:space="preserve"> be</w:t>
      </w:r>
      <w:r>
        <w:rPr>
          <w:rFonts w:ascii="Arial" w:hAnsi="Arial" w:cs="Arial"/>
          <w:sz w:val="24"/>
          <w:szCs w:val="24"/>
        </w:rPr>
        <w:t xml:space="preserve"> strictly confined to a question of law which can necessarily be determined on exception</w:t>
      </w:r>
      <w:r w:rsidR="008768C8">
        <w:rPr>
          <w:rFonts w:ascii="Arial" w:hAnsi="Arial" w:cs="Arial"/>
          <w:sz w:val="24"/>
          <w:szCs w:val="24"/>
        </w:rPr>
        <w:t xml:space="preserve"> solely</w:t>
      </w:r>
      <w:r w:rsidR="001D281C">
        <w:rPr>
          <w:rFonts w:ascii="Arial" w:hAnsi="Arial" w:cs="Arial"/>
          <w:sz w:val="24"/>
          <w:szCs w:val="24"/>
        </w:rPr>
        <w:t xml:space="preserve"> with reference to s 31A.</w:t>
      </w:r>
      <w:r w:rsidR="008768C8">
        <w:rPr>
          <w:rFonts w:ascii="Arial" w:hAnsi="Arial" w:cs="Arial"/>
          <w:sz w:val="24"/>
          <w:szCs w:val="24"/>
        </w:rPr>
        <w:t xml:space="preserve"> </w:t>
      </w:r>
      <w:r w:rsidR="008703B0">
        <w:rPr>
          <w:rFonts w:ascii="Arial" w:hAnsi="Arial" w:cs="Arial"/>
          <w:sz w:val="24"/>
          <w:szCs w:val="24"/>
        </w:rPr>
        <w:t xml:space="preserve">The court </w:t>
      </w:r>
      <w:r w:rsidR="008703B0" w:rsidRPr="00A04367">
        <w:rPr>
          <w:rFonts w:ascii="Arial" w:hAnsi="Arial" w:cs="Arial"/>
          <w:i/>
          <w:sz w:val="24"/>
          <w:szCs w:val="24"/>
        </w:rPr>
        <w:t>a quo</w:t>
      </w:r>
      <w:r w:rsidR="008703B0">
        <w:rPr>
          <w:rFonts w:ascii="Arial" w:hAnsi="Arial" w:cs="Arial"/>
          <w:sz w:val="24"/>
          <w:szCs w:val="24"/>
        </w:rPr>
        <w:t xml:space="preserve"> could thus not assume that good faith was not an issue</w:t>
      </w:r>
      <w:r w:rsidR="00E269CF">
        <w:rPr>
          <w:rFonts w:ascii="Arial" w:hAnsi="Arial" w:cs="Arial"/>
          <w:sz w:val="24"/>
          <w:szCs w:val="24"/>
        </w:rPr>
        <w:t xml:space="preserve"> in the matter</w:t>
      </w:r>
      <w:r w:rsidR="008703B0">
        <w:rPr>
          <w:rFonts w:ascii="Arial" w:hAnsi="Arial" w:cs="Arial"/>
          <w:sz w:val="24"/>
          <w:szCs w:val="24"/>
        </w:rPr>
        <w:t xml:space="preserve">. The contents of the resolution as well as the reference to the contract being changed by the Municipality’s Mr Engelbrecht at the request of Mr Mouton are indications that the change in parties to the contract may </w:t>
      </w:r>
      <w:r w:rsidR="00455D55">
        <w:rPr>
          <w:rFonts w:ascii="Arial" w:hAnsi="Arial" w:cs="Arial"/>
          <w:sz w:val="24"/>
          <w:szCs w:val="24"/>
        </w:rPr>
        <w:t xml:space="preserve">raise an </w:t>
      </w:r>
      <w:r w:rsidR="008703B0">
        <w:rPr>
          <w:rFonts w:ascii="Arial" w:hAnsi="Arial" w:cs="Arial"/>
          <w:sz w:val="24"/>
          <w:szCs w:val="24"/>
        </w:rPr>
        <w:t>issue</w:t>
      </w:r>
      <w:r w:rsidR="00455D55">
        <w:rPr>
          <w:rFonts w:ascii="Arial" w:hAnsi="Arial" w:cs="Arial"/>
          <w:sz w:val="24"/>
          <w:szCs w:val="24"/>
        </w:rPr>
        <w:t xml:space="preserve"> of lack of faith</w:t>
      </w:r>
      <w:r w:rsidR="008703B0">
        <w:rPr>
          <w:rFonts w:ascii="Arial" w:hAnsi="Arial" w:cs="Arial"/>
          <w:sz w:val="24"/>
          <w:szCs w:val="24"/>
        </w:rPr>
        <w:t>.</w:t>
      </w:r>
      <w:r>
        <w:rPr>
          <w:rFonts w:ascii="Arial" w:hAnsi="Arial" w:cs="Arial"/>
          <w:sz w:val="24"/>
          <w:szCs w:val="24"/>
        </w:rPr>
        <w:t xml:space="preserve"> This ground could not thus properly found a refusal to the application</w:t>
      </w:r>
      <w:r w:rsidR="00012D56">
        <w:rPr>
          <w:rFonts w:ascii="Arial" w:hAnsi="Arial" w:cs="Arial"/>
          <w:sz w:val="24"/>
          <w:szCs w:val="24"/>
        </w:rPr>
        <w:t xml:space="preserve"> to amend</w:t>
      </w:r>
      <w:r>
        <w:rPr>
          <w:rFonts w:ascii="Arial" w:hAnsi="Arial" w:cs="Arial"/>
          <w:sz w:val="24"/>
          <w:szCs w:val="24"/>
        </w:rPr>
        <w:t>.</w:t>
      </w:r>
    </w:p>
    <w:p w:rsidR="003B3FCB" w:rsidRPr="00FA07D2" w:rsidRDefault="003B3FCB" w:rsidP="00FA07D2">
      <w:pPr>
        <w:rPr>
          <w:rFonts w:ascii="Arial" w:hAnsi="Arial" w:cs="Arial"/>
          <w:sz w:val="24"/>
          <w:szCs w:val="24"/>
        </w:rPr>
      </w:pPr>
    </w:p>
    <w:p w:rsidR="003B3FCB" w:rsidRDefault="003B3FCB"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third instance, the court </w:t>
      </w:r>
      <w:r w:rsidR="001D281C">
        <w:rPr>
          <w:rFonts w:ascii="Arial" w:hAnsi="Arial" w:cs="Arial"/>
          <w:sz w:val="24"/>
          <w:szCs w:val="24"/>
        </w:rPr>
        <w:t>held</w:t>
      </w:r>
      <w:r>
        <w:rPr>
          <w:rFonts w:ascii="Arial" w:hAnsi="Arial" w:cs="Arial"/>
          <w:sz w:val="24"/>
          <w:szCs w:val="24"/>
        </w:rPr>
        <w:t xml:space="preserve"> that </w:t>
      </w:r>
      <w:r>
        <w:rPr>
          <w:rFonts w:ascii="Arial" w:hAnsi="Arial" w:cs="Arial"/>
          <w:i/>
          <w:sz w:val="24"/>
          <w:szCs w:val="24"/>
        </w:rPr>
        <w:t>Oudekraal</w:t>
      </w:r>
      <w:r>
        <w:rPr>
          <w:rFonts w:ascii="Arial" w:hAnsi="Arial" w:cs="Arial"/>
          <w:sz w:val="24"/>
          <w:szCs w:val="24"/>
        </w:rPr>
        <w:t xml:space="preserve"> found application and precluded the granting of the amendment. There is however an insufficient basis </w:t>
      </w:r>
      <w:r w:rsidR="00012D56">
        <w:rPr>
          <w:rFonts w:ascii="Arial" w:hAnsi="Arial" w:cs="Arial"/>
          <w:sz w:val="24"/>
          <w:szCs w:val="24"/>
        </w:rPr>
        <w:t>i</w:t>
      </w:r>
      <w:r>
        <w:rPr>
          <w:rFonts w:ascii="Arial" w:hAnsi="Arial" w:cs="Arial"/>
          <w:sz w:val="24"/>
          <w:szCs w:val="24"/>
        </w:rPr>
        <w:t>n</w:t>
      </w:r>
      <w:r w:rsidR="001D281C">
        <w:rPr>
          <w:rFonts w:ascii="Arial" w:hAnsi="Arial" w:cs="Arial"/>
          <w:sz w:val="24"/>
          <w:szCs w:val="24"/>
        </w:rPr>
        <w:t xml:space="preserve"> our view to reach this conclusion, given</w:t>
      </w:r>
      <w:r>
        <w:rPr>
          <w:rFonts w:ascii="Arial" w:hAnsi="Arial" w:cs="Arial"/>
          <w:sz w:val="24"/>
          <w:szCs w:val="24"/>
        </w:rPr>
        <w:t xml:space="preserve"> the paucity of material in the record</w:t>
      </w:r>
      <w:r w:rsidR="00FA07D2">
        <w:rPr>
          <w:rFonts w:ascii="Arial" w:hAnsi="Arial" w:cs="Arial"/>
          <w:sz w:val="24"/>
          <w:szCs w:val="24"/>
        </w:rPr>
        <w:t xml:space="preserve"> concerning this issue</w:t>
      </w:r>
      <w:r>
        <w:rPr>
          <w:rFonts w:ascii="Arial" w:hAnsi="Arial" w:cs="Arial"/>
          <w:sz w:val="24"/>
          <w:szCs w:val="24"/>
        </w:rPr>
        <w:t>. In the absence of</w:t>
      </w:r>
      <w:r w:rsidR="001D281C">
        <w:rPr>
          <w:rFonts w:ascii="Arial" w:hAnsi="Arial" w:cs="Arial"/>
          <w:sz w:val="24"/>
          <w:szCs w:val="24"/>
        </w:rPr>
        <w:t xml:space="preserve"> establishing</w:t>
      </w:r>
      <w:r>
        <w:rPr>
          <w:rFonts w:ascii="Arial" w:hAnsi="Arial" w:cs="Arial"/>
          <w:sz w:val="24"/>
          <w:szCs w:val="24"/>
        </w:rPr>
        <w:t xml:space="preserve"> a sufficient basis </w:t>
      </w:r>
      <w:r w:rsidR="001D281C">
        <w:rPr>
          <w:rFonts w:ascii="Arial" w:hAnsi="Arial" w:cs="Arial"/>
          <w:sz w:val="24"/>
          <w:szCs w:val="24"/>
        </w:rPr>
        <w:t xml:space="preserve">for the application of the principle articulated in </w:t>
      </w:r>
      <w:r w:rsidR="001D281C" w:rsidRPr="001D281C">
        <w:rPr>
          <w:rFonts w:ascii="Arial" w:hAnsi="Arial" w:cs="Arial"/>
          <w:i/>
          <w:sz w:val="24"/>
          <w:szCs w:val="24"/>
        </w:rPr>
        <w:t>Oudekraal</w:t>
      </w:r>
      <w:r w:rsidR="001D281C">
        <w:rPr>
          <w:rFonts w:ascii="Arial" w:hAnsi="Arial" w:cs="Arial"/>
          <w:sz w:val="24"/>
          <w:szCs w:val="24"/>
        </w:rPr>
        <w:t xml:space="preserve">, </w:t>
      </w:r>
      <w:r w:rsidRPr="001D281C">
        <w:rPr>
          <w:rFonts w:ascii="Arial" w:hAnsi="Arial" w:cs="Arial"/>
          <w:sz w:val="24"/>
          <w:szCs w:val="24"/>
        </w:rPr>
        <w:t>we</w:t>
      </w:r>
      <w:r>
        <w:rPr>
          <w:rFonts w:ascii="Arial" w:hAnsi="Arial" w:cs="Arial"/>
          <w:sz w:val="24"/>
          <w:szCs w:val="24"/>
        </w:rPr>
        <w:t xml:space="preserve"> consider that the court erred in finding that </w:t>
      </w:r>
      <w:r>
        <w:rPr>
          <w:rFonts w:ascii="Arial" w:hAnsi="Arial" w:cs="Arial"/>
          <w:i/>
          <w:sz w:val="24"/>
          <w:szCs w:val="24"/>
        </w:rPr>
        <w:t xml:space="preserve">Oudekraal </w:t>
      </w:r>
      <w:r>
        <w:rPr>
          <w:rFonts w:ascii="Arial" w:hAnsi="Arial" w:cs="Arial"/>
          <w:sz w:val="24"/>
          <w:szCs w:val="24"/>
        </w:rPr>
        <w:t>precluded the granting of the application to amend.</w:t>
      </w:r>
    </w:p>
    <w:p w:rsidR="003B3FCB" w:rsidRPr="00FA07D2" w:rsidRDefault="003B3FCB" w:rsidP="00FA07D2">
      <w:pPr>
        <w:rPr>
          <w:rFonts w:ascii="Arial" w:hAnsi="Arial" w:cs="Arial"/>
          <w:sz w:val="24"/>
          <w:szCs w:val="24"/>
        </w:rPr>
      </w:pPr>
    </w:p>
    <w:p w:rsidR="003B3FCB" w:rsidRDefault="001D281C"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view of</w:t>
      </w:r>
      <w:r w:rsidR="003B3FCB">
        <w:rPr>
          <w:rFonts w:ascii="Arial" w:hAnsi="Arial" w:cs="Arial"/>
          <w:sz w:val="24"/>
          <w:szCs w:val="24"/>
        </w:rPr>
        <w:t xml:space="preserve"> the </w:t>
      </w:r>
      <w:r>
        <w:rPr>
          <w:rFonts w:ascii="Arial" w:hAnsi="Arial" w:cs="Arial"/>
          <w:sz w:val="24"/>
          <w:szCs w:val="24"/>
        </w:rPr>
        <w:t>insufficiency</w:t>
      </w:r>
      <w:r w:rsidR="003B3FCB">
        <w:rPr>
          <w:rFonts w:ascii="Arial" w:hAnsi="Arial" w:cs="Arial"/>
          <w:sz w:val="24"/>
          <w:szCs w:val="24"/>
        </w:rPr>
        <w:t xml:space="preserve"> of material pertinent to that issue before us, we decline to express a view on </w:t>
      </w:r>
      <w:r w:rsidR="00012D56">
        <w:rPr>
          <w:rFonts w:ascii="Arial" w:hAnsi="Arial" w:cs="Arial"/>
          <w:sz w:val="24"/>
          <w:szCs w:val="24"/>
        </w:rPr>
        <w:t xml:space="preserve">the applicability of the principle in </w:t>
      </w:r>
      <w:r w:rsidR="00012D56">
        <w:rPr>
          <w:rFonts w:ascii="Arial" w:hAnsi="Arial" w:cs="Arial"/>
          <w:i/>
          <w:sz w:val="24"/>
          <w:szCs w:val="24"/>
        </w:rPr>
        <w:t>Oudekraal</w:t>
      </w:r>
      <w:r w:rsidR="003B3FCB">
        <w:rPr>
          <w:rFonts w:ascii="Arial" w:hAnsi="Arial" w:cs="Arial"/>
          <w:sz w:val="24"/>
          <w:szCs w:val="24"/>
        </w:rPr>
        <w:t xml:space="preserve"> in this disputed application to amend.</w:t>
      </w:r>
    </w:p>
    <w:p w:rsidR="003B3FCB" w:rsidRPr="00FA07D2" w:rsidRDefault="003B3FCB" w:rsidP="00FA07D2">
      <w:pPr>
        <w:rPr>
          <w:rFonts w:ascii="Arial" w:hAnsi="Arial" w:cs="Arial"/>
          <w:sz w:val="24"/>
          <w:szCs w:val="24"/>
        </w:rPr>
      </w:pPr>
    </w:p>
    <w:p w:rsidR="003B3FCB" w:rsidRDefault="003B3FCB"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follows that the High Court in </w:t>
      </w:r>
      <w:r w:rsidR="00E0556A">
        <w:rPr>
          <w:rFonts w:ascii="Arial" w:hAnsi="Arial" w:cs="Arial"/>
          <w:sz w:val="24"/>
          <w:szCs w:val="24"/>
        </w:rPr>
        <w:t xml:space="preserve">exercising its discretion to </w:t>
      </w:r>
      <w:r w:rsidR="00012D56">
        <w:rPr>
          <w:rFonts w:ascii="Arial" w:hAnsi="Arial" w:cs="Arial"/>
          <w:sz w:val="24"/>
          <w:szCs w:val="24"/>
        </w:rPr>
        <w:t xml:space="preserve">refuse </w:t>
      </w:r>
      <w:r w:rsidR="00E0556A">
        <w:rPr>
          <w:rFonts w:ascii="Arial" w:hAnsi="Arial" w:cs="Arial"/>
          <w:sz w:val="24"/>
          <w:szCs w:val="24"/>
        </w:rPr>
        <w:t xml:space="preserve">the application to amend did so </w:t>
      </w:r>
      <w:r w:rsidR="00012D56">
        <w:rPr>
          <w:rFonts w:ascii="Arial" w:hAnsi="Arial" w:cs="Arial"/>
          <w:sz w:val="24"/>
          <w:szCs w:val="24"/>
        </w:rPr>
        <w:t>up</w:t>
      </w:r>
      <w:r w:rsidR="00E0556A">
        <w:rPr>
          <w:rFonts w:ascii="Arial" w:hAnsi="Arial" w:cs="Arial"/>
          <w:sz w:val="24"/>
          <w:szCs w:val="24"/>
        </w:rPr>
        <w:t xml:space="preserve">on a wrong approach and thus did not exercise its discretion judicially. This does not however mean that the appeal should succeed as this court </w:t>
      </w:r>
      <w:r w:rsidR="00455D55">
        <w:rPr>
          <w:rFonts w:ascii="Arial" w:hAnsi="Arial" w:cs="Arial"/>
          <w:sz w:val="24"/>
          <w:szCs w:val="24"/>
        </w:rPr>
        <w:t>sh</w:t>
      </w:r>
      <w:r w:rsidR="001D281C">
        <w:rPr>
          <w:rFonts w:ascii="Arial" w:hAnsi="Arial" w:cs="Arial"/>
          <w:sz w:val="24"/>
          <w:szCs w:val="24"/>
        </w:rPr>
        <w:t>ould</w:t>
      </w:r>
      <w:r w:rsidR="00E0556A">
        <w:rPr>
          <w:rFonts w:ascii="Arial" w:hAnsi="Arial" w:cs="Arial"/>
          <w:sz w:val="24"/>
          <w:szCs w:val="24"/>
        </w:rPr>
        <w:t xml:space="preserve"> consider the application afresh upon the principles governing the granting of amendments to pleadings.</w:t>
      </w:r>
    </w:p>
    <w:p w:rsidR="00AC478B" w:rsidRPr="00FA07D2" w:rsidRDefault="00AC478B" w:rsidP="00FA07D2">
      <w:pPr>
        <w:rPr>
          <w:rFonts w:ascii="Arial" w:hAnsi="Arial" w:cs="Arial"/>
          <w:sz w:val="24"/>
          <w:szCs w:val="24"/>
        </w:rPr>
      </w:pPr>
    </w:p>
    <w:p w:rsidR="005820A9" w:rsidRDefault="00B46340" w:rsidP="00FA07D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 </w:t>
      </w:r>
      <w:r w:rsidR="005820A9">
        <w:rPr>
          <w:rFonts w:ascii="Arial" w:hAnsi="Arial" w:cs="Arial"/>
          <w:sz w:val="24"/>
          <w:szCs w:val="24"/>
        </w:rPr>
        <w:t xml:space="preserve">The pleadings had already been closed when the </w:t>
      </w:r>
      <w:r w:rsidR="003164FF">
        <w:rPr>
          <w:rFonts w:ascii="Arial" w:hAnsi="Arial" w:cs="Arial"/>
          <w:sz w:val="24"/>
          <w:szCs w:val="24"/>
        </w:rPr>
        <w:t>Municipality</w:t>
      </w:r>
      <w:r w:rsidR="005820A9">
        <w:rPr>
          <w:rFonts w:ascii="Arial" w:hAnsi="Arial" w:cs="Arial"/>
          <w:sz w:val="24"/>
          <w:szCs w:val="24"/>
        </w:rPr>
        <w:t xml:space="preserve"> filed its first notice to amend dated 11 March 2016. After an objection was timeously delivered</w:t>
      </w:r>
      <w:r w:rsidR="00F462FC">
        <w:rPr>
          <w:rFonts w:ascii="Arial" w:hAnsi="Arial" w:cs="Arial"/>
          <w:sz w:val="24"/>
          <w:szCs w:val="24"/>
        </w:rPr>
        <w:t>,</w:t>
      </w:r>
      <w:r w:rsidR="005820A9">
        <w:rPr>
          <w:rFonts w:ascii="Arial" w:hAnsi="Arial" w:cs="Arial"/>
          <w:sz w:val="24"/>
          <w:szCs w:val="24"/>
        </w:rPr>
        <w:t xml:space="preserve"> no application to amend was forthcoming. Witness statements were thereafter to be delivered on 20 May 2016 and expert summaries by 3 June 2016. </w:t>
      </w:r>
      <w:r w:rsidR="00F462FC">
        <w:rPr>
          <w:rFonts w:ascii="Arial" w:hAnsi="Arial" w:cs="Arial"/>
          <w:sz w:val="24"/>
          <w:szCs w:val="24"/>
        </w:rPr>
        <w:t>On the day</w:t>
      </w:r>
      <w:r w:rsidR="005820A9">
        <w:rPr>
          <w:rFonts w:ascii="Arial" w:hAnsi="Arial" w:cs="Arial"/>
          <w:sz w:val="24"/>
          <w:szCs w:val="24"/>
        </w:rPr>
        <w:t xml:space="preserve"> scheduled for a pre-trial conference on 7 July 2016</w:t>
      </w:r>
      <w:r w:rsidR="00F462FC">
        <w:rPr>
          <w:rFonts w:ascii="Arial" w:hAnsi="Arial" w:cs="Arial"/>
          <w:sz w:val="24"/>
          <w:szCs w:val="24"/>
        </w:rPr>
        <w:t>,</w:t>
      </w:r>
      <w:r w:rsidR="005820A9">
        <w:rPr>
          <w:rFonts w:ascii="Arial" w:hAnsi="Arial" w:cs="Arial"/>
          <w:sz w:val="24"/>
          <w:szCs w:val="24"/>
        </w:rPr>
        <w:t xml:space="preserve"> the </w:t>
      </w:r>
      <w:r w:rsidR="003164FF">
        <w:rPr>
          <w:rFonts w:ascii="Arial" w:hAnsi="Arial" w:cs="Arial"/>
          <w:sz w:val="24"/>
          <w:szCs w:val="24"/>
        </w:rPr>
        <w:t>Municipality</w:t>
      </w:r>
      <w:r w:rsidR="005820A9">
        <w:rPr>
          <w:rFonts w:ascii="Arial" w:hAnsi="Arial" w:cs="Arial"/>
          <w:sz w:val="24"/>
          <w:szCs w:val="24"/>
        </w:rPr>
        <w:t xml:space="preserve"> gave notice of an intention to amend its plea. It undertook to provide a notice to amend by 11 August 2016. The second notice was then </w:t>
      </w:r>
      <w:r w:rsidR="00F462FC">
        <w:rPr>
          <w:rFonts w:ascii="Arial" w:hAnsi="Arial" w:cs="Arial"/>
          <w:sz w:val="24"/>
          <w:szCs w:val="24"/>
        </w:rPr>
        <w:t>filed</w:t>
      </w:r>
      <w:r w:rsidR="005820A9">
        <w:rPr>
          <w:rFonts w:ascii="Arial" w:hAnsi="Arial" w:cs="Arial"/>
          <w:sz w:val="24"/>
          <w:szCs w:val="24"/>
        </w:rPr>
        <w:t xml:space="preserve"> on that date in substantially similar terms to its previous</w:t>
      </w:r>
      <w:r w:rsidR="00F462FC">
        <w:rPr>
          <w:rFonts w:ascii="Arial" w:hAnsi="Arial" w:cs="Arial"/>
          <w:sz w:val="24"/>
          <w:szCs w:val="24"/>
        </w:rPr>
        <w:t>ly</w:t>
      </w:r>
      <w:r w:rsidR="005820A9">
        <w:rPr>
          <w:rFonts w:ascii="Arial" w:hAnsi="Arial" w:cs="Arial"/>
          <w:sz w:val="24"/>
          <w:szCs w:val="24"/>
        </w:rPr>
        <w:t xml:space="preserve"> </w:t>
      </w:r>
      <w:r w:rsidR="009313DD">
        <w:rPr>
          <w:rFonts w:ascii="Arial" w:hAnsi="Arial" w:cs="Arial"/>
          <w:sz w:val="24"/>
          <w:szCs w:val="24"/>
        </w:rPr>
        <w:t>abandon</w:t>
      </w:r>
      <w:r w:rsidR="001D281C">
        <w:rPr>
          <w:rFonts w:ascii="Arial" w:hAnsi="Arial" w:cs="Arial"/>
          <w:sz w:val="24"/>
          <w:szCs w:val="24"/>
        </w:rPr>
        <w:t>ed</w:t>
      </w:r>
      <w:r w:rsidR="005820A9">
        <w:rPr>
          <w:rFonts w:ascii="Arial" w:hAnsi="Arial" w:cs="Arial"/>
          <w:sz w:val="24"/>
          <w:szCs w:val="24"/>
        </w:rPr>
        <w:t xml:space="preserve"> notice </w:t>
      </w:r>
      <w:r w:rsidR="00F462FC">
        <w:rPr>
          <w:rFonts w:ascii="Arial" w:hAnsi="Arial" w:cs="Arial"/>
          <w:sz w:val="24"/>
          <w:szCs w:val="24"/>
        </w:rPr>
        <w:t xml:space="preserve">- </w:t>
      </w:r>
      <w:r w:rsidR="005820A9">
        <w:rPr>
          <w:rFonts w:ascii="Arial" w:hAnsi="Arial" w:cs="Arial"/>
          <w:sz w:val="24"/>
          <w:szCs w:val="24"/>
        </w:rPr>
        <w:t>raising the same two further defences contained in that earlier notice. At the ensuing status hearing</w:t>
      </w:r>
      <w:r w:rsidR="00F462FC">
        <w:rPr>
          <w:rFonts w:ascii="Arial" w:hAnsi="Arial" w:cs="Arial"/>
          <w:sz w:val="24"/>
          <w:szCs w:val="24"/>
        </w:rPr>
        <w:t>,</w:t>
      </w:r>
      <w:r w:rsidR="005820A9">
        <w:rPr>
          <w:rFonts w:ascii="Arial" w:hAnsi="Arial" w:cs="Arial"/>
          <w:sz w:val="24"/>
          <w:szCs w:val="24"/>
        </w:rPr>
        <w:t xml:space="preserve"> the </w:t>
      </w:r>
      <w:r w:rsidR="003164FF">
        <w:rPr>
          <w:rFonts w:ascii="Arial" w:hAnsi="Arial" w:cs="Arial"/>
          <w:sz w:val="24"/>
          <w:szCs w:val="24"/>
        </w:rPr>
        <w:t>Municipality</w:t>
      </w:r>
      <w:r w:rsidR="005820A9">
        <w:rPr>
          <w:rFonts w:ascii="Arial" w:hAnsi="Arial" w:cs="Arial"/>
          <w:sz w:val="24"/>
          <w:szCs w:val="24"/>
        </w:rPr>
        <w:t xml:space="preserve"> was directed to file its application to amend by 20 September 2016. When it did so, it was not accompanied by an affidavit.</w:t>
      </w:r>
    </w:p>
    <w:p w:rsidR="00A72471" w:rsidRPr="00FA07D2" w:rsidRDefault="00A72471" w:rsidP="00A72471">
      <w:pPr>
        <w:pStyle w:val="NoSpacing"/>
        <w:spacing w:line="480" w:lineRule="auto"/>
        <w:jc w:val="both"/>
        <w:rPr>
          <w:rFonts w:ascii="Arial" w:hAnsi="Arial" w:cs="Arial"/>
          <w:sz w:val="24"/>
          <w:szCs w:val="24"/>
        </w:rPr>
      </w:pPr>
    </w:p>
    <w:p w:rsidR="005820A9" w:rsidRDefault="005820A9"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 status hearing followed where the court enquired as to whether the </w:t>
      </w:r>
      <w:r w:rsidR="003164FF">
        <w:rPr>
          <w:rFonts w:ascii="Arial" w:hAnsi="Arial" w:cs="Arial"/>
          <w:sz w:val="24"/>
          <w:szCs w:val="24"/>
        </w:rPr>
        <w:t>Municipality</w:t>
      </w:r>
      <w:r>
        <w:rPr>
          <w:rFonts w:ascii="Arial" w:hAnsi="Arial" w:cs="Arial"/>
          <w:sz w:val="24"/>
          <w:szCs w:val="24"/>
        </w:rPr>
        <w:t xml:space="preserve"> intended to file an affidavit. Its legal representative responded that the </w:t>
      </w:r>
      <w:r w:rsidR="003164FF">
        <w:rPr>
          <w:rFonts w:ascii="Arial" w:hAnsi="Arial" w:cs="Arial"/>
          <w:sz w:val="24"/>
          <w:szCs w:val="24"/>
        </w:rPr>
        <w:t>Municipality</w:t>
      </w:r>
      <w:r>
        <w:rPr>
          <w:rFonts w:ascii="Arial" w:hAnsi="Arial" w:cs="Arial"/>
          <w:sz w:val="24"/>
          <w:szCs w:val="24"/>
        </w:rPr>
        <w:t xml:space="preserve"> did not intend to do so after citing South African authority in the form of </w:t>
      </w:r>
      <w:r w:rsidRPr="00EC4B35">
        <w:rPr>
          <w:rFonts w:ascii="Arial" w:hAnsi="Arial" w:cs="Arial"/>
          <w:sz w:val="24"/>
          <w:szCs w:val="24"/>
        </w:rPr>
        <w:t>Her</w:t>
      </w:r>
      <w:r w:rsidR="00920DD1" w:rsidRPr="00EC4B35">
        <w:rPr>
          <w:rFonts w:ascii="Arial" w:hAnsi="Arial" w:cs="Arial"/>
          <w:sz w:val="24"/>
          <w:szCs w:val="24"/>
        </w:rPr>
        <w:t xml:space="preserve">bstein &amp; </w:t>
      </w:r>
      <w:r w:rsidR="00C63F7B">
        <w:rPr>
          <w:rFonts w:ascii="Arial" w:hAnsi="Arial" w:cs="Arial"/>
          <w:sz w:val="24"/>
          <w:szCs w:val="24"/>
        </w:rPr>
        <w:t>V</w:t>
      </w:r>
      <w:r w:rsidR="00920DD1" w:rsidRPr="00EC4B35">
        <w:rPr>
          <w:rFonts w:ascii="Arial" w:hAnsi="Arial" w:cs="Arial"/>
          <w:sz w:val="24"/>
          <w:szCs w:val="24"/>
        </w:rPr>
        <w:t>an Winsen</w:t>
      </w:r>
      <w:r>
        <w:rPr>
          <w:rStyle w:val="FootnoteReference"/>
          <w:rFonts w:ascii="Arial" w:hAnsi="Arial" w:cs="Arial"/>
          <w:sz w:val="24"/>
          <w:szCs w:val="24"/>
        </w:rPr>
        <w:footnoteReference w:id="32"/>
      </w:r>
      <w:r w:rsidR="00920DD1">
        <w:rPr>
          <w:rFonts w:ascii="Arial" w:hAnsi="Arial" w:cs="Arial"/>
          <w:sz w:val="24"/>
          <w:szCs w:val="24"/>
        </w:rPr>
        <w:t xml:space="preserve"> in support of its position taken not to do so.</w:t>
      </w:r>
    </w:p>
    <w:p w:rsidR="00920DD1" w:rsidRPr="00FA07D2" w:rsidRDefault="00920DD1" w:rsidP="00FA07D2">
      <w:pPr>
        <w:rPr>
          <w:rFonts w:ascii="Arial" w:hAnsi="Arial" w:cs="Arial"/>
          <w:sz w:val="24"/>
          <w:szCs w:val="24"/>
        </w:rPr>
      </w:pPr>
    </w:p>
    <w:p w:rsidR="00920DD1" w:rsidRDefault="00F462FC"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920DD1">
        <w:rPr>
          <w:rFonts w:ascii="Arial" w:hAnsi="Arial" w:cs="Arial"/>
          <w:sz w:val="24"/>
          <w:szCs w:val="24"/>
        </w:rPr>
        <w:t xml:space="preserve">he learned authors correctly point out with reference to </w:t>
      </w:r>
      <w:r w:rsidR="001D281C">
        <w:rPr>
          <w:rFonts w:ascii="Arial" w:hAnsi="Arial" w:cs="Arial"/>
          <w:i/>
          <w:sz w:val="24"/>
          <w:szCs w:val="24"/>
        </w:rPr>
        <w:t>Swartz v Van De</w:t>
      </w:r>
      <w:r w:rsidR="00FA07D2">
        <w:rPr>
          <w:rFonts w:ascii="Arial" w:hAnsi="Arial" w:cs="Arial"/>
          <w:i/>
          <w:sz w:val="24"/>
          <w:szCs w:val="24"/>
        </w:rPr>
        <w:t>r</w:t>
      </w:r>
      <w:r w:rsidR="001D281C">
        <w:rPr>
          <w:rFonts w:ascii="Arial" w:hAnsi="Arial" w:cs="Arial"/>
          <w:i/>
          <w:sz w:val="24"/>
          <w:szCs w:val="24"/>
        </w:rPr>
        <w:t xml:space="preserve"> Walt t/a Sentraten</w:t>
      </w:r>
      <w:r w:rsidR="001D281C" w:rsidRPr="00F56992">
        <w:rPr>
          <w:rStyle w:val="FootnoteReference"/>
          <w:rFonts w:ascii="Arial" w:hAnsi="Arial" w:cs="Arial"/>
          <w:sz w:val="24"/>
          <w:szCs w:val="24"/>
        </w:rPr>
        <w:footnoteReference w:id="33"/>
      </w:r>
      <w:r w:rsidR="00920DD1" w:rsidRPr="00F56992">
        <w:rPr>
          <w:rFonts w:ascii="Arial" w:hAnsi="Arial" w:cs="Arial"/>
          <w:sz w:val="24"/>
          <w:szCs w:val="24"/>
        </w:rPr>
        <w:t xml:space="preserve"> </w:t>
      </w:r>
      <w:r w:rsidR="00920DD1">
        <w:rPr>
          <w:rFonts w:ascii="Arial" w:hAnsi="Arial" w:cs="Arial"/>
          <w:sz w:val="24"/>
          <w:szCs w:val="24"/>
        </w:rPr>
        <w:t xml:space="preserve">that it is not </w:t>
      </w:r>
      <w:r>
        <w:rPr>
          <w:rFonts w:ascii="Arial" w:hAnsi="Arial" w:cs="Arial"/>
          <w:sz w:val="24"/>
          <w:szCs w:val="24"/>
        </w:rPr>
        <w:t xml:space="preserve">a </w:t>
      </w:r>
      <w:r w:rsidR="00920DD1">
        <w:rPr>
          <w:rFonts w:ascii="Arial" w:hAnsi="Arial" w:cs="Arial"/>
          <w:sz w:val="24"/>
          <w:szCs w:val="24"/>
        </w:rPr>
        <w:t>p</w:t>
      </w:r>
      <w:r>
        <w:rPr>
          <w:rFonts w:ascii="Arial" w:hAnsi="Arial" w:cs="Arial"/>
          <w:sz w:val="24"/>
          <w:szCs w:val="24"/>
        </w:rPr>
        <w:t>r</w:t>
      </w:r>
      <w:r w:rsidR="00920DD1">
        <w:rPr>
          <w:rFonts w:ascii="Arial" w:hAnsi="Arial" w:cs="Arial"/>
          <w:sz w:val="24"/>
          <w:szCs w:val="24"/>
        </w:rPr>
        <w:t xml:space="preserve">equisite in an application under (the previously applicable) rule 28 (4) that it should be accompanied by an affidavit. </w:t>
      </w:r>
      <w:r w:rsidR="002F4F51" w:rsidRPr="002F4F51">
        <w:rPr>
          <w:rFonts w:ascii="Arial" w:hAnsi="Arial" w:cs="Arial"/>
          <w:i/>
          <w:sz w:val="24"/>
          <w:szCs w:val="24"/>
        </w:rPr>
        <w:t>Swartz</w:t>
      </w:r>
      <w:r w:rsidR="00920DD1">
        <w:rPr>
          <w:rFonts w:ascii="Arial" w:hAnsi="Arial" w:cs="Arial"/>
          <w:sz w:val="24"/>
          <w:szCs w:val="24"/>
        </w:rPr>
        <w:t xml:space="preserve"> </w:t>
      </w:r>
      <w:r w:rsidR="002F4F51">
        <w:rPr>
          <w:rFonts w:ascii="Arial" w:hAnsi="Arial" w:cs="Arial"/>
          <w:sz w:val="24"/>
          <w:szCs w:val="24"/>
        </w:rPr>
        <w:t xml:space="preserve">however makes </w:t>
      </w:r>
      <w:r w:rsidR="00920DD1">
        <w:rPr>
          <w:rFonts w:ascii="Arial" w:hAnsi="Arial" w:cs="Arial"/>
          <w:sz w:val="24"/>
          <w:szCs w:val="24"/>
        </w:rPr>
        <w:t xml:space="preserve">it abundantly clear that this procedure would suffice in respect of simple and formal amendments </w:t>
      </w:r>
      <w:r w:rsidR="002F4F51">
        <w:rPr>
          <w:rFonts w:ascii="Arial" w:hAnsi="Arial" w:cs="Arial"/>
          <w:sz w:val="24"/>
          <w:szCs w:val="24"/>
        </w:rPr>
        <w:t>where</w:t>
      </w:r>
      <w:r w:rsidR="00920DD1">
        <w:rPr>
          <w:rFonts w:ascii="Arial" w:hAnsi="Arial" w:cs="Arial"/>
          <w:sz w:val="24"/>
          <w:szCs w:val="24"/>
        </w:rPr>
        <w:t xml:space="preserve"> needed to correct arithmetic or clerical errors in pleadings but more substantial amendments</w:t>
      </w:r>
      <w:r>
        <w:rPr>
          <w:rFonts w:ascii="Arial" w:hAnsi="Arial" w:cs="Arial"/>
          <w:sz w:val="24"/>
          <w:szCs w:val="24"/>
        </w:rPr>
        <w:t>,</w:t>
      </w:r>
      <w:r w:rsidR="00920DD1">
        <w:rPr>
          <w:rFonts w:ascii="Arial" w:hAnsi="Arial" w:cs="Arial"/>
          <w:sz w:val="24"/>
          <w:szCs w:val="24"/>
        </w:rPr>
        <w:t xml:space="preserve"> such as withdrawing an admission</w:t>
      </w:r>
      <w:r>
        <w:rPr>
          <w:rFonts w:ascii="Arial" w:hAnsi="Arial" w:cs="Arial"/>
          <w:sz w:val="24"/>
          <w:szCs w:val="24"/>
        </w:rPr>
        <w:t>,</w:t>
      </w:r>
      <w:r w:rsidR="00920DD1">
        <w:rPr>
          <w:rFonts w:ascii="Arial" w:hAnsi="Arial" w:cs="Arial"/>
          <w:sz w:val="24"/>
          <w:szCs w:val="24"/>
        </w:rPr>
        <w:t xml:space="preserve"> would need to be done on affidavit. The court in </w:t>
      </w:r>
      <w:r w:rsidR="00920DD1">
        <w:rPr>
          <w:rFonts w:ascii="Arial" w:hAnsi="Arial" w:cs="Arial"/>
          <w:i/>
          <w:sz w:val="24"/>
          <w:szCs w:val="24"/>
        </w:rPr>
        <w:t>Swartz</w:t>
      </w:r>
      <w:r w:rsidR="00920DD1">
        <w:rPr>
          <w:rFonts w:ascii="Arial" w:hAnsi="Arial" w:cs="Arial"/>
          <w:sz w:val="24"/>
          <w:szCs w:val="24"/>
        </w:rPr>
        <w:t xml:space="preserve"> concluded (as quoted in </w:t>
      </w:r>
      <w:r w:rsidR="00920DD1" w:rsidRPr="00EC4B35">
        <w:rPr>
          <w:rFonts w:ascii="Arial" w:hAnsi="Arial" w:cs="Arial"/>
          <w:sz w:val="24"/>
          <w:szCs w:val="24"/>
        </w:rPr>
        <w:t xml:space="preserve">Herbstein &amp; </w:t>
      </w:r>
      <w:r w:rsidR="00F56992">
        <w:rPr>
          <w:rFonts w:ascii="Arial" w:hAnsi="Arial" w:cs="Arial"/>
          <w:sz w:val="24"/>
          <w:szCs w:val="24"/>
        </w:rPr>
        <w:t>V</w:t>
      </w:r>
      <w:r w:rsidR="00920DD1" w:rsidRPr="00EC4B35">
        <w:rPr>
          <w:rFonts w:ascii="Arial" w:hAnsi="Arial" w:cs="Arial"/>
          <w:sz w:val="24"/>
          <w:szCs w:val="24"/>
        </w:rPr>
        <w:t>an Winsen</w:t>
      </w:r>
      <w:r w:rsidR="00920DD1">
        <w:rPr>
          <w:rFonts w:ascii="Arial" w:hAnsi="Arial" w:cs="Arial"/>
          <w:sz w:val="24"/>
          <w:szCs w:val="24"/>
        </w:rPr>
        <w:t>)</w:t>
      </w:r>
      <w:r w:rsidR="00920DD1">
        <w:rPr>
          <w:rStyle w:val="FootnoteReference"/>
          <w:rFonts w:ascii="Arial" w:hAnsi="Arial" w:cs="Arial"/>
          <w:sz w:val="24"/>
          <w:szCs w:val="24"/>
        </w:rPr>
        <w:footnoteReference w:id="34"/>
      </w:r>
      <w:r w:rsidR="00920DD1">
        <w:rPr>
          <w:rFonts w:ascii="Arial" w:hAnsi="Arial" w:cs="Arial"/>
          <w:sz w:val="24"/>
          <w:szCs w:val="24"/>
        </w:rPr>
        <w:t xml:space="preserve"> that affidavits would be necessary in more substantial amendments.</w:t>
      </w:r>
    </w:p>
    <w:p w:rsidR="00920DD1" w:rsidRDefault="00920DD1" w:rsidP="00920DD1">
      <w:pPr>
        <w:pStyle w:val="ListParagraph"/>
        <w:rPr>
          <w:rFonts w:ascii="Arial" w:hAnsi="Arial" w:cs="Arial"/>
          <w:sz w:val="24"/>
          <w:szCs w:val="24"/>
        </w:rPr>
      </w:pPr>
    </w:p>
    <w:p w:rsidR="00920DD1" w:rsidRDefault="00920DD1"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this instance, the proposed amendment sought to introduce a substantial change of stance on the part of the </w:t>
      </w:r>
      <w:r w:rsidR="003164FF">
        <w:rPr>
          <w:rFonts w:ascii="Arial" w:hAnsi="Arial" w:cs="Arial"/>
          <w:sz w:val="24"/>
          <w:szCs w:val="24"/>
        </w:rPr>
        <w:t>Municipality</w:t>
      </w:r>
      <w:r>
        <w:rPr>
          <w:rFonts w:ascii="Arial" w:hAnsi="Arial" w:cs="Arial"/>
          <w:sz w:val="24"/>
          <w:szCs w:val="24"/>
        </w:rPr>
        <w:t>. An agreement previously admitted is now said to be entered into without</w:t>
      </w:r>
      <w:r w:rsidR="00250021">
        <w:rPr>
          <w:rFonts w:ascii="Arial" w:hAnsi="Arial" w:cs="Arial"/>
          <w:sz w:val="24"/>
          <w:szCs w:val="24"/>
        </w:rPr>
        <w:t xml:space="preserve"> authority and would</w:t>
      </w:r>
      <w:r w:rsidR="00F462FC">
        <w:rPr>
          <w:rFonts w:ascii="Arial" w:hAnsi="Arial" w:cs="Arial"/>
          <w:sz w:val="24"/>
          <w:szCs w:val="24"/>
        </w:rPr>
        <w:t xml:space="preserve"> further and </w:t>
      </w:r>
      <w:r w:rsidR="00250021">
        <w:rPr>
          <w:rFonts w:ascii="Arial" w:hAnsi="Arial" w:cs="Arial"/>
          <w:sz w:val="24"/>
          <w:szCs w:val="24"/>
        </w:rPr>
        <w:t>in any event be illegal for want of compliance with s 63(2).</w:t>
      </w:r>
    </w:p>
    <w:p w:rsidR="00012D56" w:rsidRDefault="00012D56" w:rsidP="00012D56">
      <w:pPr>
        <w:pStyle w:val="NoSpacing"/>
        <w:spacing w:line="480" w:lineRule="auto"/>
        <w:jc w:val="both"/>
        <w:rPr>
          <w:rFonts w:ascii="Arial" w:hAnsi="Arial" w:cs="Arial"/>
          <w:sz w:val="24"/>
          <w:szCs w:val="24"/>
        </w:rPr>
      </w:pPr>
    </w:p>
    <w:p w:rsidR="00920DD1" w:rsidRDefault="00250021"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authority</w:t>
      </w:r>
      <w:r w:rsidR="00F462FC">
        <w:rPr>
          <w:rFonts w:ascii="Arial" w:hAnsi="Arial" w:cs="Arial"/>
          <w:sz w:val="24"/>
          <w:szCs w:val="24"/>
        </w:rPr>
        <w:t xml:space="preserve"> thus</w:t>
      </w:r>
      <w:r>
        <w:rPr>
          <w:rFonts w:ascii="Arial" w:hAnsi="Arial" w:cs="Arial"/>
          <w:sz w:val="24"/>
          <w:szCs w:val="24"/>
        </w:rPr>
        <w:t xml:space="preserve"> relied upon on behalf of the </w:t>
      </w:r>
      <w:r w:rsidR="003164FF">
        <w:rPr>
          <w:rFonts w:ascii="Arial" w:hAnsi="Arial" w:cs="Arial"/>
          <w:sz w:val="24"/>
          <w:szCs w:val="24"/>
        </w:rPr>
        <w:t>Municipality</w:t>
      </w:r>
      <w:r>
        <w:rPr>
          <w:rFonts w:ascii="Arial" w:hAnsi="Arial" w:cs="Arial"/>
          <w:sz w:val="24"/>
          <w:szCs w:val="24"/>
        </w:rPr>
        <w:t xml:space="preserve"> does not support its stance that an affidavit would not be required. </w:t>
      </w:r>
      <w:r w:rsidR="002F4F51">
        <w:rPr>
          <w:rFonts w:ascii="Arial" w:hAnsi="Arial" w:cs="Arial"/>
          <w:sz w:val="24"/>
          <w:szCs w:val="24"/>
        </w:rPr>
        <w:t>On the contrary, t</w:t>
      </w:r>
      <w:r>
        <w:rPr>
          <w:rFonts w:ascii="Arial" w:hAnsi="Arial" w:cs="Arial"/>
          <w:sz w:val="24"/>
          <w:szCs w:val="24"/>
        </w:rPr>
        <w:t xml:space="preserve">he need for an explanation under oath by reason of </w:t>
      </w:r>
      <w:r w:rsidR="00F462FC">
        <w:rPr>
          <w:rFonts w:ascii="Arial" w:hAnsi="Arial" w:cs="Arial"/>
          <w:sz w:val="24"/>
          <w:szCs w:val="24"/>
        </w:rPr>
        <w:t>amounting to</w:t>
      </w:r>
      <w:r>
        <w:rPr>
          <w:rFonts w:ascii="Arial" w:hAnsi="Arial" w:cs="Arial"/>
          <w:sz w:val="24"/>
          <w:szCs w:val="24"/>
        </w:rPr>
        <w:t xml:space="preserve"> a substantial change of stance is compounded by the fact that </w:t>
      </w:r>
      <w:r w:rsidR="002F4F51">
        <w:rPr>
          <w:rFonts w:ascii="Arial" w:hAnsi="Arial" w:cs="Arial"/>
          <w:sz w:val="24"/>
          <w:szCs w:val="24"/>
        </w:rPr>
        <w:t xml:space="preserve">a prior </w:t>
      </w:r>
      <w:r>
        <w:rPr>
          <w:rFonts w:ascii="Arial" w:hAnsi="Arial" w:cs="Arial"/>
          <w:sz w:val="24"/>
          <w:szCs w:val="24"/>
        </w:rPr>
        <w:t xml:space="preserve">notice of a similarly worded amendment </w:t>
      </w:r>
      <w:r w:rsidR="002F4F51">
        <w:rPr>
          <w:rFonts w:ascii="Arial" w:hAnsi="Arial" w:cs="Arial"/>
          <w:sz w:val="24"/>
          <w:szCs w:val="24"/>
        </w:rPr>
        <w:t>had been</w:t>
      </w:r>
      <w:r>
        <w:rPr>
          <w:rFonts w:ascii="Arial" w:hAnsi="Arial" w:cs="Arial"/>
          <w:sz w:val="24"/>
          <w:szCs w:val="24"/>
        </w:rPr>
        <w:t xml:space="preserve"> given and </w:t>
      </w:r>
      <w:r w:rsidR="002F4F51">
        <w:rPr>
          <w:rFonts w:ascii="Arial" w:hAnsi="Arial" w:cs="Arial"/>
          <w:sz w:val="24"/>
          <w:szCs w:val="24"/>
        </w:rPr>
        <w:t xml:space="preserve">was </w:t>
      </w:r>
      <w:r>
        <w:rPr>
          <w:rFonts w:ascii="Arial" w:hAnsi="Arial" w:cs="Arial"/>
          <w:sz w:val="24"/>
          <w:szCs w:val="24"/>
        </w:rPr>
        <w:t>subsequently abandoned, only to be resurrected some five months later. This plainly called for an explanation as well.</w:t>
      </w:r>
    </w:p>
    <w:p w:rsidR="00920DD1" w:rsidRPr="00E25B8B" w:rsidRDefault="00920DD1" w:rsidP="00E25B8B">
      <w:pPr>
        <w:rPr>
          <w:rFonts w:ascii="Arial" w:hAnsi="Arial" w:cs="Arial"/>
          <w:sz w:val="24"/>
          <w:szCs w:val="24"/>
        </w:rPr>
      </w:pPr>
    </w:p>
    <w:p w:rsidR="00920DD1" w:rsidRDefault="00250021"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Not only did the South African authority raised not support </w:t>
      </w:r>
      <w:r w:rsidR="002F4F51">
        <w:rPr>
          <w:rFonts w:ascii="Arial" w:hAnsi="Arial" w:cs="Arial"/>
          <w:sz w:val="24"/>
          <w:szCs w:val="24"/>
        </w:rPr>
        <w:t xml:space="preserve">the </w:t>
      </w:r>
      <w:r w:rsidR="003164FF">
        <w:rPr>
          <w:rFonts w:ascii="Arial" w:hAnsi="Arial" w:cs="Arial"/>
          <w:sz w:val="24"/>
          <w:szCs w:val="24"/>
        </w:rPr>
        <w:t>Municipality</w:t>
      </w:r>
      <w:r w:rsidR="002F4F51">
        <w:rPr>
          <w:rFonts w:ascii="Arial" w:hAnsi="Arial" w:cs="Arial"/>
          <w:sz w:val="24"/>
          <w:szCs w:val="24"/>
        </w:rPr>
        <w:t>’s</w:t>
      </w:r>
      <w:r>
        <w:rPr>
          <w:rFonts w:ascii="Arial" w:hAnsi="Arial" w:cs="Arial"/>
          <w:sz w:val="24"/>
          <w:szCs w:val="24"/>
        </w:rPr>
        <w:t xml:space="preserve"> position, but more importantly this approach</w:t>
      </w:r>
      <w:r w:rsidR="00F462FC">
        <w:rPr>
          <w:rFonts w:ascii="Arial" w:hAnsi="Arial" w:cs="Arial"/>
          <w:sz w:val="24"/>
          <w:szCs w:val="24"/>
        </w:rPr>
        <w:t xml:space="preserve"> contended for</w:t>
      </w:r>
      <w:r>
        <w:rPr>
          <w:rFonts w:ascii="Arial" w:hAnsi="Arial" w:cs="Arial"/>
          <w:sz w:val="24"/>
          <w:szCs w:val="24"/>
        </w:rPr>
        <w:t xml:space="preserve"> is entirely inapposite and fails to take into account </w:t>
      </w:r>
      <w:r w:rsidR="002F4F51">
        <w:rPr>
          <w:rFonts w:ascii="Arial" w:hAnsi="Arial" w:cs="Arial"/>
          <w:sz w:val="24"/>
          <w:szCs w:val="24"/>
        </w:rPr>
        <w:t xml:space="preserve">applicable Namibian authority and </w:t>
      </w:r>
      <w:r>
        <w:rPr>
          <w:rFonts w:ascii="Arial" w:hAnsi="Arial" w:cs="Arial"/>
          <w:sz w:val="24"/>
          <w:szCs w:val="24"/>
        </w:rPr>
        <w:t xml:space="preserve">the different legislative landscape applicable in Namibia in the form of </w:t>
      </w:r>
      <w:r w:rsidR="00F462FC">
        <w:rPr>
          <w:rFonts w:ascii="Arial" w:hAnsi="Arial" w:cs="Arial"/>
          <w:sz w:val="24"/>
          <w:szCs w:val="24"/>
        </w:rPr>
        <w:t xml:space="preserve">High Court </w:t>
      </w:r>
      <w:r>
        <w:rPr>
          <w:rFonts w:ascii="Arial" w:hAnsi="Arial" w:cs="Arial"/>
          <w:sz w:val="24"/>
          <w:szCs w:val="24"/>
        </w:rPr>
        <w:t>rules premised upon</w:t>
      </w:r>
      <w:r w:rsidR="00F462FC">
        <w:rPr>
          <w:rFonts w:ascii="Arial" w:hAnsi="Arial" w:cs="Arial"/>
          <w:sz w:val="24"/>
          <w:szCs w:val="24"/>
        </w:rPr>
        <w:t xml:space="preserve"> the objectives of </w:t>
      </w:r>
      <w:r>
        <w:rPr>
          <w:rFonts w:ascii="Arial" w:hAnsi="Arial" w:cs="Arial"/>
          <w:sz w:val="24"/>
          <w:szCs w:val="24"/>
        </w:rPr>
        <w:t>JCM</w:t>
      </w:r>
      <w:r w:rsidR="00F462FC">
        <w:rPr>
          <w:rFonts w:ascii="Arial" w:hAnsi="Arial" w:cs="Arial"/>
          <w:sz w:val="24"/>
          <w:szCs w:val="24"/>
        </w:rPr>
        <w:t>,</w:t>
      </w:r>
      <w:r>
        <w:rPr>
          <w:rFonts w:ascii="Arial" w:hAnsi="Arial" w:cs="Arial"/>
          <w:sz w:val="24"/>
          <w:szCs w:val="24"/>
        </w:rPr>
        <w:t xml:space="preserve"> not applicable in South Africa</w:t>
      </w:r>
      <w:r w:rsidR="002F4F51">
        <w:rPr>
          <w:rFonts w:ascii="Arial" w:hAnsi="Arial" w:cs="Arial"/>
          <w:sz w:val="24"/>
          <w:szCs w:val="24"/>
        </w:rPr>
        <w:t>. The applicable</w:t>
      </w:r>
      <w:r>
        <w:rPr>
          <w:rFonts w:ascii="Arial" w:hAnsi="Arial" w:cs="Arial"/>
          <w:sz w:val="24"/>
          <w:szCs w:val="24"/>
        </w:rPr>
        <w:t xml:space="preserve"> Namibian authority </w:t>
      </w:r>
      <w:r w:rsidR="002F4F51">
        <w:rPr>
          <w:rFonts w:ascii="Arial" w:hAnsi="Arial" w:cs="Arial"/>
          <w:sz w:val="24"/>
          <w:szCs w:val="24"/>
        </w:rPr>
        <w:t>in the form of</w:t>
      </w:r>
      <w:r>
        <w:rPr>
          <w:rFonts w:ascii="Arial" w:hAnsi="Arial" w:cs="Arial"/>
          <w:sz w:val="24"/>
          <w:szCs w:val="24"/>
        </w:rPr>
        <w:t xml:space="preserve"> the </w:t>
      </w:r>
      <w:r w:rsidR="00EB28BA">
        <w:rPr>
          <w:rFonts w:ascii="Arial" w:hAnsi="Arial" w:cs="Arial"/>
          <w:sz w:val="24"/>
          <w:szCs w:val="24"/>
        </w:rPr>
        <w:t xml:space="preserve">Full Bench </w:t>
      </w:r>
      <w:r>
        <w:rPr>
          <w:rFonts w:ascii="Arial" w:hAnsi="Arial" w:cs="Arial"/>
          <w:sz w:val="24"/>
          <w:szCs w:val="24"/>
        </w:rPr>
        <w:t xml:space="preserve">decision in </w:t>
      </w:r>
      <w:r w:rsidR="00012D56">
        <w:rPr>
          <w:rFonts w:ascii="Arial" w:hAnsi="Arial" w:cs="Arial"/>
          <w:i/>
          <w:sz w:val="24"/>
          <w:szCs w:val="24"/>
        </w:rPr>
        <w:t>I</w:t>
      </w:r>
      <w:r>
        <w:rPr>
          <w:rFonts w:ascii="Arial" w:hAnsi="Arial" w:cs="Arial"/>
          <w:i/>
          <w:sz w:val="24"/>
          <w:szCs w:val="24"/>
        </w:rPr>
        <w:t>A B</w:t>
      </w:r>
      <w:r w:rsidR="0081289A">
        <w:rPr>
          <w:rFonts w:ascii="Arial" w:hAnsi="Arial" w:cs="Arial"/>
          <w:i/>
          <w:sz w:val="24"/>
          <w:szCs w:val="24"/>
        </w:rPr>
        <w:t>ell</w:t>
      </w:r>
      <w:r w:rsidR="0081289A">
        <w:rPr>
          <w:rFonts w:ascii="Arial" w:hAnsi="Arial" w:cs="Arial"/>
          <w:sz w:val="24"/>
          <w:szCs w:val="24"/>
        </w:rPr>
        <w:t xml:space="preserve"> and earlier Namibian authority stressing the need for providing an explanation for</w:t>
      </w:r>
      <w:r w:rsidR="00F462FC">
        <w:rPr>
          <w:rFonts w:ascii="Arial" w:hAnsi="Arial" w:cs="Arial"/>
          <w:sz w:val="24"/>
          <w:szCs w:val="24"/>
        </w:rPr>
        <w:t xml:space="preserve"> amendments</w:t>
      </w:r>
      <w:r w:rsidR="0081289A">
        <w:rPr>
          <w:rFonts w:ascii="Arial" w:hAnsi="Arial" w:cs="Arial"/>
          <w:sz w:val="24"/>
          <w:szCs w:val="24"/>
        </w:rPr>
        <w:t xml:space="preserve"> sought at a </w:t>
      </w:r>
      <w:r w:rsidR="002F4F51">
        <w:rPr>
          <w:rFonts w:ascii="Arial" w:hAnsi="Arial" w:cs="Arial"/>
          <w:sz w:val="24"/>
          <w:szCs w:val="24"/>
        </w:rPr>
        <w:t>l</w:t>
      </w:r>
      <w:r w:rsidR="0081289A">
        <w:rPr>
          <w:rFonts w:ascii="Arial" w:hAnsi="Arial" w:cs="Arial"/>
          <w:sz w:val="24"/>
          <w:szCs w:val="24"/>
        </w:rPr>
        <w:t>ate stage</w:t>
      </w:r>
      <w:r w:rsidR="002F4F51">
        <w:rPr>
          <w:rFonts w:ascii="Arial" w:hAnsi="Arial" w:cs="Arial"/>
          <w:sz w:val="24"/>
          <w:szCs w:val="24"/>
        </w:rPr>
        <w:t xml:space="preserve"> were inexplicably and incorrectly overlooked</w:t>
      </w:r>
      <w:r w:rsidR="0081289A">
        <w:rPr>
          <w:rFonts w:ascii="Arial" w:hAnsi="Arial" w:cs="Arial"/>
          <w:sz w:val="24"/>
          <w:szCs w:val="24"/>
        </w:rPr>
        <w:t>.</w:t>
      </w:r>
      <w:r w:rsidR="0081289A">
        <w:rPr>
          <w:rStyle w:val="FootnoteReference"/>
          <w:rFonts w:ascii="Arial" w:hAnsi="Arial" w:cs="Arial"/>
          <w:sz w:val="24"/>
          <w:szCs w:val="24"/>
        </w:rPr>
        <w:footnoteReference w:id="35"/>
      </w:r>
    </w:p>
    <w:p w:rsidR="00920DD1" w:rsidRPr="00E25B8B" w:rsidRDefault="00920DD1" w:rsidP="00E25B8B">
      <w:pPr>
        <w:rPr>
          <w:rFonts w:ascii="Arial" w:hAnsi="Arial" w:cs="Arial"/>
          <w:sz w:val="24"/>
          <w:szCs w:val="24"/>
        </w:rPr>
      </w:pPr>
    </w:p>
    <w:p w:rsidR="00920DD1" w:rsidRDefault="0081289A"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Applying the approach of the </w:t>
      </w:r>
      <w:r w:rsidR="00196E77">
        <w:rPr>
          <w:rFonts w:ascii="Arial" w:hAnsi="Arial" w:cs="Arial"/>
          <w:sz w:val="24"/>
          <w:szCs w:val="24"/>
        </w:rPr>
        <w:t>Full B</w:t>
      </w:r>
      <w:r>
        <w:rPr>
          <w:rFonts w:ascii="Arial" w:hAnsi="Arial" w:cs="Arial"/>
          <w:sz w:val="24"/>
          <w:szCs w:val="24"/>
        </w:rPr>
        <w:t xml:space="preserve">ench in </w:t>
      </w:r>
      <w:r w:rsidRPr="0081289A">
        <w:rPr>
          <w:rFonts w:ascii="Arial" w:hAnsi="Arial" w:cs="Arial"/>
          <w:i/>
          <w:sz w:val="24"/>
          <w:szCs w:val="24"/>
        </w:rPr>
        <w:t>IA Bell</w:t>
      </w:r>
      <w:r>
        <w:rPr>
          <w:rFonts w:ascii="Arial" w:hAnsi="Arial" w:cs="Arial"/>
          <w:sz w:val="24"/>
          <w:szCs w:val="24"/>
        </w:rPr>
        <w:t xml:space="preserve"> that a substantial change of front requires an explanation under oath for a court to access, especially at a late stage</w:t>
      </w:r>
      <w:r w:rsidR="002F4F51">
        <w:rPr>
          <w:rFonts w:ascii="Arial" w:hAnsi="Arial" w:cs="Arial"/>
          <w:sz w:val="24"/>
          <w:szCs w:val="24"/>
        </w:rPr>
        <w:t xml:space="preserve"> of proceedings</w:t>
      </w:r>
      <w:r>
        <w:rPr>
          <w:rFonts w:ascii="Arial" w:hAnsi="Arial" w:cs="Arial"/>
          <w:sz w:val="24"/>
          <w:szCs w:val="24"/>
        </w:rPr>
        <w:t>, means that the application for amendment cannot be granted</w:t>
      </w:r>
      <w:r w:rsidR="002F4F51">
        <w:rPr>
          <w:rFonts w:ascii="Arial" w:hAnsi="Arial" w:cs="Arial"/>
          <w:sz w:val="24"/>
          <w:szCs w:val="24"/>
        </w:rPr>
        <w:t xml:space="preserve"> in the absence of such an explanation</w:t>
      </w:r>
      <w:r>
        <w:rPr>
          <w:rFonts w:ascii="Arial" w:hAnsi="Arial" w:cs="Arial"/>
          <w:sz w:val="24"/>
          <w:szCs w:val="24"/>
        </w:rPr>
        <w:t>.</w:t>
      </w:r>
    </w:p>
    <w:p w:rsidR="00920DD1" w:rsidRPr="00E25B8B" w:rsidRDefault="00920DD1" w:rsidP="00E25B8B">
      <w:pPr>
        <w:rPr>
          <w:rFonts w:ascii="Arial" w:hAnsi="Arial" w:cs="Arial"/>
          <w:sz w:val="24"/>
          <w:szCs w:val="24"/>
        </w:rPr>
      </w:pPr>
    </w:p>
    <w:p w:rsidR="00D21ADF" w:rsidRPr="00D21ADF" w:rsidRDefault="0081289A"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There is a further difficulty which besets the proposed amendment. The failure to specify in wha</w:t>
      </w:r>
      <w:r w:rsidR="00186BB3">
        <w:rPr>
          <w:rFonts w:ascii="Arial" w:hAnsi="Arial" w:cs="Arial"/>
          <w:sz w:val="24"/>
          <w:szCs w:val="24"/>
        </w:rPr>
        <w:t>t respects a conflict with s 63</w:t>
      </w:r>
      <w:r>
        <w:rPr>
          <w:rFonts w:ascii="Arial" w:hAnsi="Arial" w:cs="Arial"/>
          <w:sz w:val="24"/>
          <w:szCs w:val="24"/>
        </w:rPr>
        <w:t xml:space="preserve">(2) is alleged to have occurred would </w:t>
      </w:r>
      <w:r w:rsidR="002F4F51">
        <w:rPr>
          <w:rFonts w:ascii="Arial" w:hAnsi="Arial" w:cs="Arial"/>
          <w:sz w:val="24"/>
          <w:szCs w:val="24"/>
        </w:rPr>
        <w:t xml:space="preserve">also </w:t>
      </w:r>
      <w:r>
        <w:rPr>
          <w:rFonts w:ascii="Arial" w:hAnsi="Arial" w:cs="Arial"/>
          <w:sz w:val="24"/>
          <w:szCs w:val="24"/>
        </w:rPr>
        <w:t>render the pleading excipiable as being vague and embarrassing. Section 63</w:t>
      </w:r>
      <w:r w:rsidR="00FA07D2">
        <w:rPr>
          <w:rFonts w:ascii="Arial" w:hAnsi="Arial" w:cs="Arial"/>
          <w:sz w:val="24"/>
          <w:szCs w:val="24"/>
        </w:rPr>
        <w:t>(2)</w:t>
      </w:r>
      <w:r>
        <w:rPr>
          <w:rFonts w:ascii="Arial" w:hAnsi="Arial" w:cs="Arial"/>
          <w:sz w:val="24"/>
          <w:szCs w:val="24"/>
        </w:rPr>
        <w:t xml:space="preserve"> </w:t>
      </w:r>
      <w:r w:rsidR="009313DD">
        <w:rPr>
          <w:rFonts w:ascii="Arial" w:hAnsi="Arial" w:cs="Arial"/>
          <w:sz w:val="24"/>
          <w:szCs w:val="24"/>
        </w:rPr>
        <w:t>posits</w:t>
      </w:r>
      <w:r>
        <w:rPr>
          <w:rFonts w:ascii="Arial" w:hAnsi="Arial" w:cs="Arial"/>
          <w:sz w:val="24"/>
          <w:szCs w:val="24"/>
        </w:rPr>
        <w:t xml:space="preserve"> several jurisdictional facts which are to be met. The notice merely a</w:t>
      </w:r>
      <w:r w:rsidR="00186BB3">
        <w:rPr>
          <w:rFonts w:ascii="Arial" w:hAnsi="Arial" w:cs="Arial"/>
          <w:sz w:val="24"/>
          <w:szCs w:val="24"/>
        </w:rPr>
        <w:t>lleges non-compliance with s 63</w:t>
      </w:r>
      <w:r>
        <w:rPr>
          <w:rFonts w:ascii="Arial" w:hAnsi="Arial" w:cs="Arial"/>
          <w:sz w:val="24"/>
          <w:szCs w:val="24"/>
        </w:rPr>
        <w:t>(2)</w:t>
      </w:r>
      <w:r w:rsidRPr="00012D56">
        <w:rPr>
          <w:rFonts w:ascii="Arial" w:hAnsi="Arial" w:cs="Arial"/>
          <w:i/>
          <w:sz w:val="24"/>
          <w:szCs w:val="24"/>
        </w:rPr>
        <w:t>(b)</w:t>
      </w:r>
      <w:r w:rsidR="002F4F51">
        <w:rPr>
          <w:rFonts w:ascii="Arial" w:hAnsi="Arial" w:cs="Arial"/>
          <w:i/>
          <w:sz w:val="24"/>
          <w:szCs w:val="24"/>
        </w:rPr>
        <w:t xml:space="preserve"> </w:t>
      </w:r>
      <w:r w:rsidR="002F4F51">
        <w:rPr>
          <w:rFonts w:ascii="Arial" w:hAnsi="Arial" w:cs="Arial"/>
          <w:sz w:val="24"/>
          <w:szCs w:val="24"/>
        </w:rPr>
        <w:t xml:space="preserve">without specifying </w:t>
      </w:r>
      <w:r w:rsidR="00FA07D2">
        <w:rPr>
          <w:rFonts w:ascii="Arial" w:hAnsi="Arial" w:cs="Arial"/>
          <w:sz w:val="24"/>
          <w:szCs w:val="24"/>
        </w:rPr>
        <w:t>which</w:t>
      </w:r>
      <w:r w:rsidR="002F4F51">
        <w:rPr>
          <w:rFonts w:ascii="Arial" w:hAnsi="Arial" w:cs="Arial"/>
          <w:sz w:val="24"/>
          <w:szCs w:val="24"/>
        </w:rPr>
        <w:t xml:space="preserve"> of the several respects which can</w:t>
      </w:r>
      <w:r w:rsidR="00FA07D2">
        <w:rPr>
          <w:rFonts w:ascii="Arial" w:hAnsi="Arial" w:cs="Arial"/>
          <w:sz w:val="24"/>
          <w:szCs w:val="24"/>
        </w:rPr>
        <w:t xml:space="preserve"> conceivably </w:t>
      </w:r>
      <w:r w:rsidR="002F4F51">
        <w:rPr>
          <w:rFonts w:ascii="Arial" w:hAnsi="Arial" w:cs="Arial"/>
          <w:sz w:val="24"/>
          <w:szCs w:val="24"/>
        </w:rPr>
        <w:t>arise of non-compliance with s 63(2)</w:t>
      </w:r>
      <w:r w:rsidR="00FA07D2">
        <w:rPr>
          <w:rFonts w:ascii="Arial" w:hAnsi="Arial" w:cs="Arial"/>
          <w:sz w:val="24"/>
          <w:szCs w:val="24"/>
        </w:rPr>
        <w:t xml:space="preserve"> are contended</w:t>
      </w:r>
      <w:r>
        <w:rPr>
          <w:rFonts w:ascii="Arial" w:hAnsi="Arial" w:cs="Arial"/>
          <w:sz w:val="24"/>
          <w:szCs w:val="24"/>
        </w:rPr>
        <w:t>. This is impermissibly vague and does not meet the standard for pleadings set in rule 45</w:t>
      </w:r>
      <w:r w:rsidR="00FA07D2">
        <w:rPr>
          <w:rFonts w:ascii="Arial" w:hAnsi="Arial" w:cs="Arial"/>
          <w:sz w:val="24"/>
          <w:szCs w:val="24"/>
        </w:rPr>
        <w:t xml:space="preserve"> of the High Court </w:t>
      </w:r>
      <w:r w:rsidR="00E269CF">
        <w:rPr>
          <w:rFonts w:ascii="Arial" w:hAnsi="Arial" w:cs="Arial"/>
          <w:sz w:val="24"/>
          <w:szCs w:val="24"/>
        </w:rPr>
        <w:t>rules</w:t>
      </w:r>
      <w:r w:rsidR="00C22C62">
        <w:rPr>
          <w:rFonts w:ascii="Arial" w:hAnsi="Arial" w:cs="Arial"/>
          <w:sz w:val="24"/>
          <w:szCs w:val="24"/>
        </w:rPr>
        <w:t>,</w:t>
      </w:r>
      <w:r w:rsidR="00E269CF">
        <w:rPr>
          <w:rFonts w:ascii="Arial" w:hAnsi="Arial" w:cs="Arial"/>
          <w:sz w:val="24"/>
          <w:szCs w:val="24"/>
        </w:rPr>
        <w:t xml:space="preserve"> requiring</w:t>
      </w:r>
      <w:r>
        <w:rPr>
          <w:rFonts w:ascii="Arial" w:hAnsi="Arial" w:cs="Arial"/>
          <w:sz w:val="24"/>
          <w:szCs w:val="24"/>
        </w:rPr>
        <w:t xml:space="preserve"> a defendant to clearly and concisely state all material facts upon which a defendant relies for </w:t>
      </w:r>
      <w:r w:rsidR="002F4F51">
        <w:rPr>
          <w:rFonts w:ascii="Arial" w:hAnsi="Arial" w:cs="Arial"/>
          <w:sz w:val="24"/>
          <w:szCs w:val="24"/>
        </w:rPr>
        <w:t xml:space="preserve">its </w:t>
      </w:r>
      <w:r>
        <w:rPr>
          <w:rFonts w:ascii="Arial" w:hAnsi="Arial" w:cs="Arial"/>
          <w:sz w:val="24"/>
          <w:szCs w:val="24"/>
        </w:rPr>
        <w:t>defence.</w:t>
      </w:r>
      <w:r w:rsidR="002F4F51">
        <w:rPr>
          <w:rFonts w:ascii="Arial" w:hAnsi="Arial" w:cs="Arial"/>
          <w:sz w:val="24"/>
          <w:szCs w:val="24"/>
        </w:rPr>
        <w:t xml:space="preserve"> </w:t>
      </w:r>
      <w:r w:rsidR="00F462FC">
        <w:rPr>
          <w:rFonts w:ascii="Arial" w:hAnsi="Arial" w:cs="Arial"/>
          <w:sz w:val="24"/>
          <w:szCs w:val="24"/>
        </w:rPr>
        <w:t xml:space="preserve">Following the approach in </w:t>
      </w:r>
      <w:r w:rsidR="00F462FC">
        <w:rPr>
          <w:rFonts w:ascii="Arial" w:hAnsi="Arial" w:cs="Arial"/>
          <w:i/>
          <w:sz w:val="24"/>
          <w:szCs w:val="24"/>
        </w:rPr>
        <w:t>Bowring Barclays &amp; Genote (Edms) Bpk v De Kock</w:t>
      </w:r>
      <w:r w:rsidR="00D21ADF" w:rsidRPr="00F56992">
        <w:rPr>
          <w:rStyle w:val="FootnoteReference"/>
          <w:rFonts w:ascii="Arial" w:hAnsi="Arial" w:cs="Arial"/>
          <w:sz w:val="24"/>
          <w:szCs w:val="24"/>
        </w:rPr>
        <w:footnoteReference w:id="36"/>
      </w:r>
      <w:r w:rsidR="00F462FC" w:rsidRPr="00F56992">
        <w:rPr>
          <w:rFonts w:ascii="Arial" w:hAnsi="Arial" w:cs="Arial"/>
          <w:sz w:val="24"/>
          <w:szCs w:val="24"/>
        </w:rPr>
        <w:t xml:space="preserve"> </w:t>
      </w:r>
      <w:r w:rsidR="00D21ADF">
        <w:rPr>
          <w:rFonts w:ascii="Arial" w:hAnsi="Arial" w:cs="Arial"/>
          <w:sz w:val="24"/>
          <w:szCs w:val="24"/>
        </w:rPr>
        <w:t>that once it is accepted that the proposed plea would be impermissibly vague and embarrassing, a court would only permit it in exceptional circumstances ‘in which the balance of convenience or another similar reason necessitated such a case’. Counsel for the Municipality did not contend</w:t>
      </w:r>
      <w:r w:rsidR="00FA07D2">
        <w:rPr>
          <w:rFonts w:ascii="Arial" w:hAnsi="Arial" w:cs="Arial"/>
          <w:sz w:val="24"/>
          <w:szCs w:val="24"/>
        </w:rPr>
        <w:t xml:space="preserve"> for </w:t>
      </w:r>
      <w:r w:rsidR="00D21ADF">
        <w:rPr>
          <w:rFonts w:ascii="Arial" w:hAnsi="Arial" w:cs="Arial"/>
          <w:sz w:val="24"/>
          <w:szCs w:val="24"/>
        </w:rPr>
        <w:t xml:space="preserve">any exceptional circumstances, save that further particulars could be sought and given. But this is not an exceptional circumstance for the purpose of the approach set out by Strydom, J in </w:t>
      </w:r>
      <w:r w:rsidR="00D21ADF">
        <w:rPr>
          <w:rFonts w:ascii="Arial" w:hAnsi="Arial" w:cs="Arial"/>
          <w:i/>
          <w:sz w:val="24"/>
          <w:szCs w:val="24"/>
        </w:rPr>
        <w:t>Bowring Barclays</w:t>
      </w:r>
      <w:r w:rsidR="00FA07D2">
        <w:rPr>
          <w:rStyle w:val="FootnoteReference"/>
          <w:rFonts w:ascii="Arial" w:hAnsi="Arial" w:cs="Arial"/>
          <w:sz w:val="24"/>
          <w:szCs w:val="24"/>
        </w:rPr>
        <w:footnoteReference w:id="37"/>
      </w:r>
      <w:r w:rsidR="00C22C62">
        <w:rPr>
          <w:rFonts w:ascii="Arial" w:hAnsi="Arial" w:cs="Arial"/>
          <w:sz w:val="24"/>
          <w:szCs w:val="24"/>
        </w:rPr>
        <w:t>, compounded by the fact that the rules no longer contemplate or provide for the need for further particulars in view of rule 45 expressly requiring a level of specificity to dispense with such requests.</w:t>
      </w:r>
    </w:p>
    <w:p w:rsidR="00D21ADF" w:rsidRPr="00D21ADF" w:rsidRDefault="00D21ADF" w:rsidP="00D21ADF">
      <w:pPr>
        <w:pStyle w:val="NoSpacing"/>
        <w:spacing w:line="480" w:lineRule="auto"/>
        <w:jc w:val="both"/>
        <w:rPr>
          <w:rFonts w:ascii="Arial" w:hAnsi="Arial" w:cs="Arial"/>
          <w:sz w:val="24"/>
          <w:szCs w:val="24"/>
        </w:rPr>
      </w:pPr>
    </w:p>
    <w:p w:rsidR="00FA07D2" w:rsidRDefault="002F4F51"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An amendment seeking to introduce non-compliance with </w:t>
      </w:r>
      <w:r w:rsidR="00BA48C5">
        <w:rPr>
          <w:rFonts w:ascii="Arial" w:hAnsi="Arial" w:cs="Arial"/>
          <w:sz w:val="24"/>
          <w:szCs w:val="24"/>
        </w:rPr>
        <w:t>s 63(2) would need to specify in what precise res</w:t>
      </w:r>
      <w:r w:rsidR="00FA07D2">
        <w:rPr>
          <w:rFonts w:ascii="Arial" w:hAnsi="Arial" w:cs="Arial"/>
          <w:sz w:val="24"/>
          <w:szCs w:val="24"/>
        </w:rPr>
        <w:t>pects there was non-compliance.</w:t>
      </w:r>
    </w:p>
    <w:p w:rsidR="00FA07D2" w:rsidRPr="00FA07D2" w:rsidRDefault="00FA07D2" w:rsidP="00FA07D2">
      <w:pPr>
        <w:rPr>
          <w:rFonts w:ascii="Arial" w:hAnsi="Arial" w:cs="Arial"/>
          <w:sz w:val="24"/>
          <w:szCs w:val="24"/>
        </w:rPr>
      </w:pPr>
    </w:p>
    <w:p w:rsidR="00920DD1" w:rsidRDefault="00BA48C5"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follows that the application to amend in the respects set out in the notice cannot be granted</w:t>
      </w:r>
      <w:r w:rsidR="00D21ADF">
        <w:rPr>
          <w:rFonts w:ascii="Arial" w:hAnsi="Arial" w:cs="Arial"/>
          <w:sz w:val="24"/>
          <w:szCs w:val="24"/>
        </w:rPr>
        <w:t xml:space="preserve"> and the appeal thus does not enjoy prospects of success</w:t>
      </w:r>
      <w:r>
        <w:rPr>
          <w:rFonts w:ascii="Arial" w:hAnsi="Arial" w:cs="Arial"/>
          <w:sz w:val="24"/>
          <w:szCs w:val="24"/>
        </w:rPr>
        <w:t>.</w:t>
      </w:r>
    </w:p>
    <w:p w:rsidR="00920DD1" w:rsidRPr="00E25B8B" w:rsidRDefault="00920DD1" w:rsidP="00E25B8B">
      <w:pPr>
        <w:rPr>
          <w:rFonts w:ascii="Arial" w:hAnsi="Arial" w:cs="Arial"/>
          <w:sz w:val="24"/>
          <w:szCs w:val="24"/>
        </w:rPr>
      </w:pPr>
    </w:p>
    <w:p w:rsidR="00920DD1" w:rsidRDefault="009313DD"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w:t>
      </w:r>
      <w:r w:rsidR="00FA07D2">
        <w:rPr>
          <w:rFonts w:ascii="Arial" w:hAnsi="Arial" w:cs="Arial"/>
          <w:sz w:val="24"/>
          <w:szCs w:val="24"/>
        </w:rPr>
        <w:t xml:space="preserve">further </w:t>
      </w:r>
      <w:r>
        <w:rPr>
          <w:rFonts w:ascii="Arial" w:hAnsi="Arial" w:cs="Arial"/>
          <w:sz w:val="24"/>
          <w:szCs w:val="24"/>
        </w:rPr>
        <w:t xml:space="preserve">follows that the </w:t>
      </w:r>
      <w:r w:rsidR="00D21ADF">
        <w:rPr>
          <w:rFonts w:ascii="Arial" w:hAnsi="Arial" w:cs="Arial"/>
          <w:sz w:val="24"/>
          <w:szCs w:val="24"/>
        </w:rPr>
        <w:t>application for condonation and reinstatement</w:t>
      </w:r>
      <w:r>
        <w:rPr>
          <w:rFonts w:ascii="Arial" w:hAnsi="Arial" w:cs="Arial"/>
          <w:sz w:val="24"/>
          <w:szCs w:val="24"/>
        </w:rPr>
        <w:t xml:space="preserve"> is to be dismissed with costs.</w:t>
      </w:r>
    </w:p>
    <w:p w:rsidR="00A72471" w:rsidRPr="00E25B8B" w:rsidRDefault="00A72471" w:rsidP="00E25B8B">
      <w:pPr>
        <w:rPr>
          <w:rFonts w:ascii="Arial" w:hAnsi="Arial" w:cs="Arial"/>
          <w:sz w:val="24"/>
          <w:szCs w:val="24"/>
        </w:rPr>
      </w:pPr>
    </w:p>
    <w:p w:rsidR="00920DD1" w:rsidRDefault="009313DD" w:rsidP="00FF1FF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following order is made:</w:t>
      </w:r>
    </w:p>
    <w:p w:rsidR="009313DD" w:rsidRDefault="009313DD" w:rsidP="009313DD">
      <w:pPr>
        <w:pStyle w:val="ListParagraph"/>
        <w:rPr>
          <w:rFonts w:ascii="Arial" w:hAnsi="Arial" w:cs="Arial"/>
          <w:sz w:val="24"/>
          <w:szCs w:val="24"/>
        </w:rPr>
      </w:pPr>
    </w:p>
    <w:p w:rsidR="004D221F" w:rsidRDefault="004D221F" w:rsidP="009313DD">
      <w:pPr>
        <w:pStyle w:val="ListParagraph"/>
        <w:rPr>
          <w:rFonts w:ascii="Arial" w:hAnsi="Arial" w:cs="Arial"/>
          <w:sz w:val="24"/>
          <w:szCs w:val="24"/>
        </w:rPr>
      </w:pPr>
    </w:p>
    <w:p w:rsidR="004D221F" w:rsidRDefault="004D221F" w:rsidP="009313DD">
      <w:pPr>
        <w:pStyle w:val="ListParagraph"/>
        <w:rPr>
          <w:rFonts w:ascii="Arial" w:hAnsi="Arial" w:cs="Arial"/>
          <w:sz w:val="24"/>
          <w:szCs w:val="24"/>
        </w:rPr>
      </w:pPr>
    </w:p>
    <w:p w:rsidR="009313DD" w:rsidRDefault="009313DD" w:rsidP="009313DD">
      <w:pPr>
        <w:pStyle w:val="NoSpacing"/>
        <w:numPr>
          <w:ilvl w:val="0"/>
          <w:numId w:val="45"/>
        </w:numPr>
        <w:spacing w:line="480" w:lineRule="auto"/>
        <w:ind w:left="1134" w:hanging="414"/>
        <w:jc w:val="both"/>
        <w:rPr>
          <w:rFonts w:ascii="Arial" w:hAnsi="Arial" w:cs="Arial"/>
          <w:sz w:val="24"/>
          <w:szCs w:val="24"/>
        </w:rPr>
      </w:pPr>
      <w:r>
        <w:rPr>
          <w:rFonts w:ascii="Arial" w:hAnsi="Arial" w:cs="Arial"/>
          <w:sz w:val="24"/>
          <w:szCs w:val="24"/>
        </w:rPr>
        <w:t xml:space="preserve">The </w:t>
      </w:r>
      <w:r w:rsidR="00D21ADF">
        <w:rPr>
          <w:rFonts w:ascii="Arial" w:hAnsi="Arial" w:cs="Arial"/>
          <w:sz w:val="24"/>
          <w:szCs w:val="24"/>
        </w:rPr>
        <w:t xml:space="preserve">application for condonation and reinstatement </w:t>
      </w:r>
      <w:r>
        <w:rPr>
          <w:rFonts w:ascii="Arial" w:hAnsi="Arial" w:cs="Arial"/>
          <w:sz w:val="24"/>
          <w:szCs w:val="24"/>
        </w:rPr>
        <w:t xml:space="preserve">is dismissed with costs, including the costs of one instructing and two </w:t>
      </w:r>
      <w:r w:rsidR="00D21ADF">
        <w:rPr>
          <w:rFonts w:ascii="Arial" w:hAnsi="Arial" w:cs="Arial"/>
          <w:sz w:val="24"/>
          <w:szCs w:val="24"/>
        </w:rPr>
        <w:t>instructed counsel;</w:t>
      </w:r>
    </w:p>
    <w:p w:rsidR="00D21ADF" w:rsidRDefault="00D21ADF" w:rsidP="00D21ADF">
      <w:pPr>
        <w:pStyle w:val="NoSpacing"/>
        <w:spacing w:line="480" w:lineRule="auto"/>
        <w:ind w:left="1134"/>
        <w:jc w:val="both"/>
        <w:rPr>
          <w:rFonts w:ascii="Arial" w:hAnsi="Arial" w:cs="Arial"/>
          <w:sz w:val="24"/>
          <w:szCs w:val="24"/>
        </w:rPr>
      </w:pPr>
    </w:p>
    <w:p w:rsidR="009313DD" w:rsidRPr="00D21ADF" w:rsidRDefault="00D21ADF" w:rsidP="00D21ADF">
      <w:pPr>
        <w:pStyle w:val="NoSpacing"/>
        <w:numPr>
          <w:ilvl w:val="0"/>
          <w:numId w:val="45"/>
        </w:numPr>
        <w:spacing w:line="480" w:lineRule="auto"/>
        <w:ind w:left="1134" w:hanging="414"/>
        <w:jc w:val="both"/>
        <w:rPr>
          <w:rFonts w:ascii="Arial" w:hAnsi="Arial" w:cs="Arial"/>
          <w:sz w:val="24"/>
          <w:szCs w:val="24"/>
        </w:rPr>
      </w:pPr>
      <w:r>
        <w:rPr>
          <w:rFonts w:ascii="Arial" w:hAnsi="Arial" w:cs="Arial"/>
          <w:sz w:val="24"/>
          <w:szCs w:val="24"/>
        </w:rPr>
        <w:t>The</w:t>
      </w:r>
      <w:r w:rsidR="00C22C62">
        <w:rPr>
          <w:rFonts w:ascii="Arial" w:hAnsi="Arial" w:cs="Arial"/>
          <w:sz w:val="24"/>
          <w:szCs w:val="24"/>
        </w:rPr>
        <w:t xml:space="preserve"> matter is struck from the roll</w:t>
      </w:r>
      <w:r>
        <w:rPr>
          <w:rFonts w:ascii="Arial" w:hAnsi="Arial" w:cs="Arial"/>
          <w:sz w:val="24"/>
          <w:szCs w:val="24"/>
        </w:rPr>
        <w:t xml:space="preserve"> and </w:t>
      </w:r>
      <w:r w:rsidR="009313DD" w:rsidRPr="00D21ADF">
        <w:rPr>
          <w:rFonts w:ascii="Arial" w:hAnsi="Arial" w:cs="Arial"/>
          <w:sz w:val="24"/>
          <w:szCs w:val="24"/>
        </w:rPr>
        <w:t>is referred back to the High Court for further case management consistent with this judgment.</w:t>
      </w:r>
    </w:p>
    <w:p w:rsidR="004A5EC5" w:rsidRDefault="004A5EC5" w:rsidP="00716C10">
      <w:pPr>
        <w:pStyle w:val="ListParagraph"/>
        <w:ind w:left="1134" w:hanging="425"/>
        <w:rPr>
          <w:rFonts w:ascii="Arial" w:hAnsi="Arial" w:cs="Arial"/>
          <w:sz w:val="24"/>
          <w:szCs w:val="24"/>
        </w:rPr>
      </w:pPr>
    </w:p>
    <w:p w:rsidR="00FD51CB" w:rsidRDefault="00FD51CB" w:rsidP="00BD55B9">
      <w:pPr>
        <w:pStyle w:val="ListParagraph"/>
        <w:spacing w:after="0"/>
        <w:rPr>
          <w:rFonts w:ascii="Bookman Old Style" w:hAnsi="Bookman Old Style"/>
          <w:noProof/>
          <w:lang w:eastAsia="en-ZA"/>
        </w:rPr>
      </w:pPr>
    </w:p>
    <w:p w:rsidR="00E54DE5" w:rsidRDefault="00E54DE5" w:rsidP="00BD55B9">
      <w:pPr>
        <w:pStyle w:val="ListParagraph"/>
        <w:spacing w:after="0"/>
        <w:rPr>
          <w:rFonts w:ascii="Bookman Old Style" w:hAnsi="Bookman Old Style"/>
          <w:noProof/>
          <w:lang w:eastAsia="en-ZA"/>
        </w:rPr>
      </w:pPr>
    </w:p>
    <w:p w:rsidR="00E54DE5" w:rsidRDefault="00E54DE5" w:rsidP="00BD55B9">
      <w:pPr>
        <w:pStyle w:val="ListParagraph"/>
        <w:spacing w:after="0"/>
        <w:rPr>
          <w:rFonts w:ascii="Bookman Old Style" w:hAnsi="Bookman Old Style"/>
          <w:noProof/>
          <w:lang w:eastAsia="en-ZA"/>
        </w:rPr>
      </w:pPr>
    </w:p>
    <w:p w:rsidR="00E54DE5" w:rsidRDefault="00E54DE5" w:rsidP="00BD55B9">
      <w:pPr>
        <w:pStyle w:val="ListParagraph"/>
        <w:spacing w:after="0"/>
        <w:rPr>
          <w:rFonts w:ascii="Bookman Old Style" w:hAnsi="Bookman Old Style"/>
          <w:noProof/>
          <w:lang w:eastAsia="en-ZA"/>
        </w:rPr>
      </w:pPr>
    </w:p>
    <w:p w:rsidR="00E54DE5" w:rsidRDefault="00E54DE5" w:rsidP="00BD55B9">
      <w:pPr>
        <w:pStyle w:val="ListParagraph"/>
        <w:spacing w:after="0"/>
        <w:rPr>
          <w:rFonts w:ascii="Bookman Old Style" w:hAnsi="Bookman Old Style"/>
          <w:noProof/>
          <w:lang w:eastAsia="en-ZA"/>
        </w:rPr>
      </w:pPr>
    </w:p>
    <w:p w:rsidR="00E54DE5" w:rsidRDefault="00E54DE5" w:rsidP="00BD55B9">
      <w:pPr>
        <w:pStyle w:val="ListParagraph"/>
        <w:spacing w:after="0"/>
        <w:rPr>
          <w:rFonts w:ascii="Arial" w:hAnsi="Arial" w:cs="Arial"/>
          <w:sz w:val="24"/>
          <w:szCs w:val="24"/>
        </w:rPr>
      </w:pPr>
    </w:p>
    <w:p w:rsidR="00030C69" w:rsidRPr="0044790E" w:rsidRDefault="00030C69" w:rsidP="0044790E">
      <w:pPr>
        <w:pStyle w:val="NoSpacing"/>
        <w:spacing w:line="360" w:lineRule="auto"/>
        <w:rPr>
          <w:rFonts w:ascii="Arial" w:hAnsi="Arial" w:cs="Arial"/>
          <w:b/>
          <w:sz w:val="24"/>
          <w:szCs w:val="24"/>
        </w:rPr>
      </w:pPr>
      <w:r w:rsidRPr="0044790E">
        <w:rPr>
          <w:rFonts w:ascii="Arial" w:hAnsi="Arial" w:cs="Arial"/>
          <w:b/>
          <w:sz w:val="24"/>
          <w:szCs w:val="24"/>
        </w:rPr>
        <w:t>___________________</w:t>
      </w:r>
      <w:r w:rsidR="001C2720" w:rsidRPr="0044790E">
        <w:rPr>
          <w:rFonts w:ascii="Arial" w:hAnsi="Arial" w:cs="Arial"/>
          <w:b/>
          <w:sz w:val="24"/>
          <w:szCs w:val="24"/>
        </w:rPr>
        <w:tab/>
      </w:r>
      <w:r w:rsidR="004D221F">
        <w:rPr>
          <w:rFonts w:ascii="Arial" w:hAnsi="Arial" w:cs="Arial"/>
          <w:b/>
          <w:sz w:val="24"/>
          <w:szCs w:val="24"/>
        </w:rPr>
        <w:t>____________________</w:t>
      </w:r>
      <w:r w:rsidR="004D221F">
        <w:rPr>
          <w:rFonts w:ascii="Arial" w:hAnsi="Arial" w:cs="Arial"/>
          <w:b/>
          <w:sz w:val="24"/>
          <w:szCs w:val="24"/>
        </w:rPr>
        <w:tab/>
        <w:t>__________________</w:t>
      </w:r>
      <w:r w:rsidR="004D221F">
        <w:rPr>
          <w:rFonts w:ascii="Arial" w:hAnsi="Arial" w:cs="Arial"/>
          <w:b/>
          <w:sz w:val="24"/>
          <w:szCs w:val="24"/>
        </w:rPr>
        <w:tab/>
      </w:r>
    </w:p>
    <w:p w:rsidR="004D221F" w:rsidRPr="0044790E" w:rsidRDefault="004D221F" w:rsidP="004D221F">
      <w:pPr>
        <w:pStyle w:val="NoSpacing"/>
        <w:spacing w:line="360" w:lineRule="auto"/>
        <w:rPr>
          <w:rFonts w:ascii="Arial" w:hAnsi="Arial" w:cs="Arial"/>
          <w:b/>
          <w:sz w:val="24"/>
          <w:szCs w:val="24"/>
        </w:rPr>
      </w:pPr>
      <w:r>
        <w:rPr>
          <w:rFonts w:ascii="Arial" w:hAnsi="Arial" w:cs="Arial"/>
          <w:b/>
          <w:sz w:val="24"/>
          <w:szCs w:val="24"/>
        </w:rPr>
        <w:t>SHIVUTE CJ</w:t>
      </w:r>
      <w:r w:rsidRPr="004D221F">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44790E">
        <w:rPr>
          <w:rFonts w:ascii="Arial" w:hAnsi="Arial" w:cs="Arial"/>
          <w:b/>
          <w:sz w:val="24"/>
          <w:szCs w:val="24"/>
        </w:rPr>
        <w:t>SMUTS JA</w:t>
      </w:r>
      <w:r w:rsidRPr="004D221F">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FRANK AJA</w:t>
      </w:r>
    </w:p>
    <w:p w:rsidR="004D221F" w:rsidRDefault="004D221F" w:rsidP="004D221F">
      <w:pPr>
        <w:pStyle w:val="NoSpacing"/>
        <w:spacing w:line="360" w:lineRule="auto"/>
        <w:rPr>
          <w:rFonts w:ascii="Arial" w:hAnsi="Arial" w:cs="Arial"/>
          <w:b/>
          <w:sz w:val="24"/>
          <w:szCs w:val="24"/>
        </w:rPr>
      </w:pPr>
    </w:p>
    <w:p w:rsidR="00207296" w:rsidRDefault="00207296" w:rsidP="0044790E">
      <w:pPr>
        <w:pStyle w:val="NoSpacing"/>
        <w:spacing w:line="360" w:lineRule="auto"/>
        <w:jc w:val="both"/>
        <w:rPr>
          <w:rFonts w:ascii="Arial" w:hAnsi="Arial" w:cs="Arial"/>
          <w:b/>
          <w:sz w:val="24"/>
          <w:szCs w:val="24"/>
        </w:rPr>
      </w:pPr>
    </w:p>
    <w:p w:rsidR="002E426A" w:rsidRPr="001C25CA" w:rsidRDefault="002E426A" w:rsidP="000B1CCA">
      <w:pPr>
        <w:pStyle w:val="NoSpacing"/>
        <w:spacing w:line="360" w:lineRule="auto"/>
        <w:rPr>
          <w:rFonts w:ascii="Arial" w:hAnsi="Arial" w:cs="Arial"/>
          <w:sz w:val="24"/>
          <w:szCs w:val="24"/>
        </w:rPr>
      </w:pPr>
      <w:r w:rsidRPr="001C25CA">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APPEARANCES</w:t>
            </w:r>
          </w:p>
          <w:p w:rsidR="00721889" w:rsidRPr="001C25CA" w:rsidRDefault="00721889" w:rsidP="00503269">
            <w:pPr>
              <w:ind w:right="-146"/>
              <w:rPr>
                <w:rFonts w:ascii="Arial" w:hAnsi="Arial" w:cs="Arial"/>
                <w:sz w:val="24"/>
                <w:szCs w:val="24"/>
              </w:rPr>
            </w:pPr>
          </w:p>
          <w:p w:rsidR="00721889" w:rsidRPr="001C25CA" w:rsidRDefault="00721889" w:rsidP="000B1CCA">
            <w:pPr>
              <w:ind w:left="-108" w:right="-146"/>
              <w:rPr>
                <w:rFonts w:ascii="Arial" w:hAnsi="Arial" w:cs="Arial"/>
                <w:sz w:val="24"/>
                <w:szCs w:val="24"/>
              </w:rPr>
            </w:pPr>
            <w:r w:rsidRPr="001C25CA">
              <w:rPr>
                <w:rFonts w:ascii="Arial" w:hAnsi="Arial" w:cs="Arial"/>
                <w:sz w:val="24"/>
                <w:szCs w:val="24"/>
              </w:rPr>
              <w:t>APPELLANT:</w:t>
            </w:r>
          </w:p>
        </w:tc>
        <w:tc>
          <w:tcPr>
            <w:tcW w:w="4261" w:type="dxa"/>
            <w:shd w:val="clear" w:color="auto" w:fill="auto"/>
          </w:tcPr>
          <w:p w:rsidR="00721889" w:rsidRPr="001C25CA" w:rsidRDefault="00721889" w:rsidP="00503269">
            <w:pPr>
              <w:rPr>
                <w:rFonts w:ascii="Arial" w:hAnsi="Arial" w:cs="Arial"/>
                <w:sz w:val="24"/>
                <w:szCs w:val="24"/>
              </w:rPr>
            </w:pPr>
          </w:p>
          <w:p w:rsidR="00721889" w:rsidRPr="001C25CA" w:rsidRDefault="00721889" w:rsidP="00503269">
            <w:pPr>
              <w:rPr>
                <w:rFonts w:ascii="Arial" w:hAnsi="Arial" w:cs="Arial"/>
                <w:sz w:val="24"/>
                <w:szCs w:val="24"/>
              </w:rPr>
            </w:pPr>
          </w:p>
          <w:p w:rsidR="00721889" w:rsidRDefault="00FF1FFC" w:rsidP="00503269">
            <w:pPr>
              <w:rPr>
                <w:rFonts w:ascii="Arial" w:hAnsi="Arial" w:cs="Arial"/>
                <w:sz w:val="24"/>
                <w:szCs w:val="24"/>
              </w:rPr>
            </w:pPr>
            <w:r>
              <w:rPr>
                <w:rFonts w:ascii="Arial" w:hAnsi="Arial" w:cs="Arial"/>
                <w:sz w:val="24"/>
                <w:szCs w:val="24"/>
              </w:rPr>
              <w:t>N Marcus</w:t>
            </w:r>
            <w:r w:rsidR="00C27754">
              <w:rPr>
                <w:rFonts w:ascii="Arial" w:hAnsi="Arial" w:cs="Arial"/>
                <w:sz w:val="24"/>
                <w:szCs w:val="24"/>
              </w:rPr>
              <w:t xml:space="preserve"> </w:t>
            </w:r>
          </w:p>
          <w:p w:rsidR="00644878" w:rsidRPr="001C25CA" w:rsidRDefault="00FF1FFC" w:rsidP="00FF1FFC">
            <w:pPr>
              <w:spacing w:after="0" w:line="240" w:lineRule="auto"/>
              <w:rPr>
                <w:rFonts w:ascii="Arial" w:hAnsi="Arial" w:cs="Arial"/>
                <w:sz w:val="24"/>
                <w:szCs w:val="24"/>
              </w:rPr>
            </w:pPr>
            <w:r>
              <w:rPr>
                <w:rFonts w:ascii="Arial" w:hAnsi="Arial" w:cs="Arial"/>
                <w:sz w:val="24"/>
                <w:szCs w:val="24"/>
              </w:rPr>
              <w:t>Of Nixon Marcus Public Law Chambers</w:t>
            </w:r>
          </w:p>
        </w:tc>
      </w:tr>
      <w:tr w:rsidR="00721889" w:rsidRPr="001C25CA" w:rsidTr="005C0BAB">
        <w:tc>
          <w:tcPr>
            <w:tcW w:w="4386" w:type="dxa"/>
            <w:shd w:val="clear" w:color="auto" w:fill="auto"/>
          </w:tcPr>
          <w:p w:rsidR="00721889" w:rsidRPr="001C25CA" w:rsidRDefault="00721889" w:rsidP="00503269">
            <w:pPr>
              <w:rPr>
                <w:rFonts w:ascii="Arial" w:hAnsi="Arial" w:cs="Arial"/>
                <w:sz w:val="24"/>
                <w:szCs w:val="24"/>
              </w:rPr>
            </w:pPr>
          </w:p>
          <w:p w:rsidR="00721889" w:rsidRPr="001C25CA" w:rsidRDefault="00721889" w:rsidP="00C27754">
            <w:pPr>
              <w:ind w:left="-108"/>
              <w:rPr>
                <w:rFonts w:ascii="Arial" w:hAnsi="Arial" w:cs="Arial"/>
                <w:sz w:val="24"/>
                <w:szCs w:val="24"/>
              </w:rPr>
            </w:pPr>
            <w:r w:rsidRPr="001C25CA">
              <w:rPr>
                <w:rFonts w:ascii="Arial" w:hAnsi="Arial" w:cs="Arial"/>
                <w:sz w:val="24"/>
                <w:szCs w:val="24"/>
              </w:rPr>
              <w:t>RESPONDENT:</w:t>
            </w:r>
          </w:p>
        </w:tc>
        <w:tc>
          <w:tcPr>
            <w:tcW w:w="4261" w:type="dxa"/>
            <w:shd w:val="clear" w:color="auto" w:fill="auto"/>
          </w:tcPr>
          <w:p w:rsidR="00721889" w:rsidRPr="001C25CA" w:rsidRDefault="00721889" w:rsidP="00503269">
            <w:pPr>
              <w:rPr>
                <w:rFonts w:ascii="Arial" w:hAnsi="Arial" w:cs="Arial"/>
                <w:sz w:val="24"/>
                <w:szCs w:val="24"/>
              </w:rPr>
            </w:pPr>
          </w:p>
          <w:p w:rsidR="00C06ED6" w:rsidRDefault="00C27754" w:rsidP="009834C3">
            <w:pPr>
              <w:rPr>
                <w:rFonts w:ascii="Arial" w:hAnsi="Arial" w:cs="Arial"/>
                <w:sz w:val="24"/>
                <w:szCs w:val="24"/>
              </w:rPr>
            </w:pPr>
            <w:r>
              <w:rPr>
                <w:rFonts w:ascii="Arial" w:hAnsi="Arial" w:cs="Arial"/>
                <w:sz w:val="24"/>
                <w:szCs w:val="24"/>
              </w:rPr>
              <w:t xml:space="preserve">R </w:t>
            </w:r>
            <w:r w:rsidR="00FF1FFC">
              <w:rPr>
                <w:rFonts w:ascii="Arial" w:hAnsi="Arial" w:cs="Arial"/>
                <w:sz w:val="24"/>
                <w:szCs w:val="24"/>
              </w:rPr>
              <w:t>Heathcote</w:t>
            </w:r>
            <w:r w:rsidR="009834C3">
              <w:rPr>
                <w:rFonts w:ascii="Arial" w:hAnsi="Arial" w:cs="Arial"/>
                <w:sz w:val="24"/>
                <w:szCs w:val="24"/>
              </w:rPr>
              <w:t xml:space="preserve"> (</w:t>
            </w:r>
            <w:r>
              <w:rPr>
                <w:rFonts w:ascii="Arial" w:hAnsi="Arial" w:cs="Arial"/>
                <w:sz w:val="24"/>
                <w:szCs w:val="24"/>
              </w:rPr>
              <w:t xml:space="preserve">with him </w:t>
            </w:r>
            <w:r w:rsidR="00BA48C5">
              <w:rPr>
                <w:rFonts w:ascii="Arial" w:hAnsi="Arial" w:cs="Arial"/>
                <w:sz w:val="24"/>
                <w:szCs w:val="24"/>
              </w:rPr>
              <w:t>B</w:t>
            </w:r>
            <w:r w:rsidR="00FF1FFC">
              <w:rPr>
                <w:rFonts w:ascii="Arial" w:hAnsi="Arial" w:cs="Arial"/>
                <w:sz w:val="24"/>
                <w:szCs w:val="24"/>
              </w:rPr>
              <w:t xml:space="preserve"> de Jager</w:t>
            </w:r>
            <w:r w:rsidR="009834C3">
              <w:rPr>
                <w:rFonts w:ascii="Arial" w:hAnsi="Arial" w:cs="Arial"/>
                <w:sz w:val="24"/>
                <w:szCs w:val="24"/>
              </w:rPr>
              <w:t xml:space="preserve">) </w:t>
            </w:r>
          </w:p>
          <w:p w:rsidR="009834C3" w:rsidRPr="001C25CA" w:rsidRDefault="00FD51CB" w:rsidP="00FF1FFC">
            <w:pPr>
              <w:rPr>
                <w:rFonts w:ascii="Arial" w:hAnsi="Arial" w:cs="Arial"/>
                <w:sz w:val="24"/>
                <w:szCs w:val="24"/>
              </w:rPr>
            </w:pPr>
            <w:r>
              <w:rPr>
                <w:rFonts w:ascii="Arial" w:hAnsi="Arial" w:cs="Arial"/>
                <w:sz w:val="24"/>
                <w:szCs w:val="24"/>
              </w:rPr>
              <w:t xml:space="preserve">Instructed by </w:t>
            </w:r>
            <w:r w:rsidR="00FF1FFC">
              <w:rPr>
                <w:rFonts w:ascii="Arial" w:hAnsi="Arial" w:cs="Arial"/>
                <w:sz w:val="24"/>
                <w:szCs w:val="24"/>
              </w:rPr>
              <w:t>Nambahu and Associates</w:t>
            </w:r>
            <w:r w:rsidRPr="001C25CA">
              <w:rPr>
                <w:rFonts w:ascii="Arial" w:hAnsi="Arial" w:cs="Arial"/>
                <w:sz w:val="24"/>
                <w:szCs w:val="24"/>
              </w:rPr>
              <w:t xml:space="preserve"> </w:t>
            </w:r>
          </w:p>
        </w:tc>
      </w:tr>
      <w:tr w:rsidR="00C06ED6" w:rsidRPr="001C25CA" w:rsidTr="00193723">
        <w:tc>
          <w:tcPr>
            <w:tcW w:w="4386" w:type="dxa"/>
            <w:shd w:val="clear" w:color="auto" w:fill="auto"/>
          </w:tcPr>
          <w:p w:rsidR="00C06ED6" w:rsidRPr="001C25CA" w:rsidRDefault="00C06ED6" w:rsidP="00C06ED6">
            <w:pPr>
              <w:ind w:left="-108"/>
              <w:rPr>
                <w:rFonts w:ascii="Arial" w:hAnsi="Arial" w:cs="Arial"/>
                <w:sz w:val="24"/>
                <w:szCs w:val="24"/>
              </w:rPr>
            </w:pPr>
          </w:p>
        </w:tc>
        <w:tc>
          <w:tcPr>
            <w:tcW w:w="4261" w:type="dxa"/>
            <w:shd w:val="clear" w:color="auto" w:fill="auto"/>
          </w:tcPr>
          <w:p w:rsidR="00C06ED6" w:rsidRPr="001C25CA" w:rsidRDefault="00C06ED6" w:rsidP="00C06ED6">
            <w:pPr>
              <w:rPr>
                <w:rFonts w:ascii="Arial" w:hAnsi="Arial" w:cs="Arial"/>
                <w:sz w:val="24"/>
                <w:szCs w:val="24"/>
              </w:rPr>
            </w:pPr>
          </w:p>
        </w:tc>
      </w:tr>
    </w:tbl>
    <w:p w:rsidR="00721889" w:rsidRPr="001C25CA" w:rsidRDefault="00721889" w:rsidP="00C06ED6">
      <w:pPr>
        <w:pStyle w:val="NoSpacing"/>
        <w:jc w:val="both"/>
        <w:rPr>
          <w:rFonts w:ascii="Arial" w:hAnsi="Arial" w:cs="Arial"/>
          <w:sz w:val="24"/>
          <w:szCs w:val="24"/>
        </w:rPr>
      </w:pPr>
    </w:p>
    <w:sectPr w:rsidR="00721889" w:rsidRPr="001C25CA" w:rsidSect="00430321">
      <w:headerReference w:type="default" r:id="rId12"/>
      <w:pgSz w:w="11906" w:h="16838"/>
      <w:pgMar w:top="811" w:right="1418"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786" w:rsidRDefault="003A3786" w:rsidP="00B5013F">
      <w:pPr>
        <w:spacing w:after="0" w:line="240" w:lineRule="auto"/>
      </w:pPr>
      <w:r>
        <w:separator/>
      </w:r>
    </w:p>
  </w:endnote>
  <w:endnote w:type="continuationSeparator" w:id="0">
    <w:p w:rsidR="003A3786" w:rsidRDefault="003A3786"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786" w:rsidRDefault="003A3786" w:rsidP="00B5013F">
      <w:pPr>
        <w:spacing w:after="0" w:line="240" w:lineRule="auto"/>
      </w:pPr>
      <w:r>
        <w:separator/>
      </w:r>
    </w:p>
  </w:footnote>
  <w:footnote w:type="continuationSeparator" w:id="0">
    <w:p w:rsidR="003A3786" w:rsidRDefault="003A3786" w:rsidP="00B5013F">
      <w:pPr>
        <w:spacing w:after="0" w:line="240" w:lineRule="auto"/>
      </w:pPr>
      <w:r>
        <w:continuationSeparator/>
      </w:r>
    </w:p>
  </w:footnote>
  <w:footnote w:id="1">
    <w:p w:rsidR="00B31AF4" w:rsidRDefault="00B31AF4">
      <w:pPr>
        <w:pStyle w:val="FootnoteText"/>
      </w:pPr>
      <w:r>
        <w:rPr>
          <w:rStyle w:val="FootnoteReference"/>
        </w:rPr>
        <w:footnoteRef/>
      </w:r>
      <w:r>
        <w:t xml:space="preserve"> </w:t>
      </w:r>
      <w:r w:rsidR="00CE78C7" w:rsidRPr="00F66131">
        <w:rPr>
          <w:rFonts w:ascii="Arial" w:hAnsi="Arial" w:cs="Arial"/>
        </w:rPr>
        <w:t xml:space="preserve">2004 (6) SA 222 (SCA) </w:t>
      </w:r>
      <w:r w:rsidR="00CE78C7" w:rsidRPr="00F66131">
        <w:rPr>
          <w:rFonts w:ascii="Arial" w:hAnsi="Arial" w:cs="Arial"/>
          <w:i/>
        </w:rPr>
        <w:t>(Oudekraal).</w:t>
      </w:r>
    </w:p>
  </w:footnote>
  <w:footnote w:id="2">
    <w:p w:rsidR="008703B0" w:rsidRPr="00F66131" w:rsidRDefault="008703B0"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1987 (4) SA 869 (T).</w:t>
      </w:r>
    </w:p>
  </w:footnote>
  <w:footnote w:id="3">
    <w:p w:rsidR="008703B0" w:rsidRPr="00F66131" w:rsidRDefault="008703B0"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w:t>
      </w:r>
      <w:r w:rsidRPr="00F66131">
        <w:rPr>
          <w:rFonts w:ascii="Arial" w:hAnsi="Arial" w:cs="Arial"/>
          <w:i/>
        </w:rPr>
        <w:t>Beecham</w:t>
      </w:r>
      <w:r w:rsidRPr="00F66131">
        <w:rPr>
          <w:rFonts w:ascii="Arial" w:hAnsi="Arial" w:cs="Arial"/>
        </w:rPr>
        <w:t xml:space="preserve"> at 871</w:t>
      </w:r>
      <w:r w:rsidR="00C22C62">
        <w:rPr>
          <w:rFonts w:ascii="Arial" w:hAnsi="Arial" w:cs="Arial"/>
        </w:rPr>
        <w:t>J</w:t>
      </w:r>
      <w:r w:rsidRPr="00F66131">
        <w:rPr>
          <w:rFonts w:ascii="Arial" w:hAnsi="Arial" w:cs="Arial"/>
        </w:rPr>
        <w:t xml:space="preserve">–872A. See also </w:t>
      </w:r>
      <w:r w:rsidRPr="00F66131">
        <w:rPr>
          <w:rFonts w:ascii="Arial" w:hAnsi="Arial" w:cs="Arial"/>
          <w:i/>
        </w:rPr>
        <w:t>Oliphants Tin “B” Syndicate v De Jager</w:t>
      </w:r>
      <w:r w:rsidRPr="00F66131">
        <w:rPr>
          <w:rFonts w:ascii="Arial" w:hAnsi="Arial" w:cs="Arial"/>
        </w:rPr>
        <w:t xml:space="preserve"> 1912 AD 477.</w:t>
      </w:r>
    </w:p>
  </w:footnote>
  <w:footnote w:id="4">
    <w:p w:rsidR="008703B0" w:rsidRPr="00F66131" w:rsidRDefault="008703B0"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w:t>
      </w:r>
      <w:r w:rsidRPr="00F66131">
        <w:rPr>
          <w:rFonts w:ascii="Arial" w:hAnsi="Arial" w:cs="Arial"/>
          <w:i/>
        </w:rPr>
        <w:t>Reid v Godart</w:t>
      </w:r>
      <w:r w:rsidRPr="00F66131">
        <w:rPr>
          <w:rFonts w:ascii="Arial" w:hAnsi="Arial" w:cs="Arial"/>
        </w:rPr>
        <w:t xml:space="preserve"> 1938 (AD) 511 and </w:t>
      </w:r>
      <w:r w:rsidRPr="00F66131">
        <w:rPr>
          <w:rFonts w:ascii="Arial" w:hAnsi="Arial" w:cs="Arial"/>
          <w:i/>
        </w:rPr>
        <w:t>Mavromati v Union Exploration Import (Pty) Ltd</w:t>
      </w:r>
      <w:r w:rsidRPr="00F66131">
        <w:rPr>
          <w:rFonts w:ascii="Arial" w:hAnsi="Arial" w:cs="Arial"/>
        </w:rPr>
        <w:t xml:space="preserve"> 1947 (1) SA 604 (T).</w:t>
      </w:r>
    </w:p>
  </w:footnote>
  <w:footnote w:id="5">
    <w:p w:rsidR="008703B0" w:rsidRPr="00F66131" w:rsidRDefault="008703B0"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w:t>
      </w:r>
      <w:r w:rsidRPr="00F66131">
        <w:rPr>
          <w:rFonts w:ascii="Arial" w:hAnsi="Arial" w:cs="Arial"/>
          <w:i/>
        </w:rPr>
        <w:t>Holland v Deysel</w:t>
      </w:r>
      <w:r w:rsidRPr="00F66131">
        <w:rPr>
          <w:rFonts w:ascii="Arial" w:hAnsi="Arial" w:cs="Arial"/>
        </w:rPr>
        <w:t xml:space="preserve"> 1970 (1) SA 90 (A).</w:t>
      </w:r>
    </w:p>
  </w:footnote>
  <w:footnote w:id="6">
    <w:p w:rsidR="008703B0" w:rsidRPr="00F66131" w:rsidRDefault="008703B0"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Act 16 of 1990.</w:t>
      </w:r>
    </w:p>
  </w:footnote>
  <w:footnote w:id="7">
    <w:p w:rsidR="008703B0" w:rsidRPr="00F66131" w:rsidRDefault="008703B0"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Section 18(2)</w:t>
      </w:r>
      <w:r w:rsidRPr="00F66131">
        <w:rPr>
          <w:rFonts w:ascii="Arial" w:hAnsi="Arial" w:cs="Arial"/>
          <w:i/>
        </w:rPr>
        <w:t>(a).</w:t>
      </w:r>
    </w:p>
  </w:footnote>
  <w:footnote w:id="8">
    <w:p w:rsidR="008703B0" w:rsidRPr="00F66131" w:rsidRDefault="008703B0"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Section 18(2)</w:t>
      </w:r>
      <w:r w:rsidRPr="00F66131">
        <w:rPr>
          <w:rFonts w:ascii="Arial" w:hAnsi="Arial" w:cs="Arial"/>
          <w:i/>
        </w:rPr>
        <w:t>(b)</w:t>
      </w:r>
      <w:r w:rsidRPr="00F66131">
        <w:rPr>
          <w:rFonts w:ascii="Arial" w:hAnsi="Arial" w:cs="Arial"/>
        </w:rPr>
        <w:t xml:space="preserve"> and 18(3).</w:t>
      </w:r>
    </w:p>
  </w:footnote>
  <w:footnote w:id="9">
    <w:p w:rsidR="008703B0" w:rsidRPr="00F66131" w:rsidRDefault="008703B0"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w:t>
      </w:r>
      <w:r w:rsidRPr="00F66131">
        <w:rPr>
          <w:rFonts w:ascii="Arial" w:hAnsi="Arial" w:cs="Arial"/>
          <w:i/>
        </w:rPr>
        <w:t>Rogers &amp; Hart (Pty) Ltd v Parkgebou-Beleggings en Wynkelders Beperk</w:t>
      </w:r>
      <w:r w:rsidRPr="00F66131">
        <w:rPr>
          <w:rFonts w:ascii="Arial" w:hAnsi="Arial" w:cs="Arial"/>
        </w:rPr>
        <w:t xml:space="preserve"> 1956 (3) SA 329 (A) and </w:t>
      </w:r>
      <w:r w:rsidRPr="00F66131">
        <w:rPr>
          <w:rFonts w:ascii="Arial" w:hAnsi="Arial" w:cs="Arial"/>
          <w:i/>
        </w:rPr>
        <w:t>Blou v Lampert and Chipkin, NNO, &amp; others</w:t>
      </w:r>
      <w:r w:rsidRPr="00F66131">
        <w:rPr>
          <w:rFonts w:ascii="Arial" w:hAnsi="Arial" w:cs="Arial"/>
        </w:rPr>
        <w:t xml:space="preserve"> 1973 (1) SA 1 (A).</w:t>
      </w:r>
    </w:p>
  </w:footnote>
  <w:footnote w:id="10">
    <w:p w:rsidR="008703B0" w:rsidRPr="00F66131" w:rsidRDefault="008703B0"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Section 18(2)</w:t>
      </w:r>
      <w:r w:rsidRPr="00F66131">
        <w:rPr>
          <w:rFonts w:ascii="Arial" w:hAnsi="Arial" w:cs="Arial"/>
          <w:i/>
        </w:rPr>
        <w:t>(b)</w:t>
      </w:r>
      <w:r w:rsidRPr="00F66131">
        <w:rPr>
          <w:rFonts w:ascii="Arial" w:hAnsi="Arial" w:cs="Arial"/>
        </w:rPr>
        <w:t xml:space="preserve"> read with 18(5).</w:t>
      </w:r>
    </w:p>
  </w:footnote>
  <w:footnote w:id="11">
    <w:p w:rsidR="008703B0" w:rsidRPr="00F66131" w:rsidRDefault="008703B0"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w:t>
      </w:r>
      <w:r w:rsidRPr="00F66131">
        <w:rPr>
          <w:rFonts w:ascii="Arial" w:hAnsi="Arial" w:cs="Arial"/>
          <w:i/>
        </w:rPr>
        <w:t>Blou v Lampert and Chipkin, NNO, &amp; others</w:t>
      </w:r>
      <w:r w:rsidRPr="00F66131">
        <w:rPr>
          <w:rFonts w:ascii="Arial" w:hAnsi="Arial" w:cs="Arial"/>
        </w:rPr>
        <w:t xml:space="preserve"> above.</w:t>
      </w:r>
    </w:p>
  </w:footnote>
  <w:footnote w:id="12">
    <w:p w:rsidR="008703B0" w:rsidRPr="00F66131" w:rsidRDefault="008703B0"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w:t>
      </w:r>
      <w:r w:rsidRPr="00F66131">
        <w:rPr>
          <w:rFonts w:ascii="Arial" w:hAnsi="Arial" w:cs="Arial"/>
          <w:i/>
        </w:rPr>
        <w:t>Westinghouse Brake &amp; Equipment (Pty) Ltd v Bilger Engineering (Pty) Ltd</w:t>
      </w:r>
      <w:r w:rsidRPr="00F66131">
        <w:rPr>
          <w:rFonts w:ascii="Arial" w:hAnsi="Arial" w:cs="Arial"/>
        </w:rPr>
        <w:t xml:space="preserve"> 1986 (2) SA 555 (A) and Herbstein &amp; Van Winsen </w:t>
      </w:r>
      <w:r w:rsidRPr="00F66131">
        <w:rPr>
          <w:rFonts w:ascii="Arial" w:hAnsi="Arial" w:cs="Arial"/>
          <w:i/>
        </w:rPr>
        <w:t>The Civil Practice of the High Court of South Africa</w:t>
      </w:r>
      <w:r w:rsidRPr="00F66131">
        <w:rPr>
          <w:rFonts w:ascii="Arial" w:hAnsi="Arial" w:cs="Arial"/>
        </w:rPr>
        <w:t xml:space="preserve"> 5 ed vol II at 1167.</w:t>
      </w:r>
    </w:p>
  </w:footnote>
  <w:footnote w:id="13">
    <w:p w:rsidR="00773035" w:rsidRPr="00F66131" w:rsidRDefault="00773035" w:rsidP="00F66131">
      <w:pPr>
        <w:pStyle w:val="FootnoteText"/>
        <w:jc w:val="both"/>
        <w:rPr>
          <w:rFonts w:ascii="Arial" w:hAnsi="Arial" w:cs="Arial"/>
        </w:rPr>
      </w:pPr>
      <w:r w:rsidRPr="00F66131">
        <w:rPr>
          <w:rStyle w:val="FootnoteReference"/>
          <w:rFonts w:ascii="Arial" w:hAnsi="Arial" w:cs="Arial"/>
        </w:rPr>
        <w:footnoteRef/>
      </w:r>
      <w:r w:rsidR="003164FF" w:rsidRPr="00F66131">
        <w:rPr>
          <w:rFonts w:ascii="Arial" w:hAnsi="Arial" w:cs="Arial"/>
        </w:rPr>
        <w:t xml:space="preserve"> Act 23 of 1992 (‘the Act’).</w:t>
      </w:r>
    </w:p>
  </w:footnote>
  <w:footnote w:id="14">
    <w:p w:rsidR="00FE60AD" w:rsidRPr="00F66131" w:rsidRDefault="00FE60AD"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2004 (6) SA 222 (SCA) </w:t>
      </w:r>
      <w:r w:rsidR="00FB0B96" w:rsidRPr="00F66131">
        <w:rPr>
          <w:rFonts w:ascii="Arial" w:hAnsi="Arial" w:cs="Arial"/>
          <w:i/>
        </w:rPr>
        <w:t>(Oudekraal).</w:t>
      </w:r>
    </w:p>
  </w:footnote>
  <w:footnote w:id="15">
    <w:p w:rsidR="00FE60AD" w:rsidRPr="00F66131" w:rsidRDefault="00FE60AD"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1996 NR 400 (HC).</w:t>
      </w:r>
    </w:p>
  </w:footnote>
  <w:footnote w:id="16">
    <w:p w:rsidR="00B82939" w:rsidRPr="00F66131" w:rsidRDefault="00B82939"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Rule 52 (</w:t>
      </w:r>
      <w:r w:rsidR="00A27C78" w:rsidRPr="00F66131">
        <w:rPr>
          <w:rFonts w:ascii="Arial" w:hAnsi="Arial" w:cs="Arial"/>
        </w:rPr>
        <w:t>9</w:t>
      </w:r>
      <w:r w:rsidRPr="00F66131">
        <w:rPr>
          <w:rFonts w:ascii="Arial" w:hAnsi="Arial" w:cs="Arial"/>
        </w:rPr>
        <w:t>).</w:t>
      </w:r>
    </w:p>
  </w:footnote>
  <w:footnote w:id="17">
    <w:p w:rsidR="00B82939" w:rsidRPr="00F66131" w:rsidRDefault="00B82939"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w:t>
      </w:r>
      <w:r w:rsidR="009F67BC">
        <w:rPr>
          <w:rFonts w:ascii="Arial" w:hAnsi="Arial" w:cs="Arial"/>
        </w:rPr>
        <w:t xml:space="preserve">(I 601-2013 &amp; I 4084-2010) </w:t>
      </w:r>
      <w:r w:rsidR="00FB0B96" w:rsidRPr="00F66131">
        <w:rPr>
          <w:rFonts w:ascii="Arial" w:hAnsi="Arial" w:cs="Arial"/>
        </w:rPr>
        <w:t>[2014] NAHCMD 306 (17 October 2014).</w:t>
      </w:r>
    </w:p>
  </w:footnote>
  <w:footnote w:id="18">
    <w:p w:rsidR="00AC478B" w:rsidRPr="00F66131" w:rsidRDefault="00AC478B"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Para 37.</w:t>
      </w:r>
    </w:p>
  </w:footnote>
  <w:footnote w:id="19">
    <w:p w:rsidR="00AC478B" w:rsidRPr="00F66131" w:rsidRDefault="00AC478B"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Para 50 as embodied in </w:t>
      </w:r>
      <w:r w:rsidR="00B207EA" w:rsidRPr="00F66131">
        <w:rPr>
          <w:rFonts w:ascii="Arial" w:hAnsi="Arial" w:cs="Arial"/>
        </w:rPr>
        <w:t xml:space="preserve">the </w:t>
      </w:r>
      <w:r w:rsidRPr="00F66131">
        <w:rPr>
          <w:rFonts w:ascii="Arial" w:hAnsi="Arial" w:cs="Arial"/>
        </w:rPr>
        <w:t>erstwhile Rule 1A, now replaced and expanded in rule 1 (3) of the current rules of the High Court.</w:t>
      </w:r>
    </w:p>
  </w:footnote>
  <w:footnote w:id="20">
    <w:p w:rsidR="00CB6DF2" w:rsidRPr="00C63F7B" w:rsidRDefault="00CB6DF2" w:rsidP="00F66131">
      <w:pPr>
        <w:pStyle w:val="FootnoteText"/>
        <w:jc w:val="both"/>
        <w:rPr>
          <w:rFonts w:ascii="Arial" w:hAnsi="Arial" w:cs="Arial"/>
        </w:rPr>
      </w:pPr>
      <w:r w:rsidRPr="00C63F7B">
        <w:rPr>
          <w:rStyle w:val="FootnoteReference"/>
          <w:rFonts w:ascii="Arial" w:hAnsi="Arial" w:cs="Arial"/>
        </w:rPr>
        <w:footnoteRef/>
      </w:r>
      <w:r w:rsidRPr="00C63F7B">
        <w:rPr>
          <w:rFonts w:ascii="Arial" w:hAnsi="Arial" w:cs="Arial"/>
        </w:rPr>
        <w:t xml:space="preserve"> </w:t>
      </w:r>
      <w:r w:rsidR="00C63F7B">
        <w:rPr>
          <w:rFonts w:ascii="Arial" w:hAnsi="Arial" w:cs="Arial"/>
        </w:rPr>
        <w:t>Petrus T Damaseb</w:t>
      </w:r>
      <w:r w:rsidR="00C63F7B" w:rsidRPr="00C63F7B">
        <w:rPr>
          <w:rFonts w:ascii="Arial" w:hAnsi="Arial" w:cs="Arial"/>
          <w:i/>
        </w:rPr>
        <w:t xml:space="preserve"> Court Management Civil Procedure of the High Court of </w:t>
      </w:r>
      <w:r w:rsidR="0001341A" w:rsidRPr="00C63F7B">
        <w:rPr>
          <w:rFonts w:ascii="Arial" w:hAnsi="Arial" w:cs="Arial"/>
          <w:i/>
        </w:rPr>
        <w:t>Namibia</w:t>
      </w:r>
      <w:r w:rsidR="0001341A">
        <w:rPr>
          <w:rFonts w:ascii="Arial" w:hAnsi="Arial" w:cs="Arial"/>
          <w:i/>
        </w:rPr>
        <w:t>: Law, Procedure and Practice</w:t>
      </w:r>
      <w:r w:rsidR="00C63F7B">
        <w:rPr>
          <w:rFonts w:ascii="Arial" w:hAnsi="Arial" w:cs="Arial"/>
        </w:rPr>
        <w:t xml:space="preserve"> (2020) at p 102-103.</w:t>
      </w:r>
    </w:p>
  </w:footnote>
  <w:footnote w:id="21">
    <w:p w:rsidR="00E44BCE" w:rsidRPr="00F66131" w:rsidRDefault="00E44BCE"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Para </w:t>
      </w:r>
      <w:r w:rsidR="00B207EA" w:rsidRPr="00F66131">
        <w:rPr>
          <w:rFonts w:ascii="Arial" w:hAnsi="Arial" w:cs="Arial"/>
        </w:rPr>
        <w:t>55</w:t>
      </w:r>
      <w:r w:rsidR="00C63F7B">
        <w:rPr>
          <w:rFonts w:ascii="Arial" w:hAnsi="Arial" w:cs="Arial"/>
        </w:rPr>
        <w:t xml:space="preserve"> and </w:t>
      </w:r>
      <w:r w:rsidRPr="00F66131">
        <w:rPr>
          <w:rFonts w:ascii="Arial" w:hAnsi="Arial" w:cs="Arial"/>
          <w:i/>
        </w:rPr>
        <w:t xml:space="preserve">Damaseb op cit </w:t>
      </w:r>
      <w:r w:rsidR="00497826" w:rsidRPr="00497826">
        <w:rPr>
          <w:rFonts w:ascii="Arial" w:hAnsi="Arial" w:cs="Arial"/>
        </w:rPr>
        <w:t xml:space="preserve">p </w:t>
      </w:r>
      <w:r w:rsidRPr="00F66131">
        <w:rPr>
          <w:rFonts w:ascii="Arial" w:hAnsi="Arial" w:cs="Arial"/>
        </w:rPr>
        <w:t>145.</w:t>
      </w:r>
    </w:p>
  </w:footnote>
  <w:footnote w:id="22">
    <w:p w:rsidR="00B207EA" w:rsidRPr="00F66131" w:rsidRDefault="00B207EA"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Para 59.</w:t>
      </w:r>
    </w:p>
  </w:footnote>
  <w:footnote w:id="23">
    <w:p w:rsidR="00CF3785" w:rsidRPr="00F66131" w:rsidRDefault="00CF3785" w:rsidP="00F66131">
      <w:pPr>
        <w:pStyle w:val="FootnoteText"/>
        <w:jc w:val="both"/>
        <w:rPr>
          <w:rFonts w:ascii="Arial" w:hAnsi="Arial" w:cs="Arial"/>
          <w:lang w:val="en-US"/>
        </w:rPr>
      </w:pPr>
      <w:r w:rsidRPr="00F66131">
        <w:rPr>
          <w:rStyle w:val="FootnoteReference"/>
          <w:rFonts w:ascii="Arial" w:hAnsi="Arial" w:cs="Arial"/>
        </w:rPr>
        <w:footnoteRef/>
      </w:r>
      <w:r w:rsidRPr="00F66131">
        <w:rPr>
          <w:rFonts w:ascii="Arial" w:hAnsi="Arial" w:cs="Arial"/>
        </w:rPr>
        <w:t xml:space="preserve"> 2014 (2) NR 489 (HC) (</w:t>
      </w:r>
      <w:r w:rsidRPr="00F66131">
        <w:rPr>
          <w:rFonts w:ascii="Arial" w:hAnsi="Arial" w:cs="Arial"/>
          <w:i/>
        </w:rPr>
        <w:t>Scania</w:t>
      </w:r>
      <w:r w:rsidRPr="00F66131">
        <w:rPr>
          <w:rFonts w:ascii="Arial" w:hAnsi="Arial" w:cs="Arial"/>
        </w:rPr>
        <w:t xml:space="preserve">) and </w:t>
      </w:r>
      <w:r w:rsidR="0001341A">
        <w:rPr>
          <w:rFonts w:ascii="Arial" w:hAnsi="Arial" w:cs="Arial"/>
        </w:rPr>
        <w:t>(I 3499-</w:t>
      </w:r>
      <w:r w:rsidRPr="00EC4B35">
        <w:rPr>
          <w:rFonts w:ascii="Arial" w:hAnsi="Arial" w:cs="Arial"/>
        </w:rPr>
        <w:t>2011) [2014] NAHCMD 57 (19 February 2014).</w:t>
      </w:r>
    </w:p>
  </w:footnote>
  <w:footnote w:id="24">
    <w:p w:rsidR="00B207EA" w:rsidRPr="00F66131" w:rsidRDefault="00B207EA"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w:t>
      </w:r>
      <w:r w:rsidR="00CF3785" w:rsidRPr="00F66131">
        <w:rPr>
          <w:rFonts w:ascii="Arial" w:hAnsi="Arial" w:cs="Arial"/>
        </w:rPr>
        <w:t>2002 (2) SA 447 (SCA).</w:t>
      </w:r>
    </w:p>
  </w:footnote>
  <w:footnote w:id="25">
    <w:p w:rsidR="00CF3785" w:rsidRPr="00F66131" w:rsidRDefault="00CF3785"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At 450 C-D.</w:t>
      </w:r>
    </w:p>
  </w:footnote>
  <w:footnote w:id="26">
    <w:p w:rsidR="00CF3785" w:rsidRPr="00F66131" w:rsidRDefault="00CF3785"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w:t>
      </w:r>
      <w:r w:rsidR="00243CB0" w:rsidRPr="00F66131">
        <w:rPr>
          <w:rFonts w:ascii="Arial" w:hAnsi="Arial" w:cs="Arial"/>
        </w:rPr>
        <w:t>Para 42.</w:t>
      </w:r>
    </w:p>
  </w:footnote>
  <w:footnote w:id="27">
    <w:p w:rsidR="00523919" w:rsidRPr="00F66131" w:rsidRDefault="00523919" w:rsidP="00F66131">
      <w:pPr>
        <w:pStyle w:val="FootnoteText"/>
        <w:jc w:val="both"/>
        <w:rPr>
          <w:rFonts w:ascii="Arial" w:hAnsi="Arial" w:cs="Arial"/>
          <w:i/>
        </w:rPr>
      </w:pPr>
      <w:r w:rsidRPr="00F66131">
        <w:rPr>
          <w:rStyle w:val="FootnoteReference"/>
          <w:rFonts w:ascii="Arial" w:hAnsi="Arial" w:cs="Arial"/>
        </w:rPr>
        <w:footnoteRef/>
      </w:r>
      <w:r w:rsidRPr="00F66131">
        <w:rPr>
          <w:rFonts w:ascii="Arial" w:hAnsi="Arial" w:cs="Arial"/>
        </w:rPr>
        <w:t xml:space="preserve"> </w:t>
      </w:r>
      <w:r w:rsidRPr="00F66131">
        <w:rPr>
          <w:rFonts w:ascii="Arial" w:hAnsi="Arial" w:cs="Arial"/>
          <w:i/>
        </w:rPr>
        <w:t>Smith v Kwanqueb</w:t>
      </w:r>
      <w:r w:rsidR="00012D56" w:rsidRPr="00F66131">
        <w:rPr>
          <w:rFonts w:ascii="Arial" w:hAnsi="Arial" w:cs="Arial"/>
          <w:i/>
        </w:rPr>
        <w:t>ela</w:t>
      </w:r>
      <w:r w:rsidRPr="00F66131">
        <w:rPr>
          <w:rFonts w:ascii="Arial" w:hAnsi="Arial" w:cs="Arial"/>
          <w:i/>
        </w:rPr>
        <w:t xml:space="preserve"> Town Council </w:t>
      </w:r>
      <w:r w:rsidRPr="00F66131">
        <w:rPr>
          <w:rFonts w:ascii="Arial" w:hAnsi="Arial" w:cs="Arial"/>
        </w:rPr>
        <w:t xml:space="preserve">1999 (4) SA 947 (SCA) at 952; </w:t>
      </w:r>
      <w:r w:rsidR="00FA07D2">
        <w:rPr>
          <w:rFonts w:ascii="Arial" w:hAnsi="Arial" w:cs="Arial"/>
          <w:i/>
        </w:rPr>
        <w:t xml:space="preserve">Eastern Metropolitan Substructure </w:t>
      </w:r>
      <w:r w:rsidRPr="00F66131">
        <w:rPr>
          <w:rFonts w:ascii="Arial" w:hAnsi="Arial" w:cs="Arial"/>
          <w:i/>
        </w:rPr>
        <w:t xml:space="preserve">v Peter Klein Investments (Pty) Ltd </w:t>
      </w:r>
      <w:r w:rsidRPr="00F66131">
        <w:rPr>
          <w:rFonts w:ascii="Arial" w:hAnsi="Arial" w:cs="Arial"/>
        </w:rPr>
        <w:t>2001 (4) SA 661(W).</w:t>
      </w:r>
    </w:p>
  </w:footnote>
  <w:footnote w:id="28">
    <w:p w:rsidR="008768C8" w:rsidRPr="00F66131" w:rsidRDefault="008768C8" w:rsidP="00F66131">
      <w:pPr>
        <w:pStyle w:val="FootnoteText"/>
        <w:jc w:val="both"/>
        <w:rPr>
          <w:rFonts w:ascii="Arial" w:hAnsi="Arial" w:cs="Arial"/>
        </w:rPr>
      </w:pPr>
      <w:r w:rsidRPr="00F66131">
        <w:rPr>
          <w:rStyle w:val="FootnoteReference"/>
          <w:rFonts w:ascii="Arial" w:hAnsi="Arial" w:cs="Arial"/>
        </w:rPr>
        <w:footnoteRef/>
      </w:r>
      <w:r w:rsidR="00C63F7B">
        <w:rPr>
          <w:rFonts w:ascii="Arial" w:hAnsi="Arial" w:cs="Arial"/>
        </w:rPr>
        <w:t xml:space="preserve"> 2007 (2) NR 643 (SC)</w:t>
      </w:r>
      <w:r w:rsidRPr="00F66131">
        <w:rPr>
          <w:rFonts w:ascii="Arial" w:hAnsi="Arial" w:cs="Arial"/>
        </w:rPr>
        <w:t xml:space="preserve"> para 102.</w:t>
      </w:r>
    </w:p>
  </w:footnote>
  <w:footnote w:id="29">
    <w:p w:rsidR="008768C8" w:rsidRPr="00F66131" w:rsidRDefault="008768C8"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w:t>
      </w:r>
      <w:r w:rsidRPr="00F66131">
        <w:rPr>
          <w:rFonts w:ascii="Arial" w:hAnsi="Arial" w:cs="Arial"/>
          <w:i/>
        </w:rPr>
        <w:t>Royal British Bank v Tur</w:t>
      </w:r>
      <w:r w:rsidR="00D21ADF" w:rsidRPr="00F66131">
        <w:rPr>
          <w:rFonts w:ascii="Arial" w:hAnsi="Arial" w:cs="Arial"/>
          <w:i/>
        </w:rPr>
        <w:t>q</w:t>
      </w:r>
      <w:r w:rsidRPr="00F66131">
        <w:rPr>
          <w:rFonts w:ascii="Arial" w:hAnsi="Arial" w:cs="Arial"/>
          <w:i/>
        </w:rPr>
        <w:t xml:space="preserve">uand </w:t>
      </w:r>
      <w:r w:rsidRPr="00F66131">
        <w:rPr>
          <w:rFonts w:ascii="Arial" w:hAnsi="Arial" w:cs="Arial"/>
        </w:rPr>
        <w:t>(1856</w:t>
      </w:r>
      <w:r w:rsidRPr="002070CF">
        <w:rPr>
          <w:rFonts w:ascii="Arial" w:hAnsi="Arial" w:cs="Arial"/>
        </w:rPr>
        <w:t>) 119 ER 886 (Ex</w:t>
      </w:r>
      <w:r w:rsidR="002070CF" w:rsidRPr="002070CF">
        <w:rPr>
          <w:rFonts w:ascii="Arial" w:hAnsi="Arial" w:cs="Arial"/>
        </w:rPr>
        <w:t xml:space="preserve"> C</w:t>
      </w:r>
      <w:r w:rsidRPr="002070CF">
        <w:rPr>
          <w:rFonts w:ascii="Arial" w:hAnsi="Arial" w:cs="Arial"/>
        </w:rPr>
        <w:t>h)</w:t>
      </w:r>
      <w:r w:rsidR="002070CF" w:rsidRPr="002070CF">
        <w:rPr>
          <w:rFonts w:ascii="Arial" w:hAnsi="Arial" w:cs="Arial"/>
        </w:rPr>
        <w:t xml:space="preserve"> (6 E &amp; B 327)</w:t>
      </w:r>
      <w:r w:rsidRPr="002070CF">
        <w:rPr>
          <w:rFonts w:ascii="Arial" w:hAnsi="Arial" w:cs="Arial"/>
        </w:rPr>
        <w:t>;</w:t>
      </w:r>
      <w:r w:rsidRPr="00F66131">
        <w:rPr>
          <w:rFonts w:ascii="Arial" w:hAnsi="Arial" w:cs="Arial"/>
        </w:rPr>
        <w:t xml:space="preserve"> [1843 – 1860] All ER 435.</w:t>
      </w:r>
    </w:p>
  </w:footnote>
  <w:footnote w:id="30">
    <w:p w:rsidR="008703B0" w:rsidRPr="00F66131" w:rsidRDefault="008703B0"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w:t>
      </w:r>
      <w:r w:rsidRPr="00F66131">
        <w:rPr>
          <w:rFonts w:ascii="Arial" w:hAnsi="Arial" w:cs="Arial"/>
          <w:i/>
        </w:rPr>
        <w:t>Walvis Bay Municipality &amp; another v Occupiers of the Caravan Sites at Long Beach Caravan Park, Walvis Bay</w:t>
      </w:r>
      <w:r w:rsidRPr="00F66131">
        <w:rPr>
          <w:rFonts w:ascii="Arial" w:hAnsi="Arial" w:cs="Arial"/>
        </w:rPr>
        <w:t xml:space="preserve"> 2007 (2) NR 643 (SC) at 664 para 103. See also </w:t>
      </w:r>
      <w:r w:rsidRPr="00F66131">
        <w:rPr>
          <w:rFonts w:ascii="Arial" w:hAnsi="Arial" w:cs="Arial"/>
          <w:i/>
        </w:rPr>
        <w:t>Potchefstroomse Stadsraad v Kotze</w:t>
      </w:r>
      <w:r w:rsidRPr="00F66131">
        <w:rPr>
          <w:rFonts w:ascii="Arial" w:hAnsi="Arial" w:cs="Arial"/>
        </w:rPr>
        <w:t xml:space="preserve"> 1960 (3) SA 616 (A).</w:t>
      </w:r>
    </w:p>
  </w:footnote>
  <w:footnote w:id="31">
    <w:p w:rsidR="008703B0" w:rsidRPr="00F66131" w:rsidRDefault="008703B0" w:rsidP="00F66131">
      <w:pPr>
        <w:pStyle w:val="FootnoteText"/>
        <w:jc w:val="both"/>
        <w:rPr>
          <w:rFonts w:ascii="Arial" w:hAnsi="Arial" w:cs="Arial"/>
        </w:rPr>
      </w:pPr>
      <w:r w:rsidRPr="00F66131">
        <w:rPr>
          <w:rStyle w:val="FootnoteReference"/>
          <w:rFonts w:ascii="Arial" w:hAnsi="Arial" w:cs="Arial"/>
        </w:rPr>
        <w:footnoteRef/>
      </w:r>
      <w:r w:rsidR="00E269CF">
        <w:rPr>
          <w:rFonts w:ascii="Arial" w:hAnsi="Arial" w:cs="Arial"/>
        </w:rPr>
        <w:t xml:space="preserve"> </w:t>
      </w:r>
      <w:r w:rsidRPr="00F66131">
        <w:rPr>
          <w:rFonts w:ascii="Arial" w:hAnsi="Arial" w:cs="Arial"/>
          <w:i/>
        </w:rPr>
        <w:t>Lawsa</w:t>
      </w:r>
      <w:r w:rsidRPr="00F66131">
        <w:rPr>
          <w:rFonts w:ascii="Arial" w:hAnsi="Arial" w:cs="Arial"/>
        </w:rPr>
        <w:t xml:space="preserve"> </w:t>
      </w:r>
      <w:r w:rsidR="00E269CF">
        <w:rPr>
          <w:rFonts w:ascii="Arial" w:hAnsi="Arial" w:cs="Arial"/>
        </w:rPr>
        <w:t>(First Reissue) Vol 4, P</w:t>
      </w:r>
      <w:r w:rsidRPr="00F66131">
        <w:rPr>
          <w:rFonts w:ascii="Arial" w:hAnsi="Arial" w:cs="Arial"/>
        </w:rPr>
        <w:t>art 2 para 184 at 333.</w:t>
      </w:r>
    </w:p>
  </w:footnote>
  <w:footnote w:id="32">
    <w:p w:rsidR="005820A9" w:rsidRPr="00F66131" w:rsidRDefault="005820A9" w:rsidP="00F66131">
      <w:pPr>
        <w:pStyle w:val="FootnoteText"/>
        <w:jc w:val="both"/>
        <w:rPr>
          <w:rFonts w:ascii="Arial" w:hAnsi="Arial" w:cs="Arial"/>
        </w:rPr>
      </w:pPr>
      <w:r w:rsidRPr="00F66131">
        <w:rPr>
          <w:rStyle w:val="FootnoteReference"/>
          <w:rFonts w:ascii="Arial" w:hAnsi="Arial" w:cs="Arial"/>
        </w:rPr>
        <w:footnoteRef/>
      </w:r>
      <w:r w:rsidR="00C63F7B">
        <w:rPr>
          <w:rFonts w:ascii="Arial" w:hAnsi="Arial" w:cs="Arial"/>
        </w:rPr>
        <w:t xml:space="preserve"> Cilliers, Loots, </w:t>
      </w:r>
      <w:r w:rsidR="00C63F7B" w:rsidRPr="00C63F7B">
        <w:rPr>
          <w:rFonts w:ascii="Arial" w:hAnsi="Arial" w:cs="Arial"/>
        </w:rPr>
        <w:t>Nel</w:t>
      </w:r>
      <w:r w:rsidRPr="00C63F7B">
        <w:rPr>
          <w:rFonts w:ascii="Arial" w:hAnsi="Arial" w:cs="Arial"/>
          <w:i/>
        </w:rPr>
        <w:t xml:space="preserve"> Herbstein &amp; </w:t>
      </w:r>
      <w:r w:rsidR="00012D56" w:rsidRPr="00C63F7B">
        <w:rPr>
          <w:rFonts w:ascii="Arial" w:hAnsi="Arial" w:cs="Arial"/>
          <w:i/>
        </w:rPr>
        <w:t>v</w:t>
      </w:r>
      <w:r w:rsidRPr="00C63F7B">
        <w:rPr>
          <w:rFonts w:ascii="Arial" w:hAnsi="Arial" w:cs="Arial"/>
          <w:i/>
        </w:rPr>
        <w:t>an</w:t>
      </w:r>
      <w:r w:rsidR="00920DD1" w:rsidRPr="00C63F7B">
        <w:rPr>
          <w:rFonts w:ascii="Arial" w:hAnsi="Arial" w:cs="Arial"/>
          <w:i/>
        </w:rPr>
        <w:t xml:space="preserve"> </w:t>
      </w:r>
      <w:r w:rsidRPr="00C63F7B">
        <w:rPr>
          <w:rFonts w:ascii="Arial" w:hAnsi="Arial" w:cs="Arial"/>
          <w:i/>
        </w:rPr>
        <w:t>Winsen</w:t>
      </w:r>
      <w:r w:rsidR="00F56992">
        <w:rPr>
          <w:rFonts w:ascii="Arial" w:hAnsi="Arial" w:cs="Arial"/>
          <w:i/>
        </w:rPr>
        <w:t xml:space="preserve"> -</w:t>
      </w:r>
      <w:r w:rsidRPr="00F66131">
        <w:rPr>
          <w:rFonts w:ascii="Arial" w:hAnsi="Arial" w:cs="Arial"/>
          <w:i/>
        </w:rPr>
        <w:t xml:space="preserve"> </w:t>
      </w:r>
      <w:r w:rsidR="003122F6">
        <w:rPr>
          <w:rFonts w:ascii="Arial" w:hAnsi="Arial" w:cs="Arial"/>
          <w:i/>
        </w:rPr>
        <w:t>The Civil P</w:t>
      </w:r>
      <w:r w:rsidR="00920DD1" w:rsidRPr="00F66131">
        <w:rPr>
          <w:rFonts w:ascii="Arial" w:hAnsi="Arial" w:cs="Arial"/>
          <w:i/>
        </w:rPr>
        <w:t xml:space="preserve">ractice of High Courts of South Africa </w:t>
      </w:r>
      <w:r w:rsidR="00920DD1" w:rsidRPr="00F66131">
        <w:rPr>
          <w:rFonts w:ascii="Arial" w:hAnsi="Arial" w:cs="Arial"/>
        </w:rPr>
        <w:t>3 ed</w:t>
      </w:r>
      <w:r w:rsidR="00F56992">
        <w:rPr>
          <w:rFonts w:ascii="Arial" w:hAnsi="Arial" w:cs="Arial"/>
        </w:rPr>
        <w:t xml:space="preserve"> (2009) </w:t>
      </w:r>
      <w:r w:rsidR="00920DD1" w:rsidRPr="00F66131">
        <w:rPr>
          <w:rFonts w:ascii="Arial" w:hAnsi="Arial" w:cs="Arial"/>
        </w:rPr>
        <w:t>Vol 1 at p 677.</w:t>
      </w:r>
    </w:p>
  </w:footnote>
  <w:footnote w:id="33">
    <w:p w:rsidR="001D281C" w:rsidRPr="00F66131" w:rsidRDefault="001D281C"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w:t>
      </w:r>
      <w:r w:rsidR="002F4F51" w:rsidRPr="00F66131">
        <w:rPr>
          <w:rFonts w:ascii="Arial" w:hAnsi="Arial" w:cs="Arial"/>
        </w:rPr>
        <w:t>1998 (1) SA 53 (W) at 57 (</w:t>
      </w:r>
      <w:r w:rsidR="002F4F51" w:rsidRPr="00F66131">
        <w:rPr>
          <w:rFonts w:ascii="Arial" w:hAnsi="Arial" w:cs="Arial"/>
          <w:i/>
        </w:rPr>
        <w:t>Swartz</w:t>
      </w:r>
      <w:r w:rsidR="002F4F51" w:rsidRPr="00F66131">
        <w:rPr>
          <w:rFonts w:ascii="Arial" w:hAnsi="Arial" w:cs="Arial"/>
        </w:rPr>
        <w:t>).</w:t>
      </w:r>
    </w:p>
  </w:footnote>
  <w:footnote w:id="34">
    <w:p w:rsidR="00920DD1" w:rsidRPr="00F66131" w:rsidRDefault="00920DD1"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Vol </w:t>
      </w:r>
      <w:r w:rsidR="00F56992">
        <w:rPr>
          <w:rFonts w:ascii="Arial" w:hAnsi="Arial" w:cs="Arial"/>
        </w:rPr>
        <w:t xml:space="preserve">1 </w:t>
      </w:r>
      <w:r w:rsidRPr="00F66131">
        <w:rPr>
          <w:rFonts w:ascii="Arial" w:hAnsi="Arial" w:cs="Arial"/>
        </w:rPr>
        <w:t>p</w:t>
      </w:r>
      <w:r w:rsidR="00F462FC" w:rsidRPr="00F66131">
        <w:rPr>
          <w:rFonts w:ascii="Arial" w:hAnsi="Arial" w:cs="Arial"/>
        </w:rPr>
        <w:t xml:space="preserve"> </w:t>
      </w:r>
      <w:r w:rsidRPr="00F66131">
        <w:rPr>
          <w:rFonts w:ascii="Arial" w:hAnsi="Arial" w:cs="Arial"/>
        </w:rPr>
        <w:t>677.</w:t>
      </w:r>
    </w:p>
  </w:footnote>
  <w:footnote w:id="35">
    <w:p w:rsidR="0081289A" w:rsidRPr="00F66131" w:rsidRDefault="0081289A" w:rsidP="00F66131">
      <w:pPr>
        <w:pStyle w:val="FootnoteText"/>
        <w:jc w:val="both"/>
        <w:rPr>
          <w:rFonts w:ascii="Arial" w:hAnsi="Arial" w:cs="Arial"/>
        </w:rPr>
      </w:pPr>
      <w:r w:rsidRPr="00F66131">
        <w:rPr>
          <w:rStyle w:val="FootnoteReference"/>
          <w:rFonts w:ascii="Arial" w:hAnsi="Arial" w:cs="Arial"/>
        </w:rPr>
        <w:footnoteRef/>
      </w:r>
      <w:r w:rsidRPr="00F66131">
        <w:rPr>
          <w:rFonts w:ascii="Arial" w:hAnsi="Arial" w:cs="Arial"/>
        </w:rPr>
        <w:t xml:space="preserve"> </w:t>
      </w:r>
      <w:r w:rsidRPr="00F66131">
        <w:rPr>
          <w:rFonts w:ascii="Arial" w:hAnsi="Arial" w:cs="Arial"/>
          <w:i/>
        </w:rPr>
        <w:t>Scania Finance South Africa (Pty) L</w:t>
      </w:r>
      <w:r w:rsidR="00F56992">
        <w:rPr>
          <w:rFonts w:ascii="Arial" w:hAnsi="Arial" w:cs="Arial"/>
          <w:i/>
        </w:rPr>
        <w:t>td v Aggressive Transport CC &amp;</w:t>
      </w:r>
      <w:r w:rsidRPr="00F66131">
        <w:rPr>
          <w:rFonts w:ascii="Arial" w:hAnsi="Arial" w:cs="Arial"/>
          <w:i/>
        </w:rPr>
        <w:t xml:space="preserve"> another </w:t>
      </w:r>
      <w:r w:rsidR="00FA07D2">
        <w:rPr>
          <w:rFonts w:ascii="Arial" w:hAnsi="Arial" w:cs="Arial"/>
        </w:rPr>
        <w:t>2014 (2) NR 489 (HC)</w:t>
      </w:r>
      <w:r w:rsidRPr="00F66131">
        <w:rPr>
          <w:rFonts w:ascii="Arial" w:hAnsi="Arial" w:cs="Arial"/>
        </w:rPr>
        <w:t xml:space="preserve"> para 29.</w:t>
      </w:r>
    </w:p>
  </w:footnote>
  <w:footnote w:id="36">
    <w:p w:rsidR="00D21ADF" w:rsidRPr="00FA07D2" w:rsidRDefault="00D21ADF" w:rsidP="00F66131">
      <w:pPr>
        <w:pStyle w:val="FootnoteText"/>
        <w:jc w:val="both"/>
        <w:rPr>
          <w:rFonts w:ascii="Arial" w:hAnsi="Arial" w:cs="Arial"/>
        </w:rPr>
      </w:pPr>
      <w:r w:rsidRPr="00FA07D2">
        <w:rPr>
          <w:rStyle w:val="FootnoteReference"/>
          <w:rFonts w:ascii="Arial" w:hAnsi="Arial" w:cs="Arial"/>
        </w:rPr>
        <w:footnoteRef/>
      </w:r>
      <w:r w:rsidRPr="00FA07D2">
        <w:rPr>
          <w:rFonts w:ascii="Arial" w:hAnsi="Arial" w:cs="Arial"/>
        </w:rPr>
        <w:t xml:space="preserve"> 1991 (1) SA 145 (SWA) at 151B-H.</w:t>
      </w:r>
    </w:p>
  </w:footnote>
  <w:footnote w:id="37">
    <w:p w:rsidR="00FA07D2" w:rsidRPr="00FA07D2" w:rsidRDefault="00FA07D2">
      <w:pPr>
        <w:pStyle w:val="FootnoteText"/>
        <w:rPr>
          <w:rFonts w:ascii="Arial" w:hAnsi="Arial" w:cs="Arial"/>
        </w:rPr>
      </w:pPr>
      <w:r w:rsidRPr="00FA07D2">
        <w:rPr>
          <w:rStyle w:val="FootnoteReference"/>
          <w:rFonts w:ascii="Arial" w:hAnsi="Arial" w:cs="Arial"/>
        </w:rPr>
        <w:footnoteRef/>
      </w:r>
      <w:r w:rsidRPr="00FA07D2">
        <w:rPr>
          <w:rFonts w:ascii="Arial" w:hAnsi="Arial" w:cs="Arial"/>
        </w:rPr>
        <w:t xml:space="preserve"> At 151</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20135474"/>
      <w:docPartObj>
        <w:docPartGallery w:val="Page Numbers (Top of Page)"/>
        <w:docPartUnique/>
      </w:docPartObj>
    </w:sdtPr>
    <w:sdtEndPr>
      <w:rPr>
        <w:noProof/>
      </w:rPr>
    </w:sdtEndPr>
    <w:sdtContent>
      <w:p w:rsidR="007F10DC" w:rsidRPr="00111C5B" w:rsidRDefault="007F10DC">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362EBE">
          <w:rPr>
            <w:rFonts w:ascii="Arial" w:hAnsi="Arial" w:cs="Arial"/>
            <w:noProof/>
            <w:sz w:val="24"/>
            <w:szCs w:val="24"/>
          </w:rPr>
          <w:t>15</w:t>
        </w:r>
        <w:r w:rsidRPr="00111C5B">
          <w:rPr>
            <w:rFonts w:ascii="Arial" w:hAnsi="Arial" w:cs="Arial"/>
            <w:noProof/>
            <w:sz w:val="24"/>
            <w:szCs w:val="24"/>
          </w:rPr>
          <w:fldChar w:fldCharType="end"/>
        </w:r>
      </w:p>
    </w:sdtContent>
  </w:sdt>
  <w:p w:rsidR="007F10DC" w:rsidRDefault="007F1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2BB"/>
    <w:multiLevelType w:val="hybridMultilevel"/>
    <w:tmpl w:val="734CB8EE"/>
    <w:lvl w:ilvl="0" w:tplc="121032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56A54F4"/>
    <w:multiLevelType w:val="hybridMultilevel"/>
    <w:tmpl w:val="D3BEB92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5A7160C"/>
    <w:multiLevelType w:val="hybridMultilevel"/>
    <w:tmpl w:val="C342493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62146B6"/>
    <w:multiLevelType w:val="hybridMultilevel"/>
    <w:tmpl w:val="E9F62704"/>
    <w:lvl w:ilvl="0" w:tplc="BF42B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8FD79E5"/>
    <w:multiLevelType w:val="hybridMultilevel"/>
    <w:tmpl w:val="FF261B72"/>
    <w:lvl w:ilvl="0" w:tplc="DF30DBA6">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6"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9" w15:restartNumberingAfterBreak="0">
    <w:nsid w:val="0F0976E7"/>
    <w:multiLevelType w:val="hybridMultilevel"/>
    <w:tmpl w:val="B9D0D78E"/>
    <w:lvl w:ilvl="0" w:tplc="0F9060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17743EF"/>
    <w:multiLevelType w:val="hybridMultilevel"/>
    <w:tmpl w:val="6734B59E"/>
    <w:lvl w:ilvl="0" w:tplc="69ECF8DA">
      <w:start w:val="1"/>
      <w:numFmt w:val="lowerRoman"/>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1"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1B135E6F"/>
    <w:multiLevelType w:val="hybridMultilevel"/>
    <w:tmpl w:val="AAD8D012"/>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B4263CE"/>
    <w:multiLevelType w:val="hybridMultilevel"/>
    <w:tmpl w:val="676271F2"/>
    <w:lvl w:ilvl="0" w:tplc="710C72B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1DD24AE7"/>
    <w:multiLevelType w:val="hybridMultilevel"/>
    <w:tmpl w:val="9B72D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0396EDF"/>
    <w:multiLevelType w:val="hybridMultilevel"/>
    <w:tmpl w:val="72603D7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20D421D3"/>
    <w:multiLevelType w:val="hybridMultilevel"/>
    <w:tmpl w:val="B5F04B00"/>
    <w:lvl w:ilvl="0" w:tplc="04B030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DB1BA8"/>
    <w:multiLevelType w:val="hybridMultilevel"/>
    <w:tmpl w:val="D5CEF884"/>
    <w:lvl w:ilvl="0" w:tplc="4DC295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2FEA50F7"/>
    <w:multiLevelType w:val="hybridMultilevel"/>
    <w:tmpl w:val="54024B86"/>
    <w:lvl w:ilvl="0" w:tplc="4FEA56D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3BB83801"/>
    <w:multiLevelType w:val="hybridMultilevel"/>
    <w:tmpl w:val="F7F8876E"/>
    <w:lvl w:ilvl="0" w:tplc="B23E9470">
      <w:start w:val="1"/>
      <w:numFmt w:val="lowerRoman"/>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7" w15:restartNumberingAfterBreak="0">
    <w:nsid w:val="3C0F5CE3"/>
    <w:multiLevelType w:val="hybridMultilevel"/>
    <w:tmpl w:val="C61A5962"/>
    <w:lvl w:ilvl="0" w:tplc="D6D675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40FB25B4"/>
    <w:multiLevelType w:val="hybridMultilevel"/>
    <w:tmpl w:val="9DFC34D2"/>
    <w:lvl w:ilvl="0" w:tplc="FEE09EAC">
      <w:start w:val="1"/>
      <w:numFmt w:val="lowerLetter"/>
      <w:lvlText w:val="(%1)"/>
      <w:lvlJc w:val="left"/>
      <w:pPr>
        <w:ind w:left="1080" w:hanging="360"/>
      </w:pPr>
      <w:rPr>
        <w:rFonts w:asciiTheme="minorHAnsi" w:hAnsiTheme="minorHAnsi" w:cstheme="minorBid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445B134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2"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37"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8"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95F34FB"/>
    <w:multiLevelType w:val="hybridMultilevel"/>
    <w:tmpl w:val="184C7C06"/>
    <w:lvl w:ilvl="0" w:tplc="669E3CA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1"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2" w15:restartNumberingAfterBreak="0">
    <w:nsid w:val="6C99681F"/>
    <w:multiLevelType w:val="hybridMultilevel"/>
    <w:tmpl w:val="1C9A9A38"/>
    <w:lvl w:ilvl="0" w:tplc="25A69F9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6F3F1351"/>
    <w:multiLevelType w:val="hybridMultilevel"/>
    <w:tmpl w:val="91F2753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5"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3584045"/>
    <w:multiLevelType w:val="hybridMultilevel"/>
    <w:tmpl w:val="BCCA0CEC"/>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63C37A8"/>
    <w:multiLevelType w:val="hybridMultilevel"/>
    <w:tmpl w:val="19E819F8"/>
    <w:lvl w:ilvl="0" w:tplc="337221E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15:restartNumberingAfterBreak="0">
    <w:nsid w:val="7CFD5A6F"/>
    <w:multiLevelType w:val="hybridMultilevel"/>
    <w:tmpl w:val="99302CBA"/>
    <w:lvl w:ilvl="0" w:tplc="5A5AAAE4">
      <w:start w:val="1"/>
      <w:numFmt w:val="lowerLetter"/>
      <w:lvlText w:val="(%1)"/>
      <w:lvlJc w:val="left"/>
      <w:pPr>
        <w:ind w:left="1854" w:hanging="720"/>
      </w:pPr>
      <w:rPr>
        <w:rFonts w:ascii="Arial" w:eastAsiaTheme="minorHAnsi" w:hAnsi="Arial" w:cs="Arial"/>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abstractNumId w:val="19"/>
  </w:num>
  <w:num w:numId="2">
    <w:abstractNumId w:val="35"/>
  </w:num>
  <w:num w:numId="3">
    <w:abstractNumId w:val="45"/>
  </w:num>
  <w:num w:numId="4">
    <w:abstractNumId w:val="30"/>
  </w:num>
  <w:num w:numId="5">
    <w:abstractNumId w:val="36"/>
  </w:num>
  <w:num w:numId="6">
    <w:abstractNumId w:val="4"/>
  </w:num>
  <w:num w:numId="7">
    <w:abstractNumId w:val="39"/>
  </w:num>
  <w:num w:numId="8">
    <w:abstractNumId w:val="18"/>
  </w:num>
  <w:num w:numId="9">
    <w:abstractNumId w:val="41"/>
  </w:num>
  <w:num w:numId="10">
    <w:abstractNumId w:val="28"/>
  </w:num>
  <w:num w:numId="11">
    <w:abstractNumId w:val="14"/>
  </w:num>
  <w:num w:numId="12">
    <w:abstractNumId w:val="8"/>
  </w:num>
  <w:num w:numId="13">
    <w:abstractNumId w:val="23"/>
  </w:num>
  <w:num w:numId="14">
    <w:abstractNumId w:val="31"/>
  </w:num>
  <w:num w:numId="15">
    <w:abstractNumId w:val="25"/>
  </w:num>
  <w:num w:numId="16">
    <w:abstractNumId w:val="24"/>
  </w:num>
  <w:num w:numId="17">
    <w:abstractNumId w:val="37"/>
  </w:num>
  <w:num w:numId="18">
    <w:abstractNumId w:val="43"/>
  </w:num>
  <w:num w:numId="19">
    <w:abstractNumId w:val="32"/>
  </w:num>
  <w:num w:numId="20">
    <w:abstractNumId w:val="38"/>
  </w:num>
  <w:num w:numId="21">
    <w:abstractNumId w:val="34"/>
  </w:num>
  <w:num w:numId="22">
    <w:abstractNumId w:val="11"/>
  </w:num>
  <w:num w:numId="23">
    <w:abstractNumId w:val="22"/>
  </w:num>
  <w:num w:numId="24">
    <w:abstractNumId w:val="6"/>
  </w:num>
  <w:num w:numId="25">
    <w:abstractNumId w:val="7"/>
  </w:num>
  <w:num w:numId="26">
    <w:abstractNumId w:val="33"/>
  </w:num>
  <w:num w:numId="27">
    <w:abstractNumId w:val="0"/>
  </w:num>
  <w:num w:numId="28">
    <w:abstractNumId w:val="5"/>
  </w:num>
  <w:num w:numId="29">
    <w:abstractNumId w:val="12"/>
  </w:num>
  <w:num w:numId="30">
    <w:abstractNumId w:val="29"/>
  </w:num>
  <w:num w:numId="31">
    <w:abstractNumId w:val="17"/>
  </w:num>
  <w:num w:numId="32">
    <w:abstractNumId w:val="2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7"/>
  </w:num>
  <w:num w:numId="36">
    <w:abstractNumId w:val="1"/>
  </w:num>
  <w:num w:numId="37">
    <w:abstractNumId w:val="46"/>
  </w:num>
  <w:num w:numId="38">
    <w:abstractNumId w:val="42"/>
  </w:num>
  <w:num w:numId="39">
    <w:abstractNumId w:val="48"/>
  </w:num>
  <w:num w:numId="40">
    <w:abstractNumId w:val="47"/>
  </w:num>
  <w:num w:numId="41">
    <w:abstractNumId w:val="26"/>
  </w:num>
  <w:num w:numId="42">
    <w:abstractNumId w:val="1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0"/>
  </w:num>
  <w:num w:numId="46">
    <w:abstractNumId w:val="2"/>
  </w:num>
  <w:num w:numId="47">
    <w:abstractNumId w:val="16"/>
  </w:num>
  <w:num w:numId="48">
    <w:abstractNumId w:val="44"/>
  </w:num>
  <w:num w:numId="49">
    <w:abstractNumId w:val="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15F4"/>
    <w:rsid w:val="00001BAF"/>
    <w:rsid w:val="0000225F"/>
    <w:rsid w:val="0000237F"/>
    <w:rsid w:val="00004C4D"/>
    <w:rsid w:val="0000525D"/>
    <w:rsid w:val="00010CA6"/>
    <w:rsid w:val="00011B9E"/>
    <w:rsid w:val="00011EB9"/>
    <w:rsid w:val="00012D56"/>
    <w:rsid w:val="00012D59"/>
    <w:rsid w:val="00012FAA"/>
    <w:rsid w:val="0001341A"/>
    <w:rsid w:val="00013AB7"/>
    <w:rsid w:val="00016703"/>
    <w:rsid w:val="000177B8"/>
    <w:rsid w:val="00020736"/>
    <w:rsid w:val="000211B2"/>
    <w:rsid w:val="00021ECC"/>
    <w:rsid w:val="00022452"/>
    <w:rsid w:val="00022644"/>
    <w:rsid w:val="000231F7"/>
    <w:rsid w:val="000243A1"/>
    <w:rsid w:val="000256F8"/>
    <w:rsid w:val="00026DD5"/>
    <w:rsid w:val="0002744F"/>
    <w:rsid w:val="000276F0"/>
    <w:rsid w:val="00030C69"/>
    <w:rsid w:val="00031EBA"/>
    <w:rsid w:val="00032DD2"/>
    <w:rsid w:val="00033256"/>
    <w:rsid w:val="00034227"/>
    <w:rsid w:val="00034839"/>
    <w:rsid w:val="000400C4"/>
    <w:rsid w:val="00040AC4"/>
    <w:rsid w:val="00042A20"/>
    <w:rsid w:val="00042B3A"/>
    <w:rsid w:val="000433D8"/>
    <w:rsid w:val="00043713"/>
    <w:rsid w:val="00044AD2"/>
    <w:rsid w:val="00045931"/>
    <w:rsid w:val="000478EF"/>
    <w:rsid w:val="00052049"/>
    <w:rsid w:val="00052B8A"/>
    <w:rsid w:val="00055805"/>
    <w:rsid w:val="00057B7B"/>
    <w:rsid w:val="000610A3"/>
    <w:rsid w:val="000626CC"/>
    <w:rsid w:val="00064340"/>
    <w:rsid w:val="000643B5"/>
    <w:rsid w:val="00065459"/>
    <w:rsid w:val="00066723"/>
    <w:rsid w:val="00070506"/>
    <w:rsid w:val="0007080A"/>
    <w:rsid w:val="00071EB4"/>
    <w:rsid w:val="00073046"/>
    <w:rsid w:val="00073B76"/>
    <w:rsid w:val="00073FC7"/>
    <w:rsid w:val="00074D92"/>
    <w:rsid w:val="00074FBE"/>
    <w:rsid w:val="00075678"/>
    <w:rsid w:val="00075ABD"/>
    <w:rsid w:val="00076790"/>
    <w:rsid w:val="00076931"/>
    <w:rsid w:val="00076F53"/>
    <w:rsid w:val="00077B52"/>
    <w:rsid w:val="0008009C"/>
    <w:rsid w:val="00081A0D"/>
    <w:rsid w:val="0008263C"/>
    <w:rsid w:val="000840CA"/>
    <w:rsid w:val="00084121"/>
    <w:rsid w:val="00090B47"/>
    <w:rsid w:val="000918CB"/>
    <w:rsid w:val="00092565"/>
    <w:rsid w:val="00092A31"/>
    <w:rsid w:val="00092D5D"/>
    <w:rsid w:val="00093D1E"/>
    <w:rsid w:val="00094C79"/>
    <w:rsid w:val="00096467"/>
    <w:rsid w:val="00096D67"/>
    <w:rsid w:val="000A0116"/>
    <w:rsid w:val="000A2F02"/>
    <w:rsid w:val="000A31F1"/>
    <w:rsid w:val="000A3C68"/>
    <w:rsid w:val="000A3CA0"/>
    <w:rsid w:val="000A3CE5"/>
    <w:rsid w:val="000A3F6B"/>
    <w:rsid w:val="000A4DEC"/>
    <w:rsid w:val="000B06C9"/>
    <w:rsid w:val="000B0A11"/>
    <w:rsid w:val="000B1CCA"/>
    <w:rsid w:val="000B587E"/>
    <w:rsid w:val="000B5B95"/>
    <w:rsid w:val="000B6715"/>
    <w:rsid w:val="000B75AB"/>
    <w:rsid w:val="000C1390"/>
    <w:rsid w:val="000C2A58"/>
    <w:rsid w:val="000C2D19"/>
    <w:rsid w:val="000C4126"/>
    <w:rsid w:val="000C4A34"/>
    <w:rsid w:val="000C5C13"/>
    <w:rsid w:val="000D1ADC"/>
    <w:rsid w:val="000D1E08"/>
    <w:rsid w:val="000D1F3C"/>
    <w:rsid w:val="000D2762"/>
    <w:rsid w:val="000D3FA5"/>
    <w:rsid w:val="000E008B"/>
    <w:rsid w:val="000E0BFC"/>
    <w:rsid w:val="000E3DF0"/>
    <w:rsid w:val="000E4E76"/>
    <w:rsid w:val="000E5305"/>
    <w:rsid w:val="000E6B27"/>
    <w:rsid w:val="000E6CCD"/>
    <w:rsid w:val="000E6D80"/>
    <w:rsid w:val="000F1A59"/>
    <w:rsid w:val="000F27F1"/>
    <w:rsid w:val="000F3DA6"/>
    <w:rsid w:val="000F4BBD"/>
    <w:rsid w:val="000F4E2E"/>
    <w:rsid w:val="000F542F"/>
    <w:rsid w:val="000F613E"/>
    <w:rsid w:val="000F61A4"/>
    <w:rsid w:val="000F76DB"/>
    <w:rsid w:val="000F7D77"/>
    <w:rsid w:val="001016CF"/>
    <w:rsid w:val="00101FDB"/>
    <w:rsid w:val="0010254D"/>
    <w:rsid w:val="00104BAD"/>
    <w:rsid w:val="00105960"/>
    <w:rsid w:val="00105AAF"/>
    <w:rsid w:val="00107552"/>
    <w:rsid w:val="00111339"/>
    <w:rsid w:val="00111C5B"/>
    <w:rsid w:val="00112DA2"/>
    <w:rsid w:val="00112FE3"/>
    <w:rsid w:val="00114682"/>
    <w:rsid w:val="00114929"/>
    <w:rsid w:val="00115687"/>
    <w:rsid w:val="00115A1F"/>
    <w:rsid w:val="00117CE3"/>
    <w:rsid w:val="00120911"/>
    <w:rsid w:val="00120F58"/>
    <w:rsid w:val="00121972"/>
    <w:rsid w:val="001222DE"/>
    <w:rsid w:val="001227DB"/>
    <w:rsid w:val="0012439B"/>
    <w:rsid w:val="00125DEC"/>
    <w:rsid w:val="00126312"/>
    <w:rsid w:val="00126A3A"/>
    <w:rsid w:val="00126E64"/>
    <w:rsid w:val="00126F0A"/>
    <w:rsid w:val="00127445"/>
    <w:rsid w:val="00130103"/>
    <w:rsid w:val="0013015A"/>
    <w:rsid w:val="00132216"/>
    <w:rsid w:val="001327CE"/>
    <w:rsid w:val="00132A39"/>
    <w:rsid w:val="0013380E"/>
    <w:rsid w:val="00135038"/>
    <w:rsid w:val="0013608D"/>
    <w:rsid w:val="00136880"/>
    <w:rsid w:val="00140678"/>
    <w:rsid w:val="00140A9D"/>
    <w:rsid w:val="001423E7"/>
    <w:rsid w:val="0014303A"/>
    <w:rsid w:val="0014338B"/>
    <w:rsid w:val="00144DDF"/>
    <w:rsid w:val="001450C8"/>
    <w:rsid w:val="0015020C"/>
    <w:rsid w:val="0015083E"/>
    <w:rsid w:val="00151CCB"/>
    <w:rsid w:val="00151FFA"/>
    <w:rsid w:val="00153F19"/>
    <w:rsid w:val="00154104"/>
    <w:rsid w:val="0015782D"/>
    <w:rsid w:val="001578CD"/>
    <w:rsid w:val="001617C5"/>
    <w:rsid w:val="00161C35"/>
    <w:rsid w:val="001624CF"/>
    <w:rsid w:val="001634AF"/>
    <w:rsid w:val="00163660"/>
    <w:rsid w:val="00164734"/>
    <w:rsid w:val="00167F33"/>
    <w:rsid w:val="0017081A"/>
    <w:rsid w:val="0017115B"/>
    <w:rsid w:val="00171B66"/>
    <w:rsid w:val="00173532"/>
    <w:rsid w:val="00180CE0"/>
    <w:rsid w:val="00182B59"/>
    <w:rsid w:val="001838C9"/>
    <w:rsid w:val="00184D66"/>
    <w:rsid w:val="00185996"/>
    <w:rsid w:val="00186BB3"/>
    <w:rsid w:val="001873C6"/>
    <w:rsid w:val="00190F70"/>
    <w:rsid w:val="00192135"/>
    <w:rsid w:val="00192C22"/>
    <w:rsid w:val="00193723"/>
    <w:rsid w:val="00193825"/>
    <w:rsid w:val="00194D51"/>
    <w:rsid w:val="001957EE"/>
    <w:rsid w:val="00196E77"/>
    <w:rsid w:val="001A0E25"/>
    <w:rsid w:val="001A2B18"/>
    <w:rsid w:val="001A3D9C"/>
    <w:rsid w:val="001A4A99"/>
    <w:rsid w:val="001A582C"/>
    <w:rsid w:val="001A666A"/>
    <w:rsid w:val="001A6B0E"/>
    <w:rsid w:val="001A77B8"/>
    <w:rsid w:val="001A7909"/>
    <w:rsid w:val="001B292E"/>
    <w:rsid w:val="001B4200"/>
    <w:rsid w:val="001B4618"/>
    <w:rsid w:val="001B61E6"/>
    <w:rsid w:val="001C1FD2"/>
    <w:rsid w:val="001C25C8"/>
    <w:rsid w:val="001C25CA"/>
    <w:rsid w:val="001C2720"/>
    <w:rsid w:val="001C518C"/>
    <w:rsid w:val="001C558D"/>
    <w:rsid w:val="001C735C"/>
    <w:rsid w:val="001C73CA"/>
    <w:rsid w:val="001C7DF6"/>
    <w:rsid w:val="001D0810"/>
    <w:rsid w:val="001D08D7"/>
    <w:rsid w:val="001D281C"/>
    <w:rsid w:val="001D3506"/>
    <w:rsid w:val="001D4398"/>
    <w:rsid w:val="001D4856"/>
    <w:rsid w:val="001D4EB4"/>
    <w:rsid w:val="001D54FB"/>
    <w:rsid w:val="001D58BA"/>
    <w:rsid w:val="001D608A"/>
    <w:rsid w:val="001D636E"/>
    <w:rsid w:val="001E18DF"/>
    <w:rsid w:val="001E299E"/>
    <w:rsid w:val="001E3888"/>
    <w:rsid w:val="001E44D9"/>
    <w:rsid w:val="001E4C77"/>
    <w:rsid w:val="001F004F"/>
    <w:rsid w:val="001F06C4"/>
    <w:rsid w:val="001F4CB8"/>
    <w:rsid w:val="001F634C"/>
    <w:rsid w:val="001F7942"/>
    <w:rsid w:val="0020220F"/>
    <w:rsid w:val="0020312C"/>
    <w:rsid w:val="002037AE"/>
    <w:rsid w:val="0020572A"/>
    <w:rsid w:val="00206744"/>
    <w:rsid w:val="002070CF"/>
    <w:rsid w:val="00207296"/>
    <w:rsid w:val="002078F3"/>
    <w:rsid w:val="00207960"/>
    <w:rsid w:val="00207D05"/>
    <w:rsid w:val="0021448D"/>
    <w:rsid w:val="00215D8F"/>
    <w:rsid w:val="002212AD"/>
    <w:rsid w:val="002245DA"/>
    <w:rsid w:val="00224757"/>
    <w:rsid w:val="00230B7C"/>
    <w:rsid w:val="002317A5"/>
    <w:rsid w:val="0023277C"/>
    <w:rsid w:val="002337F7"/>
    <w:rsid w:val="0023393F"/>
    <w:rsid w:val="00235497"/>
    <w:rsid w:val="00235E57"/>
    <w:rsid w:val="00236C2D"/>
    <w:rsid w:val="0023748C"/>
    <w:rsid w:val="00243CB0"/>
    <w:rsid w:val="002441F9"/>
    <w:rsid w:val="002444CD"/>
    <w:rsid w:val="00244664"/>
    <w:rsid w:val="002447B6"/>
    <w:rsid w:val="002457A4"/>
    <w:rsid w:val="00250021"/>
    <w:rsid w:val="00250B14"/>
    <w:rsid w:val="00251412"/>
    <w:rsid w:val="00262874"/>
    <w:rsid w:val="00262EF8"/>
    <w:rsid w:val="0026340F"/>
    <w:rsid w:val="00263481"/>
    <w:rsid w:val="002658ED"/>
    <w:rsid w:val="002662E3"/>
    <w:rsid w:val="00266E2B"/>
    <w:rsid w:val="002735A2"/>
    <w:rsid w:val="00273EE9"/>
    <w:rsid w:val="00274F4E"/>
    <w:rsid w:val="002755A3"/>
    <w:rsid w:val="002772FF"/>
    <w:rsid w:val="002776CB"/>
    <w:rsid w:val="002819AA"/>
    <w:rsid w:val="00281B9E"/>
    <w:rsid w:val="00282EC4"/>
    <w:rsid w:val="002834C1"/>
    <w:rsid w:val="002834E8"/>
    <w:rsid w:val="002855CF"/>
    <w:rsid w:val="00285C4B"/>
    <w:rsid w:val="00286029"/>
    <w:rsid w:val="00286F17"/>
    <w:rsid w:val="00290EE3"/>
    <w:rsid w:val="00291956"/>
    <w:rsid w:val="00291B16"/>
    <w:rsid w:val="002933AF"/>
    <w:rsid w:val="00294302"/>
    <w:rsid w:val="0029556C"/>
    <w:rsid w:val="00295AE2"/>
    <w:rsid w:val="00296238"/>
    <w:rsid w:val="002A24E5"/>
    <w:rsid w:val="002A2B5C"/>
    <w:rsid w:val="002A4C01"/>
    <w:rsid w:val="002A6E22"/>
    <w:rsid w:val="002B0CAC"/>
    <w:rsid w:val="002B1CE3"/>
    <w:rsid w:val="002B2DA3"/>
    <w:rsid w:val="002B3B7D"/>
    <w:rsid w:val="002B64F5"/>
    <w:rsid w:val="002B6F2A"/>
    <w:rsid w:val="002C0FC3"/>
    <w:rsid w:val="002C0FF2"/>
    <w:rsid w:val="002C1199"/>
    <w:rsid w:val="002C2CDC"/>
    <w:rsid w:val="002C3E6D"/>
    <w:rsid w:val="002C568C"/>
    <w:rsid w:val="002C758D"/>
    <w:rsid w:val="002D1B71"/>
    <w:rsid w:val="002D1D8D"/>
    <w:rsid w:val="002D1E38"/>
    <w:rsid w:val="002D1F1E"/>
    <w:rsid w:val="002D4EE0"/>
    <w:rsid w:val="002D5D6D"/>
    <w:rsid w:val="002D60C7"/>
    <w:rsid w:val="002E2321"/>
    <w:rsid w:val="002E2625"/>
    <w:rsid w:val="002E3346"/>
    <w:rsid w:val="002E426A"/>
    <w:rsid w:val="002E43C6"/>
    <w:rsid w:val="002E4E6A"/>
    <w:rsid w:val="002E708E"/>
    <w:rsid w:val="002F12B3"/>
    <w:rsid w:val="002F1E29"/>
    <w:rsid w:val="002F27EF"/>
    <w:rsid w:val="002F3401"/>
    <w:rsid w:val="002F4F51"/>
    <w:rsid w:val="002F52F9"/>
    <w:rsid w:val="002F6451"/>
    <w:rsid w:val="002F6AE9"/>
    <w:rsid w:val="002F7D7C"/>
    <w:rsid w:val="0030014D"/>
    <w:rsid w:val="00300CD3"/>
    <w:rsid w:val="003039EF"/>
    <w:rsid w:val="003042AF"/>
    <w:rsid w:val="003046F4"/>
    <w:rsid w:val="00305FE9"/>
    <w:rsid w:val="00306CA5"/>
    <w:rsid w:val="0030702B"/>
    <w:rsid w:val="0030737F"/>
    <w:rsid w:val="0030775E"/>
    <w:rsid w:val="00310940"/>
    <w:rsid w:val="00312262"/>
    <w:rsid w:val="003122F6"/>
    <w:rsid w:val="003164FF"/>
    <w:rsid w:val="00317522"/>
    <w:rsid w:val="003212CE"/>
    <w:rsid w:val="0032135C"/>
    <w:rsid w:val="0032148F"/>
    <w:rsid w:val="00321ED1"/>
    <w:rsid w:val="00324725"/>
    <w:rsid w:val="0032579A"/>
    <w:rsid w:val="003276F9"/>
    <w:rsid w:val="00331533"/>
    <w:rsid w:val="00333E58"/>
    <w:rsid w:val="003346AE"/>
    <w:rsid w:val="0033772A"/>
    <w:rsid w:val="00337BE9"/>
    <w:rsid w:val="00346C25"/>
    <w:rsid w:val="00350638"/>
    <w:rsid w:val="00351E20"/>
    <w:rsid w:val="00352985"/>
    <w:rsid w:val="00353481"/>
    <w:rsid w:val="003551AC"/>
    <w:rsid w:val="00357C85"/>
    <w:rsid w:val="003619CC"/>
    <w:rsid w:val="00361E96"/>
    <w:rsid w:val="00362560"/>
    <w:rsid w:val="00362EBE"/>
    <w:rsid w:val="00363974"/>
    <w:rsid w:val="00370025"/>
    <w:rsid w:val="003745AA"/>
    <w:rsid w:val="0037609A"/>
    <w:rsid w:val="003801E5"/>
    <w:rsid w:val="00381349"/>
    <w:rsid w:val="003863FC"/>
    <w:rsid w:val="003879E0"/>
    <w:rsid w:val="00387E33"/>
    <w:rsid w:val="00395B99"/>
    <w:rsid w:val="00396B62"/>
    <w:rsid w:val="003A1DAC"/>
    <w:rsid w:val="003A2101"/>
    <w:rsid w:val="003A31DE"/>
    <w:rsid w:val="003A3786"/>
    <w:rsid w:val="003A4CE3"/>
    <w:rsid w:val="003A6287"/>
    <w:rsid w:val="003A78BA"/>
    <w:rsid w:val="003B0665"/>
    <w:rsid w:val="003B1AAE"/>
    <w:rsid w:val="003B3FCB"/>
    <w:rsid w:val="003B5B36"/>
    <w:rsid w:val="003B72EC"/>
    <w:rsid w:val="003B782C"/>
    <w:rsid w:val="003B7CB7"/>
    <w:rsid w:val="003C231E"/>
    <w:rsid w:val="003C266A"/>
    <w:rsid w:val="003C276A"/>
    <w:rsid w:val="003C3011"/>
    <w:rsid w:val="003C4379"/>
    <w:rsid w:val="003C4C67"/>
    <w:rsid w:val="003D02CE"/>
    <w:rsid w:val="003D0BA5"/>
    <w:rsid w:val="003D0CE6"/>
    <w:rsid w:val="003D2579"/>
    <w:rsid w:val="003D4A07"/>
    <w:rsid w:val="003D6A9C"/>
    <w:rsid w:val="003D6C13"/>
    <w:rsid w:val="003D7216"/>
    <w:rsid w:val="003E029D"/>
    <w:rsid w:val="003E1056"/>
    <w:rsid w:val="003E289D"/>
    <w:rsid w:val="003E2BCC"/>
    <w:rsid w:val="003E2DB6"/>
    <w:rsid w:val="003E322E"/>
    <w:rsid w:val="003E34C8"/>
    <w:rsid w:val="003E3B58"/>
    <w:rsid w:val="003E46F3"/>
    <w:rsid w:val="003E51AD"/>
    <w:rsid w:val="003E77F5"/>
    <w:rsid w:val="003E7F28"/>
    <w:rsid w:val="003F0E71"/>
    <w:rsid w:val="003F0F43"/>
    <w:rsid w:val="003F1463"/>
    <w:rsid w:val="003F2001"/>
    <w:rsid w:val="003F3800"/>
    <w:rsid w:val="003F5965"/>
    <w:rsid w:val="003F5E62"/>
    <w:rsid w:val="00400FC6"/>
    <w:rsid w:val="004023CC"/>
    <w:rsid w:val="00406D6A"/>
    <w:rsid w:val="00407728"/>
    <w:rsid w:val="004107D3"/>
    <w:rsid w:val="00413FB2"/>
    <w:rsid w:val="00414C3B"/>
    <w:rsid w:val="004154C8"/>
    <w:rsid w:val="0041592B"/>
    <w:rsid w:val="004165C2"/>
    <w:rsid w:val="00416D26"/>
    <w:rsid w:val="00416EF2"/>
    <w:rsid w:val="00417876"/>
    <w:rsid w:val="00417945"/>
    <w:rsid w:val="00417BF1"/>
    <w:rsid w:val="00417E8D"/>
    <w:rsid w:val="004211CC"/>
    <w:rsid w:val="004215C2"/>
    <w:rsid w:val="00422686"/>
    <w:rsid w:val="00424142"/>
    <w:rsid w:val="00427400"/>
    <w:rsid w:val="00427EB2"/>
    <w:rsid w:val="00430321"/>
    <w:rsid w:val="00431601"/>
    <w:rsid w:val="00432E79"/>
    <w:rsid w:val="0043337A"/>
    <w:rsid w:val="004361E6"/>
    <w:rsid w:val="00436AEB"/>
    <w:rsid w:val="00437C60"/>
    <w:rsid w:val="004425FC"/>
    <w:rsid w:val="0044790E"/>
    <w:rsid w:val="00450915"/>
    <w:rsid w:val="00451609"/>
    <w:rsid w:val="00454EC2"/>
    <w:rsid w:val="00455D55"/>
    <w:rsid w:val="00456D8B"/>
    <w:rsid w:val="004577FF"/>
    <w:rsid w:val="00457F24"/>
    <w:rsid w:val="004616CD"/>
    <w:rsid w:val="00461B37"/>
    <w:rsid w:val="00464AAA"/>
    <w:rsid w:val="00470864"/>
    <w:rsid w:val="004732FD"/>
    <w:rsid w:val="004738B5"/>
    <w:rsid w:val="00475114"/>
    <w:rsid w:val="00475F4A"/>
    <w:rsid w:val="00476925"/>
    <w:rsid w:val="004774C0"/>
    <w:rsid w:val="00480C4E"/>
    <w:rsid w:val="00481680"/>
    <w:rsid w:val="00483F40"/>
    <w:rsid w:val="00485805"/>
    <w:rsid w:val="00485BB6"/>
    <w:rsid w:val="004921A4"/>
    <w:rsid w:val="00492B12"/>
    <w:rsid w:val="00493B5A"/>
    <w:rsid w:val="00494F8E"/>
    <w:rsid w:val="00497826"/>
    <w:rsid w:val="00497D6A"/>
    <w:rsid w:val="00497DB0"/>
    <w:rsid w:val="004A2184"/>
    <w:rsid w:val="004A4108"/>
    <w:rsid w:val="004A4875"/>
    <w:rsid w:val="004A4E9A"/>
    <w:rsid w:val="004A5EC5"/>
    <w:rsid w:val="004A5FD0"/>
    <w:rsid w:val="004A60BA"/>
    <w:rsid w:val="004A64D1"/>
    <w:rsid w:val="004A6AC9"/>
    <w:rsid w:val="004B07A4"/>
    <w:rsid w:val="004B1588"/>
    <w:rsid w:val="004B2A80"/>
    <w:rsid w:val="004B31D9"/>
    <w:rsid w:val="004B4AEE"/>
    <w:rsid w:val="004B584B"/>
    <w:rsid w:val="004B6477"/>
    <w:rsid w:val="004B6BA4"/>
    <w:rsid w:val="004C0E0B"/>
    <w:rsid w:val="004C0E72"/>
    <w:rsid w:val="004C4D6B"/>
    <w:rsid w:val="004C50CB"/>
    <w:rsid w:val="004D023F"/>
    <w:rsid w:val="004D1969"/>
    <w:rsid w:val="004D221F"/>
    <w:rsid w:val="004D60BF"/>
    <w:rsid w:val="004D77F2"/>
    <w:rsid w:val="004E0F45"/>
    <w:rsid w:val="004E198A"/>
    <w:rsid w:val="004E21E1"/>
    <w:rsid w:val="004E232B"/>
    <w:rsid w:val="004E2834"/>
    <w:rsid w:val="004E2A24"/>
    <w:rsid w:val="004E34E5"/>
    <w:rsid w:val="004E503B"/>
    <w:rsid w:val="004E69C6"/>
    <w:rsid w:val="004E6C81"/>
    <w:rsid w:val="004E7000"/>
    <w:rsid w:val="004F0B37"/>
    <w:rsid w:val="004F0C0D"/>
    <w:rsid w:val="004F15DB"/>
    <w:rsid w:val="004F2F0E"/>
    <w:rsid w:val="004F41EF"/>
    <w:rsid w:val="004F44AA"/>
    <w:rsid w:val="004F5128"/>
    <w:rsid w:val="004F5883"/>
    <w:rsid w:val="004F7B5B"/>
    <w:rsid w:val="004F7C7C"/>
    <w:rsid w:val="00501505"/>
    <w:rsid w:val="00503269"/>
    <w:rsid w:val="00510B8B"/>
    <w:rsid w:val="00511905"/>
    <w:rsid w:val="00512CAD"/>
    <w:rsid w:val="00513468"/>
    <w:rsid w:val="005157B4"/>
    <w:rsid w:val="005168D5"/>
    <w:rsid w:val="00516EBB"/>
    <w:rsid w:val="005171C3"/>
    <w:rsid w:val="0051747D"/>
    <w:rsid w:val="00517EF4"/>
    <w:rsid w:val="005221AF"/>
    <w:rsid w:val="00523919"/>
    <w:rsid w:val="00524ED7"/>
    <w:rsid w:val="00525451"/>
    <w:rsid w:val="00525868"/>
    <w:rsid w:val="005301B6"/>
    <w:rsid w:val="0053087E"/>
    <w:rsid w:val="005318B8"/>
    <w:rsid w:val="00532C17"/>
    <w:rsid w:val="00532D93"/>
    <w:rsid w:val="00534547"/>
    <w:rsid w:val="005356B1"/>
    <w:rsid w:val="0053623E"/>
    <w:rsid w:val="00536A02"/>
    <w:rsid w:val="0053799E"/>
    <w:rsid w:val="00537DA8"/>
    <w:rsid w:val="0055044E"/>
    <w:rsid w:val="00550DE2"/>
    <w:rsid w:val="00551CFA"/>
    <w:rsid w:val="0055212E"/>
    <w:rsid w:val="00552F23"/>
    <w:rsid w:val="00552F70"/>
    <w:rsid w:val="00553981"/>
    <w:rsid w:val="00554FF4"/>
    <w:rsid w:val="00556075"/>
    <w:rsid w:val="00556D82"/>
    <w:rsid w:val="005617D0"/>
    <w:rsid w:val="00562666"/>
    <w:rsid w:val="00563855"/>
    <w:rsid w:val="005653A5"/>
    <w:rsid w:val="0057104F"/>
    <w:rsid w:val="005717E1"/>
    <w:rsid w:val="00571EB3"/>
    <w:rsid w:val="00573289"/>
    <w:rsid w:val="00573E12"/>
    <w:rsid w:val="00575573"/>
    <w:rsid w:val="00576598"/>
    <w:rsid w:val="00581303"/>
    <w:rsid w:val="00581EA3"/>
    <w:rsid w:val="005820A9"/>
    <w:rsid w:val="005821BB"/>
    <w:rsid w:val="00582D9F"/>
    <w:rsid w:val="00584213"/>
    <w:rsid w:val="00584D15"/>
    <w:rsid w:val="00587010"/>
    <w:rsid w:val="00592466"/>
    <w:rsid w:val="0059472F"/>
    <w:rsid w:val="00594EA3"/>
    <w:rsid w:val="005A0E6E"/>
    <w:rsid w:val="005A2269"/>
    <w:rsid w:val="005A3F59"/>
    <w:rsid w:val="005A531E"/>
    <w:rsid w:val="005A73A9"/>
    <w:rsid w:val="005B365F"/>
    <w:rsid w:val="005B4417"/>
    <w:rsid w:val="005B4785"/>
    <w:rsid w:val="005B483F"/>
    <w:rsid w:val="005B496A"/>
    <w:rsid w:val="005C0BAB"/>
    <w:rsid w:val="005C38CD"/>
    <w:rsid w:val="005C40C0"/>
    <w:rsid w:val="005C577D"/>
    <w:rsid w:val="005C5B26"/>
    <w:rsid w:val="005C6696"/>
    <w:rsid w:val="005D057E"/>
    <w:rsid w:val="005D1CBE"/>
    <w:rsid w:val="005D3137"/>
    <w:rsid w:val="005D54CF"/>
    <w:rsid w:val="005D6CA4"/>
    <w:rsid w:val="005D6E01"/>
    <w:rsid w:val="005E1AF8"/>
    <w:rsid w:val="005E22D2"/>
    <w:rsid w:val="005E3190"/>
    <w:rsid w:val="005E4D0E"/>
    <w:rsid w:val="005F2A59"/>
    <w:rsid w:val="005F2BE5"/>
    <w:rsid w:val="005F68D7"/>
    <w:rsid w:val="005F71EA"/>
    <w:rsid w:val="00603C78"/>
    <w:rsid w:val="0060629F"/>
    <w:rsid w:val="00607F6F"/>
    <w:rsid w:val="006105DE"/>
    <w:rsid w:val="0061491A"/>
    <w:rsid w:val="006160AD"/>
    <w:rsid w:val="006166D8"/>
    <w:rsid w:val="006207B6"/>
    <w:rsid w:val="00623F46"/>
    <w:rsid w:val="00624D99"/>
    <w:rsid w:val="00626913"/>
    <w:rsid w:val="00626A9F"/>
    <w:rsid w:val="00630329"/>
    <w:rsid w:val="00633338"/>
    <w:rsid w:val="00634C4D"/>
    <w:rsid w:val="00637546"/>
    <w:rsid w:val="006406F0"/>
    <w:rsid w:val="0064150D"/>
    <w:rsid w:val="00642FBC"/>
    <w:rsid w:val="00643C33"/>
    <w:rsid w:val="006445D0"/>
    <w:rsid w:val="00644878"/>
    <w:rsid w:val="00644C54"/>
    <w:rsid w:val="00645F41"/>
    <w:rsid w:val="006515A9"/>
    <w:rsid w:val="00653333"/>
    <w:rsid w:val="00653E17"/>
    <w:rsid w:val="00654FB8"/>
    <w:rsid w:val="006556C0"/>
    <w:rsid w:val="00656CD1"/>
    <w:rsid w:val="0066189A"/>
    <w:rsid w:val="00662CAC"/>
    <w:rsid w:val="00662DCC"/>
    <w:rsid w:val="00662F25"/>
    <w:rsid w:val="006673D0"/>
    <w:rsid w:val="00670783"/>
    <w:rsid w:val="00673B76"/>
    <w:rsid w:val="00673E44"/>
    <w:rsid w:val="0067405A"/>
    <w:rsid w:val="00675D54"/>
    <w:rsid w:val="00676179"/>
    <w:rsid w:val="00676260"/>
    <w:rsid w:val="00676451"/>
    <w:rsid w:val="006816E8"/>
    <w:rsid w:val="00681E97"/>
    <w:rsid w:val="00682C7E"/>
    <w:rsid w:val="00683671"/>
    <w:rsid w:val="0068387E"/>
    <w:rsid w:val="00684CD4"/>
    <w:rsid w:val="00684F4E"/>
    <w:rsid w:val="0068550E"/>
    <w:rsid w:val="00685B56"/>
    <w:rsid w:val="006908E6"/>
    <w:rsid w:val="006912D3"/>
    <w:rsid w:val="00692548"/>
    <w:rsid w:val="0069532C"/>
    <w:rsid w:val="006A06DE"/>
    <w:rsid w:val="006A29CE"/>
    <w:rsid w:val="006A368C"/>
    <w:rsid w:val="006A6418"/>
    <w:rsid w:val="006A660B"/>
    <w:rsid w:val="006A7919"/>
    <w:rsid w:val="006A7F7A"/>
    <w:rsid w:val="006B30C3"/>
    <w:rsid w:val="006B428A"/>
    <w:rsid w:val="006B79FA"/>
    <w:rsid w:val="006C367B"/>
    <w:rsid w:val="006C3C07"/>
    <w:rsid w:val="006C50CB"/>
    <w:rsid w:val="006C7E78"/>
    <w:rsid w:val="006D094B"/>
    <w:rsid w:val="006D47AF"/>
    <w:rsid w:val="006D6DA9"/>
    <w:rsid w:val="006D7412"/>
    <w:rsid w:val="006E247C"/>
    <w:rsid w:val="006E2ABB"/>
    <w:rsid w:val="006E5B7E"/>
    <w:rsid w:val="006E698F"/>
    <w:rsid w:val="006F1A08"/>
    <w:rsid w:val="006F4B7D"/>
    <w:rsid w:val="006F6A61"/>
    <w:rsid w:val="006F71CF"/>
    <w:rsid w:val="00700A0E"/>
    <w:rsid w:val="00700E33"/>
    <w:rsid w:val="0070158E"/>
    <w:rsid w:val="00701F58"/>
    <w:rsid w:val="00702C13"/>
    <w:rsid w:val="00703AD3"/>
    <w:rsid w:val="007046F9"/>
    <w:rsid w:val="007070FD"/>
    <w:rsid w:val="00707ADB"/>
    <w:rsid w:val="00710062"/>
    <w:rsid w:val="007104EF"/>
    <w:rsid w:val="00711D32"/>
    <w:rsid w:val="00712D3F"/>
    <w:rsid w:val="007138EE"/>
    <w:rsid w:val="00715FFD"/>
    <w:rsid w:val="00716C10"/>
    <w:rsid w:val="0071730B"/>
    <w:rsid w:val="0071760F"/>
    <w:rsid w:val="007217AA"/>
    <w:rsid w:val="00721889"/>
    <w:rsid w:val="007233CE"/>
    <w:rsid w:val="00725ABD"/>
    <w:rsid w:val="00726AAE"/>
    <w:rsid w:val="00730A27"/>
    <w:rsid w:val="00730DB7"/>
    <w:rsid w:val="00732591"/>
    <w:rsid w:val="0073324C"/>
    <w:rsid w:val="00735106"/>
    <w:rsid w:val="00736B0D"/>
    <w:rsid w:val="007402BF"/>
    <w:rsid w:val="00742201"/>
    <w:rsid w:val="00742AE8"/>
    <w:rsid w:val="00742D5B"/>
    <w:rsid w:val="00744D03"/>
    <w:rsid w:val="00745BF5"/>
    <w:rsid w:val="00747138"/>
    <w:rsid w:val="00747300"/>
    <w:rsid w:val="00751F49"/>
    <w:rsid w:val="00752596"/>
    <w:rsid w:val="007531D6"/>
    <w:rsid w:val="007545D2"/>
    <w:rsid w:val="00754C2C"/>
    <w:rsid w:val="00761DFD"/>
    <w:rsid w:val="00765464"/>
    <w:rsid w:val="0076561C"/>
    <w:rsid w:val="00766963"/>
    <w:rsid w:val="00770A11"/>
    <w:rsid w:val="00770A4B"/>
    <w:rsid w:val="00771515"/>
    <w:rsid w:val="00771623"/>
    <w:rsid w:val="0077206A"/>
    <w:rsid w:val="00773035"/>
    <w:rsid w:val="00773E32"/>
    <w:rsid w:val="007740F6"/>
    <w:rsid w:val="007767BD"/>
    <w:rsid w:val="007807B5"/>
    <w:rsid w:val="00782A80"/>
    <w:rsid w:val="007841FA"/>
    <w:rsid w:val="0078589B"/>
    <w:rsid w:val="00786153"/>
    <w:rsid w:val="00786211"/>
    <w:rsid w:val="007867BC"/>
    <w:rsid w:val="00786DD2"/>
    <w:rsid w:val="00786DEA"/>
    <w:rsid w:val="00787313"/>
    <w:rsid w:val="00791CD4"/>
    <w:rsid w:val="00797315"/>
    <w:rsid w:val="007973FE"/>
    <w:rsid w:val="007A0174"/>
    <w:rsid w:val="007A073F"/>
    <w:rsid w:val="007A1203"/>
    <w:rsid w:val="007A4483"/>
    <w:rsid w:val="007A6033"/>
    <w:rsid w:val="007B02CA"/>
    <w:rsid w:val="007B1DA5"/>
    <w:rsid w:val="007B28AB"/>
    <w:rsid w:val="007B3A5B"/>
    <w:rsid w:val="007B42C4"/>
    <w:rsid w:val="007B5B9E"/>
    <w:rsid w:val="007B6348"/>
    <w:rsid w:val="007B65BB"/>
    <w:rsid w:val="007B6930"/>
    <w:rsid w:val="007B728B"/>
    <w:rsid w:val="007C094C"/>
    <w:rsid w:val="007C19D8"/>
    <w:rsid w:val="007C3931"/>
    <w:rsid w:val="007C66D9"/>
    <w:rsid w:val="007C732D"/>
    <w:rsid w:val="007C7E3C"/>
    <w:rsid w:val="007D0D4C"/>
    <w:rsid w:val="007D0D7A"/>
    <w:rsid w:val="007D43B8"/>
    <w:rsid w:val="007D5428"/>
    <w:rsid w:val="007D6B6E"/>
    <w:rsid w:val="007E349A"/>
    <w:rsid w:val="007E4BD8"/>
    <w:rsid w:val="007E5807"/>
    <w:rsid w:val="007E5D66"/>
    <w:rsid w:val="007E667C"/>
    <w:rsid w:val="007E7563"/>
    <w:rsid w:val="007F10DC"/>
    <w:rsid w:val="007F18E3"/>
    <w:rsid w:val="007F2117"/>
    <w:rsid w:val="007F3458"/>
    <w:rsid w:val="007F5010"/>
    <w:rsid w:val="007F632F"/>
    <w:rsid w:val="007F6CEC"/>
    <w:rsid w:val="007F7003"/>
    <w:rsid w:val="007F76A6"/>
    <w:rsid w:val="007F7AA0"/>
    <w:rsid w:val="008005BF"/>
    <w:rsid w:val="00804852"/>
    <w:rsid w:val="008059C3"/>
    <w:rsid w:val="008077D6"/>
    <w:rsid w:val="00810824"/>
    <w:rsid w:val="008111C7"/>
    <w:rsid w:val="00811FDA"/>
    <w:rsid w:val="0081289A"/>
    <w:rsid w:val="008150CF"/>
    <w:rsid w:val="00817BE0"/>
    <w:rsid w:val="008217EC"/>
    <w:rsid w:val="008251AD"/>
    <w:rsid w:val="0082655F"/>
    <w:rsid w:val="00826CA7"/>
    <w:rsid w:val="008278FB"/>
    <w:rsid w:val="008301A4"/>
    <w:rsid w:val="00832B89"/>
    <w:rsid w:val="00835D11"/>
    <w:rsid w:val="00837450"/>
    <w:rsid w:val="0084133D"/>
    <w:rsid w:val="00844974"/>
    <w:rsid w:val="00844A3F"/>
    <w:rsid w:val="00852FF1"/>
    <w:rsid w:val="00853E8A"/>
    <w:rsid w:val="008545FD"/>
    <w:rsid w:val="008547AD"/>
    <w:rsid w:val="00854DD1"/>
    <w:rsid w:val="00856376"/>
    <w:rsid w:val="0086095A"/>
    <w:rsid w:val="00860CDF"/>
    <w:rsid w:val="00860DA9"/>
    <w:rsid w:val="008641FA"/>
    <w:rsid w:val="00864712"/>
    <w:rsid w:val="0086653F"/>
    <w:rsid w:val="00866B3A"/>
    <w:rsid w:val="008703B0"/>
    <w:rsid w:val="00871D8F"/>
    <w:rsid w:val="0087241B"/>
    <w:rsid w:val="00872FFE"/>
    <w:rsid w:val="008730E4"/>
    <w:rsid w:val="008742E3"/>
    <w:rsid w:val="00874C97"/>
    <w:rsid w:val="008768C8"/>
    <w:rsid w:val="0088149D"/>
    <w:rsid w:val="00881C9F"/>
    <w:rsid w:val="008829E3"/>
    <w:rsid w:val="00887D83"/>
    <w:rsid w:val="0089243C"/>
    <w:rsid w:val="008948B8"/>
    <w:rsid w:val="00894EF0"/>
    <w:rsid w:val="008950C6"/>
    <w:rsid w:val="00897248"/>
    <w:rsid w:val="008A1028"/>
    <w:rsid w:val="008A1B3F"/>
    <w:rsid w:val="008A2307"/>
    <w:rsid w:val="008A3ADD"/>
    <w:rsid w:val="008A40BA"/>
    <w:rsid w:val="008A470A"/>
    <w:rsid w:val="008A55C8"/>
    <w:rsid w:val="008A5BE0"/>
    <w:rsid w:val="008A6323"/>
    <w:rsid w:val="008A76A0"/>
    <w:rsid w:val="008B14FB"/>
    <w:rsid w:val="008B241E"/>
    <w:rsid w:val="008B2795"/>
    <w:rsid w:val="008B65FB"/>
    <w:rsid w:val="008C024E"/>
    <w:rsid w:val="008C1A41"/>
    <w:rsid w:val="008C3165"/>
    <w:rsid w:val="008C3367"/>
    <w:rsid w:val="008C3CCB"/>
    <w:rsid w:val="008C73C8"/>
    <w:rsid w:val="008D13E9"/>
    <w:rsid w:val="008D2384"/>
    <w:rsid w:val="008D259D"/>
    <w:rsid w:val="008D28F6"/>
    <w:rsid w:val="008D47EC"/>
    <w:rsid w:val="008D4E59"/>
    <w:rsid w:val="008D7C9D"/>
    <w:rsid w:val="008E0763"/>
    <w:rsid w:val="008E25AA"/>
    <w:rsid w:val="008E3696"/>
    <w:rsid w:val="008E3D60"/>
    <w:rsid w:val="008E6FF0"/>
    <w:rsid w:val="008E7A2B"/>
    <w:rsid w:val="008F0180"/>
    <w:rsid w:val="008F3E78"/>
    <w:rsid w:val="008F45CA"/>
    <w:rsid w:val="008F5849"/>
    <w:rsid w:val="00900E0B"/>
    <w:rsid w:val="009019E9"/>
    <w:rsid w:val="009021BA"/>
    <w:rsid w:val="0090388B"/>
    <w:rsid w:val="00906CCA"/>
    <w:rsid w:val="00912521"/>
    <w:rsid w:val="00913D27"/>
    <w:rsid w:val="00914143"/>
    <w:rsid w:val="00915E6F"/>
    <w:rsid w:val="00917F9A"/>
    <w:rsid w:val="00920DD1"/>
    <w:rsid w:val="0092134E"/>
    <w:rsid w:val="00922881"/>
    <w:rsid w:val="00923375"/>
    <w:rsid w:val="00924775"/>
    <w:rsid w:val="00927FAB"/>
    <w:rsid w:val="009300D3"/>
    <w:rsid w:val="009313DD"/>
    <w:rsid w:val="00934B73"/>
    <w:rsid w:val="00934E1D"/>
    <w:rsid w:val="0093586D"/>
    <w:rsid w:val="009408BB"/>
    <w:rsid w:val="00940B59"/>
    <w:rsid w:val="00942DC9"/>
    <w:rsid w:val="009435D3"/>
    <w:rsid w:val="00945FA9"/>
    <w:rsid w:val="009509F3"/>
    <w:rsid w:val="009510CB"/>
    <w:rsid w:val="0095188F"/>
    <w:rsid w:val="00951A76"/>
    <w:rsid w:val="00953906"/>
    <w:rsid w:val="00957243"/>
    <w:rsid w:val="00957589"/>
    <w:rsid w:val="00960030"/>
    <w:rsid w:val="009602DC"/>
    <w:rsid w:val="00960DA5"/>
    <w:rsid w:val="00962918"/>
    <w:rsid w:val="009637EC"/>
    <w:rsid w:val="00963EDF"/>
    <w:rsid w:val="009659C2"/>
    <w:rsid w:val="009667A6"/>
    <w:rsid w:val="009678DB"/>
    <w:rsid w:val="00970B56"/>
    <w:rsid w:val="00971638"/>
    <w:rsid w:val="00975830"/>
    <w:rsid w:val="00975FA0"/>
    <w:rsid w:val="00980095"/>
    <w:rsid w:val="009834C3"/>
    <w:rsid w:val="009845A3"/>
    <w:rsid w:val="00985241"/>
    <w:rsid w:val="00985510"/>
    <w:rsid w:val="00985768"/>
    <w:rsid w:val="00985BFE"/>
    <w:rsid w:val="00986AA9"/>
    <w:rsid w:val="0098715F"/>
    <w:rsid w:val="00990236"/>
    <w:rsid w:val="0099048E"/>
    <w:rsid w:val="009905D7"/>
    <w:rsid w:val="00991227"/>
    <w:rsid w:val="009914CB"/>
    <w:rsid w:val="00991642"/>
    <w:rsid w:val="00991729"/>
    <w:rsid w:val="00992B07"/>
    <w:rsid w:val="009948C7"/>
    <w:rsid w:val="00997979"/>
    <w:rsid w:val="009A2FE3"/>
    <w:rsid w:val="009A394A"/>
    <w:rsid w:val="009A41F4"/>
    <w:rsid w:val="009A543F"/>
    <w:rsid w:val="009A5DA5"/>
    <w:rsid w:val="009A655A"/>
    <w:rsid w:val="009B15A8"/>
    <w:rsid w:val="009B1CB6"/>
    <w:rsid w:val="009B3D7F"/>
    <w:rsid w:val="009B657B"/>
    <w:rsid w:val="009B6CF2"/>
    <w:rsid w:val="009B6DEB"/>
    <w:rsid w:val="009B712C"/>
    <w:rsid w:val="009C07C9"/>
    <w:rsid w:val="009C0964"/>
    <w:rsid w:val="009C51C5"/>
    <w:rsid w:val="009C6F69"/>
    <w:rsid w:val="009C70E6"/>
    <w:rsid w:val="009D0357"/>
    <w:rsid w:val="009D0604"/>
    <w:rsid w:val="009D117E"/>
    <w:rsid w:val="009D6D67"/>
    <w:rsid w:val="009E035A"/>
    <w:rsid w:val="009E7CF0"/>
    <w:rsid w:val="009F00A8"/>
    <w:rsid w:val="009F02EB"/>
    <w:rsid w:val="009F0449"/>
    <w:rsid w:val="009F0E47"/>
    <w:rsid w:val="009F1C11"/>
    <w:rsid w:val="009F5AE5"/>
    <w:rsid w:val="009F627F"/>
    <w:rsid w:val="009F67BC"/>
    <w:rsid w:val="009F7D37"/>
    <w:rsid w:val="00A001B5"/>
    <w:rsid w:val="00A00293"/>
    <w:rsid w:val="00A00E4E"/>
    <w:rsid w:val="00A02C21"/>
    <w:rsid w:val="00A040EA"/>
    <w:rsid w:val="00A057D6"/>
    <w:rsid w:val="00A066DB"/>
    <w:rsid w:val="00A06886"/>
    <w:rsid w:val="00A07047"/>
    <w:rsid w:val="00A07A5C"/>
    <w:rsid w:val="00A106B4"/>
    <w:rsid w:val="00A1200B"/>
    <w:rsid w:val="00A1240B"/>
    <w:rsid w:val="00A12E19"/>
    <w:rsid w:val="00A14789"/>
    <w:rsid w:val="00A17C0E"/>
    <w:rsid w:val="00A17CF2"/>
    <w:rsid w:val="00A20498"/>
    <w:rsid w:val="00A21F2E"/>
    <w:rsid w:val="00A22B94"/>
    <w:rsid w:val="00A23540"/>
    <w:rsid w:val="00A2465D"/>
    <w:rsid w:val="00A25AFC"/>
    <w:rsid w:val="00A26B21"/>
    <w:rsid w:val="00A274E4"/>
    <w:rsid w:val="00A27C78"/>
    <w:rsid w:val="00A34E98"/>
    <w:rsid w:val="00A356B9"/>
    <w:rsid w:val="00A36DC1"/>
    <w:rsid w:val="00A43C53"/>
    <w:rsid w:val="00A44318"/>
    <w:rsid w:val="00A44FA1"/>
    <w:rsid w:val="00A4522B"/>
    <w:rsid w:val="00A45FF9"/>
    <w:rsid w:val="00A47669"/>
    <w:rsid w:val="00A501D5"/>
    <w:rsid w:val="00A528F9"/>
    <w:rsid w:val="00A52E70"/>
    <w:rsid w:val="00A54F78"/>
    <w:rsid w:val="00A567BA"/>
    <w:rsid w:val="00A5797F"/>
    <w:rsid w:val="00A63522"/>
    <w:rsid w:val="00A64B26"/>
    <w:rsid w:val="00A64F96"/>
    <w:rsid w:val="00A6519D"/>
    <w:rsid w:val="00A66719"/>
    <w:rsid w:val="00A67B61"/>
    <w:rsid w:val="00A72471"/>
    <w:rsid w:val="00A8275B"/>
    <w:rsid w:val="00A82ACF"/>
    <w:rsid w:val="00A82D85"/>
    <w:rsid w:val="00A8322C"/>
    <w:rsid w:val="00A8499D"/>
    <w:rsid w:val="00A87981"/>
    <w:rsid w:val="00A92144"/>
    <w:rsid w:val="00A932C8"/>
    <w:rsid w:val="00A94967"/>
    <w:rsid w:val="00A94E26"/>
    <w:rsid w:val="00A97558"/>
    <w:rsid w:val="00A979D0"/>
    <w:rsid w:val="00AA0F94"/>
    <w:rsid w:val="00AA341C"/>
    <w:rsid w:val="00AA402D"/>
    <w:rsid w:val="00AA4F7E"/>
    <w:rsid w:val="00AA5D68"/>
    <w:rsid w:val="00AA7AAB"/>
    <w:rsid w:val="00AA7B0A"/>
    <w:rsid w:val="00AA7D76"/>
    <w:rsid w:val="00AA7FA0"/>
    <w:rsid w:val="00AB05EF"/>
    <w:rsid w:val="00AB06FA"/>
    <w:rsid w:val="00AB1CEF"/>
    <w:rsid w:val="00AB3F69"/>
    <w:rsid w:val="00AB4A33"/>
    <w:rsid w:val="00AB4D39"/>
    <w:rsid w:val="00AB58A9"/>
    <w:rsid w:val="00AC0134"/>
    <w:rsid w:val="00AC11CF"/>
    <w:rsid w:val="00AC1872"/>
    <w:rsid w:val="00AC478B"/>
    <w:rsid w:val="00AC668A"/>
    <w:rsid w:val="00AD1804"/>
    <w:rsid w:val="00AD3A9E"/>
    <w:rsid w:val="00AD51F7"/>
    <w:rsid w:val="00AD6A1D"/>
    <w:rsid w:val="00AD6D9C"/>
    <w:rsid w:val="00AD7F23"/>
    <w:rsid w:val="00AE0C13"/>
    <w:rsid w:val="00AE140F"/>
    <w:rsid w:val="00AE15C1"/>
    <w:rsid w:val="00AE369C"/>
    <w:rsid w:val="00AE3877"/>
    <w:rsid w:val="00AE4FE7"/>
    <w:rsid w:val="00AE5525"/>
    <w:rsid w:val="00AE6161"/>
    <w:rsid w:val="00AE78DB"/>
    <w:rsid w:val="00AF0A60"/>
    <w:rsid w:val="00AF16D0"/>
    <w:rsid w:val="00AF1B4D"/>
    <w:rsid w:val="00AF2889"/>
    <w:rsid w:val="00AF3229"/>
    <w:rsid w:val="00AF326F"/>
    <w:rsid w:val="00AF34C2"/>
    <w:rsid w:val="00AF7042"/>
    <w:rsid w:val="00AF7B6D"/>
    <w:rsid w:val="00AF7D12"/>
    <w:rsid w:val="00B02B85"/>
    <w:rsid w:val="00B02CAE"/>
    <w:rsid w:val="00B032CF"/>
    <w:rsid w:val="00B040F4"/>
    <w:rsid w:val="00B06B54"/>
    <w:rsid w:val="00B06BAE"/>
    <w:rsid w:val="00B07140"/>
    <w:rsid w:val="00B075A2"/>
    <w:rsid w:val="00B129B9"/>
    <w:rsid w:val="00B13A45"/>
    <w:rsid w:val="00B13B3A"/>
    <w:rsid w:val="00B1473F"/>
    <w:rsid w:val="00B207EA"/>
    <w:rsid w:val="00B231CE"/>
    <w:rsid w:val="00B239F2"/>
    <w:rsid w:val="00B23B40"/>
    <w:rsid w:val="00B23DF3"/>
    <w:rsid w:val="00B25242"/>
    <w:rsid w:val="00B26C68"/>
    <w:rsid w:val="00B27122"/>
    <w:rsid w:val="00B27C54"/>
    <w:rsid w:val="00B30010"/>
    <w:rsid w:val="00B30288"/>
    <w:rsid w:val="00B31AF4"/>
    <w:rsid w:val="00B31C7E"/>
    <w:rsid w:val="00B31E83"/>
    <w:rsid w:val="00B321E9"/>
    <w:rsid w:val="00B32436"/>
    <w:rsid w:val="00B337A2"/>
    <w:rsid w:val="00B37F89"/>
    <w:rsid w:val="00B4005A"/>
    <w:rsid w:val="00B40CD3"/>
    <w:rsid w:val="00B41390"/>
    <w:rsid w:val="00B443B2"/>
    <w:rsid w:val="00B44617"/>
    <w:rsid w:val="00B45E78"/>
    <w:rsid w:val="00B45FBC"/>
    <w:rsid w:val="00B46062"/>
    <w:rsid w:val="00B46340"/>
    <w:rsid w:val="00B5013F"/>
    <w:rsid w:val="00B501DF"/>
    <w:rsid w:val="00B51071"/>
    <w:rsid w:val="00B539E3"/>
    <w:rsid w:val="00B53ED8"/>
    <w:rsid w:val="00B551E3"/>
    <w:rsid w:val="00B558A2"/>
    <w:rsid w:val="00B55A60"/>
    <w:rsid w:val="00B56650"/>
    <w:rsid w:val="00B56701"/>
    <w:rsid w:val="00B56B94"/>
    <w:rsid w:val="00B56F30"/>
    <w:rsid w:val="00B57A5E"/>
    <w:rsid w:val="00B62F28"/>
    <w:rsid w:val="00B63FA5"/>
    <w:rsid w:val="00B644BA"/>
    <w:rsid w:val="00B65AAF"/>
    <w:rsid w:val="00B65D05"/>
    <w:rsid w:val="00B665DC"/>
    <w:rsid w:val="00B673DD"/>
    <w:rsid w:val="00B6750B"/>
    <w:rsid w:val="00B731E2"/>
    <w:rsid w:val="00B756B8"/>
    <w:rsid w:val="00B76AE2"/>
    <w:rsid w:val="00B77EC2"/>
    <w:rsid w:val="00B82939"/>
    <w:rsid w:val="00B82DFC"/>
    <w:rsid w:val="00B835D4"/>
    <w:rsid w:val="00B83B9F"/>
    <w:rsid w:val="00B8476F"/>
    <w:rsid w:val="00B85752"/>
    <w:rsid w:val="00B863A6"/>
    <w:rsid w:val="00B90AA4"/>
    <w:rsid w:val="00B9404B"/>
    <w:rsid w:val="00B94BF9"/>
    <w:rsid w:val="00B94C64"/>
    <w:rsid w:val="00B95E84"/>
    <w:rsid w:val="00B95F70"/>
    <w:rsid w:val="00BA07C6"/>
    <w:rsid w:val="00BA084B"/>
    <w:rsid w:val="00BA09F8"/>
    <w:rsid w:val="00BA2181"/>
    <w:rsid w:val="00BA2888"/>
    <w:rsid w:val="00BA42CC"/>
    <w:rsid w:val="00BA48C5"/>
    <w:rsid w:val="00BA5821"/>
    <w:rsid w:val="00BA6518"/>
    <w:rsid w:val="00BA6DC9"/>
    <w:rsid w:val="00BB108F"/>
    <w:rsid w:val="00BB32F6"/>
    <w:rsid w:val="00BB6962"/>
    <w:rsid w:val="00BC05AF"/>
    <w:rsid w:val="00BC1B6C"/>
    <w:rsid w:val="00BC27C7"/>
    <w:rsid w:val="00BC2B32"/>
    <w:rsid w:val="00BC5201"/>
    <w:rsid w:val="00BC545F"/>
    <w:rsid w:val="00BC5BFA"/>
    <w:rsid w:val="00BD0CB3"/>
    <w:rsid w:val="00BD0D29"/>
    <w:rsid w:val="00BD1121"/>
    <w:rsid w:val="00BD1685"/>
    <w:rsid w:val="00BD25F9"/>
    <w:rsid w:val="00BD2FC0"/>
    <w:rsid w:val="00BD516C"/>
    <w:rsid w:val="00BD55B9"/>
    <w:rsid w:val="00BD78E5"/>
    <w:rsid w:val="00BE009E"/>
    <w:rsid w:val="00BE0BE7"/>
    <w:rsid w:val="00BE1825"/>
    <w:rsid w:val="00BE3075"/>
    <w:rsid w:val="00BE3CC2"/>
    <w:rsid w:val="00BF0146"/>
    <w:rsid w:val="00BF036C"/>
    <w:rsid w:val="00BF17E1"/>
    <w:rsid w:val="00BF2CB2"/>
    <w:rsid w:val="00BF3B10"/>
    <w:rsid w:val="00BF42DD"/>
    <w:rsid w:val="00BF4406"/>
    <w:rsid w:val="00BF5DE1"/>
    <w:rsid w:val="00C01777"/>
    <w:rsid w:val="00C017E7"/>
    <w:rsid w:val="00C031FD"/>
    <w:rsid w:val="00C03AFC"/>
    <w:rsid w:val="00C03DC2"/>
    <w:rsid w:val="00C04C67"/>
    <w:rsid w:val="00C0522A"/>
    <w:rsid w:val="00C06ED6"/>
    <w:rsid w:val="00C06F71"/>
    <w:rsid w:val="00C10693"/>
    <w:rsid w:val="00C15776"/>
    <w:rsid w:val="00C17055"/>
    <w:rsid w:val="00C17592"/>
    <w:rsid w:val="00C17EAE"/>
    <w:rsid w:val="00C21162"/>
    <w:rsid w:val="00C21C41"/>
    <w:rsid w:val="00C22523"/>
    <w:rsid w:val="00C22C62"/>
    <w:rsid w:val="00C24B1F"/>
    <w:rsid w:val="00C25ACC"/>
    <w:rsid w:val="00C27754"/>
    <w:rsid w:val="00C27B12"/>
    <w:rsid w:val="00C3154E"/>
    <w:rsid w:val="00C31EDE"/>
    <w:rsid w:val="00C3277B"/>
    <w:rsid w:val="00C40889"/>
    <w:rsid w:val="00C40904"/>
    <w:rsid w:val="00C40FE2"/>
    <w:rsid w:val="00C452F5"/>
    <w:rsid w:val="00C45C12"/>
    <w:rsid w:val="00C47094"/>
    <w:rsid w:val="00C470C9"/>
    <w:rsid w:val="00C50740"/>
    <w:rsid w:val="00C51AC0"/>
    <w:rsid w:val="00C522BA"/>
    <w:rsid w:val="00C53D6F"/>
    <w:rsid w:val="00C543B6"/>
    <w:rsid w:val="00C54BFE"/>
    <w:rsid w:val="00C5513A"/>
    <w:rsid w:val="00C55F13"/>
    <w:rsid w:val="00C56EC5"/>
    <w:rsid w:val="00C5715F"/>
    <w:rsid w:val="00C57BF0"/>
    <w:rsid w:val="00C63F7B"/>
    <w:rsid w:val="00C6456D"/>
    <w:rsid w:val="00C64AD9"/>
    <w:rsid w:val="00C65A0E"/>
    <w:rsid w:val="00C6761E"/>
    <w:rsid w:val="00C70ECA"/>
    <w:rsid w:val="00C71369"/>
    <w:rsid w:val="00C71619"/>
    <w:rsid w:val="00C720A8"/>
    <w:rsid w:val="00C726FE"/>
    <w:rsid w:val="00C76FB3"/>
    <w:rsid w:val="00C7748D"/>
    <w:rsid w:val="00C8032B"/>
    <w:rsid w:val="00C82509"/>
    <w:rsid w:val="00C83CF6"/>
    <w:rsid w:val="00C85199"/>
    <w:rsid w:val="00C8542E"/>
    <w:rsid w:val="00C86EDB"/>
    <w:rsid w:val="00C87343"/>
    <w:rsid w:val="00C91DFD"/>
    <w:rsid w:val="00C971C0"/>
    <w:rsid w:val="00CA0D2D"/>
    <w:rsid w:val="00CA1800"/>
    <w:rsid w:val="00CA3D0A"/>
    <w:rsid w:val="00CA7917"/>
    <w:rsid w:val="00CA79F1"/>
    <w:rsid w:val="00CB07DB"/>
    <w:rsid w:val="00CB10DF"/>
    <w:rsid w:val="00CB14BE"/>
    <w:rsid w:val="00CB1763"/>
    <w:rsid w:val="00CB32A7"/>
    <w:rsid w:val="00CB3B91"/>
    <w:rsid w:val="00CB3D41"/>
    <w:rsid w:val="00CB4C75"/>
    <w:rsid w:val="00CB6DF2"/>
    <w:rsid w:val="00CB754A"/>
    <w:rsid w:val="00CC108A"/>
    <w:rsid w:val="00CC7A02"/>
    <w:rsid w:val="00CD0281"/>
    <w:rsid w:val="00CD0B62"/>
    <w:rsid w:val="00CD1D09"/>
    <w:rsid w:val="00CD4E07"/>
    <w:rsid w:val="00CD749A"/>
    <w:rsid w:val="00CD765F"/>
    <w:rsid w:val="00CE24DD"/>
    <w:rsid w:val="00CE2AC5"/>
    <w:rsid w:val="00CE2F39"/>
    <w:rsid w:val="00CE3A02"/>
    <w:rsid w:val="00CE6404"/>
    <w:rsid w:val="00CE6ABC"/>
    <w:rsid w:val="00CE78C7"/>
    <w:rsid w:val="00CF0FF9"/>
    <w:rsid w:val="00CF11C4"/>
    <w:rsid w:val="00CF12F5"/>
    <w:rsid w:val="00CF3785"/>
    <w:rsid w:val="00CF6154"/>
    <w:rsid w:val="00CF649F"/>
    <w:rsid w:val="00D00D95"/>
    <w:rsid w:val="00D0114A"/>
    <w:rsid w:val="00D019CC"/>
    <w:rsid w:val="00D01CF5"/>
    <w:rsid w:val="00D03039"/>
    <w:rsid w:val="00D05662"/>
    <w:rsid w:val="00D05BB6"/>
    <w:rsid w:val="00D05E4A"/>
    <w:rsid w:val="00D05E6A"/>
    <w:rsid w:val="00D07A51"/>
    <w:rsid w:val="00D11E3A"/>
    <w:rsid w:val="00D12E22"/>
    <w:rsid w:val="00D15527"/>
    <w:rsid w:val="00D16C3A"/>
    <w:rsid w:val="00D16EC4"/>
    <w:rsid w:val="00D201C9"/>
    <w:rsid w:val="00D20E1D"/>
    <w:rsid w:val="00D21638"/>
    <w:rsid w:val="00D21ADF"/>
    <w:rsid w:val="00D22A38"/>
    <w:rsid w:val="00D27B21"/>
    <w:rsid w:val="00D27B24"/>
    <w:rsid w:val="00D27E99"/>
    <w:rsid w:val="00D301B6"/>
    <w:rsid w:val="00D33DC9"/>
    <w:rsid w:val="00D3451B"/>
    <w:rsid w:val="00D35137"/>
    <w:rsid w:val="00D359FF"/>
    <w:rsid w:val="00D36061"/>
    <w:rsid w:val="00D36DE1"/>
    <w:rsid w:val="00D4116A"/>
    <w:rsid w:val="00D42931"/>
    <w:rsid w:val="00D475ED"/>
    <w:rsid w:val="00D479D5"/>
    <w:rsid w:val="00D523C7"/>
    <w:rsid w:val="00D61686"/>
    <w:rsid w:val="00D644FB"/>
    <w:rsid w:val="00D648D1"/>
    <w:rsid w:val="00D65D0E"/>
    <w:rsid w:val="00D66580"/>
    <w:rsid w:val="00D66F2E"/>
    <w:rsid w:val="00D7278C"/>
    <w:rsid w:val="00D72D29"/>
    <w:rsid w:val="00D76EC6"/>
    <w:rsid w:val="00D8490D"/>
    <w:rsid w:val="00D84BAC"/>
    <w:rsid w:val="00D85432"/>
    <w:rsid w:val="00D85740"/>
    <w:rsid w:val="00D864C0"/>
    <w:rsid w:val="00D86844"/>
    <w:rsid w:val="00D86876"/>
    <w:rsid w:val="00D87798"/>
    <w:rsid w:val="00D90F40"/>
    <w:rsid w:val="00D916AA"/>
    <w:rsid w:val="00D931C1"/>
    <w:rsid w:val="00D94F14"/>
    <w:rsid w:val="00D95C1E"/>
    <w:rsid w:val="00DA03C5"/>
    <w:rsid w:val="00DA1EF1"/>
    <w:rsid w:val="00DA3A3B"/>
    <w:rsid w:val="00DA3E01"/>
    <w:rsid w:val="00DA42B7"/>
    <w:rsid w:val="00DA4FA9"/>
    <w:rsid w:val="00DA5C08"/>
    <w:rsid w:val="00DA7694"/>
    <w:rsid w:val="00DB1956"/>
    <w:rsid w:val="00DB1FA6"/>
    <w:rsid w:val="00DB39B3"/>
    <w:rsid w:val="00DB5741"/>
    <w:rsid w:val="00DB6B70"/>
    <w:rsid w:val="00DB77E5"/>
    <w:rsid w:val="00DC0068"/>
    <w:rsid w:val="00DC016F"/>
    <w:rsid w:val="00DC244A"/>
    <w:rsid w:val="00DC594F"/>
    <w:rsid w:val="00DC5D28"/>
    <w:rsid w:val="00DC681C"/>
    <w:rsid w:val="00DD165B"/>
    <w:rsid w:val="00DD2C02"/>
    <w:rsid w:val="00DD3B6E"/>
    <w:rsid w:val="00DD4B47"/>
    <w:rsid w:val="00DD7541"/>
    <w:rsid w:val="00DD756E"/>
    <w:rsid w:val="00DE039D"/>
    <w:rsid w:val="00DE057F"/>
    <w:rsid w:val="00DE1A54"/>
    <w:rsid w:val="00DE4719"/>
    <w:rsid w:val="00DE6231"/>
    <w:rsid w:val="00DE7014"/>
    <w:rsid w:val="00DE7BC4"/>
    <w:rsid w:val="00DF1F9C"/>
    <w:rsid w:val="00DF2594"/>
    <w:rsid w:val="00DF374C"/>
    <w:rsid w:val="00E02EDF"/>
    <w:rsid w:val="00E0556A"/>
    <w:rsid w:val="00E059A9"/>
    <w:rsid w:val="00E06CE7"/>
    <w:rsid w:val="00E0755A"/>
    <w:rsid w:val="00E10EEA"/>
    <w:rsid w:val="00E12C95"/>
    <w:rsid w:val="00E141BF"/>
    <w:rsid w:val="00E16776"/>
    <w:rsid w:val="00E1692E"/>
    <w:rsid w:val="00E1729A"/>
    <w:rsid w:val="00E174AB"/>
    <w:rsid w:val="00E17E65"/>
    <w:rsid w:val="00E2050D"/>
    <w:rsid w:val="00E218E6"/>
    <w:rsid w:val="00E22919"/>
    <w:rsid w:val="00E25B8B"/>
    <w:rsid w:val="00E269CF"/>
    <w:rsid w:val="00E27FD9"/>
    <w:rsid w:val="00E31947"/>
    <w:rsid w:val="00E3218C"/>
    <w:rsid w:val="00E34535"/>
    <w:rsid w:val="00E350CD"/>
    <w:rsid w:val="00E36848"/>
    <w:rsid w:val="00E3707F"/>
    <w:rsid w:val="00E4085B"/>
    <w:rsid w:val="00E42454"/>
    <w:rsid w:val="00E43FB9"/>
    <w:rsid w:val="00E44BCE"/>
    <w:rsid w:val="00E4509A"/>
    <w:rsid w:val="00E4534A"/>
    <w:rsid w:val="00E45487"/>
    <w:rsid w:val="00E454C2"/>
    <w:rsid w:val="00E46EBC"/>
    <w:rsid w:val="00E5011B"/>
    <w:rsid w:val="00E50E95"/>
    <w:rsid w:val="00E52942"/>
    <w:rsid w:val="00E54957"/>
    <w:rsid w:val="00E549C7"/>
    <w:rsid w:val="00E54DE5"/>
    <w:rsid w:val="00E5737F"/>
    <w:rsid w:val="00E57BCA"/>
    <w:rsid w:val="00E62AEF"/>
    <w:rsid w:val="00E63D3D"/>
    <w:rsid w:val="00E65443"/>
    <w:rsid w:val="00E658A6"/>
    <w:rsid w:val="00E66801"/>
    <w:rsid w:val="00E71546"/>
    <w:rsid w:val="00E71CBA"/>
    <w:rsid w:val="00E72932"/>
    <w:rsid w:val="00E74CA1"/>
    <w:rsid w:val="00E7527A"/>
    <w:rsid w:val="00E75B15"/>
    <w:rsid w:val="00E76268"/>
    <w:rsid w:val="00E76B62"/>
    <w:rsid w:val="00E76EE1"/>
    <w:rsid w:val="00E770D7"/>
    <w:rsid w:val="00E817FE"/>
    <w:rsid w:val="00E81F72"/>
    <w:rsid w:val="00E84B55"/>
    <w:rsid w:val="00E85EBC"/>
    <w:rsid w:val="00E86C8D"/>
    <w:rsid w:val="00E870EB"/>
    <w:rsid w:val="00E87B9A"/>
    <w:rsid w:val="00E90AFE"/>
    <w:rsid w:val="00E933E3"/>
    <w:rsid w:val="00E950C2"/>
    <w:rsid w:val="00E96067"/>
    <w:rsid w:val="00E979B6"/>
    <w:rsid w:val="00EA0987"/>
    <w:rsid w:val="00EA1012"/>
    <w:rsid w:val="00EA3097"/>
    <w:rsid w:val="00EA444A"/>
    <w:rsid w:val="00EA5644"/>
    <w:rsid w:val="00EA6B24"/>
    <w:rsid w:val="00EB0CBE"/>
    <w:rsid w:val="00EB28BA"/>
    <w:rsid w:val="00EB403B"/>
    <w:rsid w:val="00EB4AB3"/>
    <w:rsid w:val="00EB6C94"/>
    <w:rsid w:val="00EC0E8C"/>
    <w:rsid w:val="00EC3664"/>
    <w:rsid w:val="00EC48CC"/>
    <w:rsid w:val="00EC4B35"/>
    <w:rsid w:val="00EC52A5"/>
    <w:rsid w:val="00EC5C7D"/>
    <w:rsid w:val="00EC618C"/>
    <w:rsid w:val="00EC6367"/>
    <w:rsid w:val="00EC7850"/>
    <w:rsid w:val="00ED0268"/>
    <w:rsid w:val="00ED04F8"/>
    <w:rsid w:val="00ED0730"/>
    <w:rsid w:val="00ED252F"/>
    <w:rsid w:val="00ED46B6"/>
    <w:rsid w:val="00EE021A"/>
    <w:rsid w:val="00EE372C"/>
    <w:rsid w:val="00EE5DE4"/>
    <w:rsid w:val="00EE644B"/>
    <w:rsid w:val="00EE715D"/>
    <w:rsid w:val="00EE7401"/>
    <w:rsid w:val="00EF281F"/>
    <w:rsid w:val="00EF4407"/>
    <w:rsid w:val="00EF4C4C"/>
    <w:rsid w:val="00EF4E74"/>
    <w:rsid w:val="00EF68AC"/>
    <w:rsid w:val="00EF6EF1"/>
    <w:rsid w:val="00F009A4"/>
    <w:rsid w:val="00F00E47"/>
    <w:rsid w:val="00F01D36"/>
    <w:rsid w:val="00F02AE5"/>
    <w:rsid w:val="00F03ABF"/>
    <w:rsid w:val="00F12B14"/>
    <w:rsid w:val="00F12EF4"/>
    <w:rsid w:val="00F1564F"/>
    <w:rsid w:val="00F221DC"/>
    <w:rsid w:val="00F255FF"/>
    <w:rsid w:val="00F25A0A"/>
    <w:rsid w:val="00F2608D"/>
    <w:rsid w:val="00F26773"/>
    <w:rsid w:val="00F318D0"/>
    <w:rsid w:val="00F35ACA"/>
    <w:rsid w:val="00F362EB"/>
    <w:rsid w:val="00F36521"/>
    <w:rsid w:val="00F36C83"/>
    <w:rsid w:val="00F37388"/>
    <w:rsid w:val="00F374C2"/>
    <w:rsid w:val="00F41D83"/>
    <w:rsid w:val="00F437EB"/>
    <w:rsid w:val="00F45878"/>
    <w:rsid w:val="00F462FC"/>
    <w:rsid w:val="00F468F2"/>
    <w:rsid w:val="00F47291"/>
    <w:rsid w:val="00F50379"/>
    <w:rsid w:val="00F507DB"/>
    <w:rsid w:val="00F54752"/>
    <w:rsid w:val="00F5582B"/>
    <w:rsid w:val="00F55C3C"/>
    <w:rsid w:val="00F560A6"/>
    <w:rsid w:val="00F56992"/>
    <w:rsid w:val="00F626FB"/>
    <w:rsid w:val="00F63081"/>
    <w:rsid w:val="00F653DE"/>
    <w:rsid w:val="00F66131"/>
    <w:rsid w:val="00F7039E"/>
    <w:rsid w:val="00F7134F"/>
    <w:rsid w:val="00F71373"/>
    <w:rsid w:val="00F713EC"/>
    <w:rsid w:val="00F71C20"/>
    <w:rsid w:val="00F732B8"/>
    <w:rsid w:val="00F7342A"/>
    <w:rsid w:val="00F73889"/>
    <w:rsid w:val="00F741A7"/>
    <w:rsid w:val="00F7451B"/>
    <w:rsid w:val="00F7494F"/>
    <w:rsid w:val="00F752C6"/>
    <w:rsid w:val="00F84318"/>
    <w:rsid w:val="00F92A4A"/>
    <w:rsid w:val="00F933AE"/>
    <w:rsid w:val="00F93B9C"/>
    <w:rsid w:val="00F94D1E"/>
    <w:rsid w:val="00F95BDB"/>
    <w:rsid w:val="00F9698D"/>
    <w:rsid w:val="00F96BC1"/>
    <w:rsid w:val="00F96E59"/>
    <w:rsid w:val="00FA07D2"/>
    <w:rsid w:val="00FA0DDF"/>
    <w:rsid w:val="00FA147E"/>
    <w:rsid w:val="00FA2A00"/>
    <w:rsid w:val="00FA4B55"/>
    <w:rsid w:val="00FA5816"/>
    <w:rsid w:val="00FA61FB"/>
    <w:rsid w:val="00FB0B96"/>
    <w:rsid w:val="00FB1479"/>
    <w:rsid w:val="00FB1B6F"/>
    <w:rsid w:val="00FB1DB0"/>
    <w:rsid w:val="00FB31DF"/>
    <w:rsid w:val="00FB4A17"/>
    <w:rsid w:val="00FB53EE"/>
    <w:rsid w:val="00FB5BE0"/>
    <w:rsid w:val="00FB6FFC"/>
    <w:rsid w:val="00FC02A9"/>
    <w:rsid w:val="00FC060D"/>
    <w:rsid w:val="00FC1EA5"/>
    <w:rsid w:val="00FC4AEE"/>
    <w:rsid w:val="00FC4E87"/>
    <w:rsid w:val="00FC5809"/>
    <w:rsid w:val="00FC672E"/>
    <w:rsid w:val="00FC6CE4"/>
    <w:rsid w:val="00FC6F81"/>
    <w:rsid w:val="00FC7A6B"/>
    <w:rsid w:val="00FD1E6B"/>
    <w:rsid w:val="00FD247C"/>
    <w:rsid w:val="00FD2C12"/>
    <w:rsid w:val="00FD2E1C"/>
    <w:rsid w:val="00FD51CB"/>
    <w:rsid w:val="00FD5B72"/>
    <w:rsid w:val="00FD5F42"/>
    <w:rsid w:val="00FD6FB2"/>
    <w:rsid w:val="00FE16D3"/>
    <w:rsid w:val="00FE32C2"/>
    <w:rsid w:val="00FE4CB0"/>
    <w:rsid w:val="00FE5677"/>
    <w:rsid w:val="00FE5E27"/>
    <w:rsid w:val="00FE5E3B"/>
    <w:rsid w:val="00FE60AD"/>
    <w:rsid w:val="00FE7278"/>
    <w:rsid w:val="00FE774C"/>
    <w:rsid w:val="00FF198B"/>
    <w:rsid w:val="00FF1FFC"/>
    <w:rsid w:val="00FF37E6"/>
    <w:rsid w:val="00FF3ADC"/>
    <w:rsid w:val="00FF41DA"/>
    <w:rsid w:val="00FF4533"/>
    <w:rsid w:val="00FF6170"/>
    <w:rsid w:val="00FF6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3183BE-30EE-4218-95E2-31EDBA69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semiHidden/>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2021-06-22T18:30:00+00:00</Judgment_x0020_Date>
    <Year xmlns="63bdd487-88aa-4c54-b893-ddaa81ed2e7c">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E0BD-6D15-40E0-A5A7-C47F34C38A0B}">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821F9194-C2DB-475C-AEEE-33B90A958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63D97-B7CE-4543-A92B-BD5545EF441A}">
  <ds:schemaRefs>
    <ds:schemaRef ds:uri="http://schemas.microsoft.com/sharepoint/v3/contenttype/forms"/>
  </ds:schemaRefs>
</ds:datastoreItem>
</file>

<file path=customXml/itemProps4.xml><?xml version="1.0" encoding="utf-8"?>
<ds:datastoreItem xmlns:ds="http://schemas.openxmlformats.org/officeDocument/2006/customXml" ds:itemID="{7C3D087C-0EE0-4980-9B56-1D4CBCDA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5983</Words>
  <Characters>34107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Windhoek Municipal Council v Pioneerspark Dam Investment CC</vt:lpstr>
    </vt:vector>
  </TitlesOfParts>
  <Company/>
  <LinksUpToDate>false</LinksUpToDate>
  <CharactersWithSpaces>40010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Windhoek Municipal Council v Pioneerspark Dam Investment CC</dc:title>
  <dc:creator>David</dc:creator>
  <cp:lastModifiedBy>HOME</cp:lastModifiedBy>
  <cp:revision>2</cp:revision>
  <cp:lastPrinted>2021-06-22T06:36:00Z</cp:lastPrinted>
  <dcterms:created xsi:type="dcterms:W3CDTF">2021-07-08T14:07:00Z</dcterms:created>
  <dcterms:modified xsi:type="dcterms:W3CDTF">2021-07-08T14:07:00Z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