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p>
    <w:p w:rsidR="008C3367" w:rsidRPr="001C25CA" w:rsidRDefault="00A8444D" w:rsidP="004B275C">
      <w:pPr>
        <w:spacing w:after="0"/>
        <w:ind w:left="1701"/>
        <w:jc w:val="right"/>
        <w:rPr>
          <w:rFonts w:ascii="Arial" w:hAnsi="Arial" w:cs="Arial"/>
          <w:b/>
          <w:sz w:val="24"/>
          <w:szCs w:val="24"/>
        </w:rPr>
      </w:pPr>
      <w:r>
        <w:rPr>
          <w:rFonts w:ascii="Arial" w:hAnsi="Arial" w:cs="Arial"/>
          <w:b/>
          <w:sz w:val="24"/>
          <w:szCs w:val="24"/>
        </w:rPr>
        <w:t xml:space="preserve">NOT </w:t>
      </w:r>
      <w:r w:rsidR="000012C6">
        <w:rPr>
          <w:rFonts w:ascii="Arial" w:hAnsi="Arial" w:cs="Arial"/>
          <w:b/>
          <w:sz w:val="24"/>
          <w:szCs w:val="24"/>
        </w:rPr>
        <w:t>RE</w:t>
      </w:r>
      <w:r w:rsidR="008C3367" w:rsidRPr="001C25CA">
        <w:rPr>
          <w:rFonts w:ascii="Arial" w:hAnsi="Arial" w:cs="Arial"/>
          <w:b/>
          <w:sz w:val="24"/>
          <w:szCs w:val="24"/>
        </w:rPr>
        <w:t>PORTABLE</w:t>
      </w:r>
    </w:p>
    <w:p w:rsidR="008E6024" w:rsidRDefault="008E6024" w:rsidP="004B275C">
      <w:pPr>
        <w:spacing w:after="0"/>
        <w:jc w:val="right"/>
        <w:rPr>
          <w:rFonts w:ascii="Arial" w:hAnsi="Arial" w:cs="Arial"/>
          <w:sz w:val="24"/>
          <w:szCs w:val="24"/>
        </w:rPr>
      </w:pPr>
    </w:p>
    <w:p w:rsidR="008C3367" w:rsidRPr="001C25CA" w:rsidRDefault="008C3367" w:rsidP="004B275C">
      <w:pPr>
        <w:spacing w:after="0"/>
        <w:jc w:val="right"/>
        <w:rPr>
          <w:rFonts w:ascii="Arial" w:hAnsi="Arial" w:cs="Arial"/>
          <w:sz w:val="24"/>
          <w:szCs w:val="24"/>
        </w:rPr>
      </w:pPr>
      <w:r w:rsidRPr="001C25CA">
        <w:rPr>
          <w:rFonts w:ascii="Arial" w:hAnsi="Arial" w:cs="Arial"/>
          <w:sz w:val="24"/>
          <w:szCs w:val="24"/>
        </w:rPr>
        <w:t xml:space="preserve">CASE NO: SA </w:t>
      </w:r>
      <w:r w:rsidR="005D14D4">
        <w:rPr>
          <w:rFonts w:ascii="Arial" w:hAnsi="Arial" w:cs="Arial"/>
          <w:sz w:val="24"/>
          <w:szCs w:val="24"/>
        </w:rPr>
        <w:t>90</w:t>
      </w:r>
      <w:r w:rsidRPr="001C25CA">
        <w:rPr>
          <w:rFonts w:ascii="Arial" w:hAnsi="Arial" w:cs="Arial"/>
          <w:sz w:val="24"/>
          <w:szCs w:val="24"/>
        </w:rPr>
        <w:t>/2</w:t>
      </w:r>
      <w:r w:rsidR="00CD0281">
        <w:rPr>
          <w:rFonts w:ascii="Arial" w:hAnsi="Arial" w:cs="Arial"/>
          <w:sz w:val="24"/>
          <w:szCs w:val="24"/>
        </w:rPr>
        <w:t>0</w:t>
      </w:r>
      <w:r w:rsidR="009A2537">
        <w:rPr>
          <w:rFonts w:ascii="Arial" w:hAnsi="Arial" w:cs="Arial"/>
          <w:sz w:val="24"/>
          <w:szCs w:val="24"/>
        </w:rPr>
        <w:t>2</w:t>
      </w:r>
      <w:r w:rsidR="005D14D4">
        <w:rPr>
          <w:rFonts w:ascii="Arial" w:hAnsi="Arial" w:cs="Arial"/>
          <w:sz w:val="24"/>
          <w:szCs w:val="24"/>
        </w:rPr>
        <w:t>0</w:t>
      </w:r>
    </w:p>
    <w:p w:rsidR="008C3367" w:rsidRPr="001C25CA" w:rsidRDefault="008C3367" w:rsidP="004B275C">
      <w:pPr>
        <w:spacing w:after="0"/>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4B275C">
      <w:pPr>
        <w:spacing w:after="0"/>
        <w:jc w:val="both"/>
        <w:rPr>
          <w:rFonts w:ascii="Arial" w:hAnsi="Arial" w:cs="Arial"/>
          <w:sz w:val="24"/>
          <w:szCs w:val="24"/>
        </w:rPr>
      </w:pPr>
    </w:p>
    <w:p w:rsidR="008C3367" w:rsidRPr="00E43FB9" w:rsidRDefault="008C3367" w:rsidP="004B275C">
      <w:pPr>
        <w:spacing w:after="0"/>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4B275C">
      <w:pPr>
        <w:spacing w:after="0"/>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ALBERTUS JACOBUS ANDREWS</w:t>
            </w:r>
          </w:p>
        </w:tc>
        <w:tc>
          <w:tcPr>
            <w:tcW w:w="3011" w:type="dxa"/>
            <w:shd w:val="clear" w:color="auto" w:fill="auto"/>
          </w:tcPr>
          <w:p w:rsidR="008C3367" w:rsidRPr="00E43FB9" w:rsidRDefault="00933B34" w:rsidP="004B275C">
            <w:pPr>
              <w:pStyle w:val="NoSpacing"/>
              <w:spacing w:line="276" w:lineRule="auto"/>
              <w:jc w:val="right"/>
              <w:rPr>
                <w:rFonts w:ascii="Arial" w:hAnsi="Arial" w:cs="Arial"/>
                <w:b/>
                <w:sz w:val="24"/>
                <w:szCs w:val="24"/>
              </w:rPr>
            </w:pPr>
            <w:r>
              <w:rPr>
                <w:rFonts w:ascii="Arial" w:hAnsi="Arial" w:cs="Arial"/>
                <w:b/>
                <w:sz w:val="24"/>
                <w:szCs w:val="24"/>
              </w:rPr>
              <w:t xml:space="preserve">First </w:t>
            </w:r>
            <w:r w:rsidR="008C3367" w:rsidRPr="00E43FB9">
              <w:rPr>
                <w:rFonts w:ascii="Arial" w:hAnsi="Arial" w:cs="Arial"/>
                <w:b/>
                <w:sz w:val="24"/>
                <w:szCs w:val="24"/>
              </w:rPr>
              <w:t>Appellant</w:t>
            </w:r>
          </w:p>
        </w:tc>
      </w:tr>
      <w:tr w:rsidR="00933B34" w:rsidRPr="00E43FB9" w:rsidTr="00B40CD3">
        <w:tc>
          <w:tcPr>
            <w:tcW w:w="6204" w:type="dxa"/>
            <w:shd w:val="clear" w:color="auto" w:fill="auto"/>
          </w:tcPr>
          <w:p w:rsidR="00933B34" w:rsidRDefault="005D14D4" w:rsidP="004B275C">
            <w:pPr>
              <w:pStyle w:val="NoSpacing"/>
              <w:spacing w:line="276" w:lineRule="auto"/>
              <w:rPr>
                <w:rFonts w:ascii="Arial" w:hAnsi="Arial" w:cs="Arial"/>
                <w:b/>
                <w:sz w:val="24"/>
                <w:szCs w:val="24"/>
              </w:rPr>
            </w:pPr>
            <w:r>
              <w:rPr>
                <w:rFonts w:ascii="Arial" w:hAnsi="Arial" w:cs="Arial"/>
                <w:b/>
                <w:sz w:val="24"/>
                <w:szCs w:val="24"/>
              </w:rPr>
              <w:t>ELVIRA FRIDOLIN ANDREWS</w:t>
            </w:r>
          </w:p>
        </w:tc>
        <w:tc>
          <w:tcPr>
            <w:tcW w:w="3011" w:type="dxa"/>
            <w:shd w:val="clear" w:color="auto" w:fill="auto"/>
          </w:tcPr>
          <w:p w:rsidR="00933B34" w:rsidRDefault="00933B34" w:rsidP="004B275C">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AF326F" w:rsidRPr="00E43FB9" w:rsidTr="00B40CD3">
        <w:tc>
          <w:tcPr>
            <w:tcW w:w="6204" w:type="dxa"/>
            <w:shd w:val="clear" w:color="auto" w:fill="auto"/>
          </w:tcPr>
          <w:p w:rsidR="00AF326F" w:rsidRPr="00E43FB9" w:rsidRDefault="00AF326F" w:rsidP="004B275C">
            <w:pPr>
              <w:pStyle w:val="NoSpacing"/>
              <w:spacing w:line="276" w:lineRule="auto"/>
              <w:rPr>
                <w:rFonts w:ascii="Arial" w:hAnsi="Arial" w:cs="Arial"/>
                <w:b/>
                <w:sz w:val="24"/>
                <w:szCs w:val="24"/>
              </w:rPr>
            </w:pPr>
          </w:p>
        </w:tc>
        <w:tc>
          <w:tcPr>
            <w:tcW w:w="3011" w:type="dxa"/>
            <w:shd w:val="clear" w:color="auto" w:fill="auto"/>
          </w:tcPr>
          <w:p w:rsidR="00AF326F" w:rsidRPr="00E43FB9" w:rsidRDefault="00AF326F" w:rsidP="004B275C">
            <w:pPr>
              <w:pStyle w:val="NoSpacing"/>
              <w:spacing w:line="276"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2D5C8C" w:rsidP="004B275C">
            <w:pPr>
              <w:pStyle w:val="NoSpacing"/>
              <w:spacing w:line="276" w:lineRule="auto"/>
              <w:rPr>
                <w:rFonts w:ascii="Arial" w:hAnsi="Arial" w:cs="Arial"/>
                <w:sz w:val="24"/>
                <w:szCs w:val="24"/>
              </w:rPr>
            </w:pPr>
            <w:r>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4B275C">
            <w:pPr>
              <w:pStyle w:val="NoSpacing"/>
              <w:spacing w:line="276"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4B275C">
            <w:pPr>
              <w:pStyle w:val="NoSpacing"/>
              <w:spacing w:line="276" w:lineRule="auto"/>
              <w:rPr>
                <w:rFonts w:ascii="Arial" w:hAnsi="Arial" w:cs="Arial"/>
                <w:b/>
                <w:sz w:val="24"/>
                <w:szCs w:val="24"/>
              </w:rPr>
            </w:pPr>
          </w:p>
        </w:tc>
        <w:tc>
          <w:tcPr>
            <w:tcW w:w="3011" w:type="dxa"/>
            <w:shd w:val="clear" w:color="auto" w:fill="auto"/>
          </w:tcPr>
          <w:p w:rsidR="008C3367" w:rsidRPr="00E43FB9" w:rsidRDefault="008C3367" w:rsidP="004B275C">
            <w:pPr>
              <w:pStyle w:val="NoSpacing"/>
              <w:spacing w:line="276" w:lineRule="auto"/>
              <w:rPr>
                <w:rFonts w:ascii="Arial" w:hAnsi="Arial" w:cs="Arial"/>
                <w:b/>
                <w:sz w:val="24"/>
                <w:szCs w:val="24"/>
              </w:rPr>
            </w:pPr>
          </w:p>
        </w:tc>
      </w:tr>
      <w:tr w:rsidR="008C3367" w:rsidRPr="00E43FB9" w:rsidTr="00B40CD3">
        <w:tc>
          <w:tcPr>
            <w:tcW w:w="6204" w:type="dxa"/>
            <w:shd w:val="clear" w:color="auto" w:fill="auto"/>
          </w:tcPr>
          <w:p w:rsidR="00933B3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STANDARD BANK NAMIBIA LIMITED</w:t>
            </w:r>
          </w:p>
        </w:tc>
        <w:tc>
          <w:tcPr>
            <w:tcW w:w="3011" w:type="dxa"/>
            <w:shd w:val="clear" w:color="auto" w:fill="auto"/>
          </w:tcPr>
          <w:p w:rsidR="00584213" w:rsidRPr="00E43FB9" w:rsidRDefault="00584213" w:rsidP="004B275C">
            <w:pPr>
              <w:pStyle w:val="NoSpacing"/>
              <w:spacing w:line="276" w:lineRule="auto"/>
              <w:jc w:val="right"/>
              <w:rPr>
                <w:rFonts w:ascii="Arial" w:hAnsi="Arial" w:cs="Arial"/>
                <w:b/>
                <w:sz w:val="24"/>
                <w:szCs w:val="24"/>
              </w:rPr>
            </w:pPr>
            <w:r w:rsidRPr="00E43FB9">
              <w:rPr>
                <w:rFonts w:ascii="Arial" w:hAnsi="Arial" w:cs="Arial"/>
                <w:b/>
                <w:sz w:val="24"/>
                <w:szCs w:val="24"/>
              </w:rPr>
              <w:t>Respondent</w:t>
            </w:r>
          </w:p>
        </w:tc>
      </w:tr>
    </w:tbl>
    <w:p w:rsidR="005D14D4" w:rsidRDefault="005D14D4" w:rsidP="00A31590">
      <w:pPr>
        <w:spacing w:after="0"/>
        <w:rPr>
          <w:rFonts w:ascii="Arial" w:hAnsi="Arial" w:cs="Arial"/>
          <w:sz w:val="24"/>
          <w:szCs w:val="24"/>
        </w:rPr>
      </w:pPr>
    </w:p>
    <w:p w:rsidR="008E6024" w:rsidRDefault="008E6024" w:rsidP="004B275C">
      <w:pPr>
        <w:spacing w:after="0"/>
        <w:jc w:val="right"/>
        <w:rPr>
          <w:rFonts w:ascii="Arial" w:hAnsi="Arial" w:cs="Arial"/>
          <w:sz w:val="24"/>
          <w:szCs w:val="24"/>
        </w:rPr>
      </w:pPr>
    </w:p>
    <w:p w:rsidR="005D14D4" w:rsidRPr="001C25CA" w:rsidRDefault="005D14D4" w:rsidP="004B275C">
      <w:pPr>
        <w:spacing w:after="0"/>
        <w:jc w:val="right"/>
        <w:rPr>
          <w:rFonts w:ascii="Arial" w:hAnsi="Arial" w:cs="Arial"/>
          <w:sz w:val="24"/>
          <w:szCs w:val="24"/>
        </w:rPr>
      </w:pPr>
      <w:r w:rsidRPr="001C25CA">
        <w:rPr>
          <w:rFonts w:ascii="Arial" w:hAnsi="Arial" w:cs="Arial"/>
          <w:sz w:val="24"/>
          <w:szCs w:val="24"/>
        </w:rPr>
        <w:t xml:space="preserve">CASE NO: SA </w:t>
      </w:r>
      <w:r>
        <w:rPr>
          <w:rFonts w:ascii="Arial" w:hAnsi="Arial" w:cs="Arial"/>
          <w:sz w:val="24"/>
          <w:szCs w:val="24"/>
        </w:rPr>
        <w:t>94</w:t>
      </w:r>
      <w:r w:rsidRPr="001C25CA">
        <w:rPr>
          <w:rFonts w:ascii="Arial" w:hAnsi="Arial" w:cs="Arial"/>
          <w:sz w:val="24"/>
          <w:szCs w:val="24"/>
        </w:rPr>
        <w:t>/2</w:t>
      </w:r>
      <w:r>
        <w:rPr>
          <w:rFonts w:ascii="Arial" w:hAnsi="Arial" w:cs="Arial"/>
          <w:sz w:val="24"/>
          <w:szCs w:val="24"/>
        </w:rPr>
        <w:t>020</w:t>
      </w:r>
    </w:p>
    <w:p w:rsidR="005D14D4" w:rsidRPr="001C25CA" w:rsidRDefault="005D14D4" w:rsidP="004B275C">
      <w:pPr>
        <w:spacing w:after="0"/>
        <w:jc w:val="both"/>
        <w:rPr>
          <w:rFonts w:ascii="Arial" w:hAnsi="Arial" w:cs="Arial"/>
          <w:b/>
          <w:sz w:val="24"/>
          <w:szCs w:val="24"/>
        </w:rPr>
      </w:pPr>
      <w:r w:rsidRPr="001C25CA">
        <w:rPr>
          <w:rFonts w:ascii="Arial" w:hAnsi="Arial" w:cs="Arial"/>
          <w:b/>
          <w:sz w:val="24"/>
          <w:szCs w:val="24"/>
        </w:rPr>
        <w:t>IN THE SUPREME COURT OF NAMIBIA</w:t>
      </w:r>
    </w:p>
    <w:p w:rsidR="005D14D4" w:rsidRPr="001C25CA" w:rsidRDefault="005D14D4" w:rsidP="004B275C">
      <w:pPr>
        <w:spacing w:after="0"/>
        <w:jc w:val="both"/>
        <w:rPr>
          <w:rFonts w:ascii="Arial" w:hAnsi="Arial" w:cs="Arial"/>
          <w:sz w:val="24"/>
          <w:szCs w:val="24"/>
        </w:rPr>
      </w:pPr>
    </w:p>
    <w:p w:rsidR="005D14D4" w:rsidRPr="00E43FB9" w:rsidRDefault="005D14D4" w:rsidP="004B275C">
      <w:pPr>
        <w:spacing w:after="0"/>
        <w:jc w:val="both"/>
        <w:rPr>
          <w:rFonts w:ascii="Arial" w:hAnsi="Arial" w:cs="Arial"/>
          <w:sz w:val="24"/>
          <w:szCs w:val="24"/>
        </w:rPr>
      </w:pPr>
      <w:r w:rsidRPr="00E43FB9">
        <w:rPr>
          <w:rFonts w:ascii="Arial" w:hAnsi="Arial" w:cs="Arial"/>
          <w:sz w:val="24"/>
          <w:szCs w:val="24"/>
        </w:rPr>
        <w:t>In the matter between:</w:t>
      </w:r>
    </w:p>
    <w:p w:rsidR="005D14D4" w:rsidRPr="00E43FB9" w:rsidRDefault="005D14D4" w:rsidP="004B275C">
      <w:pPr>
        <w:spacing w:after="0"/>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EUGENE CARLO HARTUNG</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E43FB9">
              <w:rPr>
                <w:rFonts w:ascii="Arial" w:hAnsi="Arial" w:cs="Arial"/>
                <w:b/>
                <w:sz w:val="24"/>
                <w:szCs w:val="24"/>
              </w:rPr>
              <w:t>Appellant</w:t>
            </w:r>
          </w:p>
        </w:tc>
      </w:tr>
      <w:tr w:rsidR="005D14D4" w:rsidRPr="00E43FB9" w:rsidTr="00425B78">
        <w:tc>
          <w:tcPr>
            <w:tcW w:w="6204" w:type="dxa"/>
            <w:shd w:val="clear" w:color="auto" w:fill="auto"/>
          </w:tcPr>
          <w:p w:rsidR="005D14D4" w:rsidRDefault="005D14D4" w:rsidP="004B275C">
            <w:pPr>
              <w:pStyle w:val="NoSpacing"/>
              <w:spacing w:line="276" w:lineRule="auto"/>
              <w:rPr>
                <w:rFonts w:ascii="Arial" w:hAnsi="Arial" w:cs="Arial"/>
                <w:b/>
                <w:sz w:val="24"/>
                <w:szCs w:val="24"/>
              </w:rPr>
            </w:pPr>
            <w:r>
              <w:rPr>
                <w:rFonts w:ascii="Arial" w:hAnsi="Arial" w:cs="Arial"/>
                <w:b/>
                <w:sz w:val="24"/>
                <w:szCs w:val="24"/>
              </w:rPr>
              <w:t>LEVANA HARTUNG</w:t>
            </w:r>
          </w:p>
        </w:tc>
        <w:tc>
          <w:tcPr>
            <w:tcW w:w="3011" w:type="dxa"/>
            <w:shd w:val="clear" w:color="auto" w:fill="auto"/>
          </w:tcPr>
          <w:p w:rsidR="005D14D4" w:rsidRDefault="005D14D4" w:rsidP="004B275C">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sz w:val="24"/>
                <w:szCs w:val="24"/>
              </w:rPr>
            </w:pPr>
            <w:r>
              <w:rPr>
                <w:rFonts w:ascii="Arial" w:hAnsi="Arial" w:cs="Arial"/>
                <w:sz w:val="24"/>
                <w:szCs w:val="24"/>
              </w:rPr>
              <w:t>a</w:t>
            </w:r>
            <w:r w:rsidRPr="00E43FB9">
              <w:rPr>
                <w:rFonts w:ascii="Arial" w:hAnsi="Arial" w:cs="Arial"/>
                <w:sz w:val="24"/>
                <w:szCs w:val="24"/>
              </w:rPr>
              <w:t>nd</w:t>
            </w:r>
          </w:p>
        </w:tc>
        <w:tc>
          <w:tcPr>
            <w:tcW w:w="3011" w:type="dxa"/>
            <w:shd w:val="clear" w:color="auto" w:fill="auto"/>
          </w:tcPr>
          <w:p w:rsidR="005D14D4" w:rsidRPr="00E43FB9" w:rsidRDefault="005D14D4" w:rsidP="004B275C">
            <w:pPr>
              <w:pStyle w:val="NoSpacing"/>
              <w:spacing w:line="276" w:lineRule="auto"/>
              <w:rPr>
                <w:rFonts w:ascii="Arial" w:hAnsi="Arial" w:cs="Arial"/>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STANDARD BANK NAMIBIA LIMITED</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sidRPr="00E43FB9">
              <w:rPr>
                <w:rFonts w:ascii="Arial" w:hAnsi="Arial" w:cs="Arial"/>
                <w:b/>
                <w:sz w:val="24"/>
                <w:szCs w:val="24"/>
              </w:rPr>
              <w:t>Respondent</w:t>
            </w:r>
          </w:p>
        </w:tc>
      </w:tr>
    </w:tbl>
    <w:p w:rsidR="00A31590" w:rsidRDefault="00A31590" w:rsidP="004B275C">
      <w:pPr>
        <w:spacing w:after="0"/>
        <w:jc w:val="right"/>
        <w:rPr>
          <w:rFonts w:ascii="Arial" w:hAnsi="Arial" w:cs="Arial"/>
          <w:sz w:val="24"/>
          <w:szCs w:val="24"/>
        </w:rPr>
      </w:pPr>
    </w:p>
    <w:p w:rsidR="005D14D4" w:rsidRPr="001C25CA" w:rsidRDefault="005D14D4" w:rsidP="004B275C">
      <w:pPr>
        <w:spacing w:after="0"/>
        <w:jc w:val="right"/>
        <w:rPr>
          <w:rFonts w:ascii="Arial" w:hAnsi="Arial" w:cs="Arial"/>
          <w:sz w:val="24"/>
          <w:szCs w:val="24"/>
        </w:rPr>
      </w:pPr>
      <w:r w:rsidRPr="001C25CA">
        <w:rPr>
          <w:rFonts w:ascii="Arial" w:hAnsi="Arial" w:cs="Arial"/>
          <w:sz w:val="24"/>
          <w:szCs w:val="24"/>
        </w:rPr>
        <w:t xml:space="preserve">CASE NO: SA </w:t>
      </w:r>
      <w:r>
        <w:rPr>
          <w:rFonts w:ascii="Arial" w:hAnsi="Arial" w:cs="Arial"/>
          <w:sz w:val="24"/>
          <w:szCs w:val="24"/>
        </w:rPr>
        <w:t>98</w:t>
      </w:r>
      <w:r w:rsidRPr="001C25CA">
        <w:rPr>
          <w:rFonts w:ascii="Arial" w:hAnsi="Arial" w:cs="Arial"/>
          <w:sz w:val="24"/>
          <w:szCs w:val="24"/>
        </w:rPr>
        <w:t>/2</w:t>
      </w:r>
      <w:r>
        <w:rPr>
          <w:rFonts w:ascii="Arial" w:hAnsi="Arial" w:cs="Arial"/>
          <w:sz w:val="24"/>
          <w:szCs w:val="24"/>
        </w:rPr>
        <w:t>020</w:t>
      </w:r>
    </w:p>
    <w:p w:rsidR="004F4ECB" w:rsidRDefault="004F4ECB" w:rsidP="004B275C">
      <w:pPr>
        <w:spacing w:after="0"/>
        <w:jc w:val="both"/>
        <w:rPr>
          <w:rFonts w:ascii="Arial" w:hAnsi="Arial" w:cs="Arial"/>
          <w:b/>
          <w:sz w:val="24"/>
          <w:szCs w:val="24"/>
        </w:rPr>
      </w:pPr>
    </w:p>
    <w:p w:rsidR="005D14D4" w:rsidRPr="001C25CA" w:rsidRDefault="005D14D4" w:rsidP="004B275C">
      <w:pPr>
        <w:spacing w:after="0"/>
        <w:jc w:val="both"/>
        <w:rPr>
          <w:rFonts w:ascii="Arial" w:hAnsi="Arial" w:cs="Arial"/>
          <w:b/>
          <w:sz w:val="24"/>
          <w:szCs w:val="24"/>
        </w:rPr>
      </w:pPr>
      <w:r w:rsidRPr="001C25CA">
        <w:rPr>
          <w:rFonts w:ascii="Arial" w:hAnsi="Arial" w:cs="Arial"/>
          <w:b/>
          <w:sz w:val="24"/>
          <w:szCs w:val="24"/>
        </w:rPr>
        <w:t>IN THE SUPREME COURT OF NAMIBIA</w:t>
      </w:r>
    </w:p>
    <w:p w:rsidR="005D14D4" w:rsidRPr="001C25CA" w:rsidRDefault="005D14D4" w:rsidP="004B275C">
      <w:pPr>
        <w:spacing w:after="0"/>
        <w:jc w:val="both"/>
        <w:rPr>
          <w:rFonts w:ascii="Arial" w:hAnsi="Arial" w:cs="Arial"/>
          <w:sz w:val="24"/>
          <w:szCs w:val="24"/>
        </w:rPr>
      </w:pPr>
    </w:p>
    <w:p w:rsidR="005D14D4" w:rsidRPr="00E43FB9" w:rsidRDefault="005D14D4" w:rsidP="004B275C">
      <w:pPr>
        <w:spacing w:after="0"/>
        <w:jc w:val="both"/>
        <w:rPr>
          <w:rFonts w:ascii="Arial" w:hAnsi="Arial" w:cs="Arial"/>
          <w:sz w:val="24"/>
          <w:szCs w:val="24"/>
        </w:rPr>
      </w:pPr>
      <w:r w:rsidRPr="00E43FB9">
        <w:rPr>
          <w:rFonts w:ascii="Arial" w:hAnsi="Arial" w:cs="Arial"/>
          <w:sz w:val="24"/>
          <w:szCs w:val="24"/>
        </w:rPr>
        <w:t>In the matter between:</w:t>
      </w:r>
    </w:p>
    <w:p w:rsidR="005D14D4" w:rsidRPr="00E43FB9" w:rsidRDefault="005D14D4" w:rsidP="004B275C">
      <w:pPr>
        <w:spacing w:after="0"/>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FIRST STEP INVESTMENT</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E43FB9">
              <w:rPr>
                <w:rFonts w:ascii="Arial" w:hAnsi="Arial" w:cs="Arial"/>
                <w:b/>
                <w:sz w:val="24"/>
                <w:szCs w:val="24"/>
              </w:rPr>
              <w:t>Appellant</w:t>
            </w:r>
          </w:p>
        </w:tc>
      </w:tr>
      <w:tr w:rsidR="005D14D4" w:rsidRPr="00E43FB9" w:rsidTr="00425B78">
        <w:tc>
          <w:tcPr>
            <w:tcW w:w="6204" w:type="dxa"/>
            <w:shd w:val="clear" w:color="auto" w:fill="auto"/>
          </w:tcPr>
          <w:p w:rsidR="005D14D4" w:rsidRDefault="005D14D4" w:rsidP="004B275C">
            <w:pPr>
              <w:pStyle w:val="NoSpacing"/>
              <w:spacing w:line="276" w:lineRule="auto"/>
              <w:rPr>
                <w:rFonts w:ascii="Arial" w:hAnsi="Arial" w:cs="Arial"/>
                <w:b/>
                <w:sz w:val="24"/>
                <w:szCs w:val="24"/>
              </w:rPr>
            </w:pPr>
            <w:r>
              <w:rPr>
                <w:rFonts w:ascii="Arial" w:hAnsi="Arial" w:cs="Arial"/>
                <w:b/>
                <w:sz w:val="24"/>
                <w:szCs w:val="24"/>
              </w:rPr>
              <w:t>FRITZ CHARLES JACOBS</w:t>
            </w:r>
          </w:p>
        </w:tc>
        <w:tc>
          <w:tcPr>
            <w:tcW w:w="3011" w:type="dxa"/>
            <w:shd w:val="clear" w:color="auto" w:fill="auto"/>
          </w:tcPr>
          <w:p w:rsidR="005D14D4" w:rsidRDefault="005D14D4" w:rsidP="004B275C">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sz w:val="24"/>
                <w:szCs w:val="24"/>
              </w:rPr>
            </w:pPr>
            <w:r>
              <w:rPr>
                <w:rFonts w:ascii="Arial" w:hAnsi="Arial" w:cs="Arial"/>
                <w:sz w:val="24"/>
                <w:szCs w:val="24"/>
              </w:rPr>
              <w:t>a</w:t>
            </w:r>
            <w:r w:rsidRPr="00E43FB9">
              <w:rPr>
                <w:rFonts w:ascii="Arial" w:hAnsi="Arial" w:cs="Arial"/>
                <w:sz w:val="24"/>
                <w:szCs w:val="24"/>
              </w:rPr>
              <w:t>nd</w:t>
            </w:r>
          </w:p>
        </w:tc>
        <w:tc>
          <w:tcPr>
            <w:tcW w:w="3011" w:type="dxa"/>
            <w:shd w:val="clear" w:color="auto" w:fill="auto"/>
          </w:tcPr>
          <w:p w:rsidR="005D14D4" w:rsidRPr="00E43FB9" w:rsidRDefault="005D14D4" w:rsidP="004B275C">
            <w:pPr>
              <w:pStyle w:val="NoSpacing"/>
              <w:spacing w:line="276" w:lineRule="auto"/>
              <w:rPr>
                <w:rFonts w:ascii="Arial" w:hAnsi="Arial" w:cs="Arial"/>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FIRST NATIONAL BANK OF NAMIBIA LIMITED</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sidRPr="00E43FB9">
              <w:rPr>
                <w:rFonts w:ascii="Arial" w:hAnsi="Arial" w:cs="Arial"/>
                <w:b/>
                <w:sz w:val="24"/>
                <w:szCs w:val="24"/>
              </w:rPr>
              <w:t>Respondent</w:t>
            </w:r>
          </w:p>
        </w:tc>
      </w:tr>
    </w:tbl>
    <w:p w:rsidR="004B275C" w:rsidRDefault="004B275C" w:rsidP="004B275C">
      <w:pPr>
        <w:spacing w:after="0"/>
        <w:jc w:val="right"/>
        <w:rPr>
          <w:rFonts w:ascii="Arial" w:hAnsi="Arial" w:cs="Arial"/>
          <w:sz w:val="24"/>
          <w:szCs w:val="24"/>
        </w:rPr>
      </w:pPr>
    </w:p>
    <w:p w:rsidR="005D14D4" w:rsidRPr="001C25CA" w:rsidRDefault="005D14D4" w:rsidP="004B275C">
      <w:pPr>
        <w:spacing w:after="0"/>
        <w:jc w:val="right"/>
        <w:rPr>
          <w:rFonts w:ascii="Arial" w:hAnsi="Arial" w:cs="Arial"/>
          <w:sz w:val="24"/>
          <w:szCs w:val="24"/>
        </w:rPr>
      </w:pPr>
      <w:r w:rsidRPr="001C25CA">
        <w:rPr>
          <w:rFonts w:ascii="Arial" w:hAnsi="Arial" w:cs="Arial"/>
          <w:sz w:val="24"/>
          <w:szCs w:val="24"/>
        </w:rPr>
        <w:t xml:space="preserve">CASE NO: SA </w:t>
      </w:r>
      <w:r>
        <w:rPr>
          <w:rFonts w:ascii="Arial" w:hAnsi="Arial" w:cs="Arial"/>
          <w:sz w:val="24"/>
          <w:szCs w:val="24"/>
        </w:rPr>
        <w:t>47</w:t>
      </w:r>
      <w:r w:rsidRPr="001C25CA">
        <w:rPr>
          <w:rFonts w:ascii="Arial" w:hAnsi="Arial" w:cs="Arial"/>
          <w:sz w:val="24"/>
          <w:szCs w:val="24"/>
        </w:rPr>
        <w:t>/2</w:t>
      </w:r>
      <w:r>
        <w:rPr>
          <w:rFonts w:ascii="Arial" w:hAnsi="Arial" w:cs="Arial"/>
          <w:sz w:val="24"/>
          <w:szCs w:val="24"/>
        </w:rPr>
        <w:t>021</w:t>
      </w:r>
    </w:p>
    <w:p w:rsidR="005D14D4" w:rsidRPr="001C25CA" w:rsidRDefault="005D14D4" w:rsidP="004B275C">
      <w:pPr>
        <w:spacing w:after="0"/>
        <w:jc w:val="both"/>
        <w:rPr>
          <w:rFonts w:ascii="Arial" w:hAnsi="Arial" w:cs="Arial"/>
          <w:b/>
          <w:sz w:val="24"/>
          <w:szCs w:val="24"/>
        </w:rPr>
      </w:pPr>
      <w:r w:rsidRPr="001C25CA">
        <w:rPr>
          <w:rFonts w:ascii="Arial" w:hAnsi="Arial" w:cs="Arial"/>
          <w:b/>
          <w:sz w:val="24"/>
          <w:szCs w:val="24"/>
        </w:rPr>
        <w:t>IN THE SUPREME COURT OF NAMIBIA</w:t>
      </w:r>
    </w:p>
    <w:p w:rsidR="005D14D4" w:rsidRPr="001C25CA" w:rsidRDefault="005D14D4" w:rsidP="004B275C">
      <w:pPr>
        <w:spacing w:after="0"/>
        <w:jc w:val="both"/>
        <w:rPr>
          <w:rFonts w:ascii="Arial" w:hAnsi="Arial" w:cs="Arial"/>
          <w:sz w:val="24"/>
          <w:szCs w:val="24"/>
        </w:rPr>
      </w:pPr>
    </w:p>
    <w:p w:rsidR="005D14D4" w:rsidRPr="00E43FB9" w:rsidRDefault="005D14D4" w:rsidP="004B275C">
      <w:pPr>
        <w:spacing w:after="0"/>
        <w:jc w:val="both"/>
        <w:rPr>
          <w:rFonts w:ascii="Arial" w:hAnsi="Arial" w:cs="Arial"/>
          <w:sz w:val="24"/>
          <w:szCs w:val="24"/>
        </w:rPr>
      </w:pPr>
      <w:r w:rsidRPr="00E43FB9">
        <w:rPr>
          <w:rFonts w:ascii="Arial" w:hAnsi="Arial" w:cs="Arial"/>
          <w:sz w:val="24"/>
          <w:szCs w:val="24"/>
        </w:rPr>
        <w:t>In the matter between:</w:t>
      </w:r>
    </w:p>
    <w:p w:rsidR="005D14D4" w:rsidRPr="00E43FB9" w:rsidRDefault="005D14D4" w:rsidP="004B275C">
      <w:pPr>
        <w:spacing w:after="0"/>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lastRenderedPageBreak/>
              <w:t>STEPHER INVESTMENTS CC</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E43FB9">
              <w:rPr>
                <w:rFonts w:ascii="Arial" w:hAnsi="Arial" w:cs="Arial"/>
                <w:b/>
                <w:sz w:val="24"/>
                <w:szCs w:val="24"/>
              </w:rPr>
              <w:t>Appellant</w:t>
            </w:r>
          </w:p>
        </w:tc>
      </w:tr>
      <w:tr w:rsidR="005D14D4" w:rsidRPr="00E43FB9" w:rsidTr="00425B78">
        <w:tc>
          <w:tcPr>
            <w:tcW w:w="6204" w:type="dxa"/>
            <w:shd w:val="clear" w:color="auto" w:fill="auto"/>
          </w:tcPr>
          <w:p w:rsidR="005D14D4" w:rsidRDefault="005D14D4" w:rsidP="004B275C">
            <w:pPr>
              <w:pStyle w:val="NoSpacing"/>
              <w:spacing w:line="276" w:lineRule="auto"/>
              <w:rPr>
                <w:rFonts w:ascii="Arial" w:hAnsi="Arial" w:cs="Arial"/>
                <w:b/>
                <w:sz w:val="24"/>
                <w:szCs w:val="24"/>
              </w:rPr>
            </w:pPr>
            <w:r>
              <w:rPr>
                <w:rFonts w:ascii="Arial" w:hAnsi="Arial" w:cs="Arial"/>
                <w:b/>
                <w:sz w:val="24"/>
                <w:szCs w:val="24"/>
              </w:rPr>
              <w:t>FRANS KARL FREYGANG</w:t>
            </w:r>
          </w:p>
        </w:tc>
        <w:tc>
          <w:tcPr>
            <w:tcW w:w="3011" w:type="dxa"/>
            <w:shd w:val="clear" w:color="auto" w:fill="auto"/>
          </w:tcPr>
          <w:p w:rsidR="005D14D4" w:rsidRDefault="005D14D4" w:rsidP="004B275C">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5D14D4" w:rsidRPr="00E43FB9" w:rsidTr="00425B78">
        <w:tc>
          <w:tcPr>
            <w:tcW w:w="6204" w:type="dxa"/>
            <w:shd w:val="clear" w:color="auto" w:fill="auto"/>
          </w:tcPr>
          <w:p w:rsidR="005D14D4" w:rsidRDefault="005D14D4" w:rsidP="004B275C">
            <w:pPr>
              <w:pStyle w:val="NoSpacing"/>
              <w:spacing w:line="276" w:lineRule="auto"/>
              <w:rPr>
                <w:rFonts w:ascii="Arial" w:hAnsi="Arial" w:cs="Arial"/>
                <w:b/>
                <w:sz w:val="24"/>
                <w:szCs w:val="24"/>
              </w:rPr>
            </w:pPr>
            <w:r>
              <w:rPr>
                <w:rFonts w:ascii="Arial" w:hAnsi="Arial" w:cs="Arial"/>
                <w:b/>
                <w:sz w:val="24"/>
                <w:szCs w:val="24"/>
              </w:rPr>
              <w:t>ROSEMARIE BERTHA FREYGANG</w:t>
            </w:r>
          </w:p>
        </w:tc>
        <w:tc>
          <w:tcPr>
            <w:tcW w:w="3011" w:type="dxa"/>
            <w:shd w:val="clear" w:color="auto" w:fill="auto"/>
          </w:tcPr>
          <w:p w:rsidR="005D14D4" w:rsidRDefault="005D14D4" w:rsidP="004B275C">
            <w:pPr>
              <w:pStyle w:val="NoSpacing"/>
              <w:spacing w:line="276" w:lineRule="auto"/>
              <w:jc w:val="right"/>
              <w:rPr>
                <w:rFonts w:ascii="Arial" w:hAnsi="Arial" w:cs="Arial"/>
                <w:b/>
                <w:sz w:val="24"/>
                <w:szCs w:val="24"/>
              </w:rPr>
            </w:pPr>
            <w:r>
              <w:rPr>
                <w:rFonts w:ascii="Arial" w:hAnsi="Arial" w:cs="Arial"/>
                <w:b/>
                <w:sz w:val="24"/>
                <w:szCs w:val="24"/>
              </w:rPr>
              <w:t>Third Appellant</w:t>
            </w: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sz w:val="24"/>
                <w:szCs w:val="24"/>
              </w:rPr>
            </w:pPr>
            <w:r>
              <w:rPr>
                <w:rFonts w:ascii="Arial" w:hAnsi="Arial" w:cs="Arial"/>
                <w:sz w:val="24"/>
                <w:szCs w:val="24"/>
              </w:rPr>
              <w:t>a</w:t>
            </w:r>
            <w:r w:rsidRPr="00E43FB9">
              <w:rPr>
                <w:rFonts w:ascii="Arial" w:hAnsi="Arial" w:cs="Arial"/>
                <w:sz w:val="24"/>
                <w:szCs w:val="24"/>
              </w:rPr>
              <w:t>nd</w:t>
            </w:r>
          </w:p>
        </w:tc>
        <w:tc>
          <w:tcPr>
            <w:tcW w:w="3011" w:type="dxa"/>
            <w:shd w:val="clear" w:color="auto" w:fill="auto"/>
          </w:tcPr>
          <w:p w:rsidR="005D14D4" w:rsidRPr="00E43FB9" w:rsidRDefault="005D14D4" w:rsidP="004B275C">
            <w:pPr>
              <w:pStyle w:val="NoSpacing"/>
              <w:spacing w:line="276" w:lineRule="auto"/>
              <w:rPr>
                <w:rFonts w:ascii="Arial" w:hAnsi="Arial" w:cs="Arial"/>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p>
        </w:tc>
        <w:tc>
          <w:tcPr>
            <w:tcW w:w="3011" w:type="dxa"/>
            <w:shd w:val="clear" w:color="auto" w:fill="auto"/>
          </w:tcPr>
          <w:p w:rsidR="005D14D4" w:rsidRPr="00E43FB9" w:rsidRDefault="005D14D4" w:rsidP="004B275C">
            <w:pPr>
              <w:pStyle w:val="NoSpacing"/>
              <w:spacing w:line="276" w:lineRule="auto"/>
              <w:rPr>
                <w:rFonts w:ascii="Arial" w:hAnsi="Arial" w:cs="Arial"/>
                <w:b/>
                <w:sz w:val="24"/>
                <w:szCs w:val="24"/>
              </w:rPr>
            </w:pPr>
          </w:p>
        </w:tc>
      </w:tr>
      <w:tr w:rsidR="005D14D4" w:rsidRPr="00E43FB9" w:rsidTr="00425B78">
        <w:tc>
          <w:tcPr>
            <w:tcW w:w="6204" w:type="dxa"/>
            <w:shd w:val="clear" w:color="auto" w:fill="auto"/>
          </w:tcPr>
          <w:p w:rsidR="005D14D4" w:rsidRPr="00E43FB9" w:rsidRDefault="005D14D4" w:rsidP="004B275C">
            <w:pPr>
              <w:pStyle w:val="NoSpacing"/>
              <w:spacing w:line="276" w:lineRule="auto"/>
              <w:rPr>
                <w:rFonts w:ascii="Arial" w:hAnsi="Arial" w:cs="Arial"/>
                <w:b/>
                <w:sz w:val="24"/>
                <w:szCs w:val="24"/>
              </w:rPr>
            </w:pPr>
            <w:r>
              <w:rPr>
                <w:rFonts w:ascii="Arial" w:hAnsi="Arial" w:cs="Arial"/>
                <w:b/>
                <w:sz w:val="24"/>
                <w:szCs w:val="24"/>
              </w:rPr>
              <w:t>DEVELOPMENT BANK OF NAMIBIA LTD</w:t>
            </w:r>
          </w:p>
        </w:tc>
        <w:tc>
          <w:tcPr>
            <w:tcW w:w="3011" w:type="dxa"/>
            <w:shd w:val="clear" w:color="auto" w:fill="auto"/>
          </w:tcPr>
          <w:p w:rsidR="005D14D4" w:rsidRPr="00E43FB9" w:rsidRDefault="005D14D4" w:rsidP="004B275C">
            <w:pPr>
              <w:pStyle w:val="NoSpacing"/>
              <w:spacing w:line="276" w:lineRule="auto"/>
              <w:jc w:val="right"/>
              <w:rPr>
                <w:rFonts w:ascii="Arial" w:hAnsi="Arial" w:cs="Arial"/>
                <w:b/>
                <w:sz w:val="24"/>
                <w:szCs w:val="24"/>
              </w:rPr>
            </w:pPr>
            <w:r w:rsidRPr="00E43FB9">
              <w:rPr>
                <w:rFonts w:ascii="Arial" w:hAnsi="Arial" w:cs="Arial"/>
                <w:b/>
                <w:sz w:val="24"/>
                <w:szCs w:val="24"/>
              </w:rPr>
              <w:t>Respondent</w:t>
            </w:r>
          </w:p>
        </w:tc>
      </w:tr>
    </w:tbl>
    <w:p w:rsidR="005D14D4" w:rsidRDefault="005D14D4" w:rsidP="004B275C">
      <w:pPr>
        <w:jc w:val="both"/>
        <w:rPr>
          <w:rFonts w:ascii="Arial" w:hAnsi="Arial" w:cs="Arial"/>
          <w:b/>
          <w:sz w:val="24"/>
          <w:szCs w:val="24"/>
        </w:rPr>
      </w:pPr>
    </w:p>
    <w:p w:rsidR="008C3367" w:rsidRPr="00E43FB9" w:rsidRDefault="008C3367" w:rsidP="004B275C">
      <w:pPr>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FF1FFC">
        <w:rPr>
          <w:rFonts w:ascii="Arial" w:hAnsi="Arial" w:cs="Arial"/>
          <w:sz w:val="24"/>
          <w:szCs w:val="24"/>
        </w:rPr>
        <w:t>SMUTS JA</w:t>
      </w:r>
      <w:r w:rsidR="005D14D4">
        <w:rPr>
          <w:rFonts w:ascii="Arial" w:hAnsi="Arial" w:cs="Arial"/>
          <w:sz w:val="24"/>
          <w:szCs w:val="24"/>
        </w:rPr>
        <w:t>, HOFF JA</w:t>
      </w:r>
      <w:r w:rsidR="00FF1FFC">
        <w:rPr>
          <w:rFonts w:ascii="Arial" w:hAnsi="Arial" w:cs="Arial"/>
          <w:sz w:val="24"/>
          <w:szCs w:val="24"/>
        </w:rPr>
        <w:t xml:space="preserve"> </w:t>
      </w:r>
      <w:r w:rsidR="00C27754">
        <w:rPr>
          <w:rFonts w:ascii="Arial" w:hAnsi="Arial" w:cs="Arial"/>
          <w:sz w:val="24"/>
          <w:szCs w:val="24"/>
        </w:rPr>
        <w:t xml:space="preserve">and </w:t>
      </w:r>
      <w:r w:rsidR="00FF1FFC">
        <w:rPr>
          <w:rFonts w:ascii="Arial" w:hAnsi="Arial" w:cs="Arial"/>
          <w:sz w:val="24"/>
          <w:szCs w:val="24"/>
        </w:rPr>
        <w:t>FRANK AJA</w:t>
      </w:r>
    </w:p>
    <w:p w:rsidR="008C3367" w:rsidRPr="00E43FB9" w:rsidRDefault="008C3367" w:rsidP="004B275C">
      <w:pPr>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5D14D4">
        <w:rPr>
          <w:rFonts w:ascii="Arial" w:hAnsi="Arial" w:cs="Arial"/>
          <w:b/>
          <w:sz w:val="24"/>
          <w:szCs w:val="24"/>
        </w:rPr>
        <w:t>5 October</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4B275C">
      <w:pPr>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915C50">
        <w:rPr>
          <w:rFonts w:ascii="Arial" w:hAnsi="Arial" w:cs="Arial"/>
          <w:b/>
          <w:sz w:val="24"/>
          <w:szCs w:val="24"/>
        </w:rPr>
        <w:t xml:space="preserve">15 </w:t>
      </w:r>
      <w:r w:rsidR="00B80865">
        <w:rPr>
          <w:rFonts w:ascii="Arial" w:hAnsi="Arial" w:cs="Arial"/>
          <w:b/>
          <w:sz w:val="24"/>
          <w:szCs w:val="24"/>
        </w:rPr>
        <w:t>October</w:t>
      </w:r>
      <w:r w:rsidR="00DA03C5">
        <w:rPr>
          <w:rFonts w:ascii="Arial" w:hAnsi="Arial" w:cs="Arial"/>
          <w:b/>
          <w:sz w:val="24"/>
          <w:szCs w:val="24"/>
        </w:rPr>
        <w:t xml:space="preserve"> 2021</w:t>
      </w:r>
    </w:p>
    <w:p w:rsidR="005E1AF8" w:rsidRDefault="005E1AF8" w:rsidP="004B275C">
      <w:pPr>
        <w:spacing w:after="0"/>
        <w:jc w:val="both"/>
        <w:rPr>
          <w:rFonts w:ascii="Arial" w:hAnsi="Arial" w:cs="Arial"/>
          <w:b/>
          <w:sz w:val="24"/>
          <w:szCs w:val="24"/>
          <w:lang w:val="en-GB"/>
        </w:rPr>
      </w:pPr>
    </w:p>
    <w:p w:rsidR="00B0498F" w:rsidRDefault="00E25B8B" w:rsidP="00637BD3">
      <w:pPr>
        <w:pStyle w:val="NoSpacing"/>
        <w:spacing w:line="360" w:lineRule="auto"/>
        <w:jc w:val="both"/>
        <w:rPr>
          <w:rFonts w:ascii="Arial" w:hAnsi="Arial" w:cs="Arial"/>
          <w:sz w:val="24"/>
          <w:szCs w:val="24"/>
        </w:rPr>
      </w:pPr>
      <w:r w:rsidRPr="00B31AF4">
        <w:rPr>
          <w:rFonts w:ascii="Arial" w:hAnsi="Arial" w:cs="Arial"/>
          <w:b/>
          <w:sz w:val="24"/>
          <w:szCs w:val="24"/>
        </w:rPr>
        <w:t>Summary:</w:t>
      </w:r>
      <w:r w:rsidRPr="00B31AF4">
        <w:rPr>
          <w:rFonts w:ascii="Arial" w:hAnsi="Arial" w:cs="Arial"/>
          <w:b/>
          <w:sz w:val="24"/>
          <w:szCs w:val="24"/>
        </w:rPr>
        <w:tab/>
      </w:r>
      <w:r w:rsidR="00637BD3">
        <w:rPr>
          <w:rFonts w:ascii="Arial" w:hAnsi="Arial" w:cs="Arial"/>
          <w:sz w:val="24"/>
          <w:szCs w:val="24"/>
        </w:rPr>
        <w:t>T</w:t>
      </w:r>
      <w:r w:rsidR="00637BD3" w:rsidRPr="00C179BE">
        <w:rPr>
          <w:rFonts w:ascii="Arial" w:hAnsi="Arial" w:cs="Arial"/>
          <w:sz w:val="24"/>
          <w:szCs w:val="24"/>
        </w:rPr>
        <w:t xml:space="preserve">he </w:t>
      </w:r>
      <w:r w:rsidR="00637BD3">
        <w:rPr>
          <w:rFonts w:ascii="Arial" w:hAnsi="Arial" w:cs="Arial"/>
          <w:sz w:val="24"/>
          <w:szCs w:val="24"/>
        </w:rPr>
        <w:t>appellants (all self-actors) in these matters filed notices of appeal directed against judgments obtained against them in respect of loan amounts, each secured by a mortgage bond, where</w:t>
      </w:r>
      <w:r w:rsidR="00B0498F">
        <w:rPr>
          <w:rFonts w:ascii="Arial" w:hAnsi="Arial" w:cs="Arial"/>
          <w:sz w:val="24"/>
          <w:szCs w:val="24"/>
        </w:rPr>
        <w:t>, subject to one exception,</w:t>
      </w:r>
      <w:r w:rsidR="00637BD3">
        <w:rPr>
          <w:rFonts w:ascii="Arial" w:hAnsi="Arial" w:cs="Arial"/>
          <w:sz w:val="24"/>
          <w:szCs w:val="24"/>
        </w:rPr>
        <w:t xml:space="preserve"> orders have been given declaring the immoveable property secured by the respective bonds to be executable. </w:t>
      </w:r>
      <w:r w:rsidR="00B0498F">
        <w:rPr>
          <w:rFonts w:ascii="Arial" w:hAnsi="Arial" w:cs="Arial"/>
          <w:sz w:val="24"/>
          <w:szCs w:val="24"/>
        </w:rPr>
        <w:t>The</w:t>
      </w:r>
      <w:r w:rsidR="00637BD3">
        <w:rPr>
          <w:rFonts w:ascii="Arial" w:hAnsi="Arial" w:cs="Arial"/>
          <w:sz w:val="24"/>
          <w:szCs w:val="24"/>
        </w:rPr>
        <w:t xml:space="preserve"> exception is case no. SA 47/2021, </w:t>
      </w:r>
      <w:r w:rsidR="00B0498F">
        <w:rPr>
          <w:rFonts w:ascii="Arial" w:hAnsi="Arial" w:cs="Arial"/>
          <w:sz w:val="24"/>
          <w:szCs w:val="24"/>
        </w:rPr>
        <w:t>where an</w:t>
      </w:r>
      <w:r w:rsidR="00637BD3">
        <w:rPr>
          <w:rFonts w:ascii="Arial" w:hAnsi="Arial" w:cs="Arial"/>
          <w:sz w:val="24"/>
          <w:szCs w:val="24"/>
        </w:rPr>
        <w:t xml:space="preserve"> application to declare the immovable property in question executable is pending at the time the notice of appeal and condonation application were filed and when the matter was heard. </w:t>
      </w:r>
    </w:p>
    <w:p w:rsidR="00B0498F" w:rsidRDefault="00B0498F" w:rsidP="00637BD3">
      <w:pPr>
        <w:pStyle w:val="NoSpacing"/>
        <w:spacing w:line="360" w:lineRule="auto"/>
        <w:jc w:val="both"/>
        <w:rPr>
          <w:rFonts w:ascii="Arial" w:hAnsi="Arial" w:cs="Arial"/>
          <w:sz w:val="24"/>
          <w:szCs w:val="24"/>
        </w:rPr>
      </w:pPr>
    </w:p>
    <w:p w:rsidR="00637BD3" w:rsidRDefault="00637BD3" w:rsidP="00637BD3">
      <w:pPr>
        <w:pStyle w:val="NoSpacing"/>
        <w:spacing w:line="360" w:lineRule="auto"/>
        <w:jc w:val="both"/>
        <w:rPr>
          <w:rFonts w:ascii="Arial" w:hAnsi="Arial" w:cs="Arial"/>
          <w:sz w:val="24"/>
          <w:szCs w:val="24"/>
        </w:rPr>
      </w:pPr>
      <w:r>
        <w:rPr>
          <w:rFonts w:ascii="Arial" w:hAnsi="Arial" w:cs="Arial"/>
          <w:sz w:val="24"/>
          <w:szCs w:val="24"/>
        </w:rPr>
        <w:t xml:space="preserve">The notices of appeal in </w:t>
      </w:r>
      <w:r w:rsidR="00A31590">
        <w:rPr>
          <w:rFonts w:ascii="Arial" w:hAnsi="Arial" w:cs="Arial"/>
          <w:sz w:val="24"/>
          <w:szCs w:val="24"/>
        </w:rPr>
        <w:t xml:space="preserve">all </w:t>
      </w:r>
      <w:r>
        <w:rPr>
          <w:rFonts w:ascii="Arial" w:hAnsi="Arial" w:cs="Arial"/>
          <w:sz w:val="24"/>
          <w:szCs w:val="24"/>
        </w:rPr>
        <w:t xml:space="preserve">these matters were filed outside of the time period </w:t>
      </w:r>
      <w:r w:rsidR="003A5EF2">
        <w:rPr>
          <w:rFonts w:ascii="Arial" w:hAnsi="Arial" w:cs="Arial"/>
          <w:sz w:val="24"/>
          <w:szCs w:val="24"/>
        </w:rPr>
        <w:t>as prescribed by</w:t>
      </w:r>
      <w:r>
        <w:rPr>
          <w:rFonts w:ascii="Arial" w:hAnsi="Arial" w:cs="Arial"/>
          <w:sz w:val="24"/>
          <w:szCs w:val="24"/>
        </w:rPr>
        <w:t xml:space="preserve"> the Supreme Court Rules (the rules). </w:t>
      </w:r>
      <w:r w:rsidR="00A31590">
        <w:rPr>
          <w:rFonts w:ascii="Arial" w:hAnsi="Arial" w:cs="Arial"/>
          <w:sz w:val="24"/>
          <w:szCs w:val="24"/>
        </w:rPr>
        <w:t>In each matter</w:t>
      </w:r>
      <w:r>
        <w:rPr>
          <w:rFonts w:ascii="Arial" w:hAnsi="Arial" w:cs="Arial"/>
          <w:sz w:val="24"/>
          <w:szCs w:val="24"/>
        </w:rPr>
        <w:t>, the parties</w:t>
      </w:r>
      <w:r w:rsidR="00A31590">
        <w:rPr>
          <w:rFonts w:ascii="Arial" w:hAnsi="Arial" w:cs="Arial"/>
          <w:sz w:val="24"/>
          <w:szCs w:val="24"/>
        </w:rPr>
        <w:t xml:space="preserve"> also</w:t>
      </w:r>
      <w:r>
        <w:rPr>
          <w:rFonts w:ascii="Arial" w:hAnsi="Arial" w:cs="Arial"/>
          <w:sz w:val="24"/>
          <w:szCs w:val="24"/>
        </w:rPr>
        <w:t xml:space="preserve"> filed applications </w:t>
      </w:r>
      <w:r w:rsidR="00A31590">
        <w:rPr>
          <w:rFonts w:ascii="Arial" w:hAnsi="Arial" w:cs="Arial"/>
          <w:sz w:val="24"/>
          <w:szCs w:val="24"/>
        </w:rPr>
        <w:t xml:space="preserve">for condonation </w:t>
      </w:r>
      <w:r>
        <w:rPr>
          <w:rFonts w:ascii="Arial" w:hAnsi="Arial" w:cs="Arial"/>
          <w:sz w:val="24"/>
          <w:szCs w:val="24"/>
        </w:rPr>
        <w:t>for the late filing of their appeal records and security for costs. Reinstatement of the appeals was not sought. Despite these applications, none of the parties filed their appeal records</w:t>
      </w:r>
      <w:r w:rsidR="00B0498F">
        <w:rPr>
          <w:rFonts w:ascii="Arial" w:hAnsi="Arial" w:cs="Arial"/>
          <w:sz w:val="24"/>
          <w:szCs w:val="24"/>
        </w:rPr>
        <w:t xml:space="preserve"> or filed security thereafter</w:t>
      </w:r>
      <w:r>
        <w:rPr>
          <w:rFonts w:ascii="Arial" w:hAnsi="Arial" w:cs="Arial"/>
          <w:sz w:val="24"/>
          <w:szCs w:val="24"/>
        </w:rPr>
        <w:t>.</w:t>
      </w:r>
    </w:p>
    <w:p w:rsidR="00637BD3" w:rsidRDefault="00637BD3" w:rsidP="00637BD3">
      <w:pPr>
        <w:spacing w:after="0" w:line="360" w:lineRule="auto"/>
        <w:jc w:val="both"/>
        <w:rPr>
          <w:rFonts w:ascii="Arial" w:hAnsi="Arial" w:cs="Arial"/>
          <w:sz w:val="24"/>
          <w:szCs w:val="24"/>
        </w:rPr>
      </w:pPr>
    </w:p>
    <w:p w:rsidR="00637BD3" w:rsidRDefault="00637BD3" w:rsidP="00637BD3">
      <w:pPr>
        <w:spacing w:after="0" w:line="360" w:lineRule="auto"/>
        <w:jc w:val="both"/>
        <w:rPr>
          <w:rFonts w:ascii="Arial" w:hAnsi="Arial" w:cs="Arial"/>
          <w:sz w:val="24"/>
          <w:szCs w:val="24"/>
        </w:rPr>
      </w:pPr>
      <w:r>
        <w:rPr>
          <w:rFonts w:ascii="Arial" w:hAnsi="Arial" w:cs="Arial"/>
          <w:sz w:val="24"/>
          <w:szCs w:val="24"/>
        </w:rPr>
        <w:t>This court finds as follows:</w:t>
      </w:r>
    </w:p>
    <w:p w:rsidR="00637BD3" w:rsidRDefault="00637BD3" w:rsidP="00637BD3">
      <w:pPr>
        <w:spacing w:after="0" w:line="360" w:lineRule="auto"/>
        <w:jc w:val="both"/>
        <w:rPr>
          <w:rFonts w:ascii="Arial" w:hAnsi="Arial" w:cs="Arial"/>
          <w:sz w:val="24"/>
          <w:szCs w:val="24"/>
        </w:rPr>
      </w:pPr>
      <w:r w:rsidRPr="00AA5619">
        <w:rPr>
          <w:rFonts w:ascii="Arial" w:hAnsi="Arial" w:cs="Arial"/>
          <w:i/>
          <w:sz w:val="24"/>
          <w:szCs w:val="24"/>
        </w:rPr>
        <w:t>Held that</w:t>
      </w:r>
      <w:r>
        <w:rPr>
          <w:rFonts w:ascii="Arial" w:hAnsi="Arial" w:cs="Arial"/>
          <w:sz w:val="24"/>
          <w:szCs w:val="24"/>
        </w:rPr>
        <w:t xml:space="preserve">, the rules of this court are clear in their requirement </w:t>
      </w:r>
      <w:r w:rsidR="003A5EF2">
        <w:rPr>
          <w:rFonts w:ascii="Arial" w:hAnsi="Arial" w:cs="Arial"/>
          <w:sz w:val="24"/>
          <w:szCs w:val="24"/>
        </w:rPr>
        <w:t>the</w:t>
      </w:r>
      <w:r>
        <w:rPr>
          <w:rFonts w:ascii="Arial" w:hAnsi="Arial" w:cs="Arial"/>
          <w:sz w:val="24"/>
          <w:szCs w:val="24"/>
        </w:rPr>
        <w:t xml:space="preserve"> the notice of appeal </w:t>
      </w:r>
      <w:r w:rsidR="003A5EF2">
        <w:rPr>
          <w:rFonts w:ascii="Arial" w:hAnsi="Arial" w:cs="Arial"/>
          <w:sz w:val="24"/>
          <w:szCs w:val="24"/>
        </w:rPr>
        <w:t>must</w:t>
      </w:r>
      <w:r>
        <w:rPr>
          <w:rFonts w:ascii="Arial" w:hAnsi="Arial" w:cs="Arial"/>
          <w:sz w:val="24"/>
          <w:szCs w:val="24"/>
        </w:rPr>
        <w:t xml:space="preserve"> be lodged within 21 days of the judgment or order appealed against. Thereafter</w:t>
      </w:r>
      <w:r w:rsidR="003A5EF2">
        <w:rPr>
          <w:rFonts w:ascii="Arial" w:hAnsi="Arial" w:cs="Arial"/>
          <w:sz w:val="24"/>
          <w:szCs w:val="24"/>
        </w:rPr>
        <w:t>,</w:t>
      </w:r>
      <w:r>
        <w:rPr>
          <w:rFonts w:ascii="Arial" w:hAnsi="Arial" w:cs="Arial"/>
          <w:sz w:val="24"/>
          <w:szCs w:val="24"/>
        </w:rPr>
        <w:t xml:space="preserve"> a record is to be lodged within the stipulated time of three months </w:t>
      </w:r>
      <w:r w:rsidR="003A5EF2">
        <w:rPr>
          <w:rFonts w:ascii="Arial" w:hAnsi="Arial" w:cs="Arial"/>
          <w:sz w:val="24"/>
          <w:szCs w:val="24"/>
        </w:rPr>
        <w:t>from</w:t>
      </w:r>
      <w:r>
        <w:rPr>
          <w:rFonts w:ascii="Arial" w:hAnsi="Arial" w:cs="Arial"/>
          <w:sz w:val="24"/>
          <w:szCs w:val="24"/>
        </w:rPr>
        <w:t xml:space="preserve"> the date of judgment or order appealed against</w:t>
      </w:r>
      <w:r w:rsidR="00A31590">
        <w:rPr>
          <w:rFonts w:ascii="Arial" w:hAnsi="Arial" w:cs="Arial"/>
          <w:sz w:val="24"/>
          <w:szCs w:val="24"/>
        </w:rPr>
        <w:t xml:space="preserve"> in matters of this nature</w:t>
      </w:r>
      <w:r>
        <w:rPr>
          <w:rFonts w:ascii="Arial" w:hAnsi="Arial" w:cs="Arial"/>
          <w:sz w:val="24"/>
          <w:szCs w:val="24"/>
        </w:rPr>
        <w:t>.</w:t>
      </w:r>
    </w:p>
    <w:p w:rsidR="00637BD3" w:rsidRDefault="00637BD3" w:rsidP="00637BD3">
      <w:pPr>
        <w:spacing w:after="0" w:line="360" w:lineRule="auto"/>
        <w:jc w:val="both"/>
        <w:rPr>
          <w:rFonts w:ascii="Arial" w:hAnsi="Arial" w:cs="Arial"/>
          <w:sz w:val="24"/>
          <w:szCs w:val="24"/>
        </w:rPr>
      </w:pPr>
    </w:p>
    <w:p w:rsidR="00637BD3" w:rsidRDefault="00637BD3" w:rsidP="00637BD3">
      <w:pPr>
        <w:spacing w:after="0" w:line="360" w:lineRule="auto"/>
        <w:jc w:val="both"/>
        <w:rPr>
          <w:rFonts w:ascii="Arial" w:hAnsi="Arial" w:cs="Arial"/>
          <w:sz w:val="24"/>
          <w:szCs w:val="24"/>
        </w:rPr>
      </w:pPr>
      <w:r w:rsidRPr="00AA5619">
        <w:rPr>
          <w:rFonts w:ascii="Arial" w:hAnsi="Arial" w:cs="Arial"/>
          <w:i/>
          <w:sz w:val="24"/>
          <w:szCs w:val="24"/>
        </w:rPr>
        <w:t>Held that</w:t>
      </w:r>
      <w:r>
        <w:rPr>
          <w:rFonts w:ascii="Arial" w:hAnsi="Arial" w:cs="Arial"/>
          <w:sz w:val="24"/>
          <w:szCs w:val="24"/>
        </w:rPr>
        <w:t>, if an appellant fails to lodge the record within this stipulated period, the suspension of any judgment or order of the court appealed from is considered lifted and the appeal is deemed to have</w:t>
      </w:r>
      <w:r w:rsidR="00A31590">
        <w:rPr>
          <w:rFonts w:ascii="Arial" w:hAnsi="Arial" w:cs="Arial"/>
          <w:sz w:val="24"/>
          <w:szCs w:val="24"/>
        </w:rPr>
        <w:t xml:space="preserve"> been</w:t>
      </w:r>
      <w:r>
        <w:rPr>
          <w:rFonts w:ascii="Arial" w:hAnsi="Arial" w:cs="Arial"/>
          <w:sz w:val="24"/>
          <w:szCs w:val="24"/>
        </w:rPr>
        <w:t xml:space="preserve"> withdrawn.</w:t>
      </w:r>
    </w:p>
    <w:p w:rsidR="00637BD3" w:rsidRDefault="00637BD3" w:rsidP="00637BD3">
      <w:pPr>
        <w:spacing w:after="0" w:line="360" w:lineRule="auto"/>
        <w:jc w:val="both"/>
        <w:rPr>
          <w:rFonts w:ascii="Arial" w:hAnsi="Arial" w:cs="Arial"/>
          <w:sz w:val="24"/>
          <w:szCs w:val="24"/>
        </w:rPr>
      </w:pPr>
    </w:p>
    <w:p w:rsidR="00637BD3" w:rsidRDefault="00637BD3" w:rsidP="00637BD3">
      <w:pPr>
        <w:spacing w:after="0" w:line="360" w:lineRule="auto"/>
        <w:jc w:val="both"/>
        <w:rPr>
          <w:rFonts w:ascii="Arial" w:hAnsi="Arial" w:cs="Arial"/>
          <w:sz w:val="24"/>
          <w:szCs w:val="24"/>
        </w:rPr>
      </w:pPr>
      <w:r w:rsidRPr="00CA06AD">
        <w:rPr>
          <w:rFonts w:ascii="Arial" w:hAnsi="Arial" w:cs="Arial"/>
          <w:i/>
          <w:sz w:val="24"/>
          <w:szCs w:val="24"/>
        </w:rPr>
        <w:lastRenderedPageBreak/>
        <w:t>Held that</w:t>
      </w:r>
      <w:r>
        <w:rPr>
          <w:rFonts w:ascii="Arial" w:hAnsi="Arial" w:cs="Arial"/>
          <w:sz w:val="24"/>
          <w:szCs w:val="24"/>
        </w:rPr>
        <w:t xml:space="preserve">, the condonation applications filed in these matters have failed to apply for reinstatement and </w:t>
      </w:r>
      <w:r w:rsidR="00A31590">
        <w:rPr>
          <w:rFonts w:ascii="Arial" w:hAnsi="Arial" w:cs="Arial"/>
          <w:sz w:val="24"/>
          <w:szCs w:val="24"/>
        </w:rPr>
        <w:t xml:space="preserve">the appeals </w:t>
      </w:r>
      <w:r>
        <w:rPr>
          <w:rFonts w:ascii="Arial" w:hAnsi="Arial" w:cs="Arial"/>
          <w:sz w:val="24"/>
          <w:szCs w:val="24"/>
        </w:rPr>
        <w:t>should be struck from the roll</w:t>
      </w:r>
      <w:r w:rsidR="00A31590">
        <w:rPr>
          <w:rFonts w:ascii="Arial" w:hAnsi="Arial" w:cs="Arial"/>
          <w:sz w:val="24"/>
          <w:szCs w:val="24"/>
        </w:rPr>
        <w:t xml:space="preserve"> for that reason alone</w:t>
      </w:r>
      <w:r>
        <w:rPr>
          <w:rFonts w:ascii="Arial" w:hAnsi="Arial" w:cs="Arial"/>
          <w:sz w:val="24"/>
          <w:szCs w:val="24"/>
        </w:rPr>
        <w:t>.</w:t>
      </w:r>
    </w:p>
    <w:p w:rsidR="00637BD3" w:rsidRDefault="00637BD3" w:rsidP="00637BD3">
      <w:pPr>
        <w:spacing w:after="0" w:line="360" w:lineRule="auto"/>
        <w:jc w:val="both"/>
        <w:rPr>
          <w:rFonts w:ascii="Arial" w:hAnsi="Arial" w:cs="Arial"/>
          <w:sz w:val="24"/>
          <w:szCs w:val="24"/>
        </w:rPr>
      </w:pPr>
    </w:p>
    <w:p w:rsidR="00637BD3" w:rsidRDefault="00637BD3" w:rsidP="00637BD3">
      <w:pPr>
        <w:spacing w:after="0" w:line="360" w:lineRule="auto"/>
        <w:jc w:val="both"/>
        <w:rPr>
          <w:rFonts w:ascii="Arial" w:hAnsi="Arial" w:cs="Arial"/>
          <w:sz w:val="24"/>
          <w:szCs w:val="24"/>
          <w:shd w:val="clear" w:color="auto" w:fill="FFFFFF"/>
        </w:rPr>
      </w:pPr>
      <w:r w:rsidRPr="00CA06AD">
        <w:rPr>
          <w:rFonts w:ascii="Arial" w:hAnsi="Arial" w:cs="Arial"/>
          <w:i/>
          <w:sz w:val="24"/>
          <w:szCs w:val="24"/>
        </w:rPr>
        <w:t>Held further that</w:t>
      </w:r>
      <w:r>
        <w:rPr>
          <w:rFonts w:ascii="Arial" w:hAnsi="Arial" w:cs="Arial"/>
          <w:sz w:val="24"/>
          <w:szCs w:val="24"/>
        </w:rPr>
        <w:t>, the condonation applications do not contain any explanation for the non-compliance with the rules in failing to note the appeal, lodge the record or provide security within the required time periods, except for stating that the appellants (</w:t>
      </w:r>
      <w:r w:rsidR="003A5EF2">
        <w:rPr>
          <w:rFonts w:ascii="Arial" w:hAnsi="Arial" w:cs="Arial"/>
          <w:sz w:val="24"/>
          <w:szCs w:val="24"/>
        </w:rPr>
        <w:t>appellant</w:t>
      </w:r>
      <w:r>
        <w:rPr>
          <w:rFonts w:ascii="Arial" w:hAnsi="Arial" w:cs="Arial"/>
          <w:sz w:val="24"/>
          <w:szCs w:val="24"/>
        </w:rPr>
        <w:t xml:space="preserve">s) are lay litigants which does not remotely constitute an adequate and acceptable explanation for the serial non-compliance with rules exhibited in all of these applications. Indeed it amounts to no explanation being </w:t>
      </w:r>
      <w:r w:rsidRPr="00CA06AD">
        <w:rPr>
          <w:rFonts w:ascii="Arial" w:hAnsi="Arial" w:cs="Arial"/>
          <w:sz w:val="24"/>
          <w:szCs w:val="24"/>
        </w:rPr>
        <w:t>given</w:t>
      </w:r>
      <w:r>
        <w:rPr>
          <w:rFonts w:ascii="Arial" w:hAnsi="Arial" w:cs="Arial"/>
          <w:sz w:val="24"/>
          <w:szCs w:val="24"/>
        </w:rPr>
        <w:t>. T</w:t>
      </w:r>
      <w:r w:rsidRPr="00CA06AD">
        <w:rPr>
          <w:rFonts w:ascii="Arial" w:hAnsi="Arial" w:cs="Arial"/>
          <w:sz w:val="24"/>
          <w:szCs w:val="24"/>
        </w:rPr>
        <w:t>he</w:t>
      </w:r>
      <w:r>
        <w:rPr>
          <w:rFonts w:ascii="Arial" w:hAnsi="Arial" w:cs="Arial"/>
          <w:sz w:val="24"/>
          <w:szCs w:val="24"/>
        </w:rPr>
        <w:t xml:space="preserve"> </w:t>
      </w:r>
      <w:r w:rsidRPr="00CA06AD">
        <w:rPr>
          <w:rFonts w:ascii="Arial" w:hAnsi="Arial" w:cs="Arial"/>
          <w:sz w:val="24"/>
          <w:szCs w:val="24"/>
        </w:rPr>
        <w:t xml:space="preserve">matter of </w:t>
      </w:r>
      <w:r w:rsidRPr="00CA06AD">
        <w:rPr>
          <w:rFonts w:ascii="Arial" w:hAnsi="Arial" w:cs="Arial"/>
          <w:i/>
          <w:sz w:val="24"/>
          <w:szCs w:val="24"/>
        </w:rPr>
        <w:t xml:space="preserve">Worku v </w:t>
      </w:r>
      <w:r w:rsidRPr="00CA06AD">
        <w:rPr>
          <w:rFonts w:ascii="Arial" w:hAnsi="Arial" w:cs="Arial"/>
          <w:i/>
          <w:sz w:val="24"/>
          <w:szCs w:val="24"/>
          <w:shd w:val="clear" w:color="auto" w:fill="FFFFFF"/>
        </w:rPr>
        <w:t xml:space="preserve">Equity Aviation Services (Namibia) </w:t>
      </w:r>
      <w:r>
        <w:rPr>
          <w:rFonts w:ascii="Arial" w:hAnsi="Arial" w:cs="Arial"/>
          <w:i/>
          <w:sz w:val="24"/>
          <w:szCs w:val="24"/>
          <w:shd w:val="clear" w:color="auto" w:fill="FFFFFF"/>
        </w:rPr>
        <w:t>(Pty) Ltd (In Liquidation) &amp; o</w:t>
      </w:r>
      <w:r w:rsidRPr="00CA06AD">
        <w:rPr>
          <w:rFonts w:ascii="Arial" w:hAnsi="Arial" w:cs="Arial"/>
          <w:i/>
          <w:sz w:val="24"/>
          <w:szCs w:val="24"/>
          <w:shd w:val="clear" w:color="auto" w:fill="FFFFFF"/>
        </w:rPr>
        <w:t>thers</w:t>
      </w:r>
      <w:r w:rsidRPr="00CA06AD">
        <w:rPr>
          <w:rFonts w:ascii="Arial" w:hAnsi="Arial" w:cs="Arial"/>
          <w:sz w:val="24"/>
          <w:szCs w:val="24"/>
          <w:shd w:val="clear" w:color="auto" w:fill="FFFFFF"/>
        </w:rPr>
        <w:t xml:space="preserve"> 2014</w:t>
      </w:r>
      <w:r>
        <w:rPr>
          <w:rFonts w:ascii="Arial" w:hAnsi="Arial" w:cs="Arial"/>
          <w:sz w:val="24"/>
          <w:szCs w:val="24"/>
          <w:shd w:val="clear" w:color="auto" w:fill="FFFFFF"/>
        </w:rPr>
        <w:t xml:space="preserve"> </w:t>
      </w:r>
      <w:r w:rsidRPr="00CA06AD">
        <w:rPr>
          <w:rFonts w:ascii="Arial" w:hAnsi="Arial" w:cs="Arial"/>
          <w:sz w:val="24"/>
          <w:szCs w:val="24"/>
          <w:shd w:val="clear" w:color="auto" w:fill="FFFFFF"/>
        </w:rPr>
        <w:t>(1) NR 234 (SC)</w:t>
      </w:r>
      <w:r>
        <w:rPr>
          <w:rFonts w:ascii="Arial" w:hAnsi="Arial" w:cs="Arial"/>
          <w:sz w:val="24"/>
          <w:szCs w:val="24"/>
          <w:shd w:val="clear" w:color="auto" w:fill="FFFFFF"/>
        </w:rPr>
        <w:t xml:space="preserve"> refers.</w:t>
      </w:r>
    </w:p>
    <w:p w:rsidR="00637BD3" w:rsidRDefault="00637BD3" w:rsidP="00637BD3">
      <w:pPr>
        <w:spacing w:after="0" w:line="360" w:lineRule="auto"/>
        <w:jc w:val="both"/>
        <w:rPr>
          <w:rFonts w:ascii="Arial" w:hAnsi="Arial" w:cs="Arial"/>
          <w:sz w:val="24"/>
          <w:szCs w:val="24"/>
          <w:shd w:val="clear" w:color="auto" w:fill="FFFFFF"/>
        </w:rPr>
      </w:pPr>
    </w:p>
    <w:p w:rsidR="00637BD3" w:rsidRDefault="00637BD3" w:rsidP="00637BD3">
      <w:pPr>
        <w:spacing w:after="0" w:line="360" w:lineRule="auto"/>
        <w:jc w:val="both"/>
        <w:rPr>
          <w:rFonts w:ascii="Arial" w:hAnsi="Arial" w:cs="Arial"/>
          <w:sz w:val="24"/>
          <w:szCs w:val="24"/>
          <w:shd w:val="clear" w:color="auto" w:fill="FFFFFF"/>
        </w:rPr>
      </w:pPr>
      <w:r>
        <w:rPr>
          <w:rFonts w:ascii="Arial" w:hAnsi="Arial" w:cs="Arial"/>
          <w:sz w:val="24"/>
          <w:szCs w:val="24"/>
        </w:rPr>
        <w:t>The appellants lodged their notices of appeal considerable periods after the stipulated time, varying from years out of time to months out of time in other cases. These appeals were in all instances filed after steps to execute the judgment were taken, strongly suggesting that the sole purpose in doing so is to delay the execution process, thus amounting to an abuse of process. Further, the failure by the appellants to lodge their appeal records (and security for costs) within the required time, amounted to each of the appeals having lapsed. Consequently, the condonation applications are</w:t>
      </w:r>
      <w:r>
        <w:rPr>
          <w:rFonts w:ascii="Arial" w:hAnsi="Arial" w:cs="Arial"/>
          <w:sz w:val="24"/>
          <w:szCs w:val="24"/>
          <w:shd w:val="clear" w:color="auto" w:fill="FFFFFF"/>
        </w:rPr>
        <w:t xml:space="preserve"> dismissed and the appeals are struck from the roll.</w:t>
      </w:r>
    </w:p>
    <w:p w:rsidR="00B0498F" w:rsidRDefault="00B0498F" w:rsidP="00637BD3">
      <w:pPr>
        <w:spacing w:after="0" w:line="360" w:lineRule="auto"/>
        <w:jc w:val="both"/>
        <w:rPr>
          <w:rFonts w:ascii="Arial" w:hAnsi="Arial" w:cs="Arial"/>
          <w:sz w:val="24"/>
          <w:szCs w:val="24"/>
          <w:shd w:val="clear" w:color="auto" w:fill="FFFFFF"/>
        </w:rPr>
      </w:pPr>
    </w:p>
    <w:p w:rsidR="00B0498F" w:rsidRPr="00FC3085" w:rsidRDefault="00B0498F" w:rsidP="00637BD3">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In conclusion, the court cautioned the public </w:t>
      </w:r>
      <w:r w:rsidR="0098025E">
        <w:rPr>
          <w:rFonts w:ascii="Arial" w:hAnsi="Arial" w:cs="Arial"/>
          <w:sz w:val="24"/>
          <w:szCs w:val="24"/>
          <w:shd w:val="clear" w:color="auto" w:fill="FFFFFF"/>
        </w:rPr>
        <w:t>against</w:t>
      </w:r>
      <w:r>
        <w:rPr>
          <w:rFonts w:ascii="Arial" w:hAnsi="Arial" w:cs="Arial"/>
          <w:sz w:val="24"/>
          <w:szCs w:val="24"/>
          <w:shd w:val="clear" w:color="auto" w:fill="FFFFFF"/>
        </w:rPr>
        <w:t xml:space="preserve"> acting upon the advice given by unqualified persons pretending to have legal expertise. This resulted in false hopes and expectations on the p</w:t>
      </w:r>
      <w:bookmarkStart w:id="0" w:name="_GoBack"/>
      <w:bookmarkEnd w:id="0"/>
      <w:r>
        <w:rPr>
          <w:rFonts w:ascii="Arial" w:hAnsi="Arial" w:cs="Arial"/>
          <w:sz w:val="24"/>
          <w:szCs w:val="24"/>
          <w:shd w:val="clear" w:color="auto" w:fill="FFFFFF"/>
        </w:rPr>
        <w:t>art of the appellants as well as considerable liability for further legal costs.</w:t>
      </w:r>
    </w:p>
    <w:p w:rsidR="005D14D4" w:rsidRPr="001C25CA" w:rsidRDefault="005D14D4" w:rsidP="005D14D4">
      <w:pPr>
        <w:spacing w:after="0" w:line="36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933B34"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5D14D4">
        <w:rPr>
          <w:rFonts w:ascii="Arial" w:hAnsi="Arial" w:cs="Arial"/>
          <w:sz w:val="24"/>
          <w:szCs w:val="24"/>
        </w:rPr>
        <w:t>HOFF JA</w:t>
      </w:r>
      <w:r>
        <w:rPr>
          <w:rFonts w:ascii="Arial" w:hAnsi="Arial" w:cs="Arial"/>
          <w:sz w:val="24"/>
          <w:szCs w:val="24"/>
        </w:rPr>
        <w:t xml:space="preserve"> and FRANK AJA</w:t>
      </w:r>
      <w:r w:rsidRPr="001C25CA">
        <w:rPr>
          <w:rFonts w:ascii="Arial" w:hAnsi="Arial" w:cs="Arial"/>
          <w:sz w:val="24"/>
          <w:szCs w:val="24"/>
        </w:rPr>
        <w:t xml:space="preserve"> concurring):</w:t>
      </w:r>
    </w:p>
    <w:p w:rsidR="00512A29" w:rsidRDefault="00C979E0" w:rsidP="00C979E0">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62F2E">
        <w:rPr>
          <w:rFonts w:ascii="Arial" w:hAnsi="Arial" w:cs="Arial"/>
          <w:sz w:val="24"/>
          <w:szCs w:val="24"/>
        </w:rPr>
        <w:t xml:space="preserve">We have before us </w:t>
      </w:r>
      <w:r w:rsidR="00B008BE">
        <w:rPr>
          <w:rFonts w:ascii="Arial" w:hAnsi="Arial" w:cs="Arial"/>
          <w:sz w:val="24"/>
          <w:szCs w:val="24"/>
        </w:rPr>
        <w:t>four</w:t>
      </w:r>
      <w:r w:rsidR="00C62F2E">
        <w:rPr>
          <w:rFonts w:ascii="Arial" w:hAnsi="Arial" w:cs="Arial"/>
          <w:sz w:val="24"/>
          <w:szCs w:val="24"/>
        </w:rPr>
        <w:t xml:space="preserve"> matters set down together because they raise similar questions of law and fact. </w:t>
      </w:r>
      <w:r w:rsidR="00B80865">
        <w:rPr>
          <w:rFonts w:ascii="Arial" w:hAnsi="Arial" w:cs="Arial"/>
          <w:sz w:val="24"/>
          <w:szCs w:val="24"/>
        </w:rPr>
        <w:t xml:space="preserve">In each of the </w:t>
      </w:r>
      <w:r w:rsidR="00B008BE">
        <w:rPr>
          <w:rFonts w:ascii="Arial" w:hAnsi="Arial" w:cs="Arial"/>
          <w:sz w:val="24"/>
          <w:szCs w:val="24"/>
        </w:rPr>
        <w:t>four</w:t>
      </w:r>
      <w:r w:rsidR="00B80865">
        <w:rPr>
          <w:rFonts w:ascii="Arial" w:hAnsi="Arial" w:cs="Arial"/>
          <w:sz w:val="24"/>
          <w:szCs w:val="24"/>
        </w:rPr>
        <w:t xml:space="preserve"> matters, there is an</w:t>
      </w:r>
      <w:r w:rsidR="00C62F2E">
        <w:rPr>
          <w:rFonts w:ascii="Arial" w:hAnsi="Arial" w:cs="Arial"/>
          <w:sz w:val="24"/>
          <w:szCs w:val="24"/>
        </w:rPr>
        <w:t xml:space="preserve"> application for condonation for the late filing of the notice of appeal</w:t>
      </w:r>
      <w:r w:rsidR="00EF501A">
        <w:rPr>
          <w:rFonts w:ascii="Arial" w:hAnsi="Arial" w:cs="Arial"/>
          <w:sz w:val="24"/>
          <w:szCs w:val="24"/>
        </w:rPr>
        <w:t xml:space="preserve"> in each instance as well as </w:t>
      </w:r>
      <w:r w:rsidR="00B80865">
        <w:rPr>
          <w:rFonts w:ascii="Arial" w:hAnsi="Arial" w:cs="Arial"/>
          <w:sz w:val="24"/>
          <w:szCs w:val="24"/>
        </w:rPr>
        <w:t xml:space="preserve">for </w:t>
      </w:r>
      <w:r w:rsidR="00EF501A">
        <w:rPr>
          <w:rFonts w:ascii="Arial" w:hAnsi="Arial" w:cs="Arial"/>
          <w:sz w:val="24"/>
          <w:szCs w:val="24"/>
        </w:rPr>
        <w:lastRenderedPageBreak/>
        <w:t>condonation for the late filing of the</w:t>
      </w:r>
      <w:r w:rsidR="00C62F2E">
        <w:rPr>
          <w:rFonts w:ascii="Arial" w:hAnsi="Arial" w:cs="Arial"/>
          <w:sz w:val="24"/>
          <w:szCs w:val="24"/>
        </w:rPr>
        <w:t xml:space="preserve"> appeal record and security for costs. The notices of motion and supporting affidavits are</w:t>
      </w:r>
      <w:r w:rsidR="00EF501A">
        <w:rPr>
          <w:rFonts w:ascii="Arial" w:hAnsi="Arial" w:cs="Arial"/>
          <w:sz w:val="24"/>
          <w:szCs w:val="24"/>
        </w:rPr>
        <w:t xml:space="preserve"> cast</w:t>
      </w:r>
      <w:r w:rsidR="00C62F2E">
        <w:rPr>
          <w:rFonts w:ascii="Arial" w:hAnsi="Arial" w:cs="Arial"/>
          <w:sz w:val="24"/>
          <w:szCs w:val="24"/>
        </w:rPr>
        <w:t xml:space="preserve"> in strikingly similar terms</w:t>
      </w:r>
      <w:r w:rsidR="00B80865">
        <w:rPr>
          <w:rFonts w:ascii="Arial" w:hAnsi="Arial" w:cs="Arial"/>
          <w:sz w:val="24"/>
          <w:szCs w:val="24"/>
        </w:rPr>
        <w:t xml:space="preserve"> raising the same grounds</w:t>
      </w:r>
      <w:r w:rsidR="00C62F2E">
        <w:rPr>
          <w:rFonts w:ascii="Arial" w:hAnsi="Arial" w:cs="Arial"/>
          <w:sz w:val="24"/>
          <w:szCs w:val="24"/>
        </w:rPr>
        <w:t xml:space="preserve"> with adjustments in </w:t>
      </w:r>
      <w:r w:rsidR="00EF501A">
        <w:rPr>
          <w:rFonts w:ascii="Arial" w:hAnsi="Arial" w:cs="Arial"/>
          <w:sz w:val="24"/>
          <w:szCs w:val="24"/>
        </w:rPr>
        <w:t>each</w:t>
      </w:r>
      <w:r w:rsidR="00C62F2E">
        <w:rPr>
          <w:rFonts w:ascii="Arial" w:hAnsi="Arial" w:cs="Arial"/>
          <w:sz w:val="24"/>
          <w:szCs w:val="24"/>
        </w:rPr>
        <w:t xml:space="preserve"> case to reflect the dates of service of the summons, date of judgment and date of the purported notice of appeal.</w:t>
      </w:r>
      <w:r w:rsidR="00A31590">
        <w:rPr>
          <w:rFonts w:ascii="Arial" w:hAnsi="Arial" w:cs="Arial"/>
          <w:sz w:val="24"/>
          <w:szCs w:val="24"/>
        </w:rPr>
        <w:t xml:space="preserve"> It emerged during the hearing that they were prepared by a certain Mr Afrikaner who styles himself as a paralegal and certain of the appellants confirmed that they acted on his advice.</w:t>
      </w:r>
    </w:p>
    <w:p w:rsidR="00C62F2E" w:rsidRDefault="00C62F2E" w:rsidP="00C62F2E">
      <w:pPr>
        <w:pStyle w:val="NoSpacing"/>
        <w:spacing w:line="480" w:lineRule="auto"/>
        <w:jc w:val="bot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62F2E">
        <w:rPr>
          <w:rFonts w:ascii="Arial" w:hAnsi="Arial" w:cs="Arial"/>
          <w:sz w:val="24"/>
          <w:szCs w:val="24"/>
        </w:rPr>
        <w:t xml:space="preserve">Each of the notices of appeal would appear to be directed against judgments obtained against the </w:t>
      </w:r>
      <w:r w:rsidR="003A5EF2">
        <w:rPr>
          <w:rFonts w:ascii="Arial" w:hAnsi="Arial" w:cs="Arial"/>
          <w:sz w:val="24"/>
          <w:szCs w:val="24"/>
        </w:rPr>
        <w:t>appellant</w:t>
      </w:r>
      <w:r w:rsidR="00C62F2E">
        <w:rPr>
          <w:rFonts w:ascii="Arial" w:hAnsi="Arial" w:cs="Arial"/>
          <w:sz w:val="24"/>
          <w:szCs w:val="24"/>
        </w:rPr>
        <w:t>s in respect of loan amounts</w:t>
      </w:r>
      <w:r w:rsidR="004D326A">
        <w:rPr>
          <w:rFonts w:ascii="Arial" w:hAnsi="Arial" w:cs="Arial"/>
          <w:sz w:val="24"/>
          <w:szCs w:val="24"/>
        </w:rPr>
        <w:t>,</w:t>
      </w:r>
      <w:r w:rsidR="00C62F2E">
        <w:rPr>
          <w:rFonts w:ascii="Arial" w:hAnsi="Arial" w:cs="Arial"/>
          <w:sz w:val="24"/>
          <w:szCs w:val="24"/>
        </w:rPr>
        <w:t xml:space="preserve"> </w:t>
      </w:r>
      <w:r w:rsidR="004D326A">
        <w:rPr>
          <w:rFonts w:ascii="Arial" w:hAnsi="Arial" w:cs="Arial"/>
          <w:sz w:val="24"/>
          <w:szCs w:val="24"/>
        </w:rPr>
        <w:t xml:space="preserve">each </w:t>
      </w:r>
      <w:r w:rsidR="00C62F2E">
        <w:rPr>
          <w:rFonts w:ascii="Arial" w:hAnsi="Arial" w:cs="Arial"/>
          <w:sz w:val="24"/>
          <w:szCs w:val="24"/>
        </w:rPr>
        <w:t xml:space="preserve">secured by </w:t>
      </w:r>
      <w:r w:rsidR="004D326A">
        <w:rPr>
          <w:rFonts w:ascii="Arial" w:hAnsi="Arial" w:cs="Arial"/>
          <w:sz w:val="24"/>
          <w:szCs w:val="24"/>
        </w:rPr>
        <w:t xml:space="preserve">a </w:t>
      </w:r>
      <w:r w:rsidR="00C62F2E">
        <w:rPr>
          <w:rFonts w:ascii="Arial" w:hAnsi="Arial" w:cs="Arial"/>
          <w:sz w:val="24"/>
          <w:szCs w:val="24"/>
        </w:rPr>
        <w:t>mortgage bond</w:t>
      </w:r>
      <w:r w:rsidR="004D326A">
        <w:rPr>
          <w:rFonts w:ascii="Arial" w:hAnsi="Arial" w:cs="Arial"/>
          <w:sz w:val="24"/>
          <w:szCs w:val="24"/>
        </w:rPr>
        <w:t>,</w:t>
      </w:r>
      <w:r w:rsidR="00C62F2E">
        <w:rPr>
          <w:rFonts w:ascii="Arial" w:hAnsi="Arial" w:cs="Arial"/>
          <w:sz w:val="24"/>
          <w:szCs w:val="24"/>
        </w:rPr>
        <w:t xml:space="preserve"> and</w:t>
      </w:r>
      <w:r w:rsidR="00B80865">
        <w:rPr>
          <w:rFonts w:ascii="Arial" w:hAnsi="Arial" w:cs="Arial"/>
          <w:sz w:val="24"/>
          <w:szCs w:val="24"/>
        </w:rPr>
        <w:t>,</w:t>
      </w:r>
      <w:r w:rsidR="00C62F2E">
        <w:rPr>
          <w:rFonts w:ascii="Arial" w:hAnsi="Arial" w:cs="Arial"/>
          <w:sz w:val="24"/>
          <w:szCs w:val="24"/>
        </w:rPr>
        <w:t xml:space="preserve"> with one exception, where </w:t>
      </w:r>
      <w:r w:rsidR="00B80865">
        <w:rPr>
          <w:rFonts w:ascii="Arial" w:hAnsi="Arial" w:cs="Arial"/>
          <w:sz w:val="24"/>
          <w:szCs w:val="24"/>
        </w:rPr>
        <w:t xml:space="preserve">orders </w:t>
      </w:r>
      <w:r w:rsidR="004D326A">
        <w:rPr>
          <w:rFonts w:ascii="Arial" w:hAnsi="Arial" w:cs="Arial"/>
          <w:sz w:val="24"/>
          <w:szCs w:val="24"/>
        </w:rPr>
        <w:t xml:space="preserve">have been given </w:t>
      </w:r>
      <w:r w:rsidR="00B80865">
        <w:rPr>
          <w:rFonts w:ascii="Arial" w:hAnsi="Arial" w:cs="Arial"/>
          <w:sz w:val="24"/>
          <w:szCs w:val="24"/>
        </w:rPr>
        <w:t xml:space="preserve">declaring the </w:t>
      </w:r>
      <w:r w:rsidR="00C62F2E">
        <w:rPr>
          <w:rFonts w:ascii="Arial" w:hAnsi="Arial" w:cs="Arial"/>
          <w:sz w:val="24"/>
          <w:szCs w:val="24"/>
        </w:rPr>
        <w:t xml:space="preserve">immoveable property </w:t>
      </w:r>
      <w:r w:rsidR="00EF501A">
        <w:rPr>
          <w:rFonts w:ascii="Arial" w:hAnsi="Arial" w:cs="Arial"/>
          <w:sz w:val="24"/>
          <w:szCs w:val="24"/>
        </w:rPr>
        <w:t xml:space="preserve">secured by the </w:t>
      </w:r>
      <w:r w:rsidR="00B80865">
        <w:rPr>
          <w:rFonts w:ascii="Arial" w:hAnsi="Arial" w:cs="Arial"/>
          <w:sz w:val="24"/>
          <w:szCs w:val="24"/>
        </w:rPr>
        <w:t xml:space="preserve">respective </w:t>
      </w:r>
      <w:r w:rsidR="00EF501A">
        <w:rPr>
          <w:rFonts w:ascii="Arial" w:hAnsi="Arial" w:cs="Arial"/>
          <w:sz w:val="24"/>
          <w:szCs w:val="24"/>
        </w:rPr>
        <w:t>bond</w:t>
      </w:r>
      <w:r w:rsidR="00B80865">
        <w:rPr>
          <w:rFonts w:ascii="Arial" w:hAnsi="Arial" w:cs="Arial"/>
          <w:sz w:val="24"/>
          <w:szCs w:val="24"/>
        </w:rPr>
        <w:t>s</w:t>
      </w:r>
      <w:r w:rsidR="00EF501A">
        <w:rPr>
          <w:rFonts w:ascii="Arial" w:hAnsi="Arial" w:cs="Arial"/>
          <w:sz w:val="24"/>
          <w:szCs w:val="24"/>
        </w:rPr>
        <w:t xml:space="preserve"> </w:t>
      </w:r>
      <w:r w:rsidR="004D326A">
        <w:rPr>
          <w:rFonts w:ascii="Arial" w:hAnsi="Arial" w:cs="Arial"/>
          <w:sz w:val="24"/>
          <w:szCs w:val="24"/>
        </w:rPr>
        <w:t>to be</w:t>
      </w:r>
      <w:r w:rsidR="00C62F2E">
        <w:rPr>
          <w:rFonts w:ascii="Arial" w:hAnsi="Arial" w:cs="Arial"/>
          <w:sz w:val="24"/>
          <w:szCs w:val="24"/>
        </w:rPr>
        <w:t xml:space="preserve"> executable. </w:t>
      </w:r>
      <w:r w:rsidR="00B80865">
        <w:rPr>
          <w:rFonts w:ascii="Arial" w:hAnsi="Arial" w:cs="Arial"/>
          <w:sz w:val="24"/>
          <w:szCs w:val="24"/>
        </w:rPr>
        <w:t xml:space="preserve">In the exception, an application to declare the immovable property executable </w:t>
      </w:r>
      <w:r w:rsidR="004D326A">
        <w:rPr>
          <w:rFonts w:ascii="Arial" w:hAnsi="Arial" w:cs="Arial"/>
          <w:sz w:val="24"/>
          <w:szCs w:val="24"/>
        </w:rPr>
        <w:t>is said to be</w:t>
      </w:r>
      <w:r w:rsidR="00B80865">
        <w:rPr>
          <w:rFonts w:ascii="Arial" w:hAnsi="Arial" w:cs="Arial"/>
          <w:sz w:val="24"/>
          <w:szCs w:val="24"/>
        </w:rPr>
        <w:t xml:space="preserve"> </w:t>
      </w:r>
      <w:r w:rsidR="00A31590">
        <w:rPr>
          <w:rFonts w:ascii="Arial" w:hAnsi="Arial" w:cs="Arial"/>
          <w:sz w:val="24"/>
          <w:szCs w:val="24"/>
        </w:rPr>
        <w:t>forthcoming</w:t>
      </w:r>
      <w:r w:rsidR="00B80865">
        <w:rPr>
          <w:rFonts w:ascii="Arial" w:hAnsi="Arial" w:cs="Arial"/>
          <w:sz w:val="24"/>
          <w:szCs w:val="24"/>
        </w:rPr>
        <w:t xml:space="preserve"> at the time the notice of appeal and condonation application were filed. </w:t>
      </w:r>
      <w:r w:rsidR="00C62F2E">
        <w:rPr>
          <w:rFonts w:ascii="Arial" w:hAnsi="Arial" w:cs="Arial"/>
          <w:sz w:val="24"/>
          <w:szCs w:val="24"/>
        </w:rPr>
        <w:t xml:space="preserve">None of the records in any of these </w:t>
      </w:r>
      <w:r w:rsidR="00D30E05">
        <w:rPr>
          <w:rFonts w:ascii="Arial" w:hAnsi="Arial" w:cs="Arial"/>
          <w:sz w:val="24"/>
          <w:szCs w:val="24"/>
        </w:rPr>
        <w:t>appeals</w:t>
      </w:r>
      <w:r w:rsidR="00C62F2E">
        <w:rPr>
          <w:rFonts w:ascii="Arial" w:hAnsi="Arial" w:cs="Arial"/>
          <w:sz w:val="24"/>
          <w:szCs w:val="24"/>
        </w:rPr>
        <w:t xml:space="preserve"> has been lodged</w:t>
      </w:r>
      <w:r w:rsidR="00EF501A">
        <w:rPr>
          <w:rFonts w:ascii="Arial" w:hAnsi="Arial" w:cs="Arial"/>
          <w:sz w:val="24"/>
          <w:szCs w:val="24"/>
        </w:rPr>
        <w:t xml:space="preserve">, despite the varying </w:t>
      </w:r>
      <w:r w:rsidR="00B80865">
        <w:rPr>
          <w:rFonts w:ascii="Arial" w:hAnsi="Arial" w:cs="Arial"/>
          <w:sz w:val="24"/>
          <w:szCs w:val="24"/>
        </w:rPr>
        <w:t>degrees of delay</w:t>
      </w:r>
      <w:r w:rsidR="00C62F2E">
        <w:rPr>
          <w:rFonts w:ascii="Arial" w:hAnsi="Arial" w:cs="Arial"/>
          <w:sz w:val="24"/>
          <w:szCs w:val="24"/>
        </w:rPr>
        <w:t xml:space="preserve">. This court is </w:t>
      </w:r>
      <w:r w:rsidR="00B80865">
        <w:rPr>
          <w:rFonts w:ascii="Arial" w:hAnsi="Arial" w:cs="Arial"/>
          <w:sz w:val="24"/>
          <w:szCs w:val="24"/>
        </w:rPr>
        <w:t xml:space="preserve">accordingly </w:t>
      </w:r>
      <w:r w:rsidR="00C62F2E">
        <w:rPr>
          <w:rFonts w:ascii="Arial" w:hAnsi="Arial" w:cs="Arial"/>
          <w:sz w:val="24"/>
          <w:szCs w:val="24"/>
        </w:rPr>
        <w:t xml:space="preserve">limited to </w:t>
      </w:r>
      <w:r w:rsidR="00B80865">
        <w:rPr>
          <w:rFonts w:ascii="Arial" w:hAnsi="Arial" w:cs="Arial"/>
          <w:sz w:val="24"/>
          <w:szCs w:val="24"/>
        </w:rPr>
        <w:t xml:space="preserve">the </w:t>
      </w:r>
      <w:r w:rsidR="00C62F2E">
        <w:rPr>
          <w:rFonts w:ascii="Arial" w:hAnsi="Arial" w:cs="Arial"/>
          <w:sz w:val="24"/>
          <w:szCs w:val="24"/>
        </w:rPr>
        <w:t xml:space="preserve">very scant details provided by the </w:t>
      </w:r>
      <w:r w:rsidR="00D30E05">
        <w:rPr>
          <w:rFonts w:ascii="Arial" w:hAnsi="Arial" w:cs="Arial"/>
          <w:sz w:val="24"/>
          <w:szCs w:val="24"/>
        </w:rPr>
        <w:t>appellants</w:t>
      </w:r>
      <w:r w:rsidR="00C62F2E">
        <w:rPr>
          <w:rFonts w:ascii="Arial" w:hAnsi="Arial" w:cs="Arial"/>
          <w:sz w:val="24"/>
          <w:szCs w:val="24"/>
        </w:rPr>
        <w:t xml:space="preserve"> and</w:t>
      </w:r>
      <w:r w:rsidR="00B80865">
        <w:rPr>
          <w:rFonts w:ascii="Arial" w:hAnsi="Arial" w:cs="Arial"/>
          <w:sz w:val="24"/>
          <w:szCs w:val="24"/>
        </w:rPr>
        <w:t xml:space="preserve"> to </w:t>
      </w:r>
      <w:r w:rsidR="00D30E05">
        <w:rPr>
          <w:rFonts w:ascii="Arial" w:hAnsi="Arial" w:cs="Arial"/>
          <w:sz w:val="24"/>
          <w:szCs w:val="24"/>
        </w:rPr>
        <w:t xml:space="preserve">the </w:t>
      </w:r>
      <w:r w:rsidR="00B80865">
        <w:rPr>
          <w:rFonts w:ascii="Arial" w:hAnsi="Arial" w:cs="Arial"/>
          <w:sz w:val="24"/>
          <w:szCs w:val="24"/>
        </w:rPr>
        <w:t>additional matter</w:t>
      </w:r>
      <w:r w:rsidR="00C62F2E">
        <w:rPr>
          <w:rFonts w:ascii="Arial" w:hAnsi="Arial" w:cs="Arial"/>
          <w:sz w:val="24"/>
          <w:szCs w:val="24"/>
        </w:rPr>
        <w:t xml:space="preserve"> in two of the matters where answering affidavits have been filed by the judgment creditors, cited as respondents.</w:t>
      </w:r>
    </w:p>
    <w:p w:rsidR="00A31590" w:rsidRDefault="00A31590" w:rsidP="00A31590">
      <w:pPr>
        <w:pStyle w:val="ListParagraph"/>
        <w:rPr>
          <w:rFonts w:ascii="Arial" w:hAnsi="Arial" w:cs="Arial"/>
          <w:sz w:val="24"/>
          <w:szCs w:val="24"/>
        </w:rPr>
      </w:pPr>
    </w:p>
    <w:p w:rsidR="00A31590" w:rsidRDefault="00C979E0" w:rsidP="00C979E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31590">
        <w:rPr>
          <w:rFonts w:ascii="Arial" w:hAnsi="Arial" w:cs="Arial"/>
          <w:sz w:val="24"/>
          <w:szCs w:val="24"/>
        </w:rPr>
        <w:t>In all of these matters, the appellants have</w:t>
      </w:r>
      <w:r w:rsidR="008F1CA4">
        <w:rPr>
          <w:rFonts w:ascii="Arial" w:hAnsi="Arial" w:cs="Arial"/>
          <w:sz w:val="24"/>
          <w:szCs w:val="24"/>
        </w:rPr>
        <w:t xml:space="preserve"> appeared</w:t>
      </w:r>
      <w:r w:rsidR="00A31590">
        <w:rPr>
          <w:rFonts w:ascii="Arial" w:hAnsi="Arial" w:cs="Arial"/>
          <w:sz w:val="24"/>
          <w:szCs w:val="24"/>
        </w:rPr>
        <w:t xml:space="preserve"> in person </w:t>
      </w:r>
      <w:r w:rsidR="008F1CA4">
        <w:rPr>
          <w:rFonts w:ascii="Arial" w:hAnsi="Arial" w:cs="Arial"/>
          <w:sz w:val="24"/>
          <w:szCs w:val="24"/>
        </w:rPr>
        <w:t>and three of the four respondents are represented by counsel.</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62F2E">
        <w:rPr>
          <w:rFonts w:ascii="Arial" w:hAnsi="Arial" w:cs="Arial"/>
          <w:sz w:val="24"/>
          <w:szCs w:val="24"/>
        </w:rPr>
        <w:t>The affidavits in support of the condonation applications each state:</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ind w:left="1134" w:hanging="414"/>
        <w:jc w:val="both"/>
        <w:rPr>
          <w:rFonts w:ascii="Arial" w:hAnsi="Arial" w:cs="Arial"/>
          <w:sz w:val="24"/>
          <w:szCs w:val="24"/>
        </w:rPr>
      </w:pPr>
      <w:r>
        <w:rPr>
          <w:rFonts w:ascii="Arial" w:hAnsi="Arial" w:cs="Arial"/>
          <w:sz w:val="24"/>
          <w:szCs w:val="24"/>
        </w:rPr>
        <w:t>(a)</w:t>
      </w:r>
      <w:r>
        <w:rPr>
          <w:rFonts w:ascii="Arial" w:hAnsi="Arial" w:cs="Arial"/>
          <w:sz w:val="24"/>
          <w:szCs w:val="24"/>
        </w:rPr>
        <w:tab/>
      </w:r>
      <w:r w:rsidR="00B80865">
        <w:rPr>
          <w:rFonts w:ascii="Arial" w:hAnsi="Arial" w:cs="Arial"/>
          <w:sz w:val="24"/>
          <w:szCs w:val="24"/>
        </w:rPr>
        <w:t>that t</w:t>
      </w:r>
      <w:r w:rsidR="00D30E05">
        <w:rPr>
          <w:rFonts w:ascii="Arial" w:hAnsi="Arial" w:cs="Arial"/>
          <w:sz w:val="24"/>
          <w:szCs w:val="24"/>
        </w:rPr>
        <w:t>he appell</w:t>
      </w:r>
      <w:r w:rsidR="00C62F2E">
        <w:rPr>
          <w:rFonts w:ascii="Arial" w:hAnsi="Arial" w:cs="Arial"/>
          <w:sz w:val="24"/>
          <w:szCs w:val="24"/>
        </w:rPr>
        <w:t>ants are lay litigants without knowledge of legal proceedings</w:t>
      </w:r>
      <w:r w:rsidR="005501B1">
        <w:rPr>
          <w:rFonts w:ascii="Arial" w:hAnsi="Arial" w:cs="Arial"/>
          <w:sz w:val="24"/>
          <w:szCs w:val="24"/>
        </w:rPr>
        <w:t>;</w:t>
      </w:r>
    </w:p>
    <w:p w:rsidR="005501B1" w:rsidRDefault="00C979E0" w:rsidP="00C979E0">
      <w:pPr>
        <w:pStyle w:val="NoSpacing"/>
        <w:spacing w:line="480" w:lineRule="auto"/>
        <w:ind w:left="1134" w:hanging="414"/>
        <w:jc w:val="both"/>
        <w:rPr>
          <w:rFonts w:ascii="Arial" w:hAnsi="Arial" w:cs="Arial"/>
          <w:sz w:val="24"/>
          <w:szCs w:val="24"/>
        </w:rPr>
      </w:pPr>
      <w:r>
        <w:rPr>
          <w:rFonts w:ascii="Arial" w:hAnsi="Arial" w:cs="Arial"/>
          <w:sz w:val="24"/>
          <w:szCs w:val="24"/>
        </w:rPr>
        <w:t>(b)</w:t>
      </w:r>
      <w:r>
        <w:rPr>
          <w:rFonts w:ascii="Arial" w:hAnsi="Arial" w:cs="Arial"/>
          <w:sz w:val="24"/>
          <w:szCs w:val="24"/>
        </w:rPr>
        <w:tab/>
      </w:r>
      <w:r w:rsidR="00B80865">
        <w:rPr>
          <w:rFonts w:ascii="Arial" w:hAnsi="Arial" w:cs="Arial"/>
          <w:sz w:val="24"/>
          <w:szCs w:val="24"/>
        </w:rPr>
        <w:t>th</w:t>
      </w:r>
      <w:r w:rsidR="0098025E">
        <w:rPr>
          <w:rFonts w:ascii="Arial" w:hAnsi="Arial" w:cs="Arial"/>
          <w:sz w:val="24"/>
          <w:szCs w:val="24"/>
        </w:rPr>
        <w:t>e</w:t>
      </w:r>
      <w:r w:rsidR="00B80865">
        <w:rPr>
          <w:rFonts w:ascii="Arial" w:hAnsi="Arial" w:cs="Arial"/>
          <w:sz w:val="24"/>
          <w:szCs w:val="24"/>
        </w:rPr>
        <w:t xml:space="preserve"> d</w:t>
      </w:r>
      <w:r w:rsidR="005501B1">
        <w:rPr>
          <w:rFonts w:ascii="Arial" w:hAnsi="Arial" w:cs="Arial"/>
          <w:sz w:val="24"/>
          <w:szCs w:val="24"/>
        </w:rPr>
        <w:t>ate of service of the summons upon them and reco</w:t>
      </w:r>
      <w:r w:rsidR="00B80865">
        <w:rPr>
          <w:rFonts w:ascii="Arial" w:hAnsi="Arial" w:cs="Arial"/>
          <w:sz w:val="24"/>
          <w:szCs w:val="24"/>
        </w:rPr>
        <w:t>r</w:t>
      </w:r>
      <w:r w:rsidR="005501B1">
        <w:rPr>
          <w:rFonts w:ascii="Arial" w:hAnsi="Arial" w:cs="Arial"/>
          <w:sz w:val="24"/>
          <w:szCs w:val="24"/>
        </w:rPr>
        <w:t>ding that they did not file a notice to defend;</w:t>
      </w:r>
    </w:p>
    <w:p w:rsidR="005501B1" w:rsidRDefault="00C979E0" w:rsidP="00C979E0">
      <w:pPr>
        <w:pStyle w:val="NoSpacing"/>
        <w:spacing w:line="480" w:lineRule="auto"/>
        <w:ind w:left="1134" w:hanging="414"/>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B80865">
        <w:rPr>
          <w:rFonts w:ascii="Arial" w:hAnsi="Arial" w:cs="Arial"/>
          <w:sz w:val="24"/>
          <w:szCs w:val="24"/>
        </w:rPr>
        <w:t>that a</w:t>
      </w:r>
      <w:r w:rsidR="005501B1">
        <w:rPr>
          <w:rFonts w:ascii="Arial" w:hAnsi="Arial" w:cs="Arial"/>
          <w:sz w:val="24"/>
          <w:szCs w:val="24"/>
        </w:rPr>
        <w:t>n amicable solution was sought</w:t>
      </w:r>
      <w:r w:rsidR="00EF501A">
        <w:rPr>
          <w:rFonts w:ascii="Arial" w:hAnsi="Arial" w:cs="Arial"/>
          <w:sz w:val="24"/>
          <w:szCs w:val="24"/>
        </w:rPr>
        <w:t xml:space="preserve"> </w:t>
      </w:r>
      <w:r w:rsidR="005501B1">
        <w:rPr>
          <w:rFonts w:ascii="Arial" w:hAnsi="Arial" w:cs="Arial"/>
          <w:sz w:val="24"/>
          <w:szCs w:val="24"/>
        </w:rPr>
        <w:t>after service of the summons;</w:t>
      </w:r>
    </w:p>
    <w:p w:rsidR="005501B1" w:rsidRDefault="00C979E0" w:rsidP="00C979E0">
      <w:pPr>
        <w:pStyle w:val="NoSpacing"/>
        <w:spacing w:line="480" w:lineRule="auto"/>
        <w:ind w:left="1134" w:hanging="414"/>
        <w:jc w:val="both"/>
        <w:rPr>
          <w:rFonts w:ascii="Arial" w:hAnsi="Arial" w:cs="Arial"/>
          <w:sz w:val="24"/>
          <w:szCs w:val="24"/>
        </w:rPr>
      </w:pPr>
      <w:r>
        <w:rPr>
          <w:rFonts w:ascii="Arial" w:hAnsi="Arial" w:cs="Arial"/>
          <w:sz w:val="24"/>
          <w:szCs w:val="24"/>
        </w:rPr>
        <w:t>(d)</w:t>
      </w:r>
      <w:r>
        <w:rPr>
          <w:rFonts w:ascii="Arial" w:hAnsi="Arial" w:cs="Arial"/>
          <w:sz w:val="24"/>
          <w:szCs w:val="24"/>
        </w:rPr>
        <w:tab/>
      </w:r>
      <w:r w:rsidR="00B80865">
        <w:rPr>
          <w:rFonts w:ascii="Arial" w:hAnsi="Arial" w:cs="Arial"/>
          <w:sz w:val="24"/>
          <w:szCs w:val="24"/>
        </w:rPr>
        <w:t>a</w:t>
      </w:r>
      <w:r w:rsidR="005501B1">
        <w:rPr>
          <w:rFonts w:ascii="Arial" w:hAnsi="Arial" w:cs="Arial"/>
          <w:sz w:val="24"/>
          <w:szCs w:val="24"/>
        </w:rPr>
        <w:t xml:space="preserve"> date of the sale in execution</w:t>
      </w:r>
      <w:r w:rsidR="00B80865">
        <w:rPr>
          <w:rFonts w:ascii="Arial" w:hAnsi="Arial" w:cs="Arial"/>
          <w:sz w:val="24"/>
          <w:szCs w:val="24"/>
        </w:rPr>
        <w:t>,</w:t>
      </w:r>
      <w:r w:rsidR="00EF501A">
        <w:rPr>
          <w:rFonts w:ascii="Arial" w:hAnsi="Arial" w:cs="Arial"/>
          <w:sz w:val="24"/>
          <w:szCs w:val="24"/>
        </w:rPr>
        <w:t xml:space="preserve"> except in one instance where it is stated that an application to declare the property executable is under way;</w:t>
      </w:r>
    </w:p>
    <w:p w:rsidR="005501B1" w:rsidRPr="00B80865" w:rsidRDefault="00C979E0" w:rsidP="00C979E0">
      <w:pPr>
        <w:pStyle w:val="NoSpacing"/>
        <w:spacing w:line="480" w:lineRule="auto"/>
        <w:ind w:left="1134" w:hanging="414"/>
        <w:jc w:val="both"/>
        <w:rPr>
          <w:rFonts w:ascii="Arial" w:hAnsi="Arial" w:cs="Arial"/>
          <w:sz w:val="24"/>
          <w:szCs w:val="24"/>
        </w:rPr>
      </w:pPr>
      <w:r w:rsidRPr="00B80865">
        <w:rPr>
          <w:rFonts w:ascii="Arial" w:hAnsi="Arial" w:cs="Arial"/>
          <w:sz w:val="24"/>
          <w:szCs w:val="24"/>
        </w:rPr>
        <w:t>(e)</w:t>
      </w:r>
      <w:r w:rsidRPr="00B80865">
        <w:rPr>
          <w:rFonts w:ascii="Arial" w:hAnsi="Arial" w:cs="Arial"/>
          <w:sz w:val="24"/>
          <w:szCs w:val="24"/>
        </w:rPr>
        <w:tab/>
      </w:r>
      <w:r w:rsidR="00B80865" w:rsidRPr="00B80865">
        <w:rPr>
          <w:rFonts w:ascii="Arial" w:hAnsi="Arial" w:cs="Arial"/>
          <w:sz w:val="24"/>
          <w:szCs w:val="24"/>
        </w:rPr>
        <w:t xml:space="preserve">that </w:t>
      </w:r>
      <w:r w:rsidR="005501B1" w:rsidRPr="00B80865">
        <w:rPr>
          <w:rFonts w:ascii="Arial" w:hAnsi="Arial" w:cs="Arial"/>
          <w:sz w:val="24"/>
          <w:szCs w:val="24"/>
        </w:rPr>
        <w:t xml:space="preserve">an order </w:t>
      </w:r>
      <w:r w:rsidR="00B80865" w:rsidRPr="00B80865">
        <w:rPr>
          <w:rFonts w:ascii="Arial" w:hAnsi="Arial" w:cs="Arial"/>
          <w:sz w:val="24"/>
          <w:szCs w:val="24"/>
        </w:rPr>
        <w:t xml:space="preserve">is sought </w:t>
      </w:r>
      <w:r w:rsidR="005501B1" w:rsidRPr="00B80865">
        <w:rPr>
          <w:rFonts w:ascii="Arial" w:hAnsi="Arial" w:cs="Arial"/>
          <w:sz w:val="24"/>
          <w:szCs w:val="24"/>
        </w:rPr>
        <w:t>that the judgment obtained against them was without a proper mandate in as much as there was no power of attorney and authorising resolution on the High Court file</w:t>
      </w:r>
      <w:r w:rsidR="00B80865" w:rsidRPr="00B80865">
        <w:rPr>
          <w:rFonts w:ascii="Arial" w:hAnsi="Arial" w:cs="Arial"/>
          <w:sz w:val="24"/>
          <w:szCs w:val="24"/>
        </w:rPr>
        <w:t xml:space="preserve"> with</w:t>
      </w:r>
      <w:r w:rsidR="00B80865">
        <w:rPr>
          <w:rFonts w:ascii="Arial" w:hAnsi="Arial" w:cs="Arial"/>
          <w:sz w:val="24"/>
          <w:szCs w:val="24"/>
        </w:rPr>
        <w:t xml:space="preserve"> r</w:t>
      </w:r>
      <w:r w:rsidR="005501B1" w:rsidRPr="00B80865">
        <w:rPr>
          <w:rFonts w:ascii="Arial" w:hAnsi="Arial" w:cs="Arial"/>
          <w:sz w:val="24"/>
          <w:szCs w:val="24"/>
        </w:rPr>
        <w:t xml:space="preserve">eference to </w:t>
      </w:r>
      <w:r w:rsidR="005501B1" w:rsidRPr="00B80865">
        <w:rPr>
          <w:rFonts w:ascii="Arial" w:hAnsi="Arial" w:cs="Arial"/>
          <w:i/>
          <w:sz w:val="24"/>
          <w:szCs w:val="24"/>
        </w:rPr>
        <w:t>Christian</w:t>
      </w:r>
      <w:r w:rsidR="003A5EF2">
        <w:rPr>
          <w:rFonts w:ascii="Arial" w:hAnsi="Arial" w:cs="Arial"/>
          <w:i/>
          <w:sz w:val="24"/>
          <w:szCs w:val="24"/>
        </w:rPr>
        <w:t xml:space="preserve"> t/a Hope Financial Services</w:t>
      </w:r>
      <w:r w:rsidR="005501B1" w:rsidRPr="00B80865">
        <w:rPr>
          <w:rFonts w:ascii="Arial" w:hAnsi="Arial" w:cs="Arial"/>
          <w:i/>
          <w:sz w:val="24"/>
          <w:szCs w:val="24"/>
        </w:rPr>
        <w:t xml:space="preserve"> v Namibia Financial Institutions Supervisory Authority </w:t>
      </w:r>
      <w:r w:rsidR="005501B1" w:rsidRPr="00B80865">
        <w:rPr>
          <w:rFonts w:ascii="Arial" w:hAnsi="Arial" w:cs="Arial"/>
          <w:sz w:val="24"/>
          <w:szCs w:val="24"/>
        </w:rPr>
        <w:t xml:space="preserve">(SCR 1/2008 and SA 32/2016) </w:t>
      </w:r>
      <w:r w:rsidR="00EF501A" w:rsidRPr="00B80865">
        <w:rPr>
          <w:rFonts w:ascii="Arial" w:hAnsi="Arial" w:cs="Arial"/>
          <w:sz w:val="24"/>
          <w:szCs w:val="24"/>
        </w:rPr>
        <w:t>in support of</w:t>
      </w:r>
      <w:r w:rsidR="005501B1" w:rsidRPr="00B80865">
        <w:rPr>
          <w:rFonts w:ascii="Arial" w:hAnsi="Arial" w:cs="Arial"/>
          <w:sz w:val="24"/>
          <w:szCs w:val="24"/>
        </w:rPr>
        <w:t xml:space="preserve"> such </w:t>
      </w:r>
      <w:r w:rsidR="00EF501A" w:rsidRPr="00B80865">
        <w:rPr>
          <w:rFonts w:ascii="Arial" w:hAnsi="Arial" w:cs="Arial"/>
          <w:sz w:val="24"/>
          <w:szCs w:val="24"/>
        </w:rPr>
        <w:t>submission</w:t>
      </w:r>
      <w:r w:rsidR="005501B1" w:rsidRPr="00B80865">
        <w:rPr>
          <w:rFonts w:ascii="Arial" w:hAnsi="Arial" w:cs="Arial"/>
          <w:sz w:val="24"/>
          <w:szCs w:val="24"/>
        </w:rPr>
        <w:t>;</w:t>
      </w:r>
    </w:p>
    <w:p w:rsidR="005501B1" w:rsidRPr="005501B1" w:rsidRDefault="00C979E0" w:rsidP="00C979E0">
      <w:pPr>
        <w:pStyle w:val="NoSpacing"/>
        <w:spacing w:line="480" w:lineRule="auto"/>
        <w:ind w:left="1134" w:hanging="414"/>
        <w:jc w:val="both"/>
        <w:rPr>
          <w:rFonts w:ascii="Arial" w:hAnsi="Arial" w:cs="Arial"/>
          <w:sz w:val="24"/>
          <w:szCs w:val="24"/>
        </w:rPr>
      </w:pPr>
      <w:r w:rsidRPr="005501B1">
        <w:rPr>
          <w:rFonts w:ascii="Arial" w:hAnsi="Arial" w:cs="Arial"/>
          <w:sz w:val="24"/>
          <w:szCs w:val="24"/>
        </w:rPr>
        <w:t>(f)</w:t>
      </w:r>
      <w:r w:rsidRPr="005501B1">
        <w:rPr>
          <w:rFonts w:ascii="Arial" w:hAnsi="Arial" w:cs="Arial"/>
          <w:sz w:val="24"/>
          <w:szCs w:val="24"/>
        </w:rPr>
        <w:tab/>
      </w:r>
      <w:r w:rsidR="00B80865">
        <w:rPr>
          <w:rFonts w:ascii="Arial" w:hAnsi="Arial" w:cs="Arial"/>
          <w:sz w:val="24"/>
          <w:szCs w:val="24"/>
        </w:rPr>
        <w:t>when</w:t>
      </w:r>
      <w:r w:rsidR="005501B1">
        <w:rPr>
          <w:rFonts w:ascii="Arial" w:hAnsi="Arial" w:cs="Arial"/>
          <w:sz w:val="24"/>
          <w:szCs w:val="24"/>
        </w:rPr>
        <w:t xml:space="preserve"> the app</w:t>
      </w:r>
      <w:r w:rsidR="00D30E05">
        <w:rPr>
          <w:rFonts w:ascii="Arial" w:hAnsi="Arial" w:cs="Arial"/>
          <w:sz w:val="24"/>
          <w:szCs w:val="24"/>
        </w:rPr>
        <w:t>ell</w:t>
      </w:r>
      <w:r w:rsidR="005501B1">
        <w:rPr>
          <w:rFonts w:ascii="Arial" w:hAnsi="Arial" w:cs="Arial"/>
          <w:sz w:val="24"/>
          <w:szCs w:val="24"/>
        </w:rPr>
        <w:t xml:space="preserve">ants’ notice of appeal </w:t>
      </w:r>
      <w:r w:rsidR="00EF501A">
        <w:rPr>
          <w:rFonts w:ascii="Arial" w:hAnsi="Arial" w:cs="Arial"/>
          <w:sz w:val="24"/>
          <w:szCs w:val="24"/>
        </w:rPr>
        <w:t xml:space="preserve">was </w:t>
      </w:r>
      <w:r w:rsidR="005501B1">
        <w:rPr>
          <w:rFonts w:ascii="Arial" w:hAnsi="Arial" w:cs="Arial"/>
          <w:sz w:val="24"/>
          <w:szCs w:val="24"/>
        </w:rPr>
        <w:t>lodged.</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501B1">
        <w:rPr>
          <w:rFonts w:ascii="Arial" w:hAnsi="Arial" w:cs="Arial"/>
          <w:sz w:val="24"/>
          <w:szCs w:val="24"/>
        </w:rPr>
        <w:t>The notices of appeal are, save for references to the date</w:t>
      </w:r>
      <w:r w:rsidR="00EF501A">
        <w:rPr>
          <w:rFonts w:ascii="Arial" w:hAnsi="Arial" w:cs="Arial"/>
          <w:sz w:val="24"/>
          <w:szCs w:val="24"/>
        </w:rPr>
        <w:t>(s)</w:t>
      </w:r>
      <w:r w:rsidR="005501B1">
        <w:rPr>
          <w:rFonts w:ascii="Arial" w:hAnsi="Arial" w:cs="Arial"/>
          <w:sz w:val="24"/>
          <w:szCs w:val="24"/>
        </w:rPr>
        <w:t xml:space="preserve"> of judgment</w:t>
      </w:r>
      <w:r w:rsidR="00EF501A">
        <w:rPr>
          <w:rFonts w:ascii="Arial" w:hAnsi="Arial" w:cs="Arial"/>
          <w:sz w:val="24"/>
          <w:szCs w:val="24"/>
        </w:rPr>
        <w:t>(s)</w:t>
      </w:r>
      <w:r w:rsidR="005501B1">
        <w:rPr>
          <w:rFonts w:ascii="Arial" w:hAnsi="Arial" w:cs="Arial"/>
          <w:sz w:val="24"/>
          <w:szCs w:val="24"/>
        </w:rPr>
        <w:t xml:space="preserve"> which </w:t>
      </w:r>
      <w:r w:rsidR="00EF501A">
        <w:rPr>
          <w:rFonts w:ascii="Arial" w:hAnsi="Arial" w:cs="Arial"/>
          <w:sz w:val="24"/>
          <w:szCs w:val="24"/>
        </w:rPr>
        <w:t>are</w:t>
      </w:r>
      <w:r w:rsidR="005501B1">
        <w:rPr>
          <w:rFonts w:ascii="Arial" w:hAnsi="Arial" w:cs="Arial"/>
          <w:sz w:val="24"/>
          <w:szCs w:val="24"/>
        </w:rPr>
        <w:t xml:space="preserve"> personalised, cast in similar terms. The first three grounds are identical </w:t>
      </w:r>
      <w:r w:rsidR="00B80865">
        <w:rPr>
          <w:rFonts w:ascii="Arial" w:hAnsi="Arial" w:cs="Arial"/>
          <w:sz w:val="24"/>
          <w:szCs w:val="24"/>
        </w:rPr>
        <w:t xml:space="preserve">in each notice </w:t>
      </w:r>
      <w:r w:rsidR="005501B1">
        <w:rPr>
          <w:rFonts w:ascii="Arial" w:hAnsi="Arial" w:cs="Arial"/>
          <w:sz w:val="24"/>
          <w:szCs w:val="24"/>
        </w:rPr>
        <w:t>and read:</w:t>
      </w:r>
    </w:p>
    <w:p w:rsidR="00C62F2E" w:rsidRDefault="00C62F2E" w:rsidP="00637BD3">
      <w:pPr>
        <w:pStyle w:val="ListParagraph"/>
        <w:spacing w:after="0" w:line="360" w:lineRule="auto"/>
        <w:rPr>
          <w:rFonts w:ascii="Arial" w:hAnsi="Arial" w:cs="Arial"/>
          <w:sz w:val="24"/>
          <w:szCs w:val="24"/>
        </w:rPr>
      </w:pPr>
    </w:p>
    <w:p w:rsidR="00C62F2E" w:rsidRPr="005501B1" w:rsidRDefault="005501B1" w:rsidP="005501B1">
      <w:pPr>
        <w:pStyle w:val="NoSpacing"/>
        <w:spacing w:line="360" w:lineRule="auto"/>
        <w:ind w:left="720"/>
        <w:jc w:val="both"/>
        <w:rPr>
          <w:rFonts w:ascii="Arial" w:hAnsi="Arial" w:cs="Arial"/>
        </w:rPr>
      </w:pPr>
      <w:r w:rsidRPr="005501B1">
        <w:rPr>
          <w:rFonts w:ascii="Arial" w:hAnsi="Arial" w:cs="Arial"/>
        </w:rPr>
        <w:t>‘1.</w:t>
      </w:r>
      <w:r w:rsidRPr="005501B1">
        <w:rPr>
          <w:rFonts w:ascii="Arial" w:hAnsi="Arial" w:cs="Arial"/>
        </w:rPr>
        <w:tab/>
        <w:t>Condoning non-compliance with the Rules of this Honourable Court;</w:t>
      </w:r>
    </w:p>
    <w:p w:rsidR="005501B1" w:rsidRPr="005501B1" w:rsidRDefault="005501B1" w:rsidP="005501B1">
      <w:pPr>
        <w:pStyle w:val="NoSpacing"/>
        <w:spacing w:line="360" w:lineRule="auto"/>
        <w:ind w:left="1440" w:hanging="720"/>
        <w:jc w:val="both"/>
        <w:rPr>
          <w:rFonts w:ascii="Arial" w:hAnsi="Arial" w:cs="Arial"/>
        </w:rPr>
      </w:pPr>
      <w:r w:rsidRPr="005501B1">
        <w:rPr>
          <w:rFonts w:ascii="Arial" w:hAnsi="Arial" w:cs="Arial"/>
        </w:rPr>
        <w:t>2.</w:t>
      </w:r>
      <w:r w:rsidRPr="005501B1">
        <w:rPr>
          <w:rFonts w:ascii="Arial" w:hAnsi="Arial" w:cs="Arial"/>
        </w:rPr>
        <w:tab/>
        <w:t>That the judgment is an infringement of the Appellants/Defendants constitutional right to fair trial in terms of Article 12 of the Constitution;</w:t>
      </w:r>
    </w:p>
    <w:p w:rsidR="005501B1" w:rsidRDefault="005501B1" w:rsidP="005501B1">
      <w:pPr>
        <w:pStyle w:val="NoSpacing"/>
        <w:spacing w:line="360" w:lineRule="auto"/>
        <w:ind w:left="1440" w:hanging="720"/>
        <w:jc w:val="both"/>
        <w:rPr>
          <w:rFonts w:ascii="Arial" w:hAnsi="Arial" w:cs="Arial"/>
          <w:sz w:val="24"/>
          <w:szCs w:val="24"/>
        </w:rPr>
      </w:pPr>
      <w:r w:rsidRPr="005501B1">
        <w:rPr>
          <w:rFonts w:ascii="Arial" w:hAnsi="Arial" w:cs="Arial"/>
        </w:rPr>
        <w:t>3.</w:t>
      </w:r>
      <w:r w:rsidRPr="005501B1">
        <w:rPr>
          <w:rFonts w:ascii="Arial" w:hAnsi="Arial" w:cs="Arial"/>
        </w:rPr>
        <w:tab/>
        <w:t>That the judgment is an infringement in terms of (The International Bill of Human Rights) Universal Declaration of Human Rights “no one shall be arbitrarily deprived of his/her property, everyone has the right to own property” in terms of Article 17 of the said declaration.’</w:t>
      </w:r>
    </w:p>
    <w:p w:rsidR="00C62F2E" w:rsidRDefault="00C62F2E" w:rsidP="00637BD3">
      <w:pPr>
        <w:pStyle w:val="ListParagraph"/>
        <w:spacing w:after="0" w:line="360" w:lineRule="auto"/>
        <w:rPr>
          <w:rFonts w:ascii="Arial" w:hAnsi="Arial" w:cs="Arial"/>
          <w:sz w:val="24"/>
          <w:szCs w:val="24"/>
        </w:rPr>
      </w:pPr>
    </w:p>
    <w:p w:rsidR="006306C1" w:rsidRPr="006306C1" w:rsidRDefault="00C979E0" w:rsidP="00C979E0">
      <w:pPr>
        <w:pStyle w:val="NoSpacing"/>
        <w:spacing w:line="480" w:lineRule="auto"/>
        <w:jc w:val="both"/>
        <w:rPr>
          <w:rFonts w:ascii="Arial" w:hAnsi="Arial" w:cs="Arial"/>
          <w:sz w:val="24"/>
          <w:szCs w:val="24"/>
        </w:rPr>
      </w:pPr>
      <w:r w:rsidRPr="006306C1">
        <w:rPr>
          <w:rFonts w:ascii="Arial" w:hAnsi="Arial" w:cs="Arial"/>
          <w:sz w:val="24"/>
          <w:szCs w:val="24"/>
        </w:rPr>
        <w:t>[6]</w:t>
      </w:r>
      <w:r w:rsidRPr="006306C1">
        <w:rPr>
          <w:rFonts w:ascii="Arial" w:hAnsi="Arial" w:cs="Arial"/>
          <w:sz w:val="24"/>
          <w:szCs w:val="24"/>
        </w:rPr>
        <w:tab/>
      </w:r>
      <w:r w:rsidR="005501B1">
        <w:rPr>
          <w:rFonts w:ascii="Arial" w:hAnsi="Arial" w:cs="Arial"/>
          <w:sz w:val="24"/>
          <w:szCs w:val="24"/>
        </w:rPr>
        <w:t>In the fourth ground of the appeal, reference is made to the date upon which the respective app</w:t>
      </w:r>
      <w:r w:rsidR="00D30E05">
        <w:rPr>
          <w:rFonts w:ascii="Arial" w:hAnsi="Arial" w:cs="Arial"/>
          <w:sz w:val="24"/>
          <w:szCs w:val="24"/>
        </w:rPr>
        <w:t>ellant</w:t>
      </w:r>
      <w:r w:rsidR="005501B1">
        <w:rPr>
          <w:rFonts w:ascii="Arial" w:hAnsi="Arial" w:cs="Arial"/>
          <w:sz w:val="24"/>
          <w:szCs w:val="24"/>
        </w:rPr>
        <w:t xml:space="preserve">s became aware of the granting of </w:t>
      </w:r>
      <w:r w:rsidR="006306C1">
        <w:rPr>
          <w:rFonts w:ascii="Arial" w:hAnsi="Arial" w:cs="Arial"/>
          <w:sz w:val="24"/>
          <w:szCs w:val="24"/>
        </w:rPr>
        <w:t>the court order. Paragraph 5 in each instance states that the respective app</w:t>
      </w:r>
      <w:r w:rsidR="00D30E05">
        <w:rPr>
          <w:rFonts w:ascii="Arial" w:hAnsi="Arial" w:cs="Arial"/>
          <w:sz w:val="24"/>
          <w:szCs w:val="24"/>
        </w:rPr>
        <w:t>ell</w:t>
      </w:r>
      <w:r w:rsidR="006306C1">
        <w:rPr>
          <w:rFonts w:ascii="Arial" w:hAnsi="Arial" w:cs="Arial"/>
          <w:sz w:val="24"/>
          <w:szCs w:val="24"/>
        </w:rPr>
        <w:t>ants approach</w:t>
      </w:r>
      <w:r w:rsidR="00EF501A">
        <w:rPr>
          <w:rFonts w:ascii="Arial" w:hAnsi="Arial" w:cs="Arial"/>
          <w:sz w:val="24"/>
          <w:szCs w:val="24"/>
        </w:rPr>
        <w:t>ed</w:t>
      </w:r>
      <w:r w:rsidR="006306C1">
        <w:rPr>
          <w:rFonts w:ascii="Arial" w:hAnsi="Arial" w:cs="Arial"/>
          <w:sz w:val="24"/>
          <w:szCs w:val="24"/>
        </w:rPr>
        <w:t xml:space="preserve"> the plaintiffs</w:t>
      </w:r>
      <w:r w:rsidR="00B0498F">
        <w:rPr>
          <w:rFonts w:ascii="Arial" w:hAnsi="Arial" w:cs="Arial"/>
          <w:sz w:val="24"/>
          <w:szCs w:val="24"/>
        </w:rPr>
        <w:t xml:space="preserve"> (respondents in these matters)</w:t>
      </w:r>
      <w:r w:rsidR="006306C1">
        <w:rPr>
          <w:rFonts w:ascii="Arial" w:hAnsi="Arial" w:cs="Arial"/>
          <w:sz w:val="24"/>
          <w:szCs w:val="24"/>
        </w:rPr>
        <w:t xml:space="preserve"> with a view to settle the outstanding debt and</w:t>
      </w:r>
      <w:r w:rsidR="00B80865">
        <w:rPr>
          <w:rFonts w:ascii="Arial" w:hAnsi="Arial" w:cs="Arial"/>
          <w:sz w:val="24"/>
          <w:szCs w:val="24"/>
        </w:rPr>
        <w:t>, where applicable,</w:t>
      </w:r>
      <w:r w:rsidR="006306C1">
        <w:rPr>
          <w:rFonts w:ascii="Arial" w:hAnsi="Arial" w:cs="Arial"/>
          <w:sz w:val="24"/>
          <w:szCs w:val="24"/>
        </w:rPr>
        <w:t xml:space="preserve"> refers to further payments made. Paragraph 6 acknowledges the need to file a notice of appeal within 21 days under rule 7 of the rules of this court.</w:t>
      </w:r>
    </w:p>
    <w:p w:rsidR="00C62F2E" w:rsidRDefault="00C62F2E" w:rsidP="00637BD3">
      <w:pPr>
        <w:pStyle w:val="ListParagraph"/>
        <w:spacing w:after="0"/>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6306C1">
        <w:rPr>
          <w:rFonts w:ascii="Arial" w:hAnsi="Arial" w:cs="Arial"/>
          <w:sz w:val="24"/>
          <w:szCs w:val="24"/>
        </w:rPr>
        <w:t xml:space="preserve">Paragraph 7 refers to the firm of legal practitioners acting </w:t>
      </w:r>
      <w:r w:rsidR="00EF501A">
        <w:rPr>
          <w:rFonts w:ascii="Arial" w:hAnsi="Arial" w:cs="Arial"/>
          <w:sz w:val="24"/>
          <w:szCs w:val="24"/>
        </w:rPr>
        <w:t>for</w:t>
      </w:r>
      <w:r w:rsidR="006306C1">
        <w:rPr>
          <w:rFonts w:ascii="Arial" w:hAnsi="Arial" w:cs="Arial"/>
          <w:sz w:val="24"/>
          <w:szCs w:val="24"/>
        </w:rPr>
        <w:t xml:space="preserve"> the respective plaintiff</w:t>
      </w:r>
      <w:r w:rsidR="00EF501A">
        <w:rPr>
          <w:rFonts w:ascii="Arial" w:hAnsi="Arial" w:cs="Arial"/>
          <w:sz w:val="24"/>
          <w:szCs w:val="24"/>
        </w:rPr>
        <w:t>/judgment creditor (respondent)</w:t>
      </w:r>
      <w:r w:rsidR="006306C1">
        <w:rPr>
          <w:rFonts w:ascii="Arial" w:hAnsi="Arial" w:cs="Arial"/>
          <w:sz w:val="24"/>
          <w:szCs w:val="24"/>
        </w:rPr>
        <w:t xml:space="preserve"> and proceeds to contend that the firm in question lack</w:t>
      </w:r>
      <w:r w:rsidR="00EF501A">
        <w:rPr>
          <w:rFonts w:ascii="Arial" w:hAnsi="Arial" w:cs="Arial"/>
          <w:sz w:val="24"/>
          <w:szCs w:val="24"/>
        </w:rPr>
        <w:t>s</w:t>
      </w:r>
      <w:r w:rsidR="006306C1">
        <w:rPr>
          <w:rFonts w:ascii="Arial" w:hAnsi="Arial" w:cs="Arial"/>
          <w:sz w:val="24"/>
          <w:szCs w:val="24"/>
        </w:rPr>
        <w:t xml:space="preserve"> authority to institute and prosecute the proceedings on behalf of</w:t>
      </w:r>
      <w:r w:rsidR="00EF501A">
        <w:rPr>
          <w:rFonts w:ascii="Arial" w:hAnsi="Arial" w:cs="Arial"/>
          <w:sz w:val="24"/>
          <w:szCs w:val="24"/>
        </w:rPr>
        <w:t xml:space="preserve"> that r</w:t>
      </w:r>
      <w:r w:rsidR="006306C1">
        <w:rPr>
          <w:rFonts w:ascii="Arial" w:hAnsi="Arial" w:cs="Arial"/>
          <w:sz w:val="24"/>
          <w:szCs w:val="24"/>
        </w:rPr>
        <w:t>espondent in the High Court</w:t>
      </w:r>
      <w:r w:rsidR="00EF501A">
        <w:rPr>
          <w:rFonts w:ascii="Arial" w:hAnsi="Arial" w:cs="Arial"/>
          <w:sz w:val="24"/>
          <w:szCs w:val="24"/>
        </w:rPr>
        <w:t xml:space="preserve"> and also contends that where the</w:t>
      </w:r>
      <w:r w:rsidR="006306C1">
        <w:rPr>
          <w:rFonts w:ascii="Arial" w:hAnsi="Arial" w:cs="Arial"/>
          <w:sz w:val="24"/>
          <w:szCs w:val="24"/>
        </w:rPr>
        <w:t xml:space="preserve"> </w:t>
      </w:r>
      <w:r w:rsidR="00EF501A">
        <w:rPr>
          <w:rFonts w:ascii="Arial" w:hAnsi="Arial" w:cs="Arial"/>
          <w:sz w:val="24"/>
          <w:szCs w:val="24"/>
        </w:rPr>
        <w:t>r</w:t>
      </w:r>
      <w:r w:rsidR="006306C1">
        <w:rPr>
          <w:rFonts w:ascii="Arial" w:hAnsi="Arial" w:cs="Arial"/>
          <w:sz w:val="24"/>
          <w:szCs w:val="24"/>
        </w:rPr>
        <w:t>espondent is</w:t>
      </w:r>
      <w:r w:rsidR="00EF501A">
        <w:rPr>
          <w:rFonts w:ascii="Arial" w:hAnsi="Arial" w:cs="Arial"/>
          <w:sz w:val="24"/>
          <w:szCs w:val="24"/>
        </w:rPr>
        <w:t xml:space="preserve"> an</w:t>
      </w:r>
      <w:r w:rsidR="006306C1">
        <w:rPr>
          <w:rFonts w:ascii="Arial" w:hAnsi="Arial" w:cs="Arial"/>
          <w:sz w:val="24"/>
          <w:szCs w:val="24"/>
        </w:rPr>
        <w:t xml:space="preserve"> artificial person or </w:t>
      </w:r>
      <w:r w:rsidR="00EF501A">
        <w:rPr>
          <w:rFonts w:ascii="Arial" w:hAnsi="Arial" w:cs="Arial"/>
          <w:sz w:val="24"/>
          <w:szCs w:val="24"/>
        </w:rPr>
        <w:t>‘</w:t>
      </w:r>
      <w:r w:rsidR="006306C1">
        <w:rPr>
          <w:rFonts w:ascii="Arial" w:hAnsi="Arial" w:cs="Arial"/>
          <w:sz w:val="24"/>
          <w:szCs w:val="24"/>
        </w:rPr>
        <w:t>Proprietary Limited or Company</w:t>
      </w:r>
      <w:r w:rsidR="00EF501A">
        <w:rPr>
          <w:rFonts w:ascii="Arial" w:hAnsi="Arial" w:cs="Arial"/>
          <w:sz w:val="24"/>
          <w:szCs w:val="24"/>
        </w:rPr>
        <w:t>’, that</w:t>
      </w:r>
      <w:r w:rsidR="006306C1">
        <w:rPr>
          <w:rFonts w:ascii="Arial" w:hAnsi="Arial" w:cs="Arial"/>
          <w:sz w:val="24"/>
          <w:szCs w:val="24"/>
        </w:rPr>
        <w:t xml:space="preserve"> there is </w:t>
      </w:r>
      <w:r w:rsidR="00EF501A">
        <w:rPr>
          <w:rFonts w:ascii="Arial" w:hAnsi="Arial" w:cs="Arial"/>
          <w:sz w:val="24"/>
          <w:szCs w:val="24"/>
        </w:rPr>
        <w:t>‘</w:t>
      </w:r>
      <w:r w:rsidR="006306C1">
        <w:rPr>
          <w:rFonts w:ascii="Arial" w:hAnsi="Arial" w:cs="Arial"/>
          <w:sz w:val="24"/>
          <w:szCs w:val="24"/>
        </w:rPr>
        <w:t>no evidence in the Court file that the above-named legal practitioners were duly authorised when they instituted the proceedings in the High Court to represent the Respondent herein or without a proper mandate</w:t>
      </w:r>
      <w:r w:rsidR="00EF501A">
        <w:rPr>
          <w:rFonts w:ascii="Arial" w:hAnsi="Arial" w:cs="Arial"/>
          <w:sz w:val="24"/>
          <w:szCs w:val="24"/>
        </w:rPr>
        <w:t>’.</w:t>
      </w:r>
      <w:r w:rsidR="006306C1">
        <w:rPr>
          <w:rFonts w:ascii="Arial" w:hAnsi="Arial" w:cs="Arial"/>
          <w:sz w:val="24"/>
          <w:szCs w:val="24"/>
        </w:rPr>
        <w:t xml:space="preserve"> Refer</w:t>
      </w:r>
      <w:r w:rsidR="00EF501A">
        <w:rPr>
          <w:rFonts w:ascii="Arial" w:hAnsi="Arial" w:cs="Arial"/>
          <w:sz w:val="24"/>
          <w:szCs w:val="24"/>
        </w:rPr>
        <w:t xml:space="preserve">ence is </w:t>
      </w:r>
      <w:r w:rsidR="00B80865">
        <w:rPr>
          <w:rFonts w:ascii="Arial" w:hAnsi="Arial" w:cs="Arial"/>
          <w:sz w:val="24"/>
          <w:szCs w:val="24"/>
        </w:rPr>
        <w:t xml:space="preserve">again </w:t>
      </w:r>
      <w:r w:rsidR="00EF501A">
        <w:rPr>
          <w:rFonts w:ascii="Arial" w:hAnsi="Arial" w:cs="Arial"/>
          <w:sz w:val="24"/>
          <w:szCs w:val="24"/>
        </w:rPr>
        <w:t>made to</w:t>
      </w:r>
      <w:r w:rsidR="006306C1">
        <w:rPr>
          <w:rFonts w:ascii="Arial" w:hAnsi="Arial" w:cs="Arial"/>
          <w:sz w:val="24"/>
          <w:szCs w:val="24"/>
        </w:rPr>
        <w:t xml:space="preserve"> </w:t>
      </w:r>
      <w:r w:rsidR="006306C1">
        <w:rPr>
          <w:rFonts w:ascii="Arial" w:hAnsi="Arial" w:cs="Arial"/>
          <w:i/>
          <w:sz w:val="24"/>
          <w:szCs w:val="24"/>
        </w:rPr>
        <w:t xml:space="preserve">Christian t/a Hope Financial Services v Namibia Financial Institutions Supervisory Authority, </w:t>
      </w:r>
      <w:r w:rsidR="006306C1">
        <w:rPr>
          <w:rFonts w:ascii="Arial" w:hAnsi="Arial" w:cs="Arial"/>
          <w:sz w:val="24"/>
          <w:szCs w:val="24"/>
        </w:rPr>
        <w:t>Case Number: SCR 1/2008 and SA 32/2016</w:t>
      </w:r>
      <w:r w:rsidR="00B80865">
        <w:rPr>
          <w:rFonts w:ascii="Arial" w:hAnsi="Arial" w:cs="Arial"/>
          <w:sz w:val="24"/>
          <w:szCs w:val="24"/>
        </w:rPr>
        <w:t>.</w:t>
      </w:r>
      <w:r w:rsidR="006306C1">
        <w:rPr>
          <w:rFonts w:ascii="Arial" w:hAnsi="Arial" w:cs="Arial"/>
          <w:sz w:val="24"/>
          <w:szCs w:val="24"/>
        </w:rPr>
        <w:t xml:space="preserve"> </w:t>
      </w:r>
      <w:r w:rsidR="00B80865">
        <w:rPr>
          <w:rFonts w:ascii="Arial" w:hAnsi="Arial" w:cs="Arial"/>
          <w:sz w:val="24"/>
          <w:szCs w:val="24"/>
        </w:rPr>
        <w:t>P</w:t>
      </w:r>
      <w:r w:rsidR="002C38D2">
        <w:rPr>
          <w:rFonts w:ascii="Arial" w:hAnsi="Arial" w:cs="Arial"/>
          <w:sz w:val="24"/>
          <w:szCs w:val="24"/>
        </w:rPr>
        <w:t xml:space="preserve">aragraph 8 </w:t>
      </w:r>
      <w:r w:rsidR="00EF501A">
        <w:rPr>
          <w:rFonts w:ascii="Arial" w:hAnsi="Arial" w:cs="Arial"/>
          <w:sz w:val="24"/>
          <w:szCs w:val="24"/>
        </w:rPr>
        <w:t>of the notice of appeal then follows, stating</w:t>
      </w:r>
      <w:r w:rsidR="002C38D2">
        <w:rPr>
          <w:rFonts w:ascii="Arial" w:hAnsi="Arial" w:cs="Arial"/>
          <w:sz w:val="24"/>
          <w:szCs w:val="24"/>
        </w:rPr>
        <w:t>:</w:t>
      </w:r>
    </w:p>
    <w:p w:rsidR="002C38D2" w:rsidRDefault="002C38D2" w:rsidP="002C38D2">
      <w:pPr>
        <w:pStyle w:val="ListParagraph"/>
        <w:rPr>
          <w:rFonts w:ascii="Arial" w:hAnsi="Arial" w:cs="Arial"/>
          <w:sz w:val="24"/>
          <w:szCs w:val="24"/>
        </w:rPr>
      </w:pPr>
    </w:p>
    <w:p w:rsidR="002C38D2" w:rsidRPr="002C38D2" w:rsidRDefault="002C38D2" w:rsidP="002C38D2">
      <w:pPr>
        <w:pStyle w:val="NoSpacing"/>
        <w:spacing w:line="360" w:lineRule="auto"/>
        <w:ind w:left="720"/>
        <w:jc w:val="both"/>
        <w:rPr>
          <w:rFonts w:ascii="Arial" w:hAnsi="Arial" w:cs="Arial"/>
        </w:rPr>
      </w:pPr>
      <w:r w:rsidRPr="002C38D2">
        <w:rPr>
          <w:rFonts w:ascii="Arial" w:hAnsi="Arial" w:cs="Arial"/>
        </w:rPr>
        <w:t>‘Whilst lawyers must act with honesty, integrity and candour and not mislead the court or abuse the court’s processes, we have it on good authority, the unprofessional, untoward and unethical conduct of the Plaintiffs legal practitioner as noted or stated later.’</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C38D2">
        <w:rPr>
          <w:rFonts w:ascii="Arial" w:hAnsi="Arial" w:cs="Arial"/>
          <w:sz w:val="24"/>
          <w:szCs w:val="24"/>
        </w:rPr>
        <w:t>The further paragraphs</w:t>
      </w:r>
      <w:r w:rsidR="00B80865" w:rsidRPr="00B80865">
        <w:rPr>
          <w:rFonts w:ascii="Arial" w:hAnsi="Arial" w:cs="Arial"/>
          <w:sz w:val="24"/>
          <w:szCs w:val="24"/>
        </w:rPr>
        <w:t xml:space="preserve"> </w:t>
      </w:r>
      <w:r w:rsidR="00B80865">
        <w:rPr>
          <w:rFonts w:ascii="Arial" w:hAnsi="Arial" w:cs="Arial"/>
          <w:sz w:val="24"/>
          <w:szCs w:val="24"/>
        </w:rPr>
        <w:t>of the notice</w:t>
      </w:r>
      <w:r w:rsidR="002C38D2">
        <w:rPr>
          <w:rFonts w:ascii="Arial" w:hAnsi="Arial" w:cs="Arial"/>
          <w:sz w:val="24"/>
          <w:szCs w:val="24"/>
        </w:rPr>
        <w:t xml:space="preserve"> </w:t>
      </w:r>
      <w:r w:rsidR="004D326A">
        <w:rPr>
          <w:rFonts w:ascii="Arial" w:hAnsi="Arial" w:cs="Arial"/>
          <w:sz w:val="24"/>
          <w:szCs w:val="24"/>
        </w:rPr>
        <w:t xml:space="preserve">of appeal </w:t>
      </w:r>
      <w:r w:rsidR="002C38D2">
        <w:rPr>
          <w:rFonts w:ascii="Arial" w:hAnsi="Arial" w:cs="Arial"/>
          <w:sz w:val="24"/>
          <w:szCs w:val="24"/>
        </w:rPr>
        <w:t>attach</w:t>
      </w:r>
      <w:r w:rsidR="00B80865">
        <w:rPr>
          <w:rFonts w:ascii="Arial" w:hAnsi="Arial" w:cs="Arial"/>
          <w:sz w:val="24"/>
          <w:szCs w:val="24"/>
        </w:rPr>
        <w:t xml:space="preserve">, </w:t>
      </w:r>
      <w:r w:rsidR="002B3F7E">
        <w:rPr>
          <w:rFonts w:ascii="Arial" w:hAnsi="Arial" w:cs="Arial"/>
          <w:sz w:val="24"/>
          <w:szCs w:val="24"/>
        </w:rPr>
        <w:t>where applicable</w:t>
      </w:r>
      <w:r w:rsidR="00B80865">
        <w:rPr>
          <w:rFonts w:ascii="Arial" w:hAnsi="Arial" w:cs="Arial"/>
          <w:sz w:val="24"/>
          <w:szCs w:val="24"/>
        </w:rPr>
        <w:t>,</w:t>
      </w:r>
      <w:r w:rsidR="002C38D2">
        <w:rPr>
          <w:rFonts w:ascii="Arial" w:hAnsi="Arial" w:cs="Arial"/>
          <w:sz w:val="24"/>
          <w:szCs w:val="24"/>
        </w:rPr>
        <w:t xml:space="preserve"> the relevant writ and court order.</w:t>
      </w:r>
    </w:p>
    <w:p w:rsidR="002B3F7E" w:rsidRDefault="002B3F7E" w:rsidP="002B3F7E">
      <w:pPr>
        <w:pStyle w:val="NoSpacing"/>
        <w:spacing w:line="480" w:lineRule="auto"/>
        <w:jc w:val="both"/>
        <w:rPr>
          <w:rFonts w:ascii="Arial" w:hAnsi="Arial" w:cs="Arial"/>
          <w:sz w:val="24"/>
          <w:szCs w:val="24"/>
        </w:rPr>
      </w:pPr>
    </w:p>
    <w:p w:rsidR="00B80865" w:rsidRDefault="00C979E0" w:rsidP="00C979E0">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B3F7E">
        <w:rPr>
          <w:rFonts w:ascii="Arial" w:hAnsi="Arial" w:cs="Arial"/>
          <w:sz w:val="24"/>
          <w:szCs w:val="24"/>
        </w:rPr>
        <w:t xml:space="preserve">These </w:t>
      </w:r>
      <w:r w:rsidR="00B80865">
        <w:rPr>
          <w:rFonts w:ascii="Arial" w:hAnsi="Arial" w:cs="Arial"/>
          <w:sz w:val="24"/>
          <w:szCs w:val="24"/>
        </w:rPr>
        <w:t>averments</w:t>
      </w:r>
      <w:r w:rsidR="002B3F7E">
        <w:rPr>
          <w:rFonts w:ascii="Arial" w:hAnsi="Arial" w:cs="Arial"/>
          <w:sz w:val="24"/>
          <w:szCs w:val="24"/>
        </w:rPr>
        <w:t xml:space="preserve"> feature in each of these cases, save for case </w:t>
      </w:r>
      <w:r w:rsidR="00B80865">
        <w:rPr>
          <w:rFonts w:ascii="Arial" w:hAnsi="Arial" w:cs="Arial"/>
          <w:sz w:val="24"/>
          <w:szCs w:val="24"/>
        </w:rPr>
        <w:t>no</w:t>
      </w:r>
      <w:r w:rsidR="00B008BE">
        <w:rPr>
          <w:rFonts w:ascii="Arial" w:hAnsi="Arial" w:cs="Arial"/>
          <w:sz w:val="24"/>
          <w:szCs w:val="24"/>
        </w:rPr>
        <w:t>.</w:t>
      </w:r>
      <w:r w:rsidR="00B80865">
        <w:rPr>
          <w:rFonts w:ascii="Arial" w:hAnsi="Arial" w:cs="Arial"/>
          <w:sz w:val="24"/>
          <w:szCs w:val="24"/>
        </w:rPr>
        <w:t xml:space="preserve"> SA 47/2021 </w:t>
      </w:r>
      <w:r w:rsidR="002B3F7E">
        <w:rPr>
          <w:rFonts w:ascii="Arial" w:hAnsi="Arial" w:cs="Arial"/>
          <w:sz w:val="24"/>
          <w:szCs w:val="24"/>
        </w:rPr>
        <w:t xml:space="preserve">where the application to declare the immovable property is said to be </w:t>
      </w:r>
      <w:r w:rsidR="008F1CA4">
        <w:rPr>
          <w:rFonts w:ascii="Arial" w:hAnsi="Arial" w:cs="Arial"/>
          <w:sz w:val="24"/>
          <w:szCs w:val="24"/>
        </w:rPr>
        <w:t xml:space="preserve">in the process and </w:t>
      </w:r>
      <w:r w:rsidR="00B0498F">
        <w:rPr>
          <w:rFonts w:ascii="Arial" w:hAnsi="Arial" w:cs="Arial"/>
          <w:sz w:val="24"/>
          <w:szCs w:val="24"/>
        </w:rPr>
        <w:t xml:space="preserve">not </w:t>
      </w:r>
      <w:r w:rsidR="008F1CA4">
        <w:rPr>
          <w:rFonts w:ascii="Arial" w:hAnsi="Arial" w:cs="Arial"/>
          <w:sz w:val="24"/>
          <w:szCs w:val="24"/>
        </w:rPr>
        <w:t>yet finalised</w:t>
      </w:r>
      <w:r w:rsidR="002B3F7E">
        <w:rPr>
          <w:rFonts w:ascii="Arial" w:hAnsi="Arial" w:cs="Arial"/>
          <w:sz w:val="24"/>
          <w:szCs w:val="24"/>
        </w:rPr>
        <w:t xml:space="preserve">. </w:t>
      </w:r>
    </w:p>
    <w:p w:rsidR="00B80865" w:rsidRDefault="00B80865" w:rsidP="004D326A">
      <w:pPr>
        <w:pStyle w:val="ListParagraph"/>
        <w:spacing w:after="0" w:line="480" w:lineRule="auto"/>
        <w:rPr>
          <w:rFonts w:ascii="Arial" w:hAnsi="Arial" w:cs="Arial"/>
          <w:sz w:val="24"/>
          <w:szCs w:val="24"/>
        </w:rPr>
      </w:pPr>
    </w:p>
    <w:p w:rsidR="002B3F7E" w:rsidRDefault="00C979E0" w:rsidP="00C979E0">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B3F7E">
        <w:rPr>
          <w:rFonts w:ascii="Arial" w:hAnsi="Arial" w:cs="Arial"/>
          <w:sz w:val="24"/>
          <w:szCs w:val="24"/>
        </w:rPr>
        <w:t>I turn now to the individual case</w:t>
      </w:r>
      <w:r w:rsidR="00B80865">
        <w:rPr>
          <w:rFonts w:ascii="Arial" w:hAnsi="Arial" w:cs="Arial"/>
          <w:sz w:val="24"/>
          <w:szCs w:val="24"/>
        </w:rPr>
        <w:t>s</w:t>
      </w:r>
      <w:r w:rsidR="002B3F7E">
        <w:rPr>
          <w:rFonts w:ascii="Arial" w:hAnsi="Arial" w:cs="Arial"/>
          <w:sz w:val="24"/>
          <w:szCs w:val="24"/>
        </w:rPr>
        <w:t xml:space="preserve"> and the specific dates and further specific facts raised in opposing affidavits.</w:t>
      </w:r>
    </w:p>
    <w:p w:rsidR="002C38D2" w:rsidRPr="002C38D2" w:rsidRDefault="002C38D2" w:rsidP="002C38D2">
      <w:pPr>
        <w:rPr>
          <w:rFonts w:ascii="Arial" w:hAnsi="Arial" w:cs="Arial"/>
          <w:sz w:val="24"/>
          <w:szCs w:val="24"/>
          <w:u w:val="single"/>
        </w:rPr>
      </w:pPr>
      <w:r>
        <w:rPr>
          <w:rFonts w:ascii="Arial" w:hAnsi="Arial" w:cs="Arial"/>
          <w:sz w:val="24"/>
          <w:szCs w:val="24"/>
          <w:u w:val="single"/>
        </w:rPr>
        <w:t xml:space="preserve">Case </w:t>
      </w:r>
      <w:r w:rsidR="00B008BE">
        <w:rPr>
          <w:rFonts w:ascii="Arial" w:hAnsi="Arial" w:cs="Arial"/>
          <w:sz w:val="24"/>
          <w:szCs w:val="24"/>
          <w:u w:val="single"/>
        </w:rPr>
        <w:t xml:space="preserve">No. </w:t>
      </w:r>
      <w:r>
        <w:rPr>
          <w:rFonts w:ascii="Arial" w:hAnsi="Arial" w:cs="Arial"/>
          <w:sz w:val="24"/>
          <w:szCs w:val="24"/>
          <w:u w:val="single"/>
        </w:rPr>
        <w:t>SA 90/2020</w:t>
      </w:r>
    </w:p>
    <w:p w:rsidR="00B80865" w:rsidRDefault="00C979E0" w:rsidP="00C979E0">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C38D2">
        <w:rPr>
          <w:rFonts w:ascii="Arial" w:hAnsi="Arial" w:cs="Arial"/>
          <w:sz w:val="24"/>
          <w:szCs w:val="24"/>
        </w:rPr>
        <w:t>In case no</w:t>
      </w:r>
      <w:r w:rsidR="00B008BE">
        <w:rPr>
          <w:rFonts w:ascii="Arial" w:hAnsi="Arial" w:cs="Arial"/>
          <w:sz w:val="24"/>
          <w:szCs w:val="24"/>
        </w:rPr>
        <w:t>.</w:t>
      </w:r>
      <w:r w:rsidR="002C38D2">
        <w:rPr>
          <w:rFonts w:ascii="Arial" w:hAnsi="Arial" w:cs="Arial"/>
          <w:sz w:val="24"/>
          <w:szCs w:val="24"/>
        </w:rPr>
        <w:t xml:space="preserve"> SA 90/2020, judgment by default was granted on 24 March 2</w:t>
      </w:r>
      <w:r w:rsidR="00D30E05">
        <w:rPr>
          <w:rFonts w:ascii="Arial" w:hAnsi="Arial" w:cs="Arial"/>
          <w:sz w:val="24"/>
          <w:szCs w:val="24"/>
        </w:rPr>
        <w:t>020. On 1 October 2020, the appell</w:t>
      </w:r>
      <w:r w:rsidR="002C38D2">
        <w:rPr>
          <w:rFonts w:ascii="Arial" w:hAnsi="Arial" w:cs="Arial"/>
          <w:sz w:val="24"/>
          <w:szCs w:val="24"/>
        </w:rPr>
        <w:t>ants in th</w:t>
      </w:r>
      <w:r w:rsidR="00B80865">
        <w:rPr>
          <w:rFonts w:ascii="Arial" w:hAnsi="Arial" w:cs="Arial"/>
          <w:sz w:val="24"/>
          <w:szCs w:val="24"/>
        </w:rPr>
        <w:t>is</w:t>
      </w:r>
      <w:r w:rsidR="002C38D2">
        <w:rPr>
          <w:rFonts w:ascii="Arial" w:hAnsi="Arial" w:cs="Arial"/>
          <w:sz w:val="24"/>
          <w:szCs w:val="24"/>
        </w:rPr>
        <w:t xml:space="preserve"> matter lodged their notice of appeal together </w:t>
      </w:r>
      <w:r w:rsidR="002C38D2">
        <w:rPr>
          <w:rFonts w:ascii="Arial" w:hAnsi="Arial" w:cs="Arial"/>
          <w:sz w:val="24"/>
          <w:szCs w:val="24"/>
        </w:rPr>
        <w:lastRenderedPageBreak/>
        <w:t>with their condonation application. Despite the passage of more than a year</w:t>
      </w:r>
      <w:r w:rsidR="002B3F7E">
        <w:rPr>
          <w:rFonts w:ascii="Arial" w:hAnsi="Arial" w:cs="Arial"/>
          <w:sz w:val="24"/>
          <w:szCs w:val="24"/>
        </w:rPr>
        <w:t>,</w:t>
      </w:r>
      <w:r w:rsidR="002C38D2">
        <w:rPr>
          <w:rFonts w:ascii="Arial" w:hAnsi="Arial" w:cs="Arial"/>
          <w:sz w:val="24"/>
          <w:szCs w:val="24"/>
        </w:rPr>
        <w:t xml:space="preserve"> no record or security have been filed. </w:t>
      </w:r>
    </w:p>
    <w:p w:rsidR="00B80865" w:rsidRDefault="00B80865" w:rsidP="00B80865">
      <w:pPr>
        <w:pStyle w:val="NoSpacing"/>
        <w:spacing w:line="480" w:lineRule="auto"/>
        <w:jc w:val="bot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C38D2">
        <w:rPr>
          <w:rFonts w:ascii="Arial" w:hAnsi="Arial" w:cs="Arial"/>
          <w:sz w:val="24"/>
          <w:szCs w:val="24"/>
        </w:rPr>
        <w:t xml:space="preserve">The respondent cited in these proceedings filed an opposing affidavit to the condonation application. On 10 August 2021, the registrar informed the parties in this matter of the set down </w:t>
      </w:r>
      <w:r w:rsidR="003A5EF2">
        <w:rPr>
          <w:rFonts w:ascii="Arial" w:hAnsi="Arial" w:cs="Arial"/>
          <w:sz w:val="24"/>
          <w:szCs w:val="24"/>
        </w:rPr>
        <w:t xml:space="preserve">date </w:t>
      </w:r>
      <w:r w:rsidR="002C38D2">
        <w:rPr>
          <w:rFonts w:ascii="Arial" w:hAnsi="Arial" w:cs="Arial"/>
          <w:sz w:val="24"/>
          <w:szCs w:val="24"/>
        </w:rPr>
        <w:t>(5 October 2021).</w:t>
      </w:r>
    </w:p>
    <w:p w:rsidR="002B3F7E" w:rsidRDefault="002B3F7E" w:rsidP="002B3F7E">
      <w:pPr>
        <w:pStyle w:val="NoSpacing"/>
        <w:spacing w:line="480" w:lineRule="auto"/>
        <w:jc w:val="both"/>
        <w:rPr>
          <w:rFonts w:ascii="Arial" w:hAnsi="Arial" w:cs="Arial"/>
          <w:sz w:val="24"/>
          <w:szCs w:val="24"/>
        </w:rPr>
      </w:pPr>
    </w:p>
    <w:p w:rsidR="00B0498F" w:rsidRDefault="00C979E0" w:rsidP="00C979E0">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B3F7E">
        <w:rPr>
          <w:rFonts w:ascii="Arial" w:hAnsi="Arial" w:cs="Arial"/>
          <w:sz w:val="24"/>
          <w:szCs w:val="24"/>
        </w:rPr>
        <w:t>In the respondent</w:t>
      </w:r>
      <w:r w:rsidR="00B80865">
        <w:rPr>
          <w:rFonts w:ascii="Arial" w:hAnsi="Arial" w:cs="Arial"/>
          <w:sz w:val="24"/>
          <w:szCs w:val="24"/>
        </w:rPr>
        <w:t>’</w:t>
      </w:r>
      <w:r w:rsidR="002B3F7E">
        <w:rPr>
          <w:rFonts w:ascii="Arial" w:hAnsi="Arial" w:cs="Arial"/>
          <w:sz w:val="24"/>
          <w:szCs w:val="24"/>
        </w:rPr>
        <w:t>s answering affidavit, the point is taken that the appeal aga</w:t>
      </w:r>
      <w:r w:rsidR="00B008BE">
        <w:rPr>
          <w:rFonts w:ascii="Arial" w:hAnsi="Arial" w:cs="Arial"/>
          <w:sz w:val="24"/>
          <w:szCs w:val="24"/>
        </w:rPr>
        <w:t xml:space="preserve">inst the default judgment is </w:t>
      </w:r>
      <w:r w:rsidR="00B008BE" w:rsidRPr="00B0498F">
        <w:rPr>
          <w:rFonts w:ascii="Arial" w:hAnsi="Arial" w:cs="Arial"/>
          <w:color w:val="000000" w:themeColor="text1"/>
          <w:sz w:val="24"/>
          <w:szCs w:val="24"/>
        </w:rPr>
        <w:t>p</w:t>
      </w:r>
      <w:r w:rsidR="00B0498F" w:rsidRPr="00B0498F">
        <w:rPr>
          <w:rFonts w:ascii="Arial" w:hAnsi="Arial" w:cs="Arial"/>
          <w:color w:val="000000" w:themeColor="text1"/>
          <w:sz w:val="24"/>
          <w:szCs w:val="24"/>
        </w:rPr>
        <w:t>ere</w:t>
      </w:r>
      <w:r w:rsidR="002B3F7E" w:rsidRPr="00B0498F">
        <w:rPr>
          <w:rFonts w:ascii="Arial" w:hAnsi="Arial" w:cs="Arial"/>
          <w:color w:val="000000" w:themeColor="text1"/>
          <w:sz w:val="24"/>
          <w:szCs w:val="24"/>
        </w:rPr>
        <w:t>mpted</w:t>
      </w:r>
      <w:r w:rsidR="002B3F7E">
        <w:rPr>
          <w:rFonts w:ascii="Arial" w:hAnsi="Arial" w:cs="Arial"/>
          <w:sz w:val="24"/>
          <w:szCs w:val="24"/>
        </w:rPr>
        <w:t>. Reference is made to email correspondence in which the app</w:t>
      </w:r>
      <w:r w:rsidR="00D30E05">
        <w:rPr>
          <w:rFonts w:ascii="Arial" w:hAnsi="Arial" w:cs="Arial"/>
          <w:sz w:val="24"/>
          <w:szCs w:val="24"/>
        </w:rPr>
        <w:t>ell</w:t>
      </w:r>
      <w:r w:rsidR="002B3F7E">
        <w:rPr>
          <w:rFonts w:ascii="Arial" w:hAnsi="Arial" w:cs="Arial"/>
          <w:sz w:val="24"/>
          <w:szCs w:val="24"/>
        </w:rPr>
        <w:t>ants sought terms to effect payments in respect of their loan indebtedness</w:t>
      </w:r>
      <w:r w:rsidR="00B80865">
        <w:rPr>
          <w:rFonts w:ascii="Arial" w:hAnsi="Arial" w:cs="Arial"/>
          <w:sz w:val="24"/>
          <w:szCs w:val="24"/>
        </w:rPr>
        <w:t>. C</w:t>
      </w:r>
      <w:r w:rsidR="002B3F7E">
        <w:rPr>
          <w:rFonts w:ascii="Arial" w:hAnsi="Arial" w:cs="Arial"/>
          <w:sz w:val="24"/>
          <w:szCs w:val="24"/>
        </w:rPr>
        <w:t xml:space="preserve">ertain payments </w:t>
      </w:r>
      <w:r w:rsidR="002B3F7E" w:rsidRPr="00B0498F">
        <w:rPr>
          <w:rFonts w:ascii="Arial" w:hAnsi="Arial" w:cs="Arial"/>
          <w:sz w:val="24"/>
          <w:szCs w:val="24"/>
        </w:rPr>
        <w:t>are</w:t>
      </w:r>
      <w:r w:rsidR="002B3F7E">
        <w:rPr>
          <w:rFonts w:ascii="Arial" w:hAnsi="Arial" w:cs="Arial"/>
          <w:sz w:val="24"/>
          <w:szCs w:val="24"/>
        </w:rPr>
        <w:t xml:space="preserve"> said to have been made pursuant to the correspondence. The respondent den</w:t>
      </w:r>
      <w:r w:rsidR="00D30E05">
        <w:rPr>
          <w:rFonts w:ascii="Arial" w:hAnsi="Arial" w:cs="Arial"/>
          <w:sz w:val="24"/>
          <w:szCs w:val="24"/>
        </w:rPr>
        <w:t>ies</w:t>
      </w:r>
      <w:r w:rsidR="002B3F7E">
        <w:rPr>
          <w:rFonts w:ascii="Arial" w:hAnsi="Arial" w:cs="Arial"/>
          <w:sz w:val="24"/>
          <w:szCs w:val="24"/>
        </w:rPr>
        <w:t xml:space="preserve"> the absence of author</w:t>
      </w:r>
      <w:r w:rsidR="00B008BE">
        <w:rPr>
          <w:rFonts w:ascii="Arial" w:hAnsi="Arial" w:cs="Arial"/>
          <w:sz w:val="24"/>
          <w:szCs w:val="24"/>
        </w:rPr>
        <w:t xml:space="preserve">ity contended for in the notice of </w:t>
      </w:r>
      <w:r w:rsidR="002B3F7E">
        <w:rPr>
          <w:rFonts w:ascii="Arial" w:hAnsi="Arial" w:cs="Arial"/>
          <w:sz w:val="24"/>
          <w:szCs w:val="24"/>
        </w:rPr>
        <w:t>appeal. The mandate of the practitioners in question is confirmed under oath. The respondent also refers to unexplained delays on the part of the app</w:t>
      </w:r>
      <w:r w:rsidR="00D30E05">
        <w:rPr>
          <w:rFonts w:ascii="Arial" w:hAnsi="Arial" w:cs="Arial"/>
          <w:sz w:val="24"/>
          <w:szCs w:val="24"/>
        </w:rPr>
        <w:t>ell</w:t>
      </w:r>
      <w:r w:rsidR="002B3F7E">
        <w:rPr>
          <w:rFonts w:ascii="Arial" w:hAnsi="Arial" w:cs="Arial"/>
          <w:sz w:val="24"/>
          <w:szCs w:val="24"/>
        </w:rPr>
        <w:t>ants and reference is made to the email correspondence</w:t>
      </w:r>
      <w:r w:rsidR="00B80865">
        <w:rPr>
          <w:rFonts w:ascii="Arial" w:hAnsi="Arial" w:cs="Arial"/>
          <w:sz w:val="24"/>
          <w:szCs w:val="24"/>
        </w:rPr>
        <w:t xml:space="preserve"> from which it is apparent</w:t>
      </w:r>
      <w:r w:rsidR="002B3F7E">
        <w:rPr>
          <w:rFonts w:ascii="Arial" w:hAnsi="Arial" w:cs="Arial"/>
          <w:sz w:val="24"/>
          <w:szCs w:val="24"/>
        </w:rPr>
        <w:t xml:space="preserve"> that the app</w:t>
      </w:r>
      <w:r w:rsidR="00D30E05">
        <w:rPr>
          <w:rFonts w:ascii="Arial" w:hAnsi="Arial" w:cs="Arial"/>
          <w:sz w:val="24"/>
          <w:szCs w:val="24"/>
        </w:rPr>
        <w:t>ell</w:t>
      </w:r>
      <w:r w:rsidR="002B3F7E">
        <w:rPr>
          <w:rFonts w:ascii="Arial" w:hAnsi="Arial" w:cs="Arial"/>
          <w:sz w:val="24"/>
          <w:szCs w:val="24"/>
        </w:rPr>
        <w:t xml:space="preserve">ants were already aware of the default judgment on 28 March 2019 when they received notice of a sale in execution. The condonation application </w:t>
      </w:r>
      <w:r w:rsidR="003A5EF2">
        <w:rPr>
          <w:rFonts w:ascii="Arial" w:hAnsi="Arial" w:cs="Arial"/>
          <w:sz w:val="24"/>
          <w:szCs w:val="24"/>
        </w:rPr>
        <w:t>dated 1 October 2020</w:t>
      </w:r>
      <w:r w:rsidR="004D326A">
        <w:rPr>
          <w:rFonts w:ascii="Arial" w:hAnsi="Arial" w:cs="Arial"/>
          <w:sz w:val="24"/>
          <w:szCs w:val="24"/>
        </w:rPr>
        <w:t xml:space="preserve"> </w:t>
      </w:r>
      <w:r w:rsidR="002B3F7E">
        <w:rPr>
          <w:rFonts w:ascii="Arial" w:hAnsi="Arial" w:cs="Arial"/>
          <w:sz w:val="24"/>
          <w:szCs w:val="24"/>
        </w:rPr>
        <w:t xml:space="preserve">was only launched on </w:t>
      </w:r>
      <w:r w:rsidR="00C679D2">
        <w:rPr>
          <w:rFonts w:ascii="Arial" w:hAnsi="Arial" w:cs="Arial"/>
          <w:sz w:val="24"/>
          <w:szCs w:val="24"/>
        </w:rPr>
        <w:t>15 October 2020.</w:t>
      </w:r>
      <w:r w:rsidR="002B3F7E">
        <w:rPr>
          <w:rFonts w:ascii="Arial" w:hAnsi="Arial" w:cs="Arial"/>
          <w:sz w:val="24"/>
          <w:szCs w:val="24"/>
        </w:rPr>
        <w:t xml:space="preserve"> The allegations </w:t>
      </w:r>
      <w:r w:rsidR="004D326A">
        <w:rPr>
          <w:rFonts w:ascii="Arial" w:hAnsi="Arial" w:cs="Arial"/>
          <w:sz w:val="24"/>
          <w:szCs w:val="24"/>
        </w:rPr>
        <w:t xml:space="preserve">in the respondent’s answering affidavit </w:t>
      </w:r>
      <w:r w:rsidR="002B3F7E">
        <w:rPr>
          <w:rFonts w:ascii="Arial" w:hAnsi="Arial" w:cs="Arial"/>
          <w:sz w:val="24"/>
          <w:szCs w:val="24"/>
        </w:rPr>
        <w:t>are unchallenged as no replying affidavit was filed by the app</w:t>
      </w:r>
      <w:r w:rsidR="00D30E05">
        <w:rPr>
          <w:rFonts w:ascii="Arial" w:hAnsi="Arial" w:cs="Arial"/>
          <w:sz w:val="24"/>
          <w:szCs w:val="24"/>
        </w:rPr>
        <w:t>ell</w:t>
      </w:r>
      <w:r w:rsidR="002B3F7E">
        <w:rPr>
          <w:rFonts w:ascii="Arial" w:hAnsi="Arial" w:cs="Arial"/>
          <w:sz w:val="24"/>
          <w:szCs w:val="24"/>
        </w:rPr>
        <w:t>ants.</w:t>
      </w:r>
      <w:r w:rsidR="008F1CA4">
        <w:rPr>
          <w:rFonts w:ascii="Arial" w:hAnsi="Arial" w:cs="Arial"/>
          <w:sz w:val="24"/>
          <w:szCs w:val="24"/>
        </w:rPr>
        <w:t xml:space="preserve"> </w:t>
      </w:r>
    </w:p>
    <w:p w:rsidR="00B0498F" w:rsidRDefault="00B0498F" w:rsidP="00B0498F">
      <w:pPr>
        <w:pStyle w:val="ListParagraph"/>
        <w:rPr>
          <w:rFonts w:ascii="Arial" w:hAnsi="Arial" w:cs="Arial"/>
          <w:sz w:val="24"/>
          <w:szCs w:val="24"/>
        </w:rPr>
      </w:pPr>
    </w:p>
    <w:p w:rsidR="002B3F7E" w:rsidRDefault="00C979E0" w:rsidP="00C979E0">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F1CA4">
        <w:rPr>
          <w:rFonts w:ascii="Arial" w:hAnsi="Arial" w:cs="Arial"/>
          <w:sz w:val="24"/>
          <w:szCs w:val="24"/>
        </w:rPr>
        <w:t xml:space="preserve">Mr Andrews, the first appellant, addressed the court </w:t>
      </w:r>
      <w:r w:rsidR="00B0498F">
        <w:rPr>
          <w:rFonts w:ascii="Arial" w:hAnsi="Arial" w:cs="Arial"/>
          <w:sz w:val="24"/>
          <w:szCs w:val="24"/>
        </w:rPr>
        <w:t>on his own behalf and</w:t>
      </w:r>
      <w:r w:rsidR="008F1CA4">
        <w:rPr>
          <w:rFonts w:ascii="Arial" w:hAnsi="Arial" w:cs="Arial"/>
          <w:sz w:val="24"/>
          <w:szCs w:val="24"/>
        </w:rPr>
        <w:t xml:space="preserve"> also on behalf of the second appellant. He indicated that they had tried to make</w:t>
      </w:r>
      <w:r w:rsidR="003A5EF2">
        <w:rPr>
          <w:rFonts w:ascii="Arial" w:hAnsi="Arial" w:cs="Arial"/>
          <w:sz w:val="24"/>
          <w:szCs w:val="24"/>
        </w:rPr>
        <w:t xml:space="preserve"> an</w:t>
      </w:r>
      <w:r w:rsidR="008F1CA4">
        <w:rPr>
          <w:rFonts w:ascii="Arial" w:hAnsi="Arial" w:cs="Arial"/>
          <w:sz w:val="24"/>
          <w:szCs w:val="24"/>
        </w:rPr>
        <w:t xml:space="preserve"> offer to the respondent and accepted that their primary residence would need to be sold. He confirmed that they had acted on the advice of </w:t>
      </w:r>
      <w:r w:rsidR="00B0498F">
        <w:rPr>
          <w:rFonts w:ascii="Arial" w:hAnsi="Arial" w:cs="Arial"/>
          <w:sz w:val="24"/>
          <w:szCs w:val="24"/>
        </w:rPr>
        <w:t>Mr Afrikaner</w:t>
      </w:r>
      <w:r w:rsidR="008F1CA4">
        <w:rPr>
          <w:rFonts w:ascii="Arial" w:hAnsi="Arial" w:cs="Arial"/>
          <w:sz w:val="24"/>
          <w:szCs w:val="24"/>
        </w:rPr>
        <w:t xml:space="preserve"> in filing their notices and condonation application.</w:t>
      </w:r>
    </w:p>
    <w:p w:rsidR="008F1CA4" w:rsidRDefault="008F1CA4" w:rsidP="008F1CA4">
      <w:pPr>
        <w:pStyle w:val="NoSpacing"/>
        <w:spacing w:line="480" w:lineRule="auto"/>
        <w:jc w:val="both"/>
        <w:rPr>
          <w:rFonts w:ascii="Arial" w:hAnsi="Arial" w:cs="Arial"/>
          <w:sz w:val="24"/>
          <w:szCs w:val="24"/>
        </w:rPr>
      </w:pPr>
    </w:p>
    <w:p w:rsidR="008F1CA4" w:rsidRDefault="00C979E0" w:rsidP="00C979E0">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F1CA4">
        <w:rPr>
          <w:rFonts w:ascii="Arial" w:hAnsi="Arial" w:cs="Arial"/>
          <w:sz w:val="24"/>
          <w:szCs w:val="24"/>
        </w:rPr>
        <w:t>Counsel for the respondent argued that there was material non-compliance with the rules and no explanation provided in support of the condonation application. He sought orders striking the matter from the roll and refusal of the condonation application.</w:t>
      </w:r>
    </w:p>
    <w:p w:rsidR="00C62F2E" w:rsidRDefault="00C62F2E" w:rsidP="00C62F2E">
      <w:pPr>
        <w:pStyle w:val="ListParagraph"/>
        <w:rPr>
          <w:rFonts w:ascii="Arial" w:hAnsi="Arial" w:cs="Arial"/>
          <w:sz w:val="24"/>
          <w:szCs w:val="24"/>
        </w:rPr>
      </w:pPr>
    </w:p>
    <w:p w:rsidR="00B0498F" w:rsidRDefault="00C979E0" w:rsidP="00C979E0">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F1CA4">
        <w:rPr>
          <w:rFonts w:ascii="Arial" w:hAnsi="Arial" w:cs="Arial"/>
          <w:sz w:val="24"/>
          <w:szCs w:val="24"/>
        </w:rPr>
        <w:t>Different counsel had prepared</w:t>
      </w:r>
      <w:r w:rsidR="002C38D2">
        <w:rPr>
          <w:rFonts w:ascii="Arial" w:hAnsi="Arial" w:cs="Arial"/>
          <w:sz w:val="24"/>
          <w:szCs w:val="24"/>
        </w:rPr>
        <w:t xml:space="preserve"> heads of argument</w:t>
      </w:r>
      <w:r w:rsidR="008F1CA4">
        <w:rPr>
          <w:rFonts w:ascii="Arial" w:hAnsi="Arial" w:cs="Arial"/>
          <w:sz w:val="24"/>
          <w:szCs w:val="24"/>
        </w:rPr>
        <w:t xml:space="preserve"> on behalf of the respondent</w:t>
      </w:r>
      <w:r w:rsidR="002C38D2">
        <w:rPr>
          <w:rFonts w:ascii="Arial" w:hAnsi="Arial" w:cs="Arial"/>
          <w:sz w:val="24"/>
          <w:szCs w:val="24"/>
        </w:rPr>
        <w:t xml:space="preserve"> in which reference is made to </w:t>
      </w:r>
      <w:r w:rsidR="002C38D2">
        <w:rPr>
          <w:rFonts w:ascii="Arial" w:hAnsi="Arial" w:cs="Arial"/>
          <w:i/>
          <w:sz w:val="24"/>
          <w:szCs w:val="24"/>
        </w:rPr>
        <w:t>Kisi</w:t>
      </w:r>
      <w:r w:rsidR="00007C7C">
        <w:rPr>
          <w:rFonts w:ascii="Arial" w:hAnsi="Arial" w:cs="Arial"/>
          <w:i/>
          <w:sz w:val="24"/>
          <w:szCs w:val="24"/>
        </w:rPr>
        <w:t>li</w:t>
      </w:r>
      <w:r w:rsidR="002C38D2">
        <w:rPr>
          <w:rFonts w:ascii="Arial" w:hAnsi="Arial" w:cs="Arial"/>
          <w:i/>
          <w:sz w:val="24"/>
          <w:szCs w:val="24"/>
        </w:rPr>
        <w:t>pile v First National Bank Limited</w:t>
      </w:r>
      <w:r w:rsidR="002C38D2" w:rsidRPr="003A5EF2">
        <w:rPr>
          <w:rStyle w:val="FootnoteReference"/>
          <w:rFonts w:ascii="Arial" w:hAnsi="Arial" w:cs="Arial"/>
          <w:sz w:val="24"/>
          <w:szCs w:val="24"/>
        </w:rPr>
        <w:footnoteReference w:id="1"/>
      </w:r>
      <w:r w:rsidR="00140975">
        <w:rPr>
          <w:rFonts w:ascii="Arial" w:hAnsi="Arial" w:cs="Arial"/>
          <w:sz w:val="24"/>
          <w:szCs w:val="24"/>
        </w:rPr>
        <w:t xml:space="preserve"> in which this court held that in an enquiry to declare immovable property executable where the property is the home of a person</w:t>
      </w:r>
      <w:r w:rsidR="00C679D2">
        <w:rPr>
          <w:rFonts w:ascii="Arial" w:hAnsi="Arial" w:cs="Arial"/>
          <w:sz w:val="24"/>
          <w:szCs w:val="24"/>
        </w:rPr>
        <w:t>,</w:t>
      </w:r>
      <w:r w:rsidR="00140975">
        <w:rPr>
          <w:rFonts w:ascii="Arial" w:hAnsi="Arial" w:cs="Arial"/>
          <w:sz w:val="24"/>
          <w:szCs w:val="24"/>
        </w:rPr>
        <w:t xml:space="preserve"> judicial oversight is required to ascertain whether foreclosure can be avoided, having regard to viable alternatives. </w:t>
      </w:r>
      <w:r w:rsidR="008F1CA4">
        <w:rPr>
          <w:rFonts w:ascii="Arial" w:hAnsi="Arial" w:cs="Arial"/>
          <w:sz w:val="24"/>
          <w:szCs w:val="24"/>
        </w:rPr>
        <w:t>Erstwhile c</w:t>
      </w:r>
      <w:r w:rsidR="00140975">
        <w:rPr>
          <w:rFonts w:ascii="Arial" w:hAnsi="Arial" w:cs="Arial"/>
          <w:sz w:val="24"/>
          <w:szCs w:val="24"/>
        </w:rPr>
        <w:t>ounsel for the respondent in his heads</w:t>
      </w:r>
      <w:r w:rsidR="00681B57">
        <w:rPr>
          <w:rFonts w:ascii="Arial" w:hAnsi="Arial" w:cs="Arial"/>
          <w:sz w:val="24"/>
          <w:szCs w:val="24"/>
        </w:rPr>
        <w:t xml:space="preserve"> con</w:t>
      </w:r>
      <w:r w:rsidR="00C679D2">
        <w:rPr>
          <w:rFonts w:ascii="Arial" w:hAnsi="Arial" w:cs="Arial"/>
          <w:sz w:val="24"/>
          <w:szCs w:val="24"/>
        </w:rPr>
        <w:t>ten</w:t>
      </w:r>
      <w:r w:rsidR="00681B57">
        <w:rPr>
          <w:rFonts w:ascii="Arial" w:hAnsi="Arial" w:cs="Arial"/>
          <w:sz w:val="24"/>
          <w:szCs w:val="24"/>
        </w:rPr>
        <w:t>ded that the High Court did not conduct the enquiry contemplated by rule 108 of the High Court rules before declaring the property executable</w:t>
      </w:r>
      <w:r w:rsidR="002B3F7E">
        <w:rPr>
          <w:rFonts w:ascii="Arial" w:hAnsi="Arial" w:cs="Arial"/>
          <w:sz w:val="24"/>
          <w:szCs w:val="24"/>
        </w:rPr>
        <w:t xml:space="preserve"> </w:t>
      </w:r>
      <w:r w:rsidR="00C679D2">
        <w:rPr>
          <w:rFonts w:ascii="Arial" w:hAnsi="Arial" w:cs="Arial"/>
          <w:sz w:val="24"/>
          <w:szCs w:val="24"/>
        </w:rPr>
        <w:t>on the solitary ground that</w:t>
      </w:r>
      <w:r w:rsidR="002B3F7E">
        <w:rPr>
          <w:rFonts w:ascii="Arial" w:hAnsi="Arial" w:cs="Arial"/>
          <w:sz w:val="24"/>
          <w:szCs w:val="24"/>
        </w:rPr>
        <w:t xml:space="preserve"> the order was granted in chambers</w:t>
      </w:r>
      <w:r w:rsidR="00681B57">
        <w:rPr>
          <w:rFonts w:ascii="Arial" w:hAnsi="Arial" w:cs="Arial"/>
          <w:sz w:val="24"/>
          <w:szCs w:val="24"/>
        </w:rPr>
        <w:t xml:space="preserve">. </w:t>
      </w:r>
      <w:r w:rsidR="00B0498F">
        <w:rPr>
          <w:rFonts w:ascii="Arial" w:hAnsi="Arial" w:cs="Arial"/>
          <w:sz w:val="24"/>
          <w:szCs w:val="24"/>
        </w:rPr>
        <w:t>Respondent’s previous</w:t>
      </w:r>
      <w:r w:rsidR="008F1CA4">
        <w:rPr>
          <w:rFonts w:ascii="Arial" w:hAnsi="Arial" w:cs="Arial"/>
          <w:sz w:val="24"/>
          <w:szCs w:val="24"/>
        </w:rPr>
        <w:t xml:space="preserve"> c</w:t>
      </w:r>
      <w:r w:rsidR="004D326A">
        <w:rPr>
          <w:rFonts w:ascii="Arial" w:hAnsi="Arial" w:cs="Arial"/>
          <w:sz w:val="24"/>
          <w:szCs w:val="24"/>
        </w:rPr>
        <w:t>ounsel proceeded to concede</w:t>
      </w:r>
      <w:r w:rsidR="00681B57">
        <w:rPr>
          <w:rFonts w:ascii="Arial" w:hAnsi="Arial" w:cs="Arial"/>
          <w:sz w:val="24"/>
          <w:szCs w:val="24"/>
        </w:rPr>
        <w:t xml:space="preserve"> that the appeal against paragraph 3 of the High Court’s order should succeed and that condonation and reinstatement of the appeal be confined to this order.</w:t>
      </w:r>
      <w:r w:rsidR="002B3F7E">
        <w:rPr>
          <w:rFonts w:ascii="Arial" w:hAnsi="Arial" w:cs="Arial"/>
          <w:sz w:val="24"/>
          <w:szCs w:val="24"/>
        </w:rPr>
        <w:t xml:space="preserve"> </w:t>
      </w:r>
    </w:p>
    <w:p w:rsidR="00B0498F" w:rsidRDefault="00B0498F" w:rsidP="00B0498F">
      <w:pPr>
        <w:pStyle w:val="ListParagraph"/>
        <w:rPr>
          <w:rFonts w:ascii="Arial" w:hAnsi="Arial" w:cs="Arial"/>
          <w:sz w:val="24"/>
          <w:szCs w:val="24"/>
        </w:rPr>
      </w:pPr>
    </w:p>
    <w:p w:rsidR="00C62F2E" w:rsidRPr="005A16AE" w:rsidRDefault="00C979E0" w:rsidP="00C979E0">
      <w:pPr>
        <w:pStyle w:val="NoSpacing"/>
        <w:spacing w:line="480" w:lineRule="auto"/>
        <w:jc w:val="both"/>
        <w:rPr>
          <w:rFonts w:ascii="Arial" w:hAnsi="Arial" w:cs="Arial"/>
          <w:sz w:val="24"/>
          <w:szCs w:val="24"/>
        </w:rPr>
      </w:pPr>
      <w:r w:rsidRPr="005A16AE">
        <w:rPr>
          <w:rFonts w:ascii="Arial" w:hAnsi="Arial" w:cs="Arial"/>
          <w:sz w:val="24"/>
          <w:szCs w:val="24"/>
        </w:rPr>
        <w:t>[17]</w:t>
      </w:r>
      <w:r w:rsidRPr="005A16AE">
        <w:rPr>
          <w:rFonts w:ascii="Arial" w:hAnsi="Arial" w:cs="Arial"/>
          <w:sz w:val="24"/>
          <w:szCs w:val="24"/>
        </w:rPr>
        <w:tab/>
      </w:r>
      <w:r w:rsidR="008F1CA4">
        <w:rPr>
          <w:rFonts w:ascii="Arial" w:hAnsi="Arial" w:cs="Arial"/>
          <w:sz w:val="24"/>
          <w:szCs w:val="24"/>
        </w:rPr>
        <w:t>Counsel who appeared f</w:t>
      </w:r>
      <w:r w:rsidR="00355132">
        <w:rPr>
          <w:rFonts w:ascii="Arial" w:hAnsi="Arial" w:cs="Arial"/>
          <w:sz w:val="24"/>
          <w:szCs w:val="24"/>
        </w:rPr>
        <w:t xml:space="preserve">or the respondent </w:t>
      </w:r>
      <w:r w:rsidR="00B0498F">
        <w:rPr>
          <w:rFonts w:ascii="Arial" w:hAnsi="Arial" w:cs="Arial"/>
          <w:sz w:val="24"/>
          <w:szCs w:val="24"/>
        </w:rPr>
        <w:t xml:space="preserve">in the hearing </w:t>
      </w:r>
      <w:r w:rsidR="00355132">
        <w:rPr>
          <w:rFonts w:ascii="Arial" w:hAnsi="Arial" w:cs="Arial"/>
          <w:sz w:val="24"/>
          <w:szCs w:val="24"/>
        </w:rPr>
        <w:t>understandably</w:t>
      </w:r>
      <w:r w:rsidR="00B0498F">
        <w:rPr>
          <w:rFonts w:ascii="Arial" w:hAnsi="Arial" w:cs="Arial"/>
          <w:sz w:val="24"/>
          <w:szCs w:val="24"/>
        </w:rPr>
        <w:t xml:space="preserve"> and correctly</w:t>
      </w:r>
      <w:r w:rsidR="00355132">
        <w:rPr>
          <w:rFonts w:ascii="Arial" w:hAnsi="Arial" w:cs="Arial"/>
          <w:sz w:val="24"/>
          <w:szCs w:val="24"/>
        </w:rPr>
        <w:t xml:space="preserve"> did not pursue this approach. </w:t>
      </w:r>
      <w:r w:rsidR="005A16AE">
        <w:rPr>
          <w:rFonts w:ascii="Arial" w:hAnsi="Arial" w:cs="Arial"/>
          <w:sz w:val="24"/>
          <w:szCs w:val="24"/>
        </w:rPr>
        <w:t>Th</w:t>
      </w:r>
      <w:r w:rsidR="008F1CA4">
        <w:rPr>
          <w:rFonts w:ascii="Arial" w:hAnsi="Arial" w:cs="Arial"/>
          <w:sz w:val="24"/>
          <w:szCs w:val="24"/>
        </w:rPr>
        <w:t>e earlier</w:t>
      </w:r>
      <w:r w:rsidR="005A16AE">
        <w:rPr>
          <w:rFonts w:ascii="Arial" w:hAnsi="Arial" w:cs="Arial"/>
          <w:sz w:val="24"/>
          <w:szCs w:val="24"/>
        </w:rPr>
        <w:t xml:space="preserve"> concession would appear to be based upon a misreading of the import of </w:t>
      </w:r>
      <w:r w:rsidR="005A16AE">
        <w:rPr>
          <w:rFonts w:ascii="Arial" w:hAnsi="Arial" w:cs="Arial"/>
          <w:i/>
          <w:sz w:val="24"/>
          <w:szCs w:val="24"/>
        </w:rPr>
        <w:t>Kisi</w:t>
      </w:r>
      <w:r w:rsidR="00007C7C">
        <w:rPr>
          <w:rFonts w:ascii="Arial" w:hAnsi="Arial" w:cs="Arial"/>
          <w:i/>
          <w:sz w:val="24"/>
          <w:szCs w:val="24"/>
        </w:rPr>
        <w:t>li</w:t>
      </w:r>
      <w:r w:rsidR="005A16AE">
        <w:rPr>
          <w:rFonts w:ascii="Arial" w:hAnsi="Arial" w:cs="Arial"/>
          <w:i/>
          <w:sz w:val="24"/>
          <w:szCs w:val="24"/>
        </w:rPr>
        <w:t>pile</w:t>
      </w:r>
      <w:r w:rsidR="005A16AE">
        <w:rPr>
          <w:rFonts w:ascii="Arial" w:hAnsi="Arial" w:cs="Arial"/>
          <w:sz w:val="24"/>
          <w:szCs w:val="24"/>
        </w:rPr>
        <w:t xml:space="preserve"> and an earlier judgment of this court in </w:t>
      </w:r>
      <w:r w:rsidR="005A16AE">
        <w:rPr>
          <w:rFonts w:ascii="Arial" w:hAnsi="Arial" w:cs="Arial"/>
          <w:i/>
          <w:sz w:val="24"/>
          <w:szCs w:val="24"/>
        </w:rPr>
        <w:t>Standard Bank Namibia Ltd v Ship</w:t>
      </w:r>
      <w:r w:rsidR="00B008BE">
        <w:rPr>
          <w:rFonts w:ascii="Arial" w:hAnsi="Arial" w:cs="Arial"/>
          <w:i/>
          <w:sz w:val="24"/>
          <w:szCs w:val="24"/>
        </w:rPr>
        <w:t>i</w:t>
      </w:r>
      <w:r w:rsidR="005A16AE">
        <w:rPr>
          <w:rFonts w:ascii="Arial" w:hAnsi="Arial" w:cs="Arial"/>
          <w:i/>
          <w:sz w:val="24"/>
          <w:szCs w:val="24"/>
        </w:rPr>
        <w:t>la and others</w:t>
      </w:r>
      <w:r w:rsidR="005A16AE" w:rsidRPr="005A16AE">
        <w:rPr>
          <w:rStyle w:val="FootnoteReference"/>
          <w:rFonts w:ascii="Arial" w:hAnsi="Arial" w:cs="Arial"/>
          <w:sz w:val="24"/>
          <w:szCs w:val="24"/>
        </w:rPr>
        <w:footnoteReference w:id="2"/>
      </w:r>
      <w:r w:rsidR="005A16AE">
        <w:rPr>
          <w:rFonts w:ascii="Arial" w:hAnsi="Arial" w:cs="Arial"/>
          <w:sz w:val="24"/>
          <w:szCs w:val="24"/>
        </w:rPr>
        <w:t xml:space="preserve"> and the role of judicial oversight required in order to ascertain whether foreclosure can be avoided, as contemplated by rule 108 of the High Court rules. As was stated in </w:t>
      </w:r>
      <w:r w:rsidR="005A16AE">
        <w:rPr>
          <w:rFonts w:ascii="Arial" w:hAnsi="Arial" w:cs="Arial"/>
          <w:i/>
          <w:sz w:val="24"/>
          <w:szCs w:val="24"/>
        </w:rPr>
        <w:t>Kisi</w:t>
      </w:r>
      <w:r w:rsidR="00007C7C">
        <w:rPr>
          <w:rFonts w:ascii="Arial" w:hAnsi="Arial" w:cs="Arial"/>
          <w:i/>
          <w:sz w:val="24"/>
          <w:szCs w:val="24"/>
        </w:rPr>
        <w:t>li</w:t>
      </w:r>
      <w:r w:rsidR="005A16AE">
        <w:rPr>
          <w:rFonts w:ascii="Arial" w:hAnsi="Arial" w:cs="Arial"/>
          <w:i/>
          <w:sz w:val="24"/>
          <w:szCs w:val="24"/>
        </w:rPr>
        <w:t>pile:</w:t>
      </w:r>
    </w:p>
    <w:p w:rsidR="005A16AE" w:rsidRPr="005A16AE" w:rsidRDefault="005A16AE" w:rsidP="005A16AE">
      <w:pPr>
        <w:pStyle w:val="NoSpacing"/>
        <w:spacing w:line="480" w:lineRule="auto"/>
        <w:ind w:left="720"/>
        <w:jc w:val="both"/>
        <w:rPr>
          <w:rFonts w:ascii="Arial" w:hAnsi="Arial" w:cs="Arial"/>
          <w:sz w:val="24"/>
          <w:szCs w:val="24"/>
        </w:rPr>
      </w:pPr>
    </w:p>
    <w:p w:rsidR="005A16AE" w:rsidRPr="00007C7C" w:rsidRDefault="00007C7C" w:rsidP="00007C7C">
      <w:pPr>
        <w:pStyle w:val="NoSpacing"/>
        <w:spacing w:line="360" w:lineRule="auto"/>
        <w:ind w:left="1440" w:hanging="720"/>
        <w:jc w:val="both"/>
        <w:rPr>
          <w:rFonts w:ascii="Arial" w:hAnsi="Arial" w:cs="Arial"/>
        </w:rPr>
      </w:pPr>
      <w:r w:rsidRPr="00007C7C">
        <w:rPr>
          <w:rFonts w:ascii="Arial" w:hAnsi="Arial" w:cs="Arial"/>
        </w:rPr>
        <w:t>‘</w:t>
      </w:r>
      <w:r w:rsidR="005A16AE" w:rsidRPr="00007C7C">
        <w:rPr>
          <w:rFonts w:ascii="Arial" w:hAnsi="Arial" w:cs="Arial"/>
        </w:rPr>
        <w:t>18.</w:t>
      </w:r>
      <w:r w:rsidR="005A16AE" w:rsidRPr="00007C7C">
        <w:rPr>
          <w:rFonts w:ascii="Arial" w:hAnsi="Arial" w:cs="Arial"/>
        </w:rPr>
        <w:tab/>
      </w:r>
      <w:r w:rsidRPr="00007C7C">
        <w:rPr>
          <w:rFonts w:ascii="Arial" w:hAnsi="Arial" w:cs="Arial"/>
        </w:rPr>
        <w:t>In Namibia, judicial oversight takes the following form when it comes to declaring a primary home specially executable. If a property is a primary home, the court must be satisfied that there are no less drastic alternatives to a sale in execution. The judgment debtor bears the evidential burden. He or she should preferably lay the relevant information before court on affidavit especially if assisted by a legal practitioner, either in resisting default judgment or summary judgment. The failure to do so however does not relieve the court of its obligation to inquire into the availability of less drastic alternatives. If the debtor is legally unrepresented his or her attention must be drawn to the protection granted under rule 108</w:t>
      </w:r>
    </w:p>
    <w:p w:rsidR="005A16AE" w:rsidRPr="00007C7C" w:rsidRDefault="005A16AE" w:rsidP="00007C7C">
      <w:pPr>
        <w:pStyle w:val="NoSpacing"/>
        <w:spacing w:line="360" w:lineRule="auto"/>
        <w:ind w:left="720"/>
        <w:jc w:val="both"/>
        <w:rPr>
          <w:rFonts w:ascii="Arial" w:hAnsi="Arial" w:cs="Arial"/>
        </w:rPr>
      </w:pPr>
    </w:p>
    <w:p w:rsidR="005A16AE" w:rsidRPr="005A16AE" w:rsidRDefault="005A16AE" w:rsidP="00007C7C">
      <w:pPr>
        <w:pStyle w:val="NoSpacing"/>
        <w:spacing w:line="360" w:lineRule="auto"/>
        <w:ind w:left="1440" w:hanging="720"/>
        <w:jc w:val="both"/>
        <w:rPr>
          <w:rFonts w:ascii="Arial" w:hAnsi="Arial" w:cs="Arial"/>
        </w:rPr>
      </w:pPr>
      <w:r w:rsidRPr="00007C7C">
        <w:rPr>
          <w:rFonts w:ascii="Arial" w:hAnsi="Arial" w:cs="Arial"/>
        </w:rPr>
        <w:t>19.</w:t>
      </w:r>
      <w:r w:rsidRPr="00007C7C">
        <w:rPr>
          <w:rFonts w:ascii="Arial" w:hAnsi="Arial" w:cs="Arial"/>
        </w:rPr>
        <w:tab/>
      </w:r>
      <w:r w:rsidR="00007C7C" w:rsidRPr="00007C7C">
        <w:rPr>
          <w:rFonts w:ascii="Arial" w:hAnsi="Arial" w:cs="Arial"/>
        </w:rPr>
        <w:t>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or postpone to a date suitable to itself and the parties to conduct the inquiry. A failure to conduct the inquiry is a reversible misdirection. If the debtor is legally unrepresented at the summary judgment proceedings, it behoves counsel for the creditor to draw the court’s attention to the need for the inquiry in terms of rule 108.</w:t>
      </w:r>
      <w:r w:rsidRPr="00007C7C">
        <w:rPr>
          <w:rFonts w:ascii="Arial" w:hAnsi="Arial" w:cs="Arial"/>
        </w:rPr>
        <w:t>’</w:t>
      </w:r>
    </w:p>
    <w:p w:rsidR="005A16AE" w:rsidRPr="005A16AE" w:rsidRDefault="005A16AE" w:rsidP="005A16AE">
      <w:pPr>
        <w:pStyle w:val="NoSpacing"/>
        <w:spacing w:line="480" w:lineRule="auto"/>
        <w:ind w:left="720"/>
        <w:jc w:val="both"/>
        <w:rPr>
          <w:rFonts w:ascii="Arial" w:hAnsi="Arial" w:cs="Arial"/>
          <w:sz w:val="24"/>
          <w:szCs w:val="24"/>
        </w:rPr>
      </w:pPr>
    </w:p>
    <w:p w:rsidR="00D30E05" w:rsidRDefault="00C979E0" w:rsidP="00C979E0">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A16AE">
        <w:rPr>
          <w:rFonts w:ascii="Arial" w:hAnsi="Arial" w:cs="Arial"/>
          <w:sz w:val="24"/>
          <w:szCs w:val="24"/>
        </w:rPr>
        <w:t xml:space="preserve">In </w:t>
      </w:r>
      <w:r w:rsidR="005A16AE" w:rsidRPr="005A16AE">
        <w:rPr>
          <w:rFonts w:ascii="Arial" w:hAnsi="Arial" w:cs="Arial"/>
          <w:i/>
          <w:sz w:val="24"/>
          <w:szCs w:val="24"/>
        </w:rPr>
        <w:t>Kisi</w:t>
      </w:r>
      <w:r w:rsidR="00007C7C">
        <w:rPr>
          <w:rFonts w:ascii="Arial" w:hAnsi="Arial" w:cs="Arial"/>
          <w:i/>
          <w:sz w:val="24"/>
          <w:szCs w:val="24"/>
        </w:rPr>
        <w:t>li</w:t>
      </w:r>
      <w:r w:rsidR="005A16AE" w:rsidRPr="005A16AE">
        <w:rPr>
          <w:rFonts w:ascii="Arial" w:hAnsi="Arial" w:cs="Arial"/>
          <w:i/>
          <w:sz w:val="24"/>
          <w:szCs w:val="24"/>
        </w:rPr>
        <w:t>pile</w:t>
      </w:r>
      <w:r w:rsidR="005A16AE">
        <w:rPr>
          <w:rFonts w:ascii="Arial" w:hAnsi="Arial" w:cs="Arial"/>
          <w:sz w:val="24"/>
          <w:szCs w:val="24"/>
        </w:rPr>
        <w:t xml:space="preserve">, the judgment creditor had proceeded with an application for summary judgment when the proceedings were defended. The High Court, when granting summary judgment, also granted an order declaring the immovable property executable but did so without explaining </w:t>
      </w:r>
      <w:r w:rsidR="00C679D2">
        <w:rPr>
          <w:rFonts w:ascii="Arial" w:hAnsi="Arial" w:cs="Arial"/>
          <w:sz w:val="24"/>
          <w:szCs w:val="24"/>
        </w:rPr>
        <w:t xml:space="preserve">to </w:t>
      </w:r>
      <w:r w:rsidR="005A16AE">
        <w:rPr>
          <w:rFonts w:ascii="Arial" w:hAnsi="Arial" w:cs="Arial"/>
          <w:sz w:val="24"/>
          <w:szCs w:val="24"/>
        </w:rPr>
        <w:t xml:space="preserve">the appellant and his wife </w:t>
      </w:r>
      <w:r w:rsidR="00D30E05">
        <w:rPr>
          <w:rFonts w:ascii="Arial" w:hAnsi="Arial" w:cs="Arial"/>
          <w:sz w:val="24"/>
          <w:szCs w:val="24"/>
        </w:rPr>
        <w:t>as to</w:t>
      </w:r>
      <w:r w:rsidR="005A16AE">
        <w:rPr>
          <w:rFonts w:ascii="Arial" w:hAnsi="Arial" w:cs="Arial"/>
          <w:sz w:val="24"/>
          <w:szCs w:val="24"/>
        </w:rPr>
        <w:t xml:space="preserve"> the nature of information and evidence needed to avert a sale in execution. This court found that to be a misdirection. The</w:t>
      </w:r>
      <w:r w:rsidR="004D326A">
        <w:rPr>
          <w:rFonts w:ascii="Arial" w:hAnsi="Arial" w:cs="Arial"/>
          <w:sz w:val="24"/>
          <w:szCs w:val="24"/>
        </w:rPr>
        <w:t xml:space="preserve"> appellant and his wife </w:t>
      </w:r>
      <w:r w:rsidR="00355132">
        <w:rPr>
          <w:rFonts w:ascii="Arial" w:hAnsi="Arial" w:cs="Arial"/>
          <w:sz w:val="24"/>
          <w:szCs w:val="24"/>
        </w:rPr>
        <w:t xml:space="preserve">in </w:t>
      </w:r>
      <w:r w:rsidR="00355132">
        <w:rPr>
          <w:rFonts w:ascii="Arial" w:hAnsi="Arial" w:cs="Arial"/>
          <w:i/>
          <w:sz w:val="24"/>
          <w:szCs w:val="24"/>
        </w:rPr>
        <w:t xml:space="preserve">Kisilipile </w:t>
      </w:r>
      <w:r w:rsidR="004D326A">
        <w:rPr>
          <w:rFonts w:ascii="Arial" w:hAnsi="Arial" w:cs="Arial"/>
          <w:sz w:val="24"/>
          <w:szCs w:val="24"/>
        </w:rPr>
        <w:t xml:space="preserve">would have been in attendance when the summary judgment application was heard and the provisions of rule 108 should have thus been pointed out to them. </w:t>
      </w:r>
    </w:p>
    <w:p w:rsidR="00D30E05" w:rsidRDefault="00D30E05" w:rsidP="00D30E05">
      <w:pPr>
        <w:pStyle w:val="NoSpacing"/>
        <w:spacing w:line="480" w:lineRule="auto"/>
        <w:jc w:val="both"/>
        <w:rPr>
          <w:rFonts w:ascii="Arial" w:hAnsi="Arial" w:cs="Arial"/>
          <w:sz w:val="24"/>
          <w:szCs w:val="24"/>
        </w:rPr>
      </w:pPr>
    </w:p>
    <w:p w:rsidR="005A16A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4D326A">
        <w:rPr>
          <w:rFonts w:ascii="Arial" w:hAnsi="Arial" w:cs="Arial"/>
          <w:sz w:val="24"/>
          <w:szCs w:val="24"/>
        </w:rPr>
        <w:t>Unlike that matter, there is no evidence that the appellants in this matter were in attendance. Furthermore, the</w:t>
      </w:r>
      <w:r w:rsidR="005A16AE">
        <w:rPr>
          <w:rFonts w:ascii="Arial" w:hAnsi="Arial" w:cs="Arial"/>
          <w:sz w:val="24"/>
          <w:szCs w:val="24"/>
        </w:rPr>
        <w:t xml:space="preserve"> appeal in </w:t>
      </w:r>
      <w:r w:rsidR="004D326A">
        <w:rPr>
          <w:rFonts w:ascii="Arial" w:hAnsi="Arial" w:cs="Arial"/>
          <w:i/>
          <w:sz w:val="24"/>
          <w:szCs w:val="24"/>
        </w:rPr>
        <w:t>Kisilipile</w:t>
      </w:r>
      <w:r w:rsidR="005A16AE">
        <w:rPr>
          <w:rFonts w:ascii="Arial" w:hAnsi="Arial" w:cs="Arial"/>
          <w:sz w:val="24"/>
          <w:szCs w:val="24"/>
        </w:rPr>
        <w:t xml:space="preserve"> had lapsed and the appellants </w:t>
      </w:r>
      <w:r w:rsidR="00355132">
        <w:rPr>
          <w:rFonts w:ascii="Arial" w:hAnsi="Arial" w:cs="Arial"/>
          <w:sz w:val="24"/>
          <w:szCs w:val="24"/>
        </w:rPr>
        <w:t xml:space="preserve">in </w:t>
      </w:r>
      <w:r w:rsidR="00355132">
        <w:rPr>
          <w:rFonts w:ascii="Arial" w:hAnsi="Arial" w:cs="Arial"/>
          <w:i/>
          <w:sz w:val="24"/>
          <w:szCs w:val="24"/>
        </w:rPr>
        <w:t xml:space="preserve">Kisilipile </w:t>
      </w:r>
      <w:r w:rsidR="005A16AE">
        <w:rPr>
          <w:rFonts w:ascii="Arial" w:hAnsi="Arial" w:cs="Arial"/>
          <w:sz w:val="24"/>
          <w:szCs w:val="24"/>
        </w:rPr>
        <w:t xml:space="preserve">were </w:t>
      </w:r>
      <w:r w:rsidR="003E4527">
        <w:rPr>
          <w:rFonts w:ascii="Arial" w:hAnsi="Arial" w:cs="Arial"/>
          <w:sz w:val="24"/>
          <w:szCs w:val="24"/>
        </w:rPr>
        <w:t>slovenly</w:t>
      </w:r>
      <w:r w:rsidR="005A16AE">
        <w:rPr>
          <w:rFonts w:ascii="Arial" w:hAnsi="Arial" w:cs="Arial"/>
          <w:sz w:val="24"/>
          <w:szCs w:val="24"/>
        </w:rPr>
        <w:t xml:space="preserve"> in prosecuting their appeal. This court found that had it not been for developments during the hearing of the appeal, (where it was stated that one of the appellants had taken up employment with a</w:t>
      </w:r>
      <w:r w:rsidR="003E4527">
        <w:rPr>
          <w:rFonts w:ascii="Arial" w:hAnsi="Arial" w:cs="Arial"/>
          <w:sz w:val="24"/>
          <w:szCs w:val="24"/>
        </w:rPr>
        <w:t xml:space="preserve"> commercial bank</w:t>
      </w:r>
      <w:r w:rsidR="00C679D2">
        <w:rPr>
          <w:rFonts w:ascii="Arial" w:hAnsi="Arial" w:cs="Arial"/>
          <w:sz w:val="24"/>
          <w:szCs w:val="24"/>
        </w:rPr>
        <w:t xml:space="preserve"> which was</w:t>
      </w:r>
      <w:r w:rsidR="003E4527">
        <w:rPr>
          <w:rFonts w:ascii="Arial" w:hAnsi="Arial" w:cs="Arial"/>
          <w:sz w:val="24"/>
          <w:szCs w:val="24"/>
        </w:rPr>
        <w:t xml:space="preserve"> prepared to take over the bond), the condonation application would have been dismissed without a consideration of prospects of success.</w:t>
      </w:r>
      <w:r w:rsidR="00355132">
        <w:rPr>
          <w:rFonts w:ascii="Arial" w:hAnsi="Arial" w:cs="Arial"/>
          <w:sz w:val="24"/>
          <w:szCs w:val="24"/>
        </w:rPr>
        <w:t xml:space="preserve"> Respondent’s previous c</w:t>
      </w:r>
      <w:r w:rsidR="00C679D2">
        <w:rPr>
          <w:rFonts w:ascii="Arial" w:hAnsi="Arial" w:cs="Arial"/>
          <w:sz w:val="24"/>
          <w:szCs w:val="24"/>
        </w:rPr>
        <w:t xml:space="preserve">ounsel unfortunately </w:t>
      </w:r>
      <w:r w:rsidR="00514857">
        <w:rPr>
          <w:rFonts w:ascii="Arial" w:hAnsi="Arial" w:cs="Arial"/>
          <w:sz w:val="24"/>
          <w:szCs w:val="24"/>
        </w:rPr>
        <w:t xml:space="preserve">thus </w:t>
      </w:r>
      <w:r w:rsidR="00D30E05">
        <w:rPr>
          <w:rFonts w:ascii="Arial" w:hAnsi="Arial" w:cs="Arial"/>
          <w:sz w:val="24"/>
          <w:szCs w:val="24"/>
        </w:rPr>
        <w:t xml:space="preserve">also </w:t>
      </w:r>
      <w:r w:rsidR="00514857">
        <w:rPr>
          <w:rFonts w:ascii="Arial" w:hAnsi="Arial" w:cs="Arial"/>
          <w:sz w:val="24"/>
          <w:szCs w:val="24"/>
        </w:rPr>
        <w:t>did not</w:t>
      </w:r>
      <w:r w:rsidR="00C679D2">
        <w:rPr>
          <w:rFonts w:ascii="Arial" w:hAnsi="Arial" w:cs="Arial"/>
          <w:sz w:val="24"/>
          <w:szCs w:val="24"/>
        </w:rPr>
        <w:t xml:space="preserve"> have regard to the facts of </w:t>
      </w:r>
      <w:r w:rsidR="00C679D2" w:rsidRPr="00C679D2">
        <w:rPr>
          <w:rFonts w:ascii="Arial" w:hAnsi="Arial" w:cs="Arial"/>
          <w:i/>
          <w:sz w:val="24"/>
          <w:szCs w:val="24"/>
        </w:rPr>
        <w:t>Kisilipile</w:t>
      </w:r>
      <w:r w:rsidR="00C679D2" w:rsidRPr="00C679D2">
        <w:rPr>
          <w:rFonts w:ascii="Arial" w:hAnsi="Arial" w:cs="Arial"/>
          <w:sz w:val="24"/>
          <w:szCs w:val="24"/>
        </w:rPr>
        <w:t>.</w:t>
      </w:r>
      <w:r w:rsidR="003E4527" w:rsidRPr="00C679D2">
        <w:rPr>
          <w:rFonts w:ascii="Arial" w:hAnsi="Arial" w:cs="Arial"/>
          <w:i/>
          <w:sz w:val="24"/>
          <w:szCs w:val="24"/>
        </w:rPr>
        <w:t xml:space="preserve"> </w:t>
      </w:r>
      <w:r w:rsidR="003E4527" w:rsidRPr="00B008BE">
        <w:rPr>
          <w:rFonts w:ascii="Arial" w:hAnsi="Arial" w:cs="Arial"/>
          <w:sz w:val="24"/>
          <w:szCs w:val="24"/>
        </w:rPr>
        <w:t>As</w:t>
      </w:r>
      <w:r w:rsidR="003E4527">
        <w:rPr>
          <w:rFonts w:ascii="Arial" w:hAnsi="Arial" w:cs="Arial"/>
          <w:sz w:val="24"/>
          <w:szCs w:val="24"/>
        </w:rPr>
        <w:t xml:space="preserve"> is stressed below, the prosecution of this appeal is so slovenly and the explanation proferred so flagrantly unacceptable that condonation would in any event be refused.</w:t>
      </w:r>
      <w:r w:rsidR="00C679D2">
        <w:rPr>
          <w:rFonts w:ascii="Arial" w:hAnsi="Arial" w:cs="Arial"/>
          <w:sz w:val="24"/>
          <w:szCs w:val="24"/>
        </w:rPr>
        <w:t xml:space="preserve"> Furthermore, the appeal </w:t>
      </w:r>
      <w:r w:rsidR="00514857">
        <w:rPr>
          <w:rFonts w:ascii="Arial" w:hAnsi="Arial" w:cs="Arial"/>
          <w:sz w:val="24"/>
          <w:szCs w:val="24"/>
        </w:rPr>
        <w:t xml:space="preserve">in this matter (as well as all the others before us) has </w:t>
      </w:r>
      <w:r w:rsidR="00C679D2">
        <w:rPr>
          <w:rFonts w:ascii="Arial" w:hAnsi="Arial" w:cs="Arial"/>
          <w:sz w:val="24"/>
          <w:szCs w:val="24"/>
        </w:rPr>
        <w:t xml:space="preserve">lapsed and reinstatement has </w:t>
      </w:r>
      <w:r w:rsidR="00514857">
        <w:rPr>
          <w:rFonts w:ascii="Arial" w:hAnsi="Arial" w:cs="Arial"/>
          <w:sz w:val="24"/>
          <w:szCs w:val="24"/>
        </w:rPr>
        <w:t xml:space="preserve">not </w:t>
      </w:r>
      <w:r w:rsidR="00C679D2">
        <w:rPr>
          <w:rFonts w:ascii="Arial" w:hAnsi="Arial" w:cs="Arial"/>
          <w:sz w:val="24"/>
          <w:szCs w:val="24"/>
        </w:rPr>
        <w:t>been sought.</w:t>
      </w:r>
    </w:p>
    <w:p w:rsidR="003E4527" w:rsidRDefault="003E4527" w:rsidP="003E4527">
      <w:pPr>
        <w:pStyle w:val="NoSpacing"/>
        <w:spacing w:line="480" w:lineRule="auto"/>
        <w:jc w:val="both"/>
        <w:rPr>
          <w:rFonts w:ascii="Arial" w:hAnsi="Arial" w:cs="Arial"/>
          <w:sz w:val="24"/>
          <w:szCs w:val="24"/>
        </w:rPr>
      </w:pPr>
    </w:p>
    <w:p w:rsidR="003E4527" w:rsidRDefault="00C979E0" w:rsidP="00C979E0">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E4527">
        <w:rPr>
          <w:rFonts w:ascii="Arial" w:hAnsi="Arial" w:cs="Arial"/>
          <w:sz w:val="24"/>
          <w:szCs w:val="24"/>
        </w:rPr>
        <w:t xml:space="preserve">It </w:t>
      </w:r>
      <w:r w:rsidR="00514857">
        <w:rPr>
          <w:rFonts w:ascii="Arial" w:hAnsi="Arial" w:cs="Arial"/>
          <w:sz w:val="24"/>
          <w:szCs w:val="24"/>
        </w:rPr>
        <w:t xml:space="preserve">is accordingly clear </w:t>
      </w:r>
      <w:r w:rsidR="003E4527">
        <w:rPr>
          <w:rFonts w:ascii="Arial" w:hAnsi="Arial" w:cs="Arial"/>
          <w:sz w:val="24"/>
          <w:szCs w:val="24"/>
        </w:rPr>
        <w:t xml:space="preserve">that </w:t>
      </w:r>
      <w:r w:rsidR="003E4527">
        <w:rPr>
          <w:rFonts w:ascii="Arial" w:hAnsi="Arial" w:cs="Arial"/>
          <w:i/>
          <w:sz w:val="24"/>
          <w:szCs w:val="24"/>
        </w:rPr>
        <w:t>Kisi</w:t>
      </w:r>
      <w:r w:rsidR="00007C7C">
        <w:rPr>
          <w:rFonts w:ascii="Arial" w:hAnsi="Arial" w:cs="Arial"/>
          <w:i/>
          <w:sz w:val="24"/>
          <w:szCs w:val="24"/>
        </w:rPr>
        <w:t>li</w:t>
      </w:r>
      <w:r w:rsidR="003E4527">
        <w:rPr>
          <w:rFonts w:ascii="Arial" w:hAnsi="Arial" w:cs="Arial"/>
          <w:i/>
          <w:sz w:val="24"/>
          <w:szCs w:val="24"/>
        </w:rPr>
        <w:t xml:space="preserve">pile </w:t>
      </w:r>
      <w:r w:rsidR="003E4527">
        <w:rPr>
          <w:rFonts w:ascii="Arial" w:hAnsi="Arial" w:cs="Arial"/>
          <w:sz w:val="24"/>
          <w:szCs w:val="24"/>
        </w:rPr>
        <w:t xml:space="preserve">and </w:t>
      </w:r>
      <w:r w:rsidR="003E4527">
        <w:rPr>
          <w:rFonts w:ascii="Arial" w:hAnsi="Arial" w:cs="Arial"/>
          <w:i/>
          <w:sz w:val="24"/>
          <w:szCs w:val="24"/>
        </w:rPr>
        <w:t>Shipala</w:t>
      </w:r>
      <w:r w:rsidR="003E4527">
        <w:rPr>
          <w:rFonts w:ascii="Arial" w:hAnsi="Arial" w:cs="Arial"/>
          <w:sz w:val="24"/>
          <w:szCs w:val="24"/>
        </w:rPr>
        <w:t xml:space="preserve"> find </w:t>
      </w:r>
      <w:r w:rsidR="00355132">
        <w:rPr>
          <w:rFonts w:ascii="Arial" w:hAnsi="Arial" w:cs="Arial"/>
          <w:sz w:val="24"/>
          <w:szCs w:val="24"/>
        </w:rPr>
        <w:t>no application in this matter. Erstwhile c</w:t>
      </w:r>
      <w:r w:rsidR="003E4527">
        <w:rPr>
          <w:rFonts w:ascii="Arial" w:hAnsi="Arial" w:cs="Arial"/>
          <w:sz w:val="24"/>
          <w:szCs w:val="24"/>
        </w:rPr>
        <w:t>ounsel</w:t>
      </w:r>
      <w:r w:rsidR="00C679D2">
        <w:rPr>
          <w:rFonts w:ascii="Arial" w:hAnsi="Arial" w:cs="Arial"/>
          <w:sz w:val="24"/>
          <w:szCs w:val="24"/>
        </w:rPr>
        <w:t>’s</w:t>
      </w:r>
      <w:r w:rsidR="003E4527">
        <w:rPr>
          <w:rFonts w:ascii="Arial" w:hAnsi="Arial" w:cs="Arial"/>
          <w:sz w:val="24"/>
          <w:szCs w:val="24"/>
        </w:rPr>
        <w:t xml:space="preserve"> concession is based purely on the fact that the order was granted in chambers. There is no evidence that the </w:t>
      </w:r>
      <w:r w:rsidR="003A5EF2">
        <w:rPr>
          <w:rFonts w:ascii="Arial" w:hAnsi="Arial" w:cs="Arial"/>
          <w:sz w:val="24"/>
          <w:szCs w:val="24"/>
        </w:rPr>
        <w:t>appellant</w:t>
      </w:r>
      <w:r w:rsidR="003E4527">
        <w:rPr>
          <w:rFonts w:ascii="Arial" w:hAnsi="Arial" w:cs="Arial"/>
          <w:sz w:val="24"/>
          <w:szCs w:val="24"/>
        </w:rPr>
        <w:t xml:space="preserve">s were present and </w:t>
      </w:r>
      <w:r w:rsidR="00D30E05">
        <w:rPr>
          <w:rFonts w:ascii="Arial" w:hAnsi="Arial" w:cs="Arial"/>
          <w:sz w:val="24"/>
          <w:szCs w:val="24"/>
        </w:rPr>
        <w:t xml:space="preserve">that </w:t>
      </w:r>
      <w:r w:rsidR="003E4527">
        <w:rPr>
          <w:rFonts w:ascii="Arial" w:hAnsi="Arial" w:cs="Arial"/>
          <w:sz w:val="24"/>
          <w:szCs w:val="24"/>
        </w:rPr>
        <w:t xml:space="preserve">their rights </w:t>
      </w:r>
      <w:r w:rsidR="00D30E05">
        <w:rPr>
          <w:rFonts w:ascii="Arial" w:hAnsi="Arial" w:cs="Arial"/>
          <w:sz w:val="24"/>
          <w:szCs w:val="24"/>
        </w:rPr>
        <w:t xml:space="preserve">were </w:t>
      </w:r>
      <w:r w:rsidR="00C679D2">
        <w:rPr>
          <w:rFonts w:ascii="Arial" w:hAnsi="Arial" w:cs="Arial"/>
          <w:sz w:val="24"/>
          <w:szCs w:val="24"/>
        </w:rPr>
        <w:t>not</w:t>
      </w:r>
      <w:r w:rsidR="003E4527">
        <w:rPr>
          <w:rFonts w:ascii="Arial" w:hAnsi="Arial" w:cs="Arial"/>
          <w:sz w:val="24"/>
          <w:szCs w:val="24"/>
        </w:rPr>
        <w:t xml:space="preserve"> explained. </w:t>
      </w:r>
      <w:r w:rsidR="00C679D2">
        <w:rPr>
          <w:rFonts w:ascii="Arial" w:hAnsi="Arial" w:cs="Arial"/>
          <w:sz w:val="24"/>
          <w:szCs w:val="24"/>
        </w:rPr>
        <w:t xml:space="preserve">There is no evidence as to any alternatives put to the High Court. </w:t>
      </w:r>
      <w:r w:rsidR="003E4527">
        <w:rPr>
          <w:rFonts w:ascii="Arial" w:hAnsi="Arial" w:cs="Arial"/>
          <w:sz w:val="24"/>
          <w:szCs w:val="24"/>
        </w:rPr>
        <w:t xml:space="preserve">As is stated in </w:t>
      </w:r>
      <w:r w:rsidR="003E4527">
        <w:rPr>
          <w:rFonts w:ascii="Arial" w:hAnsi="Arial" w:cs="Arial"/>
          <w:i/>
          <w:sz w:val="24"/>
          <w:szCs w:val="24"/>
        </w:rPr>
        <w:t>Kisi</w:t>
      </w:r>
      <w:r w:rsidR="00007C7C">
        <w:rPr>
          <w:rFonts w:ascii="Arial" w:hAnsi="Arial" w:cs="Arial"/>
          <w:i/>
          <w:sz w:val="24"/>
          <w:szCs w:val="24"/>
        </w:rPr>
        <w:t>li</w:t>
      </w:r>
      <w:r w:rsidR="003E4527">
        <w:rPr>
          <w:rFonts w:ascii="Arial" w:hAnsi="Arial" w:cs="Arial"/>
          <w:i/>
          <w:sz w:val="24"/>
          <w:szCs w:val="24"/>
        </w:rPr>
        <w:t>pile</w:t>
      </w:r>
      <w:r w:rsidR="00514857">
        <w:rPr>
          <w:rFonts w:ascii="Arial" w:hAnsi="Arial" w:cs="Arial"/>
          <w:i/>
          <w:sz w:val="24"/>
          <w:szCs w:val="24"/>
        </w:rPr>
        <w:t>,</w:t>
      </w:r>
      <w:r w:rsidR="003E4527">
        <w:rPr>
          <w:rFonts w:ascii="Arial" w:hAnsi="Arial" w:cs="Arial"/>
          <w:sz w:val="24"/>
          <w:szCs w:val="24"/>
        </w:rPr>
        <w:t xml:space="preserve"> the burden is upon the app</w:t>
      </w:r>
      <w:r w:rsidR="00D30E05">
        <w:rPr>
          <w:rFonts w:ascii="Arial" w:hAnsi="Arial" w:cs="Arial"/>
          <w:sz w:val="24"/>
          <w:szCs w:val="24"/>
        </w:rPr>
        <w:t>ell</w:t>
      </w:r>
      <w:r w:rsidR="003E4527">
        <w:rPr>
          <w:rFonts w:ascii="Arial" w:hAnsi="Arial" w:cs="Arial"/>
          <w:sz w:val="24"/>
          <w:szCs w:val="24"/>
        </w:rPr>
        <w:t xml:space="preserve">ants to place material before the court concerning alternatives to a sale in execution. Where </w:t>
      </w:r>
      <w:r w:rsidR="00D30E05">
        <w:rPr>
          <w:rFonts w:ascii="Arial" w:hAnsi="Arial" w:cs="Arial"/>
          <w:sz w:val="24"/>
          <w:szCs w:val="24"/>
        </w:rPr>
        <w:t>parties</w:t>
      </w:r>
      <w:r w:rsidR="003E4527">
        <w:rPr>
          <w:rFonts w:ascii="Arial" w:hAnsi="Arial" w:cs="Arial"/>
          <w:sz w:val="24"/>
          <w:szCs w:val="24"/>
        </w:rPr>
        <w:t xml:space="preserve"> fail to oppose and</w:t>
      </w:r>
      <w:r w:rsidR="00514857">
        <w:rPr>
          <w:rFonts w:ascii="Arial" w:hAnsi="Arial" w:cs="Arial"/>
          <w:sz w:val="24"/>
          <w:szCs w:val="24"/>
        </w:rPr>
        <w:t xml:space="preserve"> furthermore</w:t>
      </w:r>
      <w:r w:rsidR="003E4527">
        <w:rPr>
          <w:rFonts w:ascii="Arial" w:hAnsi="Arial" w:cs="Arial"/>
          <w:sz w:val="24"/>
          <w:szCs w:val="24"/>
        </w:rPr>
        <w:t xml:space="preserve"> </w:t>
      </w:r>
      <w:r w:rsidR="00C679D2">
        <w:rPr>
          <w:rFonts w:ascii="Arial" w:hAnsi="Arial" w:cs="Arial"/>
          <w:sz w:val="24"/>
          <w:szCs w:val="24"/>
        </w:rPr>
        <w:t xml:space="preserve">fail to </w:t>
      </w:r>
      <w:r w:rsidR="003E4527">
        <w:rPr>
          <w:rFonts w:ascii="Arial" w:hAnsi="Arial" w:cs="Arial"/>
          <w:sz w:val="24"/>
          <w:szCs w:val="24"/>
        </w:rPr>
        <w:t xml:space="preserve">attend those proceedings, there is no material before the High Court </w:t>
      </w:r>
      <w:r w:rsidR="00514857">
        <w:rPr>
          <w:rFonts w:ascii="Arial" w:hAnsi="Arial" w:cs="Arial"/>
          <w:sz w:val="24"/>
          <w:szCs w:val="24"/>
        </w:rPr>
        <w:t>concerning</w:t>
      </w:r>
      <w:r w:rsidR="003E4527">
        <w:rPr>
          <w:rFonts w:ascii="Arial" w:hAnsi="Arial" w:cs="Arial"/>
          <w:sz w:val="24"/>
          <w:szCs w:val="24"/>
        </w:rPr>
        <w:t xml:space="preserve"> </w:t>
      </w:r>
      <w:r w:rsidR="003A5EF2">
        <w:rPr>
          <w:rFonts w:ascii="Arial" w:hAnsi="Arial" w:cs="Arial"/>
          <w:sz w:val="24"/>
          <w:szCs w:val="24"/>
        </w:rPr>
        <w:t>viable</w:t>
      </w:r>
      <w:r w:rsidR="003E4527">
        <w:rPr>
          <w:rFonts w:ascii="Arial" w:hAnsi="Arial" w:cs="Arial"/>
          <w:sz w:val="24"/>
          <w:szCs w:val="24"/>
        </w:rPr>
        <w:t xml:space="preserve"> alternatives.</w:t>
      </w:r>
      <w:r w:rsidR="00C679D2">
        <w:rPr>
          <w:rFonts w:ascii="Arial" w:hAnsi="Arial" w:cs="Arial"/>
          <w:sz w:val="24"/>
          <w:szCs w:val="24"/>
        </w:rPr>
        <w:t xml:space="preserve"> </w:t>
      </w:r>
      <w:r w:rsidR="00355132">
        <w:rPr>
          <w:rFonts w:ascii="Arial" w:hAnsi="Arial" w:cs="Arial"/>
          <w:sz w:val="24"/>
          <w:szCs w:val="24"/>
        </w:rPr>
        <w:t>Earlier c</w:t>
      </w:r>
      <w:r w:rsidR="00C679D2">
        <w:rPr>
          <w:rFonts w:ascii="Arial" w:hAnsi="Arial" w:cs="Arial"/>
          <w:sz w:val="24"/>
          <w:szCs w:val="24"/>
        </w:rPr>
        <w:t>ounsel’s concession is, on the material before this court,</w:t>
      </w:r>
      <w:r w:rsidR="00D30E05">
        <w:rPr>
          <w:rFonts w:ascii="Arial" w:hAnsi="Arial" w:cs="Arial"/>
          <w:sz w:val="24"/>
          <w:szCs w:val="24"/>
        </w:rPr>
        <w:t xml:space="preserve"> thus</w:t>
      </w:r>
      <w:r w:rsidR="00C679D2">
        <w:rPr>
          <w:rFonts w:ascii="Arial" w:hAnsi="Arial" w:cs="Arial"/>
          <w:sz w:val="24"/>
          <w:szCs w:val="24"/>
        </w:rPr>
        <w:t xml:space="preserve"> misplaced</w:t>
      </w:r>
      <w:r w:rsidR="00355132">
        <w:rPr>
          <w:rFonts w:ascii="Arial" w:hAnsi="Arial" w:cs="Arial"/>
          <w:sz w:val="24"/>
          <w:szCs w:val="24"/>
        </w:rPr>
        <w:t xml:space="preserve"> and is not binding upon the respondent</w:t>
      </w:r>
      <w:r w:rsidR="00C679D2">
        <w:rPr>
          <w:rFonts w:ascii="Arial" w:hAnsi="Arial" w:cs="Arial"/>
          <w:sz w:val="24"/>
          <w:szCs w:val="24"/>
        </w:rPr>
        <w:t xml:space="preserve">. This is quite apart from failing to discern the plainly distinguishable factual features of </w:t>
      </w:r>
      <w:r w:rsidR="00C679D2" w:rsidRPr="00C679D2">
        <w:rPr>
          <w:rFonts w:ascii="Arial" w:hAnsi="Arial" w:cs="Arial"/>
          <w:i/>
          <w:sz w:val="24"/>
          <w:szCs w:val="24"/>
        </w:rPr>
        <w:t>Kisilipile</w:t>
      </w:r>
      <w:r w:rsidR="00C679D2">
        <w:rPr>
          <w:rFonts w:ascii="Arial" w:hAnsi="Arial" w:cs="Arial"/>
          <w:sz w:val="24"/>
          <w:szCs w:val="24"/>
        </w:rPr>
        <w:t xml:space="preserve"> from this case.</w:t>
      </w:r>
    </w:p>
    <w:p w:rsidR="00355132" w:rsidRDefault="00355132" w:rsidP="00681B57">
      <w:pPr>
        <w:rPr>
          <w:rFonts w:ascii="Arial" w:hAnsi="Arial" w:cs="Arial"/>
          <w:sz w:val="24"/>
          <w:szCs w:val="24"/>
        </w:rPr>
      </w:pPr>
    </w:p>
    <w:p w:rsidR="00681B57" w:rsidRPr="00681B57" w:rsidRDefault="00681B57" w:rsidP="00681B57">
      <w:pPr>
        <w:rPr>
          <w:rFonts w:ascii="Arial" w:hAnsi="Arial" w:cs="Arial"/>
          <w:sz w:val="24"/>
          <w:szCs w:val="24"/>
          <w:u w:val="single"/>
        </w:rPr>
      </w:pPr>
      <w:r>
        <w:rPr>
          <w:rFonts w:ascii="Arial" w:hAnsi="Arial" w:cs="Arial"/>
          <w:sz w:val="24"/>
          <w:szCs w:val="24"/>
          <w:u w:val="single"/>
        </w:rPr>
        <w:t xml:space="preserve">Case </w:t>
      </w:r>
      <w:r w:rsidR="00B008BE">
        <w:rPr>
          <w:rFonts w:ascii="Arial" w:hAnsi="Arial" w:cs="Arial"/>
          <w:sz w:val="24"/>
          <w:szCs w:val="24"/>
          <w:u w:val="single"/>
        </w:rPr>
        <w:t>N</w:t>
      </w:r>
      <w:r>
        <w:rPr>
          <w:rFonts w:ascii="Arial" w:hAnsi="Arial" w:cs="Arial"/>
          <w:sz w:val="24"/>
          <w:szCs w:val="24"/>
          <w:u w:val="single"/>
        </w:rPr>
        <w:t>o</w:t>
      </w:r>
      <w:r w:rsidR="00B008BE">
        <w:rPr>
          <w:rFonts w:ascii="Arial" w:hAnsi="Arial" w:cs="Arial"/>
          <w:sz w:val="24"/>
          <w:szCs w:val="24"/>
          <w:u w:val="single"/>
        </w:rPr>
        <w:t>.</w:t>
      </w:r>
      <w:r>
        <w:rPr>
          <w:rFonts w:ascii="Arial" w:hAnsi="Arial" w:cs="Arial"/>
          <w:sz w:val="24"/>
          <w:szCs w:val="24"/>
          <w:u w:val="single"/>
        </w:rPr>
        <w:t xml:space="preserve"> SA 98/2020</w:t>
      </w: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681B57">
        <w:rPr>
          <w:rFonts w:ascii="Arial" w:hAnsi="Arial" w:cs="Arial"/>
          <w:sz w:val="24"/>
          <w:szCs w:val="24"/>
        </w:rPr>
        <w:t xml:space="preserve">In this matter judgment by default was granted on 7 December 2017 and an order declaring immovable property executable </w:t>
      </w:r>
      <w:r w:rsidR="00CB7621">
        <w:rPr>
          <w:rFonts w:ascii="Arial" w:hAnsi="Arial" w:cs="Arial"/>
          <w:sz w:val="24"/>
          <w:szCs w:val="24"/>
        </w:rPr>
        <w:t>was</w:t>
      </w:r>
      <w:r w:rsidR="00C679D2">
        <w:rPr>
          <w:rFonts w:ascii="Arial" w:hAnsi="Arial" w:cs="Arial"/>
          <w:sz w:val="24"/>
          <w:szCs w:val="24"/>
        </w:rPr>
        <w:t xml:space="preserve"> granted</w:t>
      </w:r>
      <w:r w:rsidR="00CB7621">
        <w:rPr>
          <w:rFonts w:ascii="Arial" w:hAnsi="Arial" w:cs="Arial"/>
          <w:sz w:val="24"/>
          <w:szCs w:val="24"/>
        </w:rPr>
        <w:t xml:space="preserve"> </w:t>
      </w:r>
      <w:r w:rsidR="00355132">
        <w:rPr>
          <w:rFonts w:ascii="Arial" w:hAnsi="Arial" w:cs="Arial"/>
          <w:sz w:val="24"/>
          <w:szCs w:val="24"/>
        </w:rPr>
        <w:t>on 22 May 2020. The appell</w:t>
      </w:r>
      <w:r w:rsidR="00681B57">
        <w:rPr>
          <w:rFonts w:ascii="Arial" w:hAnsi="Arial" w:cs="Arial"/>
          <w:sz w:val="24"/>
          <w:szCs w:val="24"/>
        </w:rPr>
        <w:t>ants allege that they first became aware of both judgments ‘during October 2020, as notice of the sale in execution (was published) in the local newspapers’, scheduled for 19 November 2020.</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81B57">
        <w:rPr>
          <w:rFonts w:ascii="Arial" w:hAnsi="Arial" w:cs="Arial"/>
          <w:sz w:val="24"/>
          <w:szCs w:val="24"/>
        </w:rPr>
        <w:t xml:space="preserve">A notice of appeal was </w:t>
      </w:r>
      <w:r w:rsidR="0098025E">
        <w:rPr>
          <w:rFonts w:ascii="Arial" w:hAnsi="Arial" w:cs="Arial"/>
          <w:sz w:val="24"/>
          <w:szCs w:val="24"/>
        </w:rPr>
        <w:t>filed</w:t>
      </w:r>
      <w:r w:rsidR="00681B57">
        <w:rPr>
          <w:rFonts w:ascii="Arial" w:hAnsi="Arial" w:cs="Arial"/>
          <w:sz w:val="24"/>
          <w:szCs w:val="24"/>
        </w:rPr>
        <w:t xml:space="preserve"> on 18 November 2020</w:t>
      </w:r>
      <w:r w:rsidR="00CB7621">
        <w:rPr>
          <w:rFonts w:ascii="Arial" w:hAnsi="Arial" w:cs="Arial"/>
          <w:sz w:val="24"/>
          <w:szCs w:val="24"/>
        </w:rPr>
        <w:t>,</w:t>
      </w:r>
      <w:r w:rsidR="00681B57">
        <w:rPr>
          <w:rFonts w:ascii="Arial" w:hAnsi="Arial" w:cs="Arial"/>
          <w:sz w:val="24"/>
          <w:szCs w:val="24"/>
        </w:rPr>
        <w:t xml:space="preserve"> on the very eve of the scheduled sale in execution</w:t>
      </w:r>
      <w:r w:rsidR="00355132">
        <w:rPr>
          <w:rFonts w:ascii="Arial" w:hAnsi="Arial" w:cs="Arial"/>
          <w:sz w:val="24"/>
          <w:szCs w:val="24"/>
        </w:rPr>
        <w:t xml:space="preserve"> and, as the second appellant explained in court, an hour before the sale was due to take place</w:t>
      </w:r>
      <w:r w:rsidR="008D6413">
        <w:rPr>
          <w:rFonts w:ascii="Arial" w:hAnsi="Arial" w:cs="Arial"/>
          <w:sz w:val="24"/>
          <w:szCs w:val="24"/>
        </w:rPr>
        <w:t>. It is not alleged to be a primary property of the second app</w:t>
      </w:r>
      <w:r w:rsidR="00D30E05">
        <w:rPr>
          <w:rFonts w:ascii="Arial" w:hAnsi="Arial" w:cs="Arial"/>
          <w:sz w:val="24"/>
          <w:szCs w:val="24"/>
        </w:rPr>
        <w:t>ell</w:t>
      </w:r>
      <w:r w:rsidR="008D6413">
        <w:rPr>
          <w:rFonts w:ascii="Arial" w:hAnsi="Arial" w:cs="Arial"/>
          <w:sz w:val="24"/>
          <w:szCs w:val="24"/>
        </w:rPr>
        <w:t>ant (the property being held in a close corporation being the first app</w:t>
      </w:r>
      <w:r w:rsidR="00D30E05">
        <w:rPr>
          <w:rFonts w:ascii="Arial" w:hAnsi="Arial" w:cs="Arial"/>
          <w:sz w:val="24"/>
          <w:szCs w:val="24"/>
        </w:rPr>
        <w:t>ell</w:t>
      </w:r>
      <w:r w:rsidR="008D6413">
        <w:rPr>
          <w:rFonts w:ascii="Arial" w:hAnsi="Arial" w:cs="Arial"/>
          <w:sz w:val="24"/>
          <w:szCs w:val="24"/>
        </w:rPr>
        <w:t xml:space="preserve">ant). The property is in </w:t>
      </w:r>
      <w:r w:rsidR="00C679D2">
        <w:rPr>
          <w:rFonts w:ascii="Arial" w:hAnsi="Arial" w:cs="Arial"/>
          <w:sz w:val="24"/>
          <w:szCs w:val="24"/>
        </w:rPr>
        <w:t xml:space="preserve">any event located in </w:t>
      </w:r>
      <w:r w:rsidR="00CB7621">
        <w:rPr>
          <w:rFonts w:ascii="Arial" w:hAnsi="Arial" w:cs="Arial"/>
          <w:sz w:val="24"/>
          <w:szCs w:val="24"/>
        </w:rPr>
        <w:t xml:space="preserve">a suburb of </w:t>
      </w:r>
      <w:r w:rsidR="008D6413">
        <w:rPr>
          <w:rFonts w:ascii="Arial" w:hAnsi="Arial" w:cs="Arial"/>
          <w:sz w:val="24"/>
          <w:szCs w:val="24"/>
        </w:rPr>
        <w:t>Swakopmund and the second app</w:t>
      </w:r>
      <w:r w:rsidR="00D30E05">
        <w:rPr>
          <w:rFonts w:ascii="Arial" w:hAnsi="Arial" w:cs="Arial"/>
          <w:sz w:val="24"/>
          <w:szCs w:val="24"/>
        </w:rPr>
        <w:t>ell</w:t>
      </w:r>
      <w:r w:rsidR="008D6413">
        <w:rPr>
          <w:rFonts w:ascii="Arial" w:hAnsi="Arial" w:cs="Arial"/>
          <w:sz w:val="24"/>
          <w:szCs w:val="24"/>
        </w:rPr>
        <w:t xml:space="preserve">ant’s service address is </w:t>
      </w:r>
      <w:r w:rsidR="00CB7621">
        <w:rPr>
          <w:rFonts w:ascii="Arial" w:hAnsi="Arial" w:cs="Arial"/>
          <w:sz w:val="24"/>
          <w:szCs w:val="24"/>
        </w:rPr>
        <w:t>a street address in a suburb of</w:t>
      </w:r>
      <w:r w:rsidR="008D6413">
        <w:rPr>
          <w:rFonts w:ascii="Arial" w:hAnsi="Arial" w:cs="Arial"/>
          <w:sz w:val="24"/>
          <w:szCs w:val="24"/>
        </w:rPr>
        <w:t xml:space="preserve"> Windhoek.</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D6413">
        <w:rPr>
          <w:rFonts w:ascii="Arial" w:hAnsi="Arial" w:cs="Arial"/>
          <w:sz w:val="24"/>
          <w:szCs w:val="24"/>
        </w:rPr>
        <w:t>The respondent</w:t>
      </w:r>
      <w:r w:rsidR="005E40EF">
        <w:rPr>
          <w:rFonts w:ascii="Arial" w:hAnsi="Arial" w:cs="Arial"/>
          <w:sz w:val="24"/>
          <w:szCs w:val="24"/>
        </w:rPr>
        <w:t xml:space="preserve"> in this matter has filed an opposing affidavit to the application for condonation. </w:t>
      </w:r>
      <w:r w:rsidR="00C679D2">
        <w:rPr>
          <w:rFonts w:ascii="Arial" w:hAnsi="Arial" w:cs="Arial"/>
          <w:sz w:val="24"/>
          <w:szCs w:val="24"/>
        </w:rPr>
        <w:t>T</w:t>
      </w:r>
      <w:r w:rsidR="005E40EF">
        <w:rPr>
          <w:rFonts w:ascii="Arial" w:hAnsi="Arial" w:cs="Arial"/>
          <w:sz w:val="24"/>
          <w:szCs w:val="24"/>
        </w:rPr>
        <w:t xml:space="preserve">he point is </w:t>
      </w:r>
      <w:r w:rsidR="00C679D2">
        <w:rPr>
          <w:rFonts w:ascii="Arial" w:hAnsi="Arial" w:cs="Arial"/>
          <w:sz w:val="24"/>
          <w:szCs w:val="24"/>
        </w:rPr>
        <w:t>taken</w:t>
      </w:r>
      <w:r w:rsidR="005E40EF">
        <w:rPr>
          <w:rFonts w:ascii="Arial" w:hAnsi="Arial" w:cs="Arial"/>
          <w:sz w:val="24"/>
          <w:szCs w:val="24"/>
        </w:rPr>
        <w:t xml:space="preserve"> that, apart from the statement (made in al</w:t>
      </w:r>
      <w:r w:rsidR="00CB7621">
        <w:rPr>
          <w:rFonts w:ascii="Arial" w:hAnsi="Arial" w:cs="Arial"/>
          <w:sz w:val="24"/>
          <w:szCs w:val="24"/>
        </w:rPr>
        <w:t>l</w:t>
      </w:r>
      <w:r w:rsidR="005E40EF">
        <w:rPr>
          <w:rFonts w:ascii="Arial" w:hAnsi="Arial" w:cs="Arial"/>
          <w:sz w:val="24"/>
          <w:szCs w:val="24"/>
        </w:rPr>
        <w:t xml:space="preserve"> the applications)</w:t>
      </w:r>
      <w:r w:rsidR="008E6024">
        <w:rPr>
          <w:rFonts w:ascii="Arial" w:hAnsi="Arial" w:cs="Arial"/>
          <w:sz w:val="24"/>
          <w:szCs w:val="24"/>
        </w:rPr>
        <w:t>,</w:t>
      </w:r>
      <w:r w:rsidR="005E40EF">
        <w:rPr>
          <w:rFonts w:ascii="Arial" w:hAnsi="Arial" w:cs="Arial"/>
          <w:sz w:val="24"/>
          <w:szCs w:val="24"/>
        </w:rPr>
        <w:t xml:space="preserve"> the app</w:t>
      </w:r>
      <w:r w:rsidR="00D30E05">
        <w:rPr>
          <w:rFonts w:ascii="Arial" w:hAnsi="Arial" w:cs="Arial"/>
          <w:sz w:val="24"/>
          <w:szCs w:val="24"/>
        </w:rPr>
        <w:t>ell</w:t>
      </w:r>
      <w:r w:rsidR="005E40EF">
        <w:rPr>
          <w:rFonts w:ascii="Arial" w:hAnsi="Arial" w:cs="Arial"/>
          <w:sz w:val="24"/>
          <w:szCs w:val="24"/>
        </w:rPr>
        <w:t xml:space="preserve">ants are lay litigants, no explanation whatever is provided for the extensive delays in filing the application for condonation. It was also pointed out that the sale in execution </w:t>
      </w:r>
      <w:r w:rsidR="00CB7621">
        <w:rPr>
          <w:rFonts w:ascii="Arial" w:hAnsi="Arial" w:cs="Arial"/>
          <w:sz w:val="24"/>
          <w:szCs w:val="24"/>
        </w:rPr>
        <w:t>had gone ahead</w:t>
      </w:r>
      <w:r w:rsidR="005E40EF">
        <w:rPr>
          <w:rFonts w:ascii="Arial" w:hAnsi="Arial" w:cs="Arial"/>
          <w:sz w:val="24"/>
          <w:szCs w:val="24"/>
        </w:rPr>
        <w:t xml:space="preserve"> as there was no appeal pending</w:t>
      </w:r>
      <w:r w:rsidR="00D30E05">
        <w:rPr>
          <w:rFonts w:ascii="Arial" w:hAnsi="Arial" w:cs="Arial"/>
          <w:sz w:val="24"/>
          <w:szCs w:val="24"/>
        </w:rPr>
        <w:t>,</w:t>
      </w:r>
      <w:r w:rsidR="005E40EF">
        <w:rPr>
          <w:rFonts w:ascii="Arial" w:hAnsi="Arial" w:cs="Arial"/>
          <w:sz w:val="24"/>
          <w:szCs w:val="24"/>
        </w:rPr>
        <w:t xml:space="preserve"> given the failure</w:t>
      </w:r>
      <w:r w:rsidR="00CB7621">
        <w:rPr>
          <w:rFonts w:ascii="Arial" w:hAnsi="Arial" w:cs="Arial"/>
          <w:sz w:val="24"/>
          <w:szCs w:val="24"/>
        </w:rPr>
        <w:t xml:space="preserve"> on the part of the app</w:t>
      </w:r>
      <w:r w:rsidR="00D30E05">
        <w:rPr>
          <w:rFonts w:ascii="Arial" w:hAnsi="Arial" w:cs="Arial"/>
          <w:sz w:val="24"/>
          <w:szCs w:val="24"/>
        </w:rPr>
        <w:t>ell</w:t>
      </w:r>
      <w:r w:rsidR="00CB7621">
        <w:rPr>
          <w:rFonts w:ascii="Arial" w:hAnsi="Arial" w:cs="Arial"/>
          <w:sz w:val="24"/>
          <w:szCs w:val="24"/>
        </w:rPr>
        <w:t xml:space="preserve">ants </w:t>
      </w:r>
      <w:r w:rsidR="005E40EF">
        <w:rPr>
          <w:rFonts w:ascii="Arial" w:hAnsi="Arial" w:cs="Arial"/>
          <w:sz w:val="24"/>
          <w:szCs w:val="24"/>
        </w:rPr>
        <w:t xml:space="preserve">to comply with the rules of this court. This was conveyed </w:t>
      </w:r>
      <w:r w:rsidR="00C679D2">
        <w:rPr>
          <w:rFonts w:ascii="Arial" w:hAnsi="Arial" w:cs="Arial"/>
          <w:sz w:val="24"/>
          <w:szCs w:val="24"/>
        </w:rPr>
        <w:t xml:space="preserve">in an email </w:t>
      </w:r>
      <w:r w:rsidR="005E40EF">
        <w:rPr>
          <w:rFonts w:ascii="Arial" w:hAnsi="Arial" w:cs="Arial"/>
          <w:sz w:val="24"/>
          <w:szCs w:val="24"/>
        </w:rPr>
        <w:t xml:space="preserve">to a lay person </w:t>
      </w:r>
      <w:r w:rsidR="00CB7621">
        <w:rPr>
          <w:rFonts w:ascii="Arial" w:hAnsi="Arial" w:cs="Arial"/>
          <w:sz w:val="24"/>
          <w:szCs w:val="24"/>
        </w:rPr>
        <w:t xml:space="preserve">styled as a paralegal </w:t>
      </w:r>
      <w:r w:rsidR="005E40EF">
        <w:rPr>
          <w:rFonts w:ascii="Arial" w:hAnsi="Arial" w:cs="Arial"/>
          <w:sz w:val="24"/>
          <w:szCs w:val="24"/>
        </w:rPr>
        <w:t>purporting to act on behalf of the app</w:t>
      </w:r>
      <w:r w:rsidR="00D30E05">
        <w:rPr>
          <w:rFonts w:ascii="Arial" w:hAnsi="Arial" w:cs="Arial"/>
          <w:sz w:val="24"/>
          <w:szCs w:val="24"/>
        </w:rPr>
        <w:t>ell</w:t>
      </w:r>
      <w:r w:rsidR="005E40EF">
        <w:rPr>
          <w:rFonts w:ascii="Arial" w:hAnsi="Arial" w:cs="Arial"/>
          <w:sz w:val="24"/>
          <w:szCs w:val="24"/>
        </w:rPr>
        <w:t>ants</w:t>
      </w:r>
      <w:r w:rsidR="00CB7621">
        <w:rPr>
          <w:rFonts w:ascii="Arial" w:hAnsi="Arial" w:cs="Arial"/>
          <w:sz w:val="24"/>
          <w:szCs w:val="24"/>
        </w:rPr>
        <w:t xml:space="preserve"> in correspondence with the respondent</w:t>
      </w:r>
      <w:r w:rsidR="00C679D2">
        <w:rPr>
          <w:rFonts w:ascii="Arial" w:hAnsi="Arial" w:cs="Arial"/>
          <w:sz w:val="24"/>
          <w:szCs w:val="24"/>
        </w:rPr>
        <w:t>’</w:t>
      </w:r>
      <w:r w:rsidR="00CB7621">
        <w:rPr>
          <w:rFonts w:ascii="Arial" w:hAnsi="Arial" w:cs="Arial"/>
          <w:sz w:val="24"/>
          <w:szCs w:val="24"/>
        </w:rPr>
        <w:t>s legal practitioners</w:t>
      </w:r>
      <w:r w:rsidR="005E40EF">
        <w:rPr>
          <w:rFonts w:ascii="Arial" w:hAnsi="Arial" w:cs="Arial"/>
          <w:sz w:val="24"/>
          <w:szCs w:val="24"/>
        </w:rPr>
        <w:t>.</w:t>
      </w:r>
      <w:r w:rsidR="00CB7621">
        <w:rPr>
          <w:rFonts w:ascii="Arial" w:hAnsi="Arial" w:cs="Arial"/>
          <w:sz w:val="24"/>
          <w:szCs w:val="24"/>
        </w:rPr>
        <w:t xml:space="preserve"> The opposing affidavit states that the respondent’s practitioners were properly </w:t>
      </w:r>
      <w:r w:rsidR="00C679D2">
        <w:rPr>
          <w:rFonts w:ascii="Arial" w:hAnsi="Arial" w:cs="Arial"/>
          <w:sz w:val="24"/>
          <w:szCs w:val="24"/>
        </w:rPr>
        <w:t>man</w:t>
      </w:r>
      <w:r w:rsidR="00CB7621">
        <w:rPr>
          <w:rFonts w:ascii="Arial" w:hAnsi="Arial" w:cs="Arial"/>
          <w:sz w:val="24"/>
          <w:szCs w:val="24"/>
        </w:rPr>
        <w:t>dated throughout the proceedings. No replying affidavit was filed taking issue with the facts set out in the opposing affidavit.</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5E40EF">
        <w:rPr>
          <w:rFonts w:ascii="Arial" w:hAnsi="Arial" w:cs="Arial"/>
          <w:sz w:val="24"/>
          <w:szCs w:val="24"/>
        </w:rPr>
        <w:t>In heads of argument filed on behalf of the respondent, it was pointed out that the property in question was on 20 April 2021 transferred to the purchase</w:t>
      </w:r>
      <w:r w:rsidR="00C679D2">
        <w:rPr>
          <w:rFonts w:ascii="Arial" w:hAnsi="Arial" w:cs="Arial"/>
          <w:sz w:val="24"/>
          <w:szCs w:val="24"/>
        </w:rPr>
        <w:t>r</w:t>
      </w:r>
      <w:r w:rsidR="005E40EF">
        <w:rPr>
          <w:rFonts w:ascii="Arial" w:hAnsi="Arial" w:cs="Arial"/>
          <w:sz w:val="24"/>
          <w:szCs w:val="24"/>
        </w:rPr>
        <w:t xml:space="preserve"> (at the sale in execution). It was also pointed out that the original writ and rule 108 application was served on the second </w:t>
      </w:r>
      <w:r w:rsidR="003A5EF2">
        <w:rPr>
          <w:rFonts w:ascii="Arial" w:hAnsi="Arial" w:cs="Arial"/>
          <w:sz w:val="24"/>
          <w:szCs w:val="24"/>
        </w:rPr>
        <w:t>appellant</w:t>
      </w:r>
      <w:r w:rsidR="005E40EF">
        <w:rPr>
          <w:rFonts w:ascii="Arial" w:hAnsi="Arial" w:cs="Arial"/>
          <w:sz w:val="24"/>
          <w:szCs w:val="24"/>
        </w:rPr>
        <w:t xml:space="preserve"> personally on 14 January 2020,</w:t>
      </w:r>
      <w:r w:rsidR="00C679D2">
        <w:rPr>
          <w:rFonts w:ascii="Arial" w:hAnsi="Arial" w:cs="Arial"/>
          <w:sz w:val="24"/>
          <w:szCs w:val="24"/>
        </w:rPr>
        <w:t xml:space="preserve"> in</w:t>
      </w:r>
      <w:r w:rsidR="005E40EF">
        <w:rPr>
          <w:rFonts w:ascii="Arial" w:hAnsi="Arial" w:cs="Arial"/>
          <w:sz w:val="24"/>
          <w:szCs w:val="24"/>
        </w:rPr>
        <w:t xml:space="preserve"> </w:t>
      </w:r>
      <w:r w:rsidR="00CB7621">
        <w:rPr>
          <w:rFonts w:ascii="Arial" w:hAnsi="Arial" w:cs="Arial"/>
          <w:sz w:val="24"/>
          <w:szCs w:val="24"/>
        </w:rPr>
        <w:t xml:space="preserve">direct </w:t>
      </w:r>
      <w:r w:rsidR="00CC0E37">
        <w:rPr>
          <w:rFonts w:ascii="Arial" w:hAnsi="Arial" w:cs="Arial"/>
          <w:sz w:val="24"/>
          <w:szCs w:val="24"/>
        </w:rPr>
        <w:t>contra</w:t>
      </w:r>
      <w:r w:rsidR="00C679D2">
        <w:rPr>
          <w:rFonts w:ascii="Arial" w:hAnsi="Arial" w:cs="Arial"/>
          <w:sz w:val="24"/>
          <w:szCs w:val="24"/>
        </w:rPr>
        <w:t>st</w:t>
      </w:r>
      <w:r w:rsidR="00CC0E37">
        <w:rPr>
          <w:rFonts w:ascii="Arial" w:hAnsi="Arial" w:cs="Arial"/>
          <w:sz w:val="24"/>
          <w:szCs w:val="24"/>
        </w:rPr>
        <w:t xml:space="preserve"> to</w:t>
      </w:r>
      <w:r w:rsidR="005E40EF">
        <w:rPr>
          <w:rFonts w:ascii="Arial" w:hAnsi="Arial" w:cs="Arial"/>
          <w:sz w:val="24"/>
          <w:szCs w:val="24"/>
        </w:rPr>
        <w:t xml:space="preserve"> his protestations </w:t>
      </w:r>
      <w:r w:rsidR="00C679D2">
        <w:rPr>
          <w:rFonts w:ascii="Arial" w:hAnsi="Arial" w:cs="Arial"/>
          <w:sz w:val="24"/>
          <w:szCs w:val="24"/>
        </w:rPr>
        <w:t xml:space="preserve">to the contrary made </w:t>
      </w:r>
      <w:r w:rsidR="005E40EF">
        <w:rPr>
          <w:rFonts w:ascii="Arial" w:hAnsi="Arial" w:cs="Arial"/>
          <w:sz w:val="24"/>
          <w:szCs w:val="24"/>
        </w:rPr>
        <w:t>under oath of ignorance of the proceedings. It was also pointed out that the sale of execution was advertised in the Government Gazette on 6 November 2020 and in local newspapers on 10 and 11 November 2020 and not in October 2020 as alleged.</w:t>
      </w:r>
    </w:p>
    <w:p w:rsidR="005E40EF" w:rsidRDefault="005E40EF" w:rsidP="005E40EF">
      <w:pPr>
        <w:pStyle w:val="ListParagraph"/>
        <w:rPr>
          <w:rFonts w:ascii="Arial" w:hAnsi="Arial" w:cs="Arial"/>
          <w:sz w:val="24"/>
          <w:szCs w:val="24"/>
        </w:rPr>
      </w:pPr>
    </w:p>
    <w:p w:rsidR="0025700A" w:rsidRDefault="00C979E0" w:rsidP="00C979E0">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E40EF">
        <w:rPr>
          <w:rFonts w:ascii="Arial" w:hAnsi="Arial" w:cs="Arial"/>
          <w:sz w:val="24"/>
          <w:szCs w:val="24"/>
        </w:rPr>
        <w:t>It was contended by the respondent that the version of the second app</w:t>
      </w:r>
      <w:r w:rsidR="00D30E05">
        <w:rPr>
          <w:rFonts w:ascii="Arial" w:hAnsi="Arial" w:cs="Arial"/>
          <w:sz w:val="24"/>
          <w:szCs w:val="24"/>
        </w:rPr>
        <w:t>ell</w:t>
      </w:r>
      <w:r w:rsidR="005E40EF">
        <w:rPr>
          <w:rFonts w:ascii="Arial" w:hAnsi="Arial" w:cs="Arial"/>
          <w:sz w:val="24"/>
          <w:szCs w:val="24"/>
        </w:rPr>
        <w:t xml:space="preserve">ant was </w:t>
      </w:r>
      <w:r w:rsidR="00C679D2">
        <w:rPr>
          <w:rFonts w:ascii="Arial" w:hAnsi="Arial" w:cs="Arial"/>
          <w:sz w:val="24"/>
          <w:szCs w:val="24"/>
        </w:rPr>
        <w:t xml:space="preserve">grievously </w:t>
      </w:r>
      <w:r w:rsidR="005E40EF">
        <w:rPr>
          <w:rFonts w:ascii="Arial" w:hAnsi="Arial" w:cs="Arial"/>
          <w:sz w:val="24"/>
          <w:szCs w:val="24"/>
        </w:rPr>
        <w:t>unsatisfactory, c</w:t>
      </w:r>
      <w:r w:rsidR="0025700A">
        <w:rPr>
          <w:rFonts w:ascii="Arial" w:hAnsi="Arial" w:cs="Arial"/>
          <w:sz w:val="24"/>
          <w:szCs w:val="24"/>
        </w:rPr>
        <w:t xml:space="preserve">ompounded by creating a false impression concerning </w:t>
      </w:r>
      <w:r w:rsidR="00C679D2">
        <w:rPr>
          <w:rFonts w:ascii="Arial" w:hAnsi="Arial" w:cs="Arial"/>
          <w:sz w:val="24"/>
          <w:szCs w:val="24"/>
        </w:rPr>
        <w:t xml:space="preserve">lack of </w:t>
      </w:r>
      <w:r w:rsidR="0025700A">
        <w:rPr>
          <w:rFonts w:ascii="Arial" w:hAnsi="Arial" w:cs="Arial"/>
          <w:sz w:val="24"/>
          <w:szCs w:val="24"/>
        </w:rPr>
        <w:t>knowledge of the default judgment and that the explanation was glaring</w:t>
      </w:r>
      <w:r w:rsidR="00CC0E37">
        <w:rPr>
          <w:rFonts w:ascii="Arial" w:hAnsi="Arial" w:cs="Arial"/>
          <w:sz w:val="24"/>
          <w:szCs w:val="24"/>
        </w:rPr>
        <w:t>,</w:t>
      </w:r>
      <w:r w:rsidR="0025700A">
        <w:rPr>
          <w:rFonts w:ascii="Arial" w:hAnsi="Arial" w:cs="Arial"/>
          <w:sz w:val="24"/>
          <w:szCs w:val="24"/>
        </w:rPr>
        <w:t xml:space="preserve"> flagrant and inexplicable. It was also argued that the notice of appeal is defective and that there would be no prospects of success</w:t>
      </w:r>
      <w:r w:rsidR="00CC0E37">
        <w:rPr>
          <w:rFonts w:ascii="Arial" w:hAnsi="Arial" w:cs="Arial"/>
          <w:sz w:val="24"/>
          <w:szCs w:val="24"/>
        </w:rPr>
        <w:t xml:space="preserve"> and that the notice of appeal and application for condonation amounted to </w:t>
      </w:r>
      <w:r w:rsidR="00D30E05">
        <w:rPr>
          <w:rFonts w:ascii="Arial" w:hAnsi="Arial" w:cs="Arial"/>
          <w:sz w:val="24"/>
          <w:szCs w:val="24"/>
        </w:rPr>
        <w:t>an attempt</w:t>
      </w:r>
      <w:r w:rsidR="00CC0E37">
        <w:rPr>
          <w:rFonts w:ascii="Arial" w:hAnsi="Arial" w:cs="Arial"/>
          <w:sz w:val="24"/>
          <w:szCs w:val="24"/>
        </w:rPr>
        <w:t xml:space="preserve"> to delay execution</w:t>
      </w:r>
      <w:r w:rsidR="0025700A">
        <w:rPr>
          <w:rFonts w:ascii="Arial" w:hAnsi="Arial" w:cs="Arial"/>
          <w:sz w:val="24"/>
          <w:szCs w:val="24"/>
        </w:rPr>
        <w:t>.</w:t>
      </w:r>
    </w:p>
    <w:p w:rsidR="00355132" w:rsidRDefault="00355132" w:rsidP="00355132">
      <w:pPr>
        <w:pStyle w:val="ListParagraph"/>
        <w:rPr>
          <w:rFonts w:ascii="Arial" w:hAnsi="Arial" w:cs="Arial"/>
          <w:sz w:val="24"/>
          <w:szCs w:val="24"/>
        </w:rPr>
      </w:pPr>
    </w:p>
    <w:p w:rsidR="00355132" w:rsidRDefault="00C979E0" w:rsidP="00C979E0">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55132">
        <w:rPr>
          <w:rFonts w:ascii="Arial" w:hAnsi="Arial" w:cs="Arial"/>
          <w:sz w:val="24"/>
          <w:szCs w:val="24"/>
        </w:rPr>
        <w:t>The second appellant who attended the proceedings acknowledged that the house had been sold but</w:t>
      </w:r>
      <w:r w:rsidR="00E91815">
        <w:rPr>
          <w:rFonts w:ascii="Arial" w:hAnsi="Arial" w:cs="Arial"/>
          <w:sz w:val="24"/>
          <w:szCs w:val="24"/>
        </w:rPr>
        <w:t xml:space="preserve"> said he</w:t>
      </w:r>
      <w:r w:rsidR="00355132">
        <w:rPr>
          <w:rFonts w:ascii="Arial" w:hAnsi="Arial" w:cs="Arial"/>
          <w:sz w:val="24"/>
          <w:szCs w:val="24"/>
        </w:rPr>
        <w:t xml:space="preserve"> had been advised by the paralegal (Mr Afrikaner) that his notice of appeal</w:t>
      </w:r>
      <w:r w:rsidR="00E91815">
        <w:rPr>
          <w:rFonts w:ascii="Arial" w:hAnsi="Arial" w:cs="Arial"/>
          <w:sz w:val="24"/>
          <w:szCs w:val="24"/>
        </w:rPr>
        <w:t xml:space="preserve"> filed immediately</w:t>
      </w:r>
      <w:r w:rsidR="00355132">
        <w:rPr>
          <w:rFonts w:ascii="Arial" w:hAnsi="Arial" w:cs="Arial"/>
          <w:sz w:val="24"/>
          <w:szCs w:val="24"/>
        </w:rPr>
        <w:t xml:space="preserve"> prior to the sale would suspend execution of the judgment. It was explained to him that the advice given to him (as well as</w:t>
      </w:r>
      <w:r w:rsidR="00E91815">
        <w:rPr>
          <w:rFonts w:ascii="Arial" w:hAnsi="Arial" w:cs="Arial"/>
          <w:sz w:val="24"/>
          <w:szCs w:val="24"/>
        </w:rPr>
        <w:t xml:space="preserve"> to</w:t>
      </w:r>
      <w:r w:rsidR="00355132">
        <w:rPr>
          <w:rFonts w:ascii="Arial" w:hAnsi="Arial" w:cs="Arial"/>
          <w:sz w:val="24"/>
          <w:szCs w:val="24"/>
        </w:rPr>
        <w:t xml:space="preserve"> the other appellants) was clearly wrong. The rules of this court make it clear that if an appellant fails to lodge the appeal record within </w:t>
      </w:r>
      <w:r w:rsidR="008E6024">
        <w:rPr>
          <w:rFonts w:ascii="Arial" w:hAnsi="Arial" w:cs="Arial"/>
          <w:sz w:val="24"/>
          <w:szCs w:val="24"/>
        </w:rPr>
        <w:t>three</w:t>
      </w:r>
      <w:r w:rsidR="00355132">
        <w:rPr>
          <w:rFonts w:ascii="Arial" w:hAnsi="Arial" w:cs="Arial"/>
          <w:sz w:val="24"/>
          <w:szCs w:val="24"/>
        </w:rPr>
        <w:t xml:space="preserve"> months of the judgment or order</w:t>
      </w:r>
      <w:r w:rsidR="00E91815">
        <w:rPr>
          <w:rFonts w:ascii="Arial" w:hAnsi="Arial" w:cs="Arial"/>
          <w:sz w:val="24"/>
          <w:szCs w:val="24"/>
        </w:rPr>
        <w:t xml:space="preserve"> appealed</w:t>
      </w:r>
      <w:r w:rsidR="00355132">
        <w:rPr>
          <w:rFonts w:ascii="Arial" w:hAnsi="Arial" w:cs="Arial"/>
          <w:sz w:val="24"/>
          <w:szCs w:val="24"/>
        </w:rPr>
        <w:t xml:space="preserve"> against, the suspension of any order of the court appealed from is considered lifted.</w:t>
      </w:r>
      <w:r w:rsidR="00355132">
        <w:rPr>
          <w:rStyle w:val="FootnoteReference"/>
          <w:rFonts w:ascii="Arial" w:hAnsi="Arial" w:cs="Arial"/>
          <w:sz w:val="24"/>
          <w:szCs w:val="24"/>
        </w:rPr>
        <w:footnoteReference w:id="3"/>
      </w:r>
      <w:r w:rsidR="00355132">
        <w:rPr>
          <w:rFonts w:ascii="Arial" w:hAnsi="Arial" w:cs="Arial"/>
          <w:sz w:val="24"/>
          <w:szCs w:val="24"/>
        </w:rPr>
        <w:t xml:space="preserve"> The second appellant also referred to the hardship facing judgment debtors when financial institutions foreclose on security over their houses and </w:t>
      </w:r>
      <w:r w:rsidR="00E91815">
        <w:rPr>
          <w:rFonts w:ascii="Arial" w:hAnsi="Arial" w:cs="Arial"/>
          <w:sz w:val="24"/>
          <w:szCs w:val="24"/>
        </w:rPr>
        <w:t xml:space="preserve">he </w:t>
      </w:r>
      <w:r w:rsidR="00E91815">
        <w:rPr>
          <w:rFonts w:ascii="Arial" w:hAnsi="Arial" w:cs="Arial"/>
          <w:sz w:val="24"/>
          <w:szCs w:val="24"/>
        </w:rPr>
        <w:lastRenderedPageBreak/>
        <w:t>urged</w:t>
      </w:r>
      <w:r w:rsidR="00355132">
        <w:rPr>
          <w:rFonts w:ascii="Arial" w:hAnsi="Arial" w:cs="Arial"/>
          <w:sz w:val="24"/>
          <w:szCs w:val="24"/>
        </w:rPr>
        <w:t xml:space="preserve"> this court to exercise judicial oversight over that </w:t>
      </w:r>
      <w:r w:rsidR="00355132" w:rsidRPr="00781885">
        <w:rPr>
          <w:rFonts w:ascii="Arial" w:hAnsi="Arial" w:cs="Arial"/>
          <w:sz w:val="24"/>
          <w:szCs w:val="24"/>
        </w:rPr>
        <w:t>process. The second appellant was referred to the provisions of rule 108 of the High Court rules which</w:t>
      </w:r>
      <w:r w:rsidR="00355132">
        <w:rPr>
          <w:rFonts w:ascii="Arial" w:hAnsi="Arial" w:cs="Arial"/>
          <w:sz w:val="24"/>
          <w:szCs w:val="24"/>
        </w:rPr>
        <w:t xml:space="preserve"> make</w:t>
      </w:r>
      <w:r w:rsidR="00E91815">
        <w:rPr>
          <w:rFonts w:ascii="Arial" w:hAnsi="Arial" w:cs="Arial"/>
          <w:sz w:val="24"/>
          <w:szCs w:val="24"/>
        </w:rPr>
        <w:t>s</w:t>
      </w:r>
      <w:r w:rsidR="00355132">
        <w:rPr>
          <w:rFonts w:ascii="Arial" w:hAnsi="Arial" w:cs="Arial"/>
          <w:sz w:val="24"/>
          <w:szCs w:val="24"/>
        </w:rPr>
        <w:t xml:space="preserve"> specific provision for such oversight</w:t>
      </w:r>
      <w:r w:rsidR="00E91815">
        <w:rPr>
          <w:rFonts w:ascii="Arial" w:hAnsi="Arial" w:cs="Arial"/>
          <w:sz w:val="24"/>
          <w:szCs w:val="24"/>
        </w:rPr>
        <w:t xml:space="preserve"> to be exercised by the High Court</w:t>
      </w:r>
      <w:r w:rsidR="00355132">
        <w:rPr>
          <w:rFonts w:ascii="Arial" w:hAnsi="Arial" w:cs="Arial"/>
          <w:sz w:val="24"/>
          <w:szCs w:val="24"/>
        </w:rPr>
        <w:t>.</w:t>
      </w:r>
    </w:p>
    <w:p w:rsidR="00E91815" w:rsidRDefault="00E91815" w:rsidP="00E91815">
      <w:pPr>
        <w:pStyle w:val="ListParagraph"/>
        <w:rPr>
          <w:rFonts w:ascii="Arial" w:hAnsi="Arial" w:cs="Arial"/>
          <w:sz w:val="24"/>
          <w:szCs w:val="24"/>
        </w:rPr>
      </w:pPr>
    </w:p>
    <w:p w:rsidR="00E91815" w:rsidRPr="00766B22" w:rsidRDefault="00E91815" w:rsidP="00E91815">
      <w:pPr>
        <w:rPr>
          <w:rFonts w:ascii="Arial" w:hAnsi="Arial" w:cs="Arial"/>
          <w:sz w:val="24"/>
          <w:szCs w:val="24"/>
          <w:u w:val="single"/>
        </w:rPr>
      </w:pPr>
      <w:r>
        <w:rPr>
          <w:rFonts w:ascii="Arial" w:hAnsi="Arial" w:cs="Arial"/>
          <w:sz w:val="24"/>
          <w:szCs w:val="24"/>
          <w:u w:val="single"/>
        </w:rPr>
        <w:t>Case No. SA 94/2020</w:t>
      </w:r>
    </w:p>
    <w:p w:rsidR="00E91815" w:rsidRPr="00E91815" w:rsidRDefault="00C979E0" w:rsidP="00C979E0">
      <w:pPr>
        <w:pStyle w:val="NoSpacing"/>
        <w:spacing w:line="480" w:lineRule="auto"/>
        <w:jc w:val="both"/>
        <w:rPr>
          <w:rFonts w:ascii="Arial" w:hAnsi="Arial" w:cs="Arial"/>
          <w:sz w:val="24"/>
          <w:szCs w:val="24"/>
        </w:rPr>
      </w:pPr>
      <w:r w:rsidRPr="00E91815">
        <w:rPr>
          <w:rFonts w:ascii="Arial" w:hAnsi="Arial" w:cs="Arial"/>
          <w:sz w:val="24"/>
          <w:szCs w:val="24"/>
        </w:rPr>
        <w:t>[27]</w:t>
      </w:r>
      <w:r w:rsidRPr="00E91815">
        <w:rPr>
          <w:rFonts w:ascii="Arial" w:hAnsi="Arial" w:cs="Arial"/>
          <w:sz w:val="24"/>
          <w:szCs w:val="24"/>
        </w:rPr>
        <w:tab/>
      </w:r>
      <w:r w:rsidR="00E91815">
        <w:rPr>
          <w:rFonts w:ascii="Arial" w:hAnsi="Arial" w:cs="Arial"/>
          <w:sz w:val="24"/>
          <w:szCs w:val="24"/>
        </w:rPr>
        <w:t xml:space="preserve">In this matter, the appellants merely state that the combined summons was served on them ‘during 2020’. They state that judgment by default was granted against them on 11 May 2020 and that they first became aware of it on 19 October 2020 when they saw an advertisement in local newspapers advertising the sale in execution on 4 November 2020. Their notice of appeal and condonation application were signed </w:t>
      </w:r>
      <w:r w:rsidR="008E6024">
        <w:rPr>
          <w:rFonts w:ascii="Arial" w:hAnsi="Arial" w:cs="Arial"/>
          <w:sz w:val="24"/>
          <w:szCs w:val="24"/>
        </w:rPr>
        <w:t xml:space="preserve">on </w:t>
      </w:r>
      <w:r w:rsidR="00E91815">
        <w:rPr>
          <w:rFonts w:ascii="Arial" w:hAnsi="Arial" w:cs="Arial"/>
          <w:sz w:val="24"/>
          <w:szCs w:val="24"/>
        </w:rPr>
        <w:t>28 October 2020 in Tsumeb and served on</w:t>
      </w:r>
      <w:r w:rsidR="008E6024">
        <w:rPr>
          <w:rFonts w:ascii="Arial" w:hAnsi="Arial" w:cs="Arial"/>
          <w:sz w:val="24"/>
          <w:szCs w:val="24"/>
        </w:rPr>
        <w:t xml:space="preserve"> the</w:t>
      </w:r>
      <w:r w:rsidR="00E91815">
        <w:rPr>
          <w:rFonts w:ascii="Arial" w:hAnsi="Arial" w:cs="Arial"/>
          <w:sz w:val="24"/>
          <w:szCs w:val="24"/>
        </w:rPr>
        <w:t xml:space="preserve"> respondent on 29 October 2020 and filed in this court on 2 November 2020. There is no allegation that the secured immovable property situated in Rehoboth is their primary home although they confirmed this at the hearing and said they </w:t>
      </w:r>
      <w:r w:rsidR="00351789">
        <w:rPr>
          <w:rFonts w:ascii="Arial" w:hAnsi="Arial" w:cs="Arial"/>
          <w:sz w:val="24"/>
          <w:szCs w:val="24"/>
        </w:rPr>
        <w:t xml:space="preserve">had </w:t>
      </w:r>
      <w:r w:rsidR="00E91815">
        <w:rPr>
          <w:rFonts w:ascii="Arial" w:hAnsi="Arial" w:cs="Arial"/>
          <w:sz w:val="24"/>
          <w:szCs w:val="24"/>
        </w:rPr>
        <w:t xml:space="preserve">taken up work on </w:t>
      </w:r>
      <w:r w:rsidR="008E6024">
        <w:rPr>
          <w:rFonts w:ascii="Arial" w:hAnsi="Arial" w:cs="Arial"/>
          <w:sz w:val="24"/>
          <w:szCs w:val="24"/>
        </w:rPr>
        <w:t xml:space="preserve">a </w:t>
      </w:r>
      <w:r w:rsidR="00E91815">
        <w:rPr>
          <w:rFonts w:ascii="Arial" w:hAnsi="Arial" w:cs="Arial"/>
          <w:sz w:val="24"/>
          <w:szCs w:val="24"/>
        </w:rPr>
        <w:t xml:space="preserve">farm in Tsumeb district after losing employment. Despite the passage of more than </w:t>
      </w:r>
      <w:r w:rsidR="008E6024">
        <w:rPr>
          <w:rFonts w:ascii="Arial" w:hAnsi="Arial" w:cs="Arial"/>
          <w:sz w:val="24"/>
          <w:szCs w:val="24"/>
        </w:rPr>
        <w:t>11</w:t>
      </w:r>
      <w:r w:rsidR="00E91815">
        <w:rPr>
          <w:rFonts w:ascii="Arial" w:hAnsi="Arial" w:cs="Arial"/>
          <w:sz w:val="24"/>
          <w:szCs w:val="24"/>
        </w:rPr>
        <w:t xml:space="preserve"> months, since filing their notice of appeal and condonation application, no record or security has been lodged.</w:t>
      </w:r>
    </w:p>
    <w:p w:rsidR="0098025E" w:rsidRDefault="0098025E" w:rsidP="0025700A">
      <w:pPr>
        <w:rPr>
          <w:rFonts w:ascii="Arial" w:hAnsi="Arial" w:cs="Arial"/>
          <w:sz w:val="24"/>
          <w:szCs w:val="24"/>
          <w:u w:val="single"/>
        </w:rPr>
      </w:pPr>
    </w:p>
    <w:p w:rsidR="0025700A" w:rsidRPr="0025700A" w:rsidRDefault="0025700A" w:rsidP="0025700A">
      <w:pPr>
        <w:rPr>
          <w:rFonts w:ascii="Arial" w:hAnsi="Arial" w:cs="Arial"/>
          <w:sz w:val="24"/>
          <w:szCs w:val="24"/>
          <w:u w:val="single"/>
        </w:rPr>
      </w:pPr>
      <w:r>
        <w:rPr>
          <w:rFonts w:ascii="Arial" w:hAnsi="Arial" w:cs="Arial"/>
          <w:sz w:val="24"/>
          <w:szCs w:val="24"/>
          <w:u w:val="single"/>
        </w:rPr>
        <w:t xml:space="preserve">Case </w:t>
      </w:r>
      <w:r w:rsidR="00B008BE">
        <w:rPr>
          <w:rFonts w:ascii="Arial" w:hAnsi="Arial" w:cs="Arial"/>
          <w:sz w:val="24"/>
          <w:szCs w:val="24"/>
          <w:u w:val="single"/>
        </w:rPr>
        <w:t>N</w:t>
      </w:r>
      <w:r>
        <w:rPr>
          <w:rFonts w:ascii="Arial" w:hAnsi="Arial" w:cs="Arial"/>
          <w:sz w:val="24"/>
          <w:szCs w:val="24"/>
          <w:u w:val="single"/>
        </w:rPr>
        <w:t>o</w:t>
      </w:r>
      <w:r w:rsidR="00B008BE">
        <w:rPr>
          <w:rFonts w:ascii="Arial" w:hAnsi="Arial" w:cs="Arial"/>
          <w:sz w:val="24"/>
          <w:szCs w:val="24"/>
          <w:u w:val="single"/>
        </w:rPr>
        <w:t>.</w:t>
      </w:r>
      <w:r>
        <w:rPr>
          <w:rFonts w:ascii="Arial" w:hAnsi="Arial" w:cs="Arial"/>
          <w:sz w:val="24"/>
          <w:szCs w:val="24"/>
          <w:u w:val="single"/>
        </w:rPr>
        <w:t xml:space="preserve"> SA 47/2021</w:t>
      </w:r>
    </w:p>
    <w:p w:rsidR="00E846BD" w:rsidRPr="00E846BD" w:rsidRDefault="00C979E0" w:rsidP="00C979E0">
      <w:pPr>
        <w:pStyle w:val="NoSpacing"/>
        <w:spacing w:line="480" w:lineRule="auto"/>
        <w:jc w:val="both"/>
        <w:rPr>
          <w:rFonts w:ascii="Arial" w:hAnsi="Arial" w:cs="Arial"/>
          <w:sz w:val="24"/>
          <w:szCs w:val="24"/>
        </w:rPr>
      </w:pPr>
      <w:r w:rsidRPr="00E846BD">
        <w:rPr>
          <w:rFonts w:ascii="Arial" w:hAnsi="Arial" w:cs="Arial"/>
          <w:sz w:val="24"/>
          <w:szCs w:val="24"/>
        </w:rPr>
        <w:t>[28]</w:t>
      </w:r>
      <w:r w:rsidRPr="00E846BD">
        <w:rPr>
          <w:rFonts w:ascii="Arial" w:hAnsi="Arial" w:cs="Arial"/>
          <w:sz w:val="24"/>
          <w:szCs w:val="24"/>
        </w:rPr>
        <w:tab/>
      </w:r>
      <w:r w:rsidR="0025700A">
        <w:rPr>
          <w:rFonts w:ascii="Arial" w:hAnsi="Arial" w:cs="Arial"/>
          <w:sz w:val="24"/>
          <w:szCs w:val="24"/>
        </w:rPr>
        <w:t xml:space="preserve"> In this matter, default judgment in the sum of N$3</w:t>
      </w:r>
      <w:r w:rsidR="00B008BE">
        <w:rPr>
          <w:rFonts w:ascii="Arial" w:hAnsi="Arial" w:cs="Arial"/>
          <w:sz w:val="24"/>
          <w:szCs w:val="24"/>
        </w:rPr>
        <w:t> </w:t>
      </w:r>
      <w:r w:rsidR="0025700A">
        <w:rPr>
          <w:rFonts w:ascii="Arial" w:hAnsi="Arial" w:cs="Arial"/>
          <w:sz w:val="24"/>
          <w:szCs w:val="24"/>
        </w:rPr>
        <w:t>360</w:t>
      </w:r>
      <w:r w:rsidR="00B008BE">
        <w:rPr>
          <w:rFonts w:ascii="Arial" w:hAnsi="Arial" w:cs="Arial"/>
          <w:sz w:val="24"/>
          <w:szCs w:val="24"/>
        </w:rPr>
        <w:t> </w:t>
      </w:r>
      <w:r w:rsidR="00E846BD">
        <w:rPr>
          <w:rFonts w:ascii="Arial" w:hAnsi="Arial" w:cs="Arial"/>
          <w:sz w:val="24"/>
          <w:szCs w:val="24"/>
        </w:rPr>
        <w:t>610</w:t>
      </w:r>
      <w:r w:rsidR="00B008BE">
        <w:rPr>
          <w:rFonts w:ascii="Arial" w:hAnsi="Arial" w:cs="Arial"/>
          <w:sz w:val="24"/>
          <w:szCs w:val="24"/>
        </w:rPr>
        <w:t>,</w:t>
      </w:r>
      <w:r w:rsidR="0025700A">
        <w:rPr>
          <w:rFonts w:ascii="Arial" w:hAnsi="Arial" w:cs="Arial"/>
          <w:sz w:val="24"/>
          <w:szCs w:val="24"/>
        </w:rPr>
        <w:t>96</w:t>
      </w:r>
      <w:r w:rsidR="00E846BD">
        <w:rPr>
          <w:rFonts w:ascii="Arial" w:hAnsi="Arial" w:cs="Arial"/>
          <w:sz w:val="24"/>
          <w:szCs w:val="24"/>
        </w:rPr>
        <w:t xml:space="preserve"> was granted </w:t>
      </w:r>
      <w:r w:rsidR="00CC0E37">
        <w:rPr>
          <w:rFonts w:ascii="Arial" w:hAnsi="Arial" w:cs="Arial"/>
          <w:sz w:val="24"/>
          <w:szCs w:val="24"/>
        </w:rPr>
        <w:t xml:space="preserve">on 24 March 2021 </w:t>
      </w:r>
      <w:r w:rsidR="00E846BD">
        <w:rPr>
          <w:rFonts w:ascii="Arial" w:hAnsi="Arial" w:cs="Arial"/>
          <w:sz w:val="24"/>
          <w:szCs w:val="24"/>
        </w:rPr>
        <w:t>against the app</w:t>
      </w:r>
      <w:r w:rsidR="00D30E05">
        <w:rPr>
          <w:rFonts w:ascii="Arial" w:hAnsi="Arial" w:cs="Arial"/>
          <w:sz w:val="24"/>
          <w:szCs w:val="24"/>
        </w:rPr>
        <w:t>ell</w:t>
      </w:r>
      <w:r w:rsidR="00E846BD">
        <w:rPr>
          <w:rFonts w:ascii="Arial" w:hAnsi="Arial" w:cs="Arial"/>
          <w:sz w:val="24"/>
          <w:szCs w:val="24"/>
        </w:rPr>
        <w:t>ants. The order does not include one declaring any immovable property executable. The app</w:t>
      </w:r>
      <w:r w:rsidR="00D30E05">
        <w:rPr>
          <w:rFonts w:ascii="Arial" w:hAnsi="Arial" w:cs="Arial"/>
          <w:sz w:val="24"/>
          <w:szCs w:val="24"/>
        </w:rPr>
        <w:t>ell</w:t>
      </w:r>
      <w:r w:rsidR="00E846BD">
        <w:rPr>
          <w:rFonts w:ascii="Arial" w:hAnsi="Arial" w:cs="Arial"/>
          <w:sz w:val="24"/>
          <w:szCs w:val="24"/>
        </w:rPr>
        <w:t>ants allege that they bec</w:t>
      </w:r>
      <w:r w:rsidR="00B008BE">
        <w:rPr>
          <w:rFonts w:ascii="Arial" w:hAnsi="Arial" w:cs="Arial"/>
          <w:sz w:val="24"/>
          <w:szCs w:val="24"/>
        </w:rPr>
        <w:t>a</w:t>
      </w:r>
      <w:r w:rsidR="00E846BD">
        <w:rPr>
          <w:rFonts w:ascii="Arial" w:hAnsi="Arial" w:cs="Arial"/>
          <w:sz w:val="24"/>
          <w:szCs w:val="24"/>
        </w:rPr>
        <w:t>me aware of the court order on 28 May 2021</w:t>
      </w:r>
      <w:r w:rsidR="00CC0E37">
        <w:rPr>
          <w:rFonts w:ascii="Arial" w:hAnsi="Arial" w:cs="Arial"/>
          <w:sz w:val="24"/>
          <w:szCs w:val="24"/>
        </w:rPr>
        <w:t xml:space="preserve"> (‘when peruse </w:t>
      </w:r>
      <w:r w:rsidR="00CC0E37" w:rsidRPr="00CC0E37">
        <w:rPr>
          <w:rFonts w:ascii="Arial" w:hAnsi="Arial" w:cs="Arial"/>
          <w:i/>
          <w:sz w:val="24"/>
          <w:szCs w:val="24"/>
        </w:rPr>
        <w:t>(sic)</w:t>
      </w:r>
      <w:r w:rsidR="00CC0E37">
        <w:rPr>
          <w:rFonts w:ascii="Arial" w:hAnsi="Arial" w:cs="Arial"/>
          <w:sz w:val="24"/>
          <w:szCs w:val="24"/>
        </w:rPr>
        <w:t xml:space="preserve"> the e-justice record’ on that date)</w:t>
      </w:r>
      <w:r w:rsidR="00E846BD">
        <w:rPr>
          <w:rFonts w:ascii="Arial" w:hAnsi="Arial" w:cs="Arial"/>
          <w:sz w:val="24"/>
          <w:szCs w:val="24"/>
        </w:rPr>
        <w:t xml:space="preserve">. They confirm that the combined summons was served on them but state that they did not defend the action because they ‘are not legally trained’. </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E846BD">
        <w:rPr>
          <w:rFonts w:ascii="Arial" w:hAnsi="Arial" w:cs="Arial"/>
          <w:sz w:val="24"/>
          <w:szCs w:val="24"/>
        </w:rPr>
        <w:t>The notice of appeal and condonation applica</w:t>
      </w:r>
      <w:r w:rsidR="00C679D2">
        <w:rPr>
          <w:rFonts w:ascii="Arial" w:hAnsi="Arial" w:cs="Arial"/>
          <w:sz w:val="24"/>
          <w:szCs w:val="24"/>
        </w:rPr>
        <w:t>tion dated 31 May 2021 were only</w:t>
      </w:r>
      <w:r w:rsidR="00E846BD">
        <w:rPr>
          <w:rFonts w:ascii="Arial" w:hAnsi="Arial" w:cs="Arial"/>
          <w:sz w:val="24"/>
          <w:szCs w:val="24"/>
        </w:rPr>
        <w:t xml:space="preserve"> lodged</w:t>
      </w:r>
      <w:r w:rsidR="00C679D2">
        <w:rPr>
          <w:rFonts w:ascii="Arial" w:hAnsi="Arial" w:cs="Arial"/>
          <w:sz w:val="24"/>
          <w:szCs w:val="24"/>
        </w:rPr>
        <w:t xml:space="preserve"> at this court </w:t>
      </w:r>
      <w:r w:rsidR="00E846BD">
        <w:rPr>
          <w:rFonts w:ascii="Arial" w:hAnsi="Arial" w:cs="Arial"/>
          <w:sz w:val="24"/>
          <w:szCs w:val="24"/>
        </w:rPr>
        <w:t>on 8 June 2021. In support of the condonation application, the second app</w:t>
      </w:r>
      <w:r w:rsidR="00D30E05">
        <w:rPr>
          <w:rFonts w:ascii="Arial" w:hAnsi="Arial" w:cs="Arial"/>
          <w:sz w:val="24"/>
          <w:szCs w:val="24"/>
        </w:rPr>
        <w:t>ell</w:t>
      </w:r>
      <w:r w:rsidR="00E846BD">
        <w:rPr>
          <w:rFonts w:ascii="Arial" w:hAnsi="Arial" w:cs="Arial"/>
          <w:sz w:val="24"/>
          <w:szCs w:val="24"/>
        </w:rPr>
        <w:t>ant states that the respondent is in</w:t>
      </w:r>
      <w:r w:rsidR="00B008BE">
        <w:rPr>
          <w:rFonts w:ascii="Arial" w:hAnsi="Arial" w:cs="Arial"/>
          <w:sz w:val="24"/>
          <w:szCs w:val="24"/>
        </w:rPr>
        <w:t xml:space="preserve"> the</w:t>
      </w:r>
      <w:r w:rsidR="00E846BD">
        <w:rPr>
          <w:rFonts w:ascii="Arial" w:hAnsi="Arial" w:cs="Arial"/>
          <w:sz w:val="24"/>
          <w:szCs w:val="24"/>
        </w:rPr>
        <w:t xml:space="preserve"> process of applying for an order under rule 108 so as to attach the app</w:t>
      </w:r>
      <w:r w:rsidR="00D30E05">
        <w:rPr>
          <w:rFonts w:ascii="Arial" w:hAnsi="Arial" w:cs="Arial"/>
          <w:sz w:val="24"/>
          <w:szCs w:val="24"/>
        </w:rPr>
        <w:t>ell</w:t>
      </w:r>
      <w:r w:rsidR="00E846BD">
        <w:rPr>
          <w:rFonts w:ascii="Arial" w:hAnsi="Arial" w:cs="Arial"/>
          <w:sz w:val="24"/>
          <w:szCs w:val="24"/>
        </w:rPr>
        <w:t xml:space="preserve">ants’ ‘prime property’ (presumably intending to state </w:t>
      </w:r>
      <w:r w:rsidR="009056CD">
        <w:rPr>
          <w:rFonts w:ascii="Arial" w:hAnsi="Arial" w:cs="Arial"/>
          <w:sz w:val="24"/>
          <w:szCs w:val="24"/>
        </w:rPr>
        <w:t>primary). The app</w:t>
      </w:r>
      <w:r w:rsidR="00D30E05">
        <w:rPr>
          <w:rFonts w:ascii="Arial" w:hAnsi="Arial" w:cs="Arial"/>
          <w:sz w:val="24"/>
          <w:szCs w:val="24"/>
        </w:rPr>
        <w:t>ell</w:t>
      </w:r>
      <w:r w:rsidR="009056CD">
        <w:rPr>
          <w:rFonts w:ascii="Arial" w:hAnsi="Arial" w:cs="Arial"/>
          <w:sz w:val="24"/>
          <w:szCs w:val="24"/>
        </w:rPr>
        <w:t xml:space="preserve">ants </w:t>
      </w:r>
      <w:r w:rsidR="00CC0E37">
        <w:rPr>
          <w:rFonts w:ascii="Arial" w:hAnsi="Arial" w:cs="Arial"/>
          <w:sz w:val="24"/>
          <w:szCs w:val="24"/>
        </w:rPr>
        <w:t>failed to lodge a record in accordance with the rules and have not done so to date</w:t>
      </w:r>
      <w:r w:rsidR="009056CD">
        <w:rPr>
          <w:rFonts w:ascii="Arial" w:hAnsi="Arial" w:cs="Arial"/>
          <w:sz w:val="24"/>
          <w:szCs w:val="24"/>
        </w:rPr>
        <w:t xml:space="preserve">. Nor has security been </w:t>
      </w:r>
      <w:r w:rsidR="00CC0E37">
        <w:rPr>
          <w:rFonts w:ascii="Arial" w:hAnsi="Arial" w:cs="Arial"/>
          <w:sz w:val="24"/>
          <w:szCs w:val="24"/>
        </w:rPr>
        <w:t>filed</w:t>
      </w:r>
      <w:r w:rsidR="009056CD">
        <w:rPr>
          <w:rFonts w:ascii="Arial" w:hAnsi="Arial" w:cs="Arial"/>
          <w:sz w:val="24"/>
          <w:szCs w:val="24"/>
        </w:rPr>
        <w:t xml:space="preserve"> by </w:t>
      </w:r>
      <w:r w:rsidR="00CC0E37">
        <w:rPr>
          <w:rFonts w:ascii="Arial" w:hAnsi="Arial" w:cs="Arial"/>
          <w:sz w:val="24"/>
          <w:szCs w:val="24"/>
        </w:rPr>
        <w:t>them to date</w:t>
      </w:r>
      <w:r w:rsidR="009056CD">
        <w:rPr>
          <w:rFonts w:ascii="Arial" w:hAnsi="Arial" w:cs="Arial"/>
          <w:sz w:val="24"/>
          <w:szCs w:val="24"/>
        </w:rPr>
        <w:t>.</w:t>
      </w:r>
    </w:p>
    <w:p w:rsidR="009056CD" w:rsidRDefault="009056CD" w:rsidP="009056CD">
      <w:pPr>
        <w:pStyle w:val="ListParagraph"/>
        <w:rPr>
          <w:rFonts w:ascii="Arial" w:hAnsi="Arial" w:cs="Arial"/>
          <w:sz w:val="24"/>
          <w:szCs w:val="24"/>
        </w:rPr>
      </w:pPr>
    </w:p>
    <w:p w:rsidR="00CC0E37" w:rsidRDefault="00C979E0" w:rsidP="00C979E0">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056CD">
        <w:rPr>
          <w:rFonts w:ascii="Arial" w:hAnsi="Arial" w:cs="Arial"/>
          <w:sz w:val="24"/>
          <w:szCs w:val="24"/>
        </w:rPr>
        <w:t xml:space="preserve">The respondent did not file an opposing affidavit. Heads of argument were </w:t>
      </w:r>
      <w:r w:rsidR="007E63FE">
        <w:rPr>
          <w:rFonts w:ascii="Arial" w:hAnsi="Arial" w:cs="Arial"/>
          <w:sz w:val="24"/>
          <w:szCs w:val="24"/>
        </w:rPr>
        <w:t xml:space="preserve">however </w:t>
      </w:r>
      <w:r w:rsidR="00CC0E37">
        <w:rPr>
          <w:rFonts w:ascii="Arial" w:hAnsi="Arial" w:cs="Arial"/>
          <w:sz w:val="24"/>
          <w:szCs w:val="24"/>
        </w:rPr>
        <w:t xml:space="preserve">timeously </w:t>
      </w:r>
      <w:r w:rsidR="009056CD">
        <w:rPr>
          <w:rFonts w:ascii="Arial" w:hAnsi="Arial" w:cs="Arial"/>
          <w:sz w:val="24"/>
          <w:szCs w:val="24"/>
        </w:rPr>
        <w:t>filed on its behalf, pointing out that the record has not been filed and contending that neither of the requisites for good cause for condonation had been met. It is also pointed out that the app</w:t>
      </w:r>
      <w:r w:rsidR="00D30E05">
        <w:rPr>
          <w:rFonts w:ascii="Arial" w:hAnsi="Arial" w:cs="Arial"/>
          <w:sz w:val="24"/>
          <w:szCs w:val="24"/>
        </w:rPr>
        <w:t>ell</w:t>
      </w:r>
      <w:r w:rsidR="009056CD">
        <w:rPr>
          <w:rFonts w:ascii="Arial" w:hAnsi="Arial" w:cs="Arial"/>
          <w:sz w:val="24"/>
          <w:szCs w:val="24"/>
        </w:rPr>
        <w:t xml:space="preserve">ants’ notice of appeal failed to raise any </w:t>
      </w:r>
      <w:r w:rsidR="00CC0E37">
        <w:rPr>
          <w:rFonts w:ascii="Arial" w:hAnsi="Arial" w:cs="Arial"/>
          <w:sz w:val="24"/>
          <w:szCs w:val="24"/>
        </w:rPr>
        <w:t>intelligible and</w:t>
      </w:r>
      <w:r w:rsidR="00237710">
        <w:rPr>
          <w:rFonts w:ascii="Arial" w:hAnsi="Arial" w:cs="Arial"/>
          <w:sz w:val="24"/>
          <w:szCs w:val="24"/>
        </w:rPr>
        <w:t xml:space="preserve"> appealable question</w:t>
      </w:r>
      <w:r w:rsidR="007E63FE">
        <w:rPr>
          <w:rFonts w:ascii="Arial" w:hAnsi="Arial" w:cs="Arial"/>
          <w:sz w:val="24"/>
          <w:szCs w:val="24"/>
        </w:rPr>
        <w:t>s</w:t>
      </w:r>
      <w:r w:rsidR="00237710">
        <w:rPr>
          <w:rFonts w:ascii="Arial" w:hAnsi="Arial" w:cs="Arial"/>
          <w:sz w:val="24"/>
          <w:szCs w:val="24"/>
        </w:rPr>
        <w:t xml:space="preserve"> of law</w:t>
      </w:r>
      <w:r w:rsidR="00CC0E37">
        <w:rPr>
          <w:rFonts w:ascii="Arial" w:hAnsi="Arial" w:cs="Arial"/>
          <w:sz w:val="24"/>
          <w:szCs w:val="24"/>
        </w:rPr>
        <w:t xml:space="preserve">, even in the absence of a record. </w:t>
      </w:r>
    </w:p>
    <w:p w:rsidR="00781885" w:rsidRDefault="00781885" w:rsidP="00781885">
      <w:pPr>
        <w:pStyle w:val="ListParagraph"/>
        <w:rPr>
          <w:rFonts w:ascii="Arial" w:hAnsi="Arial" w:cs="Arial"/>
          <w:sz w:val="24"/>
          <w:szCs w:val="24"/>
        </w:rPr>
      </w:pPr>
    </w:p>
    <w:p w:rsidR="00781885" w:rsidRDefault="00C979E0" w:rsidP="00C979E0">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781885">
        <w:rPr>
          <w:rFonts w:ascii="Arial" w:hAnsi="Arial" w:cs="Arial"/>
          <w:sz w:val="24"/>
          <w:szCs w:val="24"/>
        </w:rPr>
        <w:t xml:space="preserve">At the hearing, the second appellant sought a postponement of the matter. He confirmed that an application to declare the property executable had not as yet proceeded and that he was negotiating with the respondent and had made a substantial payment. It was pointed out to him that these </w:t>
      </w:r>
      <w:r w:rsidR="00E91815">
        <w:rPr>
          <w:rFonts w:ascii="Arial" w:hAnsi="Arial" w:cs="Arial"/>
          <w:sz w:val="24"/>
          <w:szCs w:val="24"/>
        </w:rPr>
        <w:t>may be</w:t>
      </w:r>
      <w:r w:rsidR="00781885">
        <w:rPr>
          <w:rFonts w:ascii="Arial" w:hAnsi="Arial" w:cs="Arial"/>
          <w:sz w:val="24"/>
          <w:szCs w:val="24"/>
        </w:rPr>
        <w:t xml:space="preserve"> relevant aspects to place before the High Court in the </w:t>
      </w:r>
      <w:r w:rsidR="00E91815">
        <w:rPr>
          <w:rFonts w:ascii="Arial" w:hAnsi="Arial" w:cs="Arial"/>
          <w:sz w:val="24"/>
          <w:szCs w:val="24"/>
        </w:rPr>
        <w:t xml:space="preserve">forthcoming </w:t>
      </w:r>
      <w:r w:rsidR="00781885">
        <w:rPr>
          <w:rFonts w:ascii="Arial" w:hAnsi="Arial" w:cs="Arial"/>
          <w:sz w:val="24"/>
          <w:szCs w:val="24"/>
        </w:rPr>
        <w:t>application to declare the property executable.</w:t>
      </w:r>
    </w:p>
    <w:p w:rsidR="003F3FF6" w:rsidRDefault="003F3FF6" w:rsidP="003F3FF6">
      <w:pPr>
        <w:pStyle w:val="NoSpacing"/>
        <w:spacing w:line="480" w:lineRule="auto"/>
        <w:jc w:val="both"/>
        <w:rPr>
          <w:rFonts w:ascii="Arial" w:hAnsi="Arial" w:cs="Arial"/>
          <w:sz w:val="24"/>
          <w:szCs w:val="24"/>
        </w:rPr>
      </w:pPr>
    </w:p>
    <w:p w:rsidR="008E6024" w:rsidRDefault="008E6024" w:rsidP="003F3FF6">
      <w:pPr>
        <w:pStyle w:val="NoSpacing"/>
        <w:spacing w:line="480" w:lineRule="auto"/>
        <w:jc w:val="both"/>
        <w:rPr>
          <w:rFonts w:ascii="Arial" w:hAnsi="Arial" w:cs="Arial"/>
          <w:sz w:val="24"/>
          <w:szCs w:val="24"/>
        </w:rPr>
      </w:pPr>
    </w:p>
    <w:p w:rsidR="008E6024" w:rsidRDefault="008E6024" w:rsidP="003F3FF6">
      <w:pPr>
        <w:pStyle w:val="NoSpacing"/>
        <w:spacing w:line="480" w:lineRule="auto"/>
        <w:jc w:val="both"/>
        <w:rPr>
          <w:rFonts w:ascii="Arial" w:hAnsi="Arial" w:cs="Arial"/>
          <w:sz w:val="24"/>
          <w:szCs w:val="24"/>
        </w:rPr>
      </w:pPr>
    </w:p>
    <w:p w:rsidR="0054616E" w:rsidRDefault="0054616E" w:rsidP="003F3FF6">
      <w:pPr>
        <w:pStyle w:val="NoSpacing"/>
        <w:spacing w:line="480" w:lineRule="auto"/>
        <w:jc w:val="both"/>
        <w:rPr>
          <w:rFonts w:ascii="Arial" w:hAnsi="Arial" w:cs="Arial"/>
          <w:sz w:val="24"/>
          <w:szCs w:val="24"/>
          <w:u w:val="single"/>
        </w:rPr>
      </w:pPr>
    </w:p>
    <w:p w:rsidR="00781885" w:rsidRPr="00781885" w:rsidRDefault="00781885" w:rsidP="003F3FF6">
      <w:pPr>
        <w:pStyle w:val="NoSpacing"/>
        <w:spacing w:line="480" w:lineRule="auto"/>
        <w:jc w:val="both"/>
        <w:rPr>
          <w:rFonts w:ascii="Arial" w:hAnsi="Arial" w:cs="Arial"/>
          <w:sz w:val="24"/>
          <w:szCs w:val="24"/>
          <w:u w:val="single"/>
        </w:rPr>
      </w:pPr>
      <w:r>
        <w:rPr>
          <w:rFonts w:ascii="Arial" w:hAnsi="Arial" w:cs="Arial"/>
          <w:sz w:val="24"/>
          <w:szCs w:val="24"/>
          <w:u w:val="single"/>
        </w:rPr>
        <w:t>Appellants’ submissions</w:t>
      </w:r>
    </w:p>
    <w:p w:rsidR="003F3FF6" w:rsidRDefault="00C979E0" w:rsidP="00C979E0">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F3FF6">
        <w:rPr>
          <w:rFonts w:ascii="Arial" w:hAnsi="Arial" w:cs="Arial"/>
          <w:sz w:val="24"/>
          <w:szCs w:val="24"/>
        </w:rPr>
        <w:t xml:space="preserve">In three of these matters, written submissions were filed by the appellants in question. On 21 September 2021, the appellants in case No SA 47/2021 filed written </w:t>
      </w:r>
      <w:r w:rsidR="003F3FF6">
        <w:rPr>
          <w:rFonts w:ascii="Arial" w:hAnsi="Arial" w:cs="Arial"/>
          <w:sz w:val="24"/>
          <w:szCs w:val="24"/>
        </w:rPr>
        <w:lastRenderedPageBreak/>
        <w:t xml:space="preserve">submissions, </w:t>
      </w:r>
      <w:r w:rsidR="00B008BE">
        <w:rPr>
          <w:rFonts w:ascii="Arial" w:hAnsi="Arial" w:cs="Arial"/>
          <w:sz w:val="24"/>
          <w:szCs w:val="24"/>
        </w:rPr>
        <w:t>two</w:t>
      </w:r>
      <w:r w:rsidR="003F3FF6">
        <w:rPr>
          <w:rFonts w:ascii="Arial" w:hAnsi="Arial" w:cs="Arial"/>
          <w:sz w:val="24"/>
          <w:szCs w:val="24"/>
        </w:rPr>
        <w:t xml:space="preserve"> weeks late and not accompanied by any condonation for their late filing. In cases SA 98/2020 and SA 91/2020, the respective appellants filed written submissions on 30 September 2021 – a mere two court days before the date of hearing, thus also in conflict with the rules. All of these written submissions were not accompanied by any condonation application, seeking to condone the conflict with the rules.</w:t>
      </w:r>
    </w:p>
    <w:p w:rsidR="003F3FF6" w:rsidRDefault="003F3FF6" w:rsidP="003F3FF6">
      <w:pPr>
        <w:pStyle w:val="ListParagraph"/>
        <w:rPr>
          <w:rFonts w:ascii="Arial" w:hAnsi="Arial" w:cs="Arial"/>
          <w:sz w:val="24"/>
          <w:szCs w:val="24"/>
        </w:rPr>
      </w:pPr>
    </w:p>
    <w:p w:rsidR="003F3FF6" w:rsidRDefault="00C979E0" w:rsidP="00C979E0">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F3FF6">
        <w:rPr>
          <w:rFonts w:ascii="Arial" w:hAnsi="Arial" w:cs="Arial"/>
          <w:sz w:val="24"/>
          <w:szCs w:val="24"/>
        </w:rPr>
        <w:t xml:space="preserve">These written submissions raise the same issues in identical matter. In each there is repeated reference made to a provisional sequestration order issued. No statement is made concerning which person or entity was sequestrated </w:t>
      </w:r>
      <w:r w:rsidR="00781885">
        <w:rPr>
          <w:rFonts w:ascii="Arial" w:hAnsi="Arial" w:cs="Arial"/>
          <w:sz w:val="24"/>
          <w:szCs w:val="24"/>
        </w:rPr>
        <w:t xml:space="preserve">or the relevance of sequestration to these proceedings </w:t>
      </w:r>
      <w:r w:rsidR="003F3FF6">
        <w:rPr>
          <w:rFonts w:ascii="Arial" w:hAnsi="Arial" w:cs="Arial"/>
          <w:sz w:val="24"/>
          <w:szCs w:val="24"/>
        </w:rPr>
        <w:t>although there is in each a reference to ‘winding up proceedings’ against the appellants in question. The repeated reference to insolvency proceedings is incomprehensible and without any evidential basis and entirely without any relevance to the issues raised in the notices of appeal.</w:t>
      </w:r>
      <w:r w:rsidR="00781885">
        <w:rPr>
          <w:rFonts w:ascii="Arial" w:hAnsi="Arial" w:cs="Arial"/>
          <w:sz w:val="24"/>
          <w:szCs w:val="24"/>
        </w:rPr>
        <w:t xml:space="preserve"> At the hearing, one of the appellants explained that they were advised by the self-styled paralegal</w:t>
      </w:r>
      <w:r w:rsidR="00E91815">
        <w:rPr>
          <w:rFonts w:ascii="Arial" w:hAnsi="Arial" w:cs="Arial"/>
          <w:sz w:val="24"/>
          <w:szCs w:val="24"/>
        </w:rPr>
        <w:t>, Mr Afrikaner,</w:t>
      </w:r>
      <w:r w:rsidR="00781885">
        <w:rPr>
          <w:rFonts w:ascii="Arial" w:hAnsi="Arial" w:cs="Arial"/>
          <w:sz w:val="24"/>
          <w:szCs w:val="24"/>
        </w:rPr>
        <w:t xml:space="preserve"> that sequestration or winding up is a prerequisite to execute against a close corporation. Like all his other advice, this is entirely wrong and without any foundation. There is </w:t>
      </w:r>
      <w:r w:rsidR="00E91815">
        <w:rPr>
          <w:rFonts w:ascii="Arial" w:hAnsi="Arial" w:cs="Arial"/>
          <w:sz w:val="24"/>
          <w:szCs w:val="24"/>
        </w:rPr>
        <w:t xml:space="preserve">simply </w:t>
      </w:r>
      <w:r w:rsidR="00781885">
        <w:rPr>
          <w:rFonts w:ascii="Arial" w:hAnsi="Arial" w:cs="Arial"/>
          <w:sz w:val="24"/>
          <w:szCs w:val="24"/>
        </w:rPr>
        <w:t>no requirement of this nature.</w:t>
      </w:r>
    </w:p>
    <w:p w:rsidR="003F3FF6" w:rsidRDefault="003F3FF6" w:rsidP="003F3FF6">
      <w:pPr>
        <w:pStyle w:val="ListParagraph"/>
        <w:rPr>
          <w:rFonts w:ascii="Arial" w:hAnsi="Arial" w:cs="Arial"/>
          <w:sz w:val="24"/>
          <w:szCs w:val="24"/>
        </w:rPr>
      </w:pPr>
    </w:p>
    <w:p w:rsidR="0058512E" w:rsidRDefault="00C979E0" w:rsidP="00C979E0">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F3FF6">
        <w:rPr>
          <w:rFonts w:ascii="Arial" w:hAnsi="Arial" w:cs="Arial"/>
          <w:sz w:val="24"/>
          <w:szCs w:val="24"/>
        </w:rPr>
        <w:t xml:space="preserve">The appellants’ submissions also seek to attach evidence which is not before this court in the form of correspondence or bank statements. This is not permissible and will be disregarded. The correspondence or other material in any event does not however assist the appellants in their appeals against the judgment by default granted against them. On the contrary, the correspondence in case SA 47/2021 would indicate that any appeal against that judgment is </w:t>
      </w:r>
      <w:r w:rsidR="003F3FF6" w:rsidRPr="00E91815">
        <w:rPr>
          <w:rFonts w:ascii="Arial" w:hAnsi="Arial" w:cs="Arial"/>
          <w:sz w:val="24"/>
          <w:szCs w:val="24"/>
        </w:rPr>
        <w:t>perempted</w:t>
      </w:r>
      <w:r w:rsidR="003F3FF6">
        <w:rPr>
          <w:rFonts w:ascii="Arial" w:hAnsi="Arial" w:cs="Arial"/>
          <w:sz w:val="24"/>
          <w:szCs w:val="24"/>
        </w:rPr>
        <w:t xml:space="preserve"> by acknowledging that the loan provided to them by the respondent is in arrears </w:t>
      </w:r>
      <w:r w:rsidR="0058512E">
        <w:rPr>
          <w:rFonts w:ascii="Arial" w:hAnsi="Arial" w:cs="Arial"/>
          <w:sz w:val="24"/>
          <w:szCs w:val="24"/>
        </w:rPr>
        <w:t>as</w:t>
      </w:r>
      <w:r w:rsidR="003F3FF6">
        <w:rPr>
          <w:rFonts w:ascii="Arial" w:hAnsi="Arial" w:cs="Arial"/>
          <w:sz w:val="24"/>
          <w:szCs w:val="24"/>
        </w:rPr>
        <w:t xml:space="preserve"> offers are made to repay </w:t>
      </w:r>
      <w:r w:rsidR="003F3FF6">
        <w:rPr>
          <w:rFonts w:ascii="Arial" w:hAnsi="Arial" w:cs="Arial"/>
          <w:sz w:val="24"/>
          <w:szCs w:val="24"/>
        </w:rPr>
        <w:lastRenderedPageBreak/>
        <w:t xml:space="preserve">the loaned amount in instalments. There can thus be no prospects of success in the appeal in case SA 47/2021 even without a record of proceedings. The other materials attached to the other submissions also do not assist the appellants in question. </w:t>
      </w:r>
    </w:p>
    <w:p w:rsidR="0058512E" w:rsidRDefault="0058512E" w:rsidP="0058512E">
      <w:pPr>
        <w:pStyle w:val="ListParagraph"/>
        <w:rPr>
          <w:rFonts w:ascii="Arial" w:hAnsi="Arial" w:cs="Arial"/>
          <w:sz w:val="24"/>
          <w:szCs w:val="24"/>
        </w:rPr>
      </w:pPr>
    </w:p>
    <w:p w:rsidR="003F3FF6" w:rsidRDefault="00C979E0" w:rsidP="00C979E0">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F3FF6">
        <w:rPr>
          <w:rFonts w:ascii="Arial" w:hAnsi="Arial" w:cs="Arial"/>
          <w:sz w:val="24"/>
          <w:szCs w:val="24"/>
        </w:rPr>
        <w:t>In the submissions, the point is also taken that there was no power of attorney or resolution on the High Court file to authorise the</w:t>
      </w:r>
      <w:r w:rsidR="008E6024">
        <w:rPr>
          <w:rFonts w:ascii="Arial" w:hAnsi="Arial" w:cs="Arial"/>
          <w:sz w:val="24"/>
          <w:szCs w:val="24"/>
        </w:rPr>
        <w:t xml:space="preserve"> (respondent</w:t>
      </w:r>
      <w:r w:rsidR="00E91815">
        <w:rPr>
          <w:rFonts w:ascii="Arial" w:hAnsi="Arial" w:cs="Arial"/>
          <w:sz w:val="24"/>
          <w:szCs w:val="24"/>
        </w:rPr>
        <w:t>s</w:t>
      </w:r>
      <w:r w:rsidR="008E6024">
        <w:rPr>
          <w:rFonts w:ascii="Arial" w:hAnsi="Arial" w:cs="Arial"/>
          <w:sz w:val="24"/>
          <w:szCs w:val="24"/>
        </w:rPr>
        <w:t>’</w:t>
      </w:r>
      <w:r w:rsidR="00E91815">
        <w:rPr>
          <w:rFonts w:ascii="Arial" w:hAnsi="Arial" w:cs="Arial"/>
          <w:sz w:val="24"/>
          <w:szCs w:val="24"/>
        </w:rPr>
        <w:t>)</w:t>
      </w:r>
      <w:r w:rsidR="003F3FF6">
        <w:rPr>
          <w:rFonts w:ascii="Arial" w:hAnsi="Arial" w:cs="Arial"/>
          <w:sz w:val="24"/>
          <w:szCs w:val="24"/>
        </w:rPr>
        <w:t xml:space="preserve"> legal practitioners to act for their respective clients.</w:t>
      </w:r>
      <w:r w:rsidR="0058512E">
        <w:rPr>
          <w:rFonts w:ascii="Arial" w:hAnsi="Arial" w:cs="Arial"/>
          <w:sz w:val="24"/>
          <w:szCs w:val="24"/>
        </w:rPr>
        <w:t xml:space="preserve"> Again, the approach of the paralegal is fundamentally flawed.</w:t>
      </w:r>
      <w:r w:rsidR="003F3FF6">
        <w:rPr>
          <w:rFonts w:ascii="Arial" w:hAnsi="Arial" w:cs="Arial"/>
          <w:sz w:val="24"/>
          <w:szCs w:val="24"/>
        </w:rPr>
        <w:t xml:space="preserve"> This point fails to take into account that the High Court rules promulgated in 2014</w:t>
      </w:r>
      <w:r w:rsidR="003F3FF6">
        <w:rPr>
          <w:rStyle w:val="FootnoteReference"/>
          <w:rFonts w:ascii="Arial" w:hAnsi="Arial" w:cs="Arial"/>
          <w:sz w:val="24"/>
          <w:szCs w:val="24"/>
        </w:rPr>
        <w:footnoteReference w:id="4"/>
      </w:r>
      <w:r w:rsidR="003F3FF6">
        <w:rPr>
          <w:rFonts w:ascii="Arial" w:hAnsi="Arial" w:cs="Arial"/>
          <w:sz w:val="24"/>
          <w:szCs w:val="24"/>
        </w:rPr>
        <w:t xml:space="preserve"> no longer require this.</w:t>
      </w:r>
    </w:p>
    <w:p w:rsidR="00766B22" w:rsidRDefault="00766B22" w:rsidP="00766B22">
      <w:pPr>
        <w:pStyle w:val="ListParagraph"/>
        <w:rPr>
          <w:rFonts w:ascii="Arial" w:hAnsi="Arial" w:cs="Arial"/>
          <w:sz w:val="24"/>
          <w:szCs w:val="24"/>
        </w:rPr>
      </w:pPr>
    </w:p>
    <w:p w:rsidR="00237710" w:rsidRPr="00237710" w:rsidRDefault="00766B22" w:rsidP="00237710">
      <w:pPr>
        <w:rPr>
          <w:rFonts w:ascii="Arial" w:hAnsi="Arial" w:cs="Arial"/>
          <w:sz w:val="24"/>
          <w:szCs w:val="24"/>
          <w:u w:val="single"/>
        </w:rPr>
      </w:pPr>
      <w:r>
        <w:rPr>
          <w:rFonts w:ascii="Arial" w:hAnsi="Arial" w:cs="Arial"/>
          <w:sz w:val="24"/>
          <w:szCs w:val="24"/>
          <w:u w:val="single"/>
        </w:rPr>
        <w:t>App</w:t>
      </w:r>
      <w:r w:rsidR="0058512E">
        <w:rPr>
          <w:rFonts w:ascii="Arial" w:hAnsi="Arial" w:cs="Arial"/>
          <w:sz w:val="24"/>
          <w:szCs w:val="24"/>
          <w:u w:val="single"/>
        </w:rPr>
        <w:t>ell</w:t>
      </w:r>
      <w:r>
        <w:rPr>
          <w:rFonts w:ascii="Arial" w:hAnsi="Arial" w:cs="Arial"/>
          <w:sz w:val="24"/>
          <w:szCs w:val="24"/>
          <w:u w:val="single"/>
        </w:rPr>
        <w:t>ant</w:t>
      </w:r>
      <w:r w:rsidR="00237710">
        <w:rPr>
          <w:rFonts w:ascii="Arial" w:hAnsi="Arial" w:cs="Arial"/>
          <w:sz w:val="24"/>
          <w:szCs w:val="24"/>
          <w:u w:val="single"/>
        </w:rPr>
        <w:t>s</w:t>
      </w:r>
      <w:r>
        <w:rPr>
          <w:rFonts w:ascii="Arial" w:hAnsi="Arial" w:cs="Arial"/>
          <w:sz w:val="24"/>
          <w:szCs w:val="24"/>
          <w:u w:val="single"/>
        </w:rPr>
        <w:t>’</w:t>
      </w:r>
      <w:r w:rsidR="00237710">
        <w:rPr>
          <w:rFonts w:ascii="Arial" w:hAnsi="Arial" w:cs="Arial"/>
          <w:sz w:val="24"/>
          <w:szCs w:val="24"/>
          <w:u w:val="single"/>
        </w:rPr>
        <w:t xml:space="preserve"> failure to comply with the rules of this court</w:t>
      </w: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37710">
        <w:rPr>
          <w:rFonts w:ascii="Arial" w:hAnsi="Arial" w:cs="Arial"/>
          <w:sz w:val="24"/>
          <w:szCs w:val="24"/>
        </w:rPr>
        <w:t>The rules of this court are clear in requiring that a notice of appeal must be lodged within 21 days</w:t>
      </w:r>
      <w:r w:rsidR="007E63FE">
        <w:rPr>
          <w:rFonts w:ascii="Arial" w:hAnsi="Arial" w:cs="Arial"/>
          <w:sz w:val="24"/>
          <w:szCs w:val="24"/>
        </w:rPr>
        <w:t xml:space="preserve"> of the judgment or order appealed against</w:t>
      </w:r>
      <w:r w:rsidR="00237710">
        <w:rPr>
          <w:rFonts w:ascii="Arial" w:hAnsi="Arial" w:cs="Arial"/>
          <w:sz w:val="24"/>
          <w:szCs w:val="24"/>
        </w:rPr>
        <w:t>.</w:t>
      </w:r>
      <w:r w:rsidR="00237710">
        <w:rPr>
          <w:rStyle w:val="FootnoteReference"/>
          <w:rFonts w:ascii="Arial" w:hAnsi="Arial" w:cs="Arial"/>
          <w:sz w:val="24"/>
          <w:szCs w:val="24"/>
        </w:rPr>
        <w:footnoteReference w:id="5"/>
      </w:r>
      <w:r w:rsidR="00237710">
        <w:rPr>
          <w:rFonts w:ascii="Arial" w:hAnsi="Arial" w:cs="Arial"/>
          <w:sz w:val="24"/>
          <w:szCs w:val="24"/>
        </w:rPr>
        <w:t xml:space="preserve"> Thereafter a record is to be lodged within the stipulated time of three months of the date of judgment or order appealed against.</w:t>
      </w:r>
      <w:r w:rsidR="00237710">
        <w:rPr>
          <w:rStyle w:val="FootnoteReference"/>
          <w:rFonts w:ascii="Arial" w:hAnsi="Arial" w:cs="Arial"/>
          <w:sz w:val="24"/>
          <w:szCs w:val="24"/>
        </w:rPr>
        <w:footnoteReference w:id="6"/>
      </w:r>
      <w:r w:rsidR="00237710">
        <w:rPr>
          <w:rFonts w:ascii="Arial" w:hAnsi="Arial" w:cs="Arial"/>
          <w:sz w:val="24"/>
          <w:szCs w:val="24"/>
        </w:rPr>
        <w:t xml:space="preserve"> If an appellant fails to lodge the record within this stipulated period, the suspension of any judgment or order of the court appealed from is considered lifted and the </w:t>
      </w:r>
      <w:r w:rsidR="00766B22">
        <w:rPr>
          <w:rFonts w:ascii="Arial" w:hAnsi="Arial" w:cs="Arial"/>
          <w:sz w:val="24"/>
          <w:szCs w:val="24"/>
        </w:rPr>
        <w:t>appeal</w:t>
      </w:r>
      <w:r w:rsidR="00237710">
        <w:rPr>
          <w:rFonts w:ascii="Arial" w:hAnsi="Arial" w:cs="Arial"/>
          <w:sz w:val="24"/>
          <w:szCs w:val="24"/>
        </w:rPr>
        <w:t xml:space="preserve"> is deemed to have</w:t>
      </w:r>
      <w:r w:rsidR="00E91815">
        <w:rPr>
          <w:rFonts w:ascii="Arial" w:hAnsi="Arial" w:cs="Arial"/>
          <w:sz w:val="24"/>
          <w:szCs w:val="24"/>
        </w:rPr>
        <w:t xml:space="preserve"> been</w:t>
      </w:r>
      <w:r w:rsidR="00237710">
        <w:rPr>
          <w:rFonts w:ascii="Arial" w:hAnsi="Arial" w:cs="Arial"/>
          <w:sz w:val="24"/>
          <w:szCs w:val="24"/>
        </w:rPr>
        <w:t xml:space="preserve"> withdrawn.</w:t>
      </w:r>
      <w:r w:rsidR="00237710">
        <w:rPr>
          <w:rStyle w:val="FootnoteReference"/>
          <w:rFonts w:ascii="Arial" w:hAnsi="Arial" w:cs="Arial"/>
          <w:sz w:val="24"/>
          <w:szCs w:val="24"/>
        </w:rPr>
        <w:footnoteReference w:id="7"/>
      </w:r>
      <w:r w:rsidR="00237710">
        <w:rPr>
          <w:rFonts w:ascii="Arial" w:hAnsi="Arial" w:cs="Arial"/>
          <w:sz w:val="24"/>
          <w:szCs w:val="24"/>
        </w:rPr>
        <w:t xml:space="preserve"> </w:t>
      </w:r>
      <w:r w:rsidR="004841C1">
        <w:rPr>
          <w:rFonts w:ascii="Arial" w:hAnsi="Arial" w:cs="Arial"/>
          <w:sz w:val="24"/>
          <w:szCs w:val="24"/>
        </w:rPr>
        <w:t xml:space="preserve">The rules moreover set requirements for the record </w:t>
      </w:r>
      <w:r w:rsidR="00766B22">
        <w:rPr>
          <w:rFonts w:ascii="Arial" w:hAnsi="Arial" w:cs="Arial"/>
          <w:sz w:val="24"/>
          <w:szCs w:val="24"/>
        </w:rPr>
        <w:t xml:space="preserve">itself </w:t>
      </w:r>
      <w:r w:rsidR="004841C1">
        <w:rPr>
          <w:rFonts w:ascii="Arial" w:hAnsi="Arial" w:cs="Arial"/>
          <w:sz w:val="24"/>
          <w:szCs w:val="24"/>
        </w:rPr>
        <w:t>which must be complied with.</w:t>
      </w:r>
      <w:r w:rsidR="004841C1">
        <w:rPr>
          <w:rStyle w:val="FootnoteReference"/>
          <w:rFonts w:ascii="Arial" w:hAnsi="Arial" w:cs="Arial"/>
          <w:sz w:val="24"/>
          <w:szCs w:val="24"/>
        </w:rPr>
        <w:footnoteReference w:id="8"/>
      </w:r>
      <w:r w:rsidR="004841C1">
        <w:rPr>
          <w:rFonts w:ascii="Arial" w:hAnsi="Arial" w:cs="Arial"/>
          <w:sz w:val="24"/>
          <w:szCs w:val="24"/>
        </w:rPr>
        <w:t xml:space="preserve"> These requirements are not further referred to because the app</w:t>
      </w:r>
      <w:r w:rsidR="003F3FF6">
        <w:rPr>
          <w:rFonts w:ascii="Arial" w:hAnsi="Arial" w:cs="Arial"/>
          <w:sz w:val="24"/>
          <w:szCs w:val="24"/>
        </w:rPr>
        <w:t>ella</w:t>
      </w:r>
      <w:r w:rsidR="004841C1">
        <w:rPr>
          <w:rFonts w:ascii="Arial" w:hAnsi="Arial" w:cs="Arial"/>
          <w:sz w:val="24"/>
          <w:szCs w:val="24"/>
        </w:rPr>
        <w:t>nts in each of these mat</w:t>
      </w:r>
      <w:r w:rsidR="007E63FE">
        <w:rPr>
          <w:rFonts w:ascii="Arial" w:hAnsi="Arial" w:cs="Arial"/>
          <w:sz w:val="24"/>
          <w:szCs w:val="24"/>
        </w:rPr>
        <w:t>ters failed to lodge any record at all</w:t>
      </w:r>
      <w:r w:rsidR="004841C1">
        <w:rPr>
          <w:rFonts w:ascii="Arial" w:hAnsi="Arial" w:cs="Arial"/>
          <w:sz w:val="24"/>
          <w:szCs w:val="24"/>
        </w:rPr>
        <w:t xml:space="preserve">. </w:t>
      </w:r>
      <w:r w:rsidR="00237710">
        <w:rPr>
          <w:rFonts w:ascii="Arial" w:hAnsi="Arial" w:cs="Arial"/>
          <w:sz w:val="24"/>
          <w:szCs w:val="24"/>
        </w:rPr>
        <w:t>Furthermore rule 14 requires that an appel</w:t>
      </w:r>
      <w:r w:rsidR="00766B22">
        <w:rPr>
          <w:rFonts w:ascii="Arial" w:hAnsi="Arial" w:cs="Arial"/>
          <w:sz w:val="24"/>
          <w:szCs w:val="24"/>
        </w:rPr>
        <w:t>lant</w:t>
      </w:r>
      <w:r w:rsidR="002D1B6A">
        <w:rPr>
          <w:rFonts w:ascii="Arial" w:hAnsi="Arial" w:cs="Arial"/>
          <w:sz w:val="24"/>
          <w:szCs w:val="24"/>
        </w:rPr>
        <w:t xml:space="preserve"> must, </w:t>
      </w:r>
      <w:r w:rsidR="00237710">
        <w:rPr>
          <w:rFonts w:ascii="Arial" w:hAnsi="Arial" w:cs="Arial"/>
          <w:sz w:val="24"/>
          <w:szCs w:val="24"/>
        </w:rPr>
        <w:t>before lodging copies of the record, enter into good and sufficient security.</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4841C1">
        <w:rPr>
          <w:rFonts w:ascii="Arial" w:hAnsi="Arial" w:cs="Arial"/>
          <w:sz w:val="24"/>
          <w:szCs w:val="24"/>
        </w:rPr>
        <w:t xml:space="preserve">In each of these </w:t>
      </w:r>
      <w:r w:rsidR="003F3FF6">
        <w:rPr>
          <w:rFonts w:ascii="Arial" w:hAnsi="Arial" w:cs="Arial"/>
          <w:sz w:val="24"/>
          <w:szCs w:val="24"/>
        </w:rPr>
        <w:t>matters</w:t>
      </w:r>
      <w:r w:rsidR="004841C1">
        <w:rPr>
          <w:rFonts w:ascii="Arial" w:hAnsi="Arial" w:cs="Arial"/>
          <w:sz w:val="24"/>
          <w:szCs w:val="24"/>
        </w:rPr>
        <w:t>, the app</w:t>
      </w:r>
      <w:r w:rsidR="003F3FF6">
        <w:rPr>
          <w:rFonts w:ascii="Arial" w:hAnsi="Arial" w:cs="Arial"/>
          <w:sz w:val="24"/>
          <w:szCs w:val="24"/>
        </w:rPr>
        <w:t>ell</w:t>
      </w:r>
      <w:r w:rsidR="004841C1">
        <w:rPr>
          <w:rFonts w:ascii="Arial" w:hAnsi="Arial" w:cs="Arial"/>
          <w:sz w:val="24"/>
          <w:szCs w:val="24"/>
        </w:rPr>
        <w:t xml:space="preserve">ants lodged their notices of appeal considerable periods after the stipulated </w:t>
      </w:r>
      <w:r w:rsidR="004D3E4F">
        <w:rPr>
          <w:rFonts w:ascii="Arial" w:hAnsi="Arial" w:cs="Arial"/>
          <w:sz w:val="24"/>
          <w:szCs w:val="24"/>
        </w:rPr>
        <w:t xml:space="preserve">time, varying from years out of time to months out of time in other cases. And they were in </w:t>
      </w:r>
      <w:r w:rsidR="007E63FE">
        <w:rPr>
          <w:rFonts w:ascii="Arial" w:hAnsi="Arial" w:cs="Arial"/>
          <w:sz w:val="24"/>
          <w:szCs w:val="24"/>
        </w:rPr>
        <w:t>all</w:t>
      </w:r>
      <w:r w:rsidR="004D3E4F">
        <w:rPr>
          <w:rFonts w:ascii="Arial" w:hAnsi="Arial" w:cs="Arial"/>
          <w:sz w:val="24"/>
          <w:szCs w:val="24"/>
        </w:rPr>
        <w:t xml:space="preserve"> instances filed after steps to execute the judgment were taken, strongly suggesting that the sole purpose in doing so i</w:t>
      </w:r>
      <w:r w:rsidR="003F3FF6">
        <w:rPr>
          <w:rFonts w:ascii="Arial" w:hAnsi="Arial" w:cs="Arial"/>
          <w:sz w:val="24"/>
          <w:szCs w:val="24"/>
        </w:rPr>
        <w:t>s</w:t>
      </w:r>
      <w:r w:rsidR="004D3E4F">
        <w:rPr>
          <w:rFonts w:ascii="Arial" w:hAnsi="Arial" w:cs="Arial"/>
          <w:sz w:val="24"/>
          <w:szCs w:val="24"/>
        </w:rPr>
        <w:t xml:space="preserve"> to delay the execution process</w:t>
      </w:r>
      <w:r w:rsidR="007E63FE">
        <w:rPr>
          <w:rFonts w:ascii="Arial" w:hAnsi="Arial" w:cs="Arial"/>
          <w:sz w:val="24"/>
          <w:szCs w:val="24"/>
        </w:rPr>
        <w:t>,</w:t>
      </w:r>
      <w:r w:rsidR="002A34BB">
        <w:rPr>
          <w:rFonts w:ascii="Arial" w:hAnsi="Arial" w:cs="Arial"/>
          <w:sz w:val="24"/>
          <w:szCs w:val="24"/>
        </w:rPr>
        <w:t xml:space="preserve"> thus</w:t>
      </w:r>
      <w:r w:rsidR="007E63FE">
        <w:rPr>
          <w:rFonts w:ascii="Arial" w:hAnsi="Arial" w:cs="Arial"/>
          <w:sz w:val="24"/>
          <w:szCs w:val="24"/>
        </w:rPr>
        <w:t xml:space="preserve"> amounting to an abuse of process</w:t>
      </w:r>
      <w:r w:rsidR="004D3E4F">
        <w:rPr>
          <w:rFonts w:ascii="Arial" w:hAnsi="Arial" w:cs="Arial"/>
          <w:sz w:val="24"/>
          <w:szCs w:val="24"/>
        </w:rPr>
        <w:t>.</w:t>
      </w:r>
    </w:p>
    <w:p w:rsidR="004D3E4F" w:rsidRDefault="004D3E4F" w:rsidP="004D3E4F">
      <w:pPr>
        <w:pStyle w:val="ListParagraph"/>
        <w:rPr>
          <w:rFonts w:ascii="Arial" w:hAnsi="Arial" w:cs="Arial"/>
          <w:sz w:val="24"/>
          <w:szCs w:val="24"/>
        </w:rPr>
      </w:pPr>
    </w:p>
    <w:p w:rsidR="004D3E4F" w:rsidRDefault="00C979E0" w:rsidP="00C979E0">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D3E4F">
        <w:rPr>
          <w:rFonts w:ascii="Arial" w:hAnsi="Arial" w:cs="Arial"/>
          <w:sz w:val="24"/>
          <w:szCs w:val="24"/>
        </w:rPr>
        <w:t>In each of these matters, the app</w:t>
      </w:r>
      <w:r w:rsidR="003F3FF6">
        <w:rPr>
          <w:rFonts w:ascii="Arial" w:hAnsi="Arial" w:cs="Arial"/>
          <w:sz w:val="24"/>
          <w:szCs w:val="24"/>
        </w:rPr>
        <w:t>ell</w:t>
      </w:r>
      <w:r w:rsidR="004D3E4F">
        <w:rPr>
          <w:rFonts w:ascii="Arial" w:hAnsi="Arial" w:cs="Arial"/>
          <w:sz w:val="24"/>
          <w:szCs w:val="24"/>
        </w:rPr>
        <w:t xml:space="preserve">ants have failed to lodge a record within the </w:t>
      </w:r>
      <w:r w:rsidR="00B008BE">
        <w:rPr>
          <w:rFonts w:ascii="Arial" w:hAnsi="Arial" w:cs="Arial"/>
          <w:sz w:val="24"/>
          <w:szCs w:val="24"/>
        </w:rPr>
        <w:t>three</w:t>
      </w:r>
      <w:r w:rsidR="004D3E4F">
        <w:rPr>
          <w:rFonts w:ascii="Arial" w:hAnsi="Arial" w:cs="Arial"/>
          <w:sz w:val="24"/>
          <w:szCs w:val="24"/>
        </w:rPr>
        <w:t xml:space="preserve"> month</w:t>
      </w:r>
      <w:r w:rsidR="00B008BE">
        <w:rPr>
          <w:rFonts w:ascii="Arial" w:hAnsi="Arial" w:cs="Arial"/>
          <w:sz w:val="24"/>
          <w:szCs w:val="24"/>
        </w:rPr>
        <w:t>s</w:t>
      </w:r>
      <w:r w:rsidR="004D3E4F">
        <w:rPr>
          <w:rFonts w:ascii="Arial" w:hAnsi="Arial" w:cs="Arial"/>
          <w:sz w:val="24"/>
          <w:szCs w:val="24"/>
        </w:rPr>
        <w:t xml:space="preserve"> period from the date of the judgment appealed against. </w:t>
      </w:r>
      <w:r w:rsidR="002D1B6A">
        <w:rPr>
          <w:rFonts w:ascii="Arial" w:hAnsi="Arial" w:cs="Arial"/>
          <w:sz w:val="24"/>
          <w:szCs w:val="24"/>
        </w:rPr>
        <w:t xml:space="preserve">This failure is compounded by the further unexplained failure to lodge a record after filing their respective condonation applications. </w:t>
      </w:r>
      <w:r w:rsidR="004D3E4F">
        <w:rPr>
          <w:rFonts w:ascii="Arial" w:hAnsi="Arial" w:cs="Arial"/>
          <w:sz w:val="24"/>
          <w:szCs w:val="24"/>
        </w:rPr>
        <w:t>And in each of these matters</w:t>
      </w:r>
      <w:r w:rsidR="00B008BE">
        <w:rPr>
          <w:rFonts w:ascii="Arial" w:hAnsi="Arial" w:cs="Arial"/>
          <w:sz w:val="24"/>
          <w:szCs w:val="24"/>
        </w:rPr>
        <w:t>,</w:t>
      </w:r>
      <w:r w:rsidR="004D3E4F">
        <w:rPr>
          <w:rFonts w:ascii="Arial" w:hAnsi="Arial" w:cs="Arial"/>
          <w:sz w:val="24"/>
          <w:szCs w:val="24"/>
        </w:rPr>
        <w:t xml:space="preserve"> the app</w:t>
      </w:r>
      <w:r w:rsidR="003F3FF6">
        <w:rPr>
          <w:rFonts w:ascii="Arial" w:hAnsi="Arial" w:cs="Arial"/>
          <w:sz w:val="24"/>
          <w:szCs w:val="24"/>
        </w:rPr>
        <w:t>ell</w:t>
      </w:r>
      <w:r w:rsidR="004D3E4F">
        <w:rPr>
          <w:rFonts w:ascii="Arial" w:hAnsi="Arial" w:cs="Arial"/>
          <w:sz w:val="24"/>
          <w:szCs w:val="24"/>
        </w:rPr>
        <w:t>ants have failed to lodge security as required</w:t>
      </w:r>
      <w:r w:rsidR="007E63FE">
        <w:rPr>
          <w:rFonts w:ascii="Arial" w:hAnsi="Arial" w:cs="Arial"/>
          <w:sz w:val="24"/>
          <w:szCs w:val="24"/>
        </w:rPr>
        <w:t xml:space="preserve"> and likewise persist in that failure</w:t>
      </w:r>
      <w:r w:rsidR="004D3E4F">
        <w:rPr>
          <w:rFonts w:ascii="Arial" w:hAnsi="Arial" w:cs="Arial"/>
          <w:sz w:val="24"/>
          <w:szCs w:val="24"/>
        </w:rPr>
        <w:t xml:space="preserve">. </w:t>
      </w:r>
      <w:r w:rsidR="003F3FF6">
        <w:rPr>
          <w:rFonts w:ascii="Arial" w:hAnsi="Arial" w:cs="Arial"/>
          <w:sz w:val="24"/>
          <w:szCs w:val="24"/>
        </w:rPr>
        <w:t>In three of these matters where written submissions were filed, these were all hopelessly out of time and without any application for condonation.</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D3E4F">
        <w:rPr>
          <w:rFonts w:ascii="Arial" w:hAnsi="Arial" w:cs="Arial"/>
          <w:sz w:val="24"/>
          <w:szCs w:val="24"/>
        </w:rPr>
        <w:t xml:space="preserve">As a consequence of the failure to lodge the record within the required time, each of the appeals in these </w:t>
      </w:r>
      <w:r w:rsidR="00E91815">
        <w:rPr>
          <w:rFonts w:ascii="Arial" w:hAnsi="Arial" w:cs="Arial"/>
          <w:sz w:val="24"/>
          <w:szCs w:val="24"/>
        </w:rPr>
        <w:t>four</w:t>
      </w:r>
      <w:r w:rsidR="004D3E4F">
        <w:rPr>
          <w:rFonts w:ascii="Arial" w:hAnsi="Arial" w:cs="Arial"/>
          <w:sz w:val="24"/>
          <w:szCs w:val="24"/>
        </w:rPr>
        <w:t xml:space="preserve"> matters has lapsed. The juris</w:t>
      </w:r>
      <w:r w:rsidR="002D1B6A">
        <w:rPr>
          <w:rFonts w:ascii="Arial" w:hAnsi="Arial" w:cs="Arial"/>
          <w:sz w:val="24"/>
          <w:szCs w:val="24"/>
        </w:rPr>
        <w:t>prudence</w:t>
      </w:r>
      <w:r w:rsidR="004D3E4F">
        <w:rPr>
          <w:rFonts w:ascii="Arial" w:hAnsi="Arial" w:cs="Arial"/>
          <w:sz w:val="24"/>
          <w:szCs w:val="24"/>
        </w:rPr>
        <w:t xml:space="preserve"> of this court </w:t>
      </w:r>
      <w:r w:rsidR="00BC1A7F">
        <w:rPr>
          <w:rFonts w:ascii="Arial" w:hAnsi="Arial" w:cs="Arial"/>
          <w:sz w:val="24"/>
          <w:szCs w:val="24"/>
        </w:rPr>
        <w:t>requires that when an appeal is deemed to have been withdrawn</w:t>
      </w:r>
      <w:r w:rsidR="002D1B6A">
        <w:rPr>
          <w:rFonts w:ascii="Arial" w:hAnsi="Arial" w:cs="Arial"/>
          <w:sz w:val="24"/>
          <w:szCs w:val="24"/>
        </w:rPr>
        <w:t xml:space="preserve"> or lapsed</w:t>
      </w:r>
      <w:r w:rsidR="00BC1A7F">
        <w:rPr>
          <w:rFonts w:ascii="Arial" w:hAnsi="Arial" w:cs="Arial"/>
          <w:sz w:val="24"/>
          <w:szCs w:val="24"/>
        </w:rPr>
        <w:t xml:space="preserve">, an appellant must not only lodge a </w:t>
      </w:r>
      <w:r w:rsidR="002D1B6A">
        <w:rPr>
          <w:rFonts w:ascii="Arial" w:hAnsi="Arial" w:cs="Arial"/>
          <w:sz w:val="24"/>
          <w:szCs w:val="24"/>
        </w:rPr>
        <w:t xml:space="preserve">condonation </w:t>
      </w:r>
      <w:r w:rsidR="00BC1A7F">
        <w:rPr>
          <w:rFonts w:ascii="Arial" w:hAnsi="Arial" w:cs="Arial"/>
          <w:sz w:val="24"/>
          <w:szCs w:val="24"/>
        </w:rPr>
        <w:t>application but also apply for reinstatement of the appeal.</w:t>
      </w:r>
      <w:r w:rsidR="006A19BE">
        <w:rPr>
          <w:rStyle w:val="FootnoteReference"/>
          <w:rFonts w:ascii="Arial" w:hAnsi="Arial" w:cs="Arial"/>
          <w:sz w:val="24"/>
          <w:szCs w:val="24"/>
        </w:rPr>
        <w:footnoteReference w:id="9"/>
      </w:r>
      <w:r w:rsidR="003F3FF6">
        <w:rPr>
          <w:rFonts w:ascii="Arial" w:hAnsi="Arial" w:cs="Arial"/>
          <w:sz w:val="24"/>
          <w:szCs w:val="24"/>
        </w:rPr>
        <w:t xml:space="preserve"> Furthermore, the further failure to lodge heads of argument within the required time means that each of the appeals has lapsed for this reason as well.</w:t>
      </w:r>
      <w:r w:rsidR="003F3FF6">
        <w:rPr>
          <w:rStyle w:val="FootnoteReference"/>
          <w:rFonts w:ascii="Arial" w:hAnsi="Arial" w:cs="Arial"/>
          <w:sz w:val="24"/>
          <w:szCs w:val="24"/>
        </w:rPr>
        <w:footnoteReference w:id="10"/>
      </w:r>
    </w:p>
    <w:p w:rsidR="00BC1A7F" w:rsidRDefault="00BC1A7F" w:rsidP="00BC1A7F">
      <w:pPr>
        <w:pStyle w:val="ListParagraph"/>
        <w:rPr>
          <w:rFonts w:ascii="Arial" w:hAnsi="Arial" w:cs="Arial"/>
          <w:sz w:val="24"/>
          <w:szCs w:val="24"/>
        </w:rPr>
      </w:pPr>
    </w:p>
    <w:p w:rsidR="00BC1A7F" w:rsidRDefault="00C979E0" w:rsidP="00C979E0">
      <w:pPr>
        <w:pStyle w:val="NoSpacing"/>
        <w:spacing w:line="480" w:lineRule="auto"/>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r>
      <w:r w:rsidR="00BC1A7F">
        <w:rPr>
          <w:rFonts w:ascii="Arial" w:hAnsi="Arial" w:cs="Arial"/>
          <w:sz w:val="24"/>
          <w:szCs w:val="24"/>
        </w:rPr>
        <w:t xml:space="preserve">In each of the condonation applications filed in these </w:t>
      </w:r>
      <w:r w:rsidR="00637BD3">
        <w:rPr>
          <w:rFonts w:ascii="Arial" w:hAnsi="Arial" w:cs="Arial"/>
          <w:sz w:val="24"/>
          <w:szCs w:val="24"/>
        </w:rPr>
        <w:t>four</w:t>
      </w:r>
      <w:r w:rsidR="00BC1A7F">
        <w:rPr>
          <w:rFonts w:ascii="Arial" w:hAnsi="Arial" w:cs="Arial"/>
          <w:sz w:val="24"/>
          <w:szCs w:val="24"/>
        </w:rPr>
        <w:t xml:space="preserve"> matters, the respective app</w:t>
      </w:r>
      <w:r w:rsidR="0058512E">
        <w:rPr>
          <w:rFonts w:ascii="Arial" w:hAnsi="Arial" w:cs="Arial"/>
          <w:sz w:val="24"/>
          <w:szCs w:val="24"/>
        </w:rPr>
        <w:t>ell</w:t>
      </w:r>
      <w:r w:rsidR="00BC1A7F">
        <w:rPr>
          <w:rFonts w:ascii="Arial" w:hAnsi="Arial" w:cs="Arial"/>
          <w:sz w:val="24"/>
          <w:szCs w:val="24"/>
        </w:rPr>
        <w:t>ants have failed to apply for reinstatement</w:t>
      </w:r>
      <w:r w:rsidR="002D1B6A">
        <w:rPr>
          <w:rFonts w:ascii="Arial" w:hAnsi="Arial" w:cs="Arial"/>
          <w:sz w:val="24"/>
          <w:szCs w:val="24"/>
        </w:rPr>
        <w:t xml:space="preserve">. </w:t>
      </w:r>
      <w:r w:rsidR="0058512E">
        <w:rPr>
          <w:rFonts w:ascii="Arial" w:hAnsi="Arial" w:cs="Arial"/>
          <w:sz w:val="24"/>
          <w:szCs w:val="24"/>
        </w:rPr>
        <w:t xml:space="preserve">This is fatal to each matter. </w:t>
      </w:r>
      <w:r w:rsidR="002D1B6A">
        <w:rPr>
          <w:rFonts w:ascii="Arial" w:hAnsi="Arial" w:cs="Arial"/>
          <w:sz w:val="24"/>
          <w:szCs w:val="24"/>
        </w:rPr>
        <w:t>F</w:t>
      </w:r>
      <w:r w:rsidR="00BC1A7F">
        <w:rPr>
          <w:rFonts w:ascii="Arial" w:hAnsi="Arial" w:cs="Arial"/>
          <w:sz w:val="24"/>
          <w:szCs w:val="24"/>
        </w:rPr>
        <w:t xml:space="preserve">or this reason alone, none of the </w:t>
      </w:r>
      <w:r w:rsidR="00637BD3">
        <w:rPr>
          <w:rFonts w:ascii="Arial" w:hAnsi="Arial" w:cs="Arial"/>
          <w:sz w:val="24"/>
          <w:szCs w:val="24"/>
        </w:rPr>
        <w:t>four</w:t>
      </w:r>
      <w:r w:rsidR="003F3FF6">
        <w:rPr>
          <w:rFonts w:ascii="Arial" w:hAnsi="Arial" w:cs="Arial"/>
          <w:sz w:val="24"/>
          <w:szCs w:val="24"/>
        </w:rPr>
        <w:t xml:space="preserve"> </w:t>
      </w:r>
      <w:r w:rsidR="00BC1A7F">
        <w:rPr>
          <w:rFonts w:ascii="Arial" w:hAnsi="Arial" w:cs="Arial"/>
          <w:sz w:val="24"/>
          <w:szCs w:val="24"/>
        </w:rPr>
        <w:t xml:space="preserve">appeals </w:t>
      </w:r>
      <w:r w:rsidR="007D60BB">
        <w:rPr>
          <w:rFonts w:ascii="Arial" w:hAnsi="Arial" w:cs="Arial"/>
          <w:sz w:val="24"/>
          <w:szCs w:val="24"/>
        </w:rPr>
        <w:t>is properl</w:t>
      </w:r>
      <w:r w:rsidR="00BC1A7F">
        <w:rPr>
          <w:rFonts w:ascii="Arial" w:hAnsi="Arial" w:cs="Arial"/>
          <w:sz w:val="24"/>
          <w:szCs w:val="24"/>
        </w:rPr>
        <w:t>y before court and should be struck from the roll.</w:t>
      </w:r>
    </w:p>
    <w:p w:rsidR="00BC1A7F" w:rsidRDefault="00BC1A7F" w:rsidP="00BC1A7F">
      <w:pPr>
        <w:pStyle w:val="ListParagraph"/>
        <w:rPr>
          <w:rFonts w:ascii="Arial" w:hAnsi="Arial" w:cs="Arial"/>
          <w:sz w:val="24"/>
          <w:szCs w:val="24"/>
        </w:rPr>
      </w:pPr>
    </w:p>
    <w:p w:rsidR="00BC1A7F" w:rsidRDefault="00C979E0" w:rsidP="00C979E0">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C1A7F">
        <w:rPr>
          <w:rFonts w:ascii="Arial" w:hAnsi="Arial" w:cs="Arial"/>
          <w:sz w:val="24"/>
          <w:szCs w:val="24"/>
        </w:rPr>
        <w:t xml:space="preserve">The applications for condonation are however beset with further flaws. Not one of them contains any explanation </w:t>
      </w:r>
      <w:r w:rsidR="007E63FE">
        <w:rPr>
          <w:rFonts w:ascii="Arial" w:hAnsi="Arial" w:cs="Arial"/>
          <w:sz w:val="24"/>
          <w:szCs w:val="24"/>
        </w:rPr>
        <w:t xml:space="preserve">whatsoever </w:t>
      </w:r>
      <w:r w:rsidR="00BC1A7F">
        <w:rPr>
          <w:rFonts w:ascii="Arial" w:hAnsi="Arial" w:cs="Arial"/>
          <w:sz w:val="24"/>
          <w:szCs w:val="24"/>
        </w:rPr>
        <w:t>for not complying with the rules in failing to note the appeal, lodge the record or provide security within the required time periods, except for stating that the</w:t>
      </w:r>
      <w:r w:rsidR="002D1B6A">
        <w:rPr>
          <w:rFonts w:ascii="Arial" w:hAnsi="Arial" w:cs="Arial"/>
          <w:sz w:val="24"/>
          <w:szCs w:val="24"/>
        </w:rPr>
        <w:t xml:space="preserve"> </w:t>
      </w:r>
      <w:r w:rsidR="003A5EF2">
        <w:rPr>
          <w:rFonts w:ascii="Arial" w:hAnsi="Arial" w:cs="Arial"/>
          <w:sz w:val="24"/>
          <w:szCs w:val="24"/>
        </w:rPr>
        <w:t>appellant</w:t>
      </w:r>
      <w:r w:rsidR="002D1B6A">
        <w:rPr>
          <w:rFonts w:ascii="Arial" w:hAnsi="Arial" w:cs="Arial"/>
          <w:sz w:val="24"/>
          <w:szCs w:val="24"/>
        </w:rPr>
        <w:t>s</w:t>
      </w:r>
      <w:r w:rsidR="00BC1A7F">
        <w:rPr>
          <w:rFonts w:ascii="Arial" w:hAnsi="Arial" w:cs="Arial"/>
          <w:sz w:val="24"/>
          <w:szCs w:val="24"/>
        </w:rPr>
        <w:t xml:space="preserve"> are lay litigants. That does not remotely constitute an adequate and acceptable explanation for the serial non-compliance with rules exhibited in all of these </w:t>
      </w:r>
      <w:r w:rsidR="0058512E">
        <w:rPr>
          <w:rFonts w:ascii="Arial" w:hAnsi="Arial" w:cs="Arial"/>
          <w:sz w:val="24"/>
          <w:szCs w:val="24"/>
        </w:rPr>
        <w:t>matters</w:t>
      </w:r>
      <w:r w:rsidR="00BC1A7F">
        <w:rPr>
          <w:rFonts w:ascii="Arial" w:hAnsi="Arial" w:cs="Arial"/>
          <w:sz w:val="24"/>
          <w:szCs w:val="24"/>
        </w:rPr>
        <w:t>. Indeed it amounts to no explanation being given.</w:t>
      </w:r>
      <w:r w:rsidR="00FE3624">
        <w:rPr>
          <w:rStyle w:val="FootnoteReference"/>
          <w:rFonts w:ascii="Arial" w:hAnsi="Arial" w:cs="Arial"/>
          <w:sz w:val="24"/>
          <w:szCs w:val="24"/>
        </w:rPr>
        <w:footnoteReference w:id="11"/>
      </w:r>
      <w:r w:rsidR="00BC1A7F">
        <w:rPr>
          <w:rFonts w:ascii="Arial" w:hAnsi="Arial" w:cs="Arial"/>
          <w:sz w:val="24"/>
          <w:szCs w:val="24"/>
        </w:rPr>
        <w:t xml:space="preserve"> As was stressed by this court in </w:t>
      </w:r>
      <w:r w:rsidR="00676915">
        <w:rPr>
          <w:rFonts w:ascii="Arial" w:hAnsi="Arial" w:cs="Arial"/>
          <w:i/>
          <w:sz w:val="24"/>
          <w:szCs w:val="24"/>
        </w:rPr>
        <w:t>Worku</w:t>
      </w:r>
      <w:r w:rsidR="007E63FE">
        <w:rPr>
          <w:rFonts w:ascii="Arial" w:hAnsi="Arial" w:cs="Arial"/>
          <w:i/>
          <w:sz w:val="24"/>
          <w:szCs w:val="24"/>
        </w:rPr>
        <w:t>,</w:t>
      </w:r>
      <w:r w:rsidR="00BC1A7F">
        <w:rPr>
          <w:rStyle w:val="FootnoteReference"/>
          <w:rFonts w:ascii="Arial" w:hAnsi="Arial" w:cs="Arial"/>
          <w:sz w:val="24"/>
          <w:szCs w:val="24"/>
        </w:rPr>
        <w:footnoteReference w:id="12"/>
      </w:r>
      <w:r w:rsidR="00676915">
        <w:rPr>
          <w:rFonts w:ascii="Arial" w:hAnsi="Arial" w:cs="Arial"/>
          <w:i/>
          <w:sz w:val="24"/>
          <w:szCs w:val="24"/>
        </w:rPr>
        <w:t xml:space="preserve"> </w:t>
      </w:r>
      <w:r w:rsidR="00676915">
        <w:rPr>
          <w:rFonts w:ascii="Arial" w:hAnsi="Arial" w:cs="Arial"/>
          <w:sz w:val="24"/>
          <w:szCs w:val="24"/>
        </w:rPr>
        <w:t xml:space="preserve">where a lay litigant </w:t>
      </w:r>
      <w:r w:rsidR="002D1B6A">
        <w:rPr>
          <w:rFonts w:ascii="Arial" w:hAnsi="Arial" w:cs="Arial"/>
          <w:sz w:val="24"/>
          <w:szCs w:val="24"/>
        </w:rPr>
        <w:t>implored</w:t>
      </w:r>
      <w:r w:rsidR="00676915">
        <w:rPr>
          <w:rFonts w:ascii="Arial" w:hAnsi="Arial" w:cs="Arial"/>
          <w:sz w:val="24"/>
          <w:szCs w:val="24"/>
        </w:rPr>
        <w:t xml:space="preserve"> this court to overlook his procedural non-compliances:</w:t>
      </w:r>
    </w:p>
    <w:p w:rsidR="00676915" w:rsidRDefault="00676915" w:rsidP="00676915">
      <w:pPr>
        <w:pStyle w:val="ListParagraph"/>
        <w:rPr>
          <w:rFonts w:ascii="Arial" w:hAnsi="Arial" w:cs="Arial"/>
          <w:sz w:val="24"/>
          <w:szCs w:val="24"/>
        </w:rPr>
      </w:pPr>
    </w:p>
    <w:p w:rsidR="00676915" w:rsidRDefault="00676915" w:rsidP="00676915">
      <w:pPr>
        <w:pStyle w:val="NoSpacing"/>
        <w:spacing w:line="360" w:lineRule="auto"/>
        <w:ind w:left="720"/>
        <w:jc w:val="both"/>
        <w:rPr>
          <w:rFonts w:ascii="Arial" w:hAnsi="Arial" w:cs="Arial"/>
          <w:sz w:val="24"/>
          <w:szCs w:val="24"/>
        </w:rPr>
      </w:pPr>
      <w:r>
        <w:rPr>
          <w:rFonts w:ascii="Arial" w:hAnsi="Arial"/>
        </w:rPr>
        <w:t>‘However, we cannot overlook the rules which are designed to control the procedures of the Court. Although a court should be understanding of the difficulties that lay litigants experience and seek to assist them where possible, a court may not forget that court rules are adopted in order to ensure the fair and expeditious resolution of disputes in the interest of all litigants and the administration of justice generally. Accordingly, a court may not condone non-compliance with the rules even by lay litigants where non-compliance with the rules would render the proceedings unfair or unduly prolonged.’</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76915">
        <w:rPr>
          <w:rFonts w:ascii="Arial" w:hAnsi="Arial" w:cs="Arial"/>
          <w:sz w:val="24"/>
          <w:szCs w:val="24"/>
        </w:rPr>
        <w:t>It would render the proceedings grievously unfair and prejudicial to the respondents to overlook the material non-compliances in these instances, particularly where no explanation is tendered apart from being a lay litigant</w:t>
      </w:r>
      <w:r w:rsidR="0058512E">
        <w:rPr>
          <w:rFonts w:ascii="Arial" w:hAnsi="Arial" w:cs="Arial"/>
          <w:sz w:val="24"/>
          <w:szCs w:val="24"/>
        </w:rPr>
        <w:t xml:space="preserve"> which</w:t>
      </w:r>
      <w:r w:rsidR="00676915">
        <w:rPr>
          <w:rFonts w:ascii="Arial" w:hAnsi="Arial" w:cs="Arial"/>
          <w:sz w:val="24"/>
          <w:szCs w:val="24"/>
        </w:rPr>
        <w:t xml:space="preserve"> amounts to no explanation given.</w:t>
      </w:r>
    </w:p>
    <w:p w:rsidR="00C62F2E" w:rsidRDefault="00C62F2E" w:rsidP="00C62F2E">
      <w:pPr>
        <w:pStyle w:val="ListParagraph"/>
        <w:rPr>
          <w:rFonts w:ascii="Arial" w:hAnsi="Arial" w:cs="Arial"/>
          <w:sz w:val="24"/>
          <w:szCs w:val="24"/>
        </w:rPr>
      </w:pPr>
    </w:p>
    <w:p w:rsidR="00873924" w:rsidRDefault="00C979E0" w:rsidP="00C979E0">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D60BB">
        <w:rPr>
          <w:rFonts w:ascii="Arial" w:hAnsi="Arial" w:cs="Arial"/>
          <w:sz w:val="24"/>
          <w:szCs w:val="24"/>
        </w:rPr>
        <w:t>The</w:t>
      </w:r>
      <w:r w:rsidR="006A19BE">
        <w:rPr>
          <w:rFonts w:ascii="Arial" w:hAnsi="Arial" w:cs="Arial"/>
          <w:sz w:val="24"/>
          <w:szCs w:val="24"/>
        </w:rPr>
        <w:t xml:space="preserve"> breaches</w:t>
      </w:r>
      <w:r w:rsidR="007E63FE">
        <w:rPr>
          <w:rFonts w:ascii="Arial" w:hAnsi="Arial" w:cs="Arial"/>
          <w:sz w:val="24"/>
          <w:szCs w:val="24"/>
        </w:rPr>
        <w:t xml:space="preserve"> of the rules</w:t>
      </w:r>
      <w:r w:rsidR="0058512E">
        <w:rPr>
          <w:rFonts w:ascii="Arial" w:hAnsi="Arial" w:cs="Arial"/>
          <w:sz w:val="24"/>
          <w:szCs w:val="24"/>
        </w:rPr>
        <w:t xml:space="preserve"> (with regard to the filing of the notice of appeal, the record and security)</w:t>
      </w:r>
      <w:r w:rsidR="006A19BE">
        <w:rPr>
          <w:rFonts w:ascii="Arial" w:hAnsi="Arial" w:cs="Arial"/>
          <w:sz w:val="24"/>
          <w:szCs w:val="24"/>
        </w:rPr>
        <w:t xml:space="preserve"> </w:t>
      </w:r>
      <w:r w:rsidR="00873924">
        <w:rPr>
          <w:rFonts w:ascii="Arial" w:hAnsi="Arial" w:cs="Arial"/>
          <w:sz w:val="24"/>
          <w:szCs w:val="24"/>
        </w:rPr>
        <w:t xml:space="preserve">in each of these </w:t>
      </w:r>
      <w:r w:rsidR="0058512E">
        <w:rPr>
          <w:rFonts w:ascii="Arial" w:hAnsi="Arial" w:cs="Arial"/>
          <w:sz w:val="24"/>
          <w:szCs w:val="24"/>
        </w:rPr>
        <w:t>matters</w:t>
      </w:r>
      <w:r w:rsidR="00873924">
        <w:rPr>
          <w:rFonts w:ascii="Arial" w:hAnsi="Arial" w:cs="Arial"/>
          <w:sz w:val="24"/>
          <w:szCs w:val="24"/>
        </w:rPr>
        <w:t xml:space="preserve"> </w:t>
      </w:r>
      <w:r w:rsidR="006A19BE">
        <w:rPr>
          <w:rFonts w:ascii="Arial" w:hAnsi="Arial" w:cs="Arial"/>
          <w:sz w:val="24"/>
          <w:szCs w:val="24"/>
        </w:rPr>
        <w:t>are material and have been persisted with</w:t>
      </w:r>
      <w:r w:rsidR="00E91815">
        <w:rPr>
          <w:rFonts w:ascii="Arial" w:hAnsi="Arial" w:cs="Arial"/>
          <w:sz w:val="24"/>
          <w:szCs w:val="24"/>
        </w:rPr>
        <w:t>, given</w:t>
      </w:r>
      <w:r w:rsidR="006A19BE">
        <w:rPr>
          <w:rFonts w:ascii="Arial" w:hAnsi="Arial" w:cs="Arial"/>
          <w:sz w:val="24"/>
          <w:szCs w:val="24"/>
        </w:rPr>
        <w:t xml:space="preserve"> the </w:t>
      </w:r>
      <w:r w:rsidR="0058512E">
        <w:rPr>
          <w:rFonts w:ascii="Arial" w:hAnsi="Arial" w:cs="Arial"/>
          <w:sz w:val="24"/>
          <w:szCs w:val="24"/>
        </w:rPr>
        <w:t xml:space="preserve">continuing </w:t>
      </w:r>
      <w:r w:rsidR="006A19BE">
        <w:rPr>
          <w:rFonts w:ascii="Arial" w:hAnsi="Arial" w:cs="Arial"/>
          <w:sz w:val="24"/>
          <w:szCs w:val="24"/>
        </w:rPr>
        <w:t>failure to file the record and enter security. No explanation is provided for their persistent breach of the rules.</w:t>
      </w:r>
      <w:r w:rsidR="00FE3624">
        <w:rPr>
          <w:rFonts w:ascii="Arial" w:hAnsi="Arial" w:cs="Arial"/>
          <w:sz w:val="24"/>
          <w:szCs w:val="24"/>
        </w:rPr>
        <w:t xml:space="preserve"> Nor is any indication given in any of the matters as to when a record would be filed. Quite how the </w:t>
      </w:r>
      <w:r w:rsidR="003A5EF2">
        <w:rPr>
          <w:rFonts w:ascii="Arial" w:hAnsi="Arial" w:cs="Arial"/>
          <w:sz w:val="24"/>
          <w:szCs w:val="24"/>
        </w:rPr>
        <w:t>appellant</w:t>
      </w:r>
      <w:r w:rsidR="00FE3624">
        <w:rPr>
          <w:rFonts w:ascii="Arial" w:hAnsi="Arial" w:cs="Arial"/>
          <w:sz w:val="24"/>
          <w:szCs w:val="24"/>
        </w:rPr>
        <w:t xml:space="preserve">s contemplate that their appeals can conceivably </w:t>
      </w:r>
      <w:r w:rsidR="00637BD3">
        <w:rPr>
          <w:rFonts w:ascii="Arial" w:hAnsi="Arial" w:cs="Arial"/>
          <w:sz w:val="24"/>
          <w:szCs w:val="24"/>
        </w:rPr>
        <w:t xml:space="preserve">be </w:t>
      </w:r>
      <w:r w:rsidR="00FE3624">
        <w:rPr>
          <w:rFonts w:ascii="Arial" w:hAnsi="Arial" w:cs="Arial"/>
          <w:sz w:val="24"/>
          <w:szCs w:val="24"/>
        </w:rPr>
        <w:t xml:space="preserve">heard and considered in the absence of a court record is not explained. It is also not possible to </w:t>
      </w:r>
      <w:r w:rsidR="00873924">
        <w:rPr>
          <w:rFonts w:ascii="Arial" w:hAnsi="Arial" w:cs="Arial"/>
          <w:sz w:val="24"/>
          <w:szCs w:val="24"/>
        </w:rPr>
        <w:t xml:space="preserve">properly </w:t>
      </w:r>
      <w:r w:rsidR="00FE3624">
        <w:rPr>
          <w:rFonts w:ascii="Arial" w:hAnsi="Arial" w:cs="Arial"/>
          <w:sz w:val="24"/>
          <w:szCs w:val="24"/>
        </w:rPr>
        <w:t>consider the second component of the test for condonation, namely prospects of success of the appeals in question</w:t>
      </w:r>
      <w:r w:rsidR="0058512E">
        <w:rPr>
          <w:rFonts w:ascii="Arial" w:hAnsi="Arial" w:cs="Arial"/>
          <w:sz w:val="24"/>
          <w:szCs w:val="24"/>
        </w:rPr>
        <w:t>,</w:t>
      </w:r>
      <w:r w:rsidR="007E63FE">
        <w:rPr>
          <w:rFonts w:ascii="Arial" w:hAnsi="Arial" w:cs="Arial"/>
          <w:sz w:val="24"/>
          <w:szCs w:val="24"/>
        </w:rPr>
        <w:t xml:space="preserve"> in the absence of a court record</w:t>
      </w:r>
      <w:r w:rsidR="00FE3624">
        <w:rPr>
          <w:rFonts w:ascii="Arial" w:hAnsi="Arial" w:cs="Arial"/>
          <w:sz w:val="24"/>
          <w:szCs w:val="24"/>
        </w:rPr>
        <w:t xml:space="preserve">. The </w:t>
      </w:r>
      <w:r w:rsidR="007D60BB">
        <w:rPr>
          <w:rFonts w:ascii="Arial" w:hAnsi="Arial" w:cs="Arial"/>
          <w:sz w:val="24"/>
          <w:szCs w:val="24"/>
        </w:rPr>
        <w:t>first</w:t>
      </w:r>
      <w:r w:rsidR="00FE3624">
        <w:rPr>
          <w:rFonts w:ascii="Arial" w:hAnsi="Arial" w:cs="Arial"/>
          <w:sz w:val="24"/>
          <w:szCs w:val="24"/>
        </w:rPr>
        <w:t xml:space="preserve"> component </w:t>
      </w:r>
      <w:r w:rsidR="00873924">
        <w:rPr>
          <w:rFonts w:ascii="Arial" w:hAnsi="Arial" w:cs="Arial"/>
          <w:sz w:val="24"/>
          <w:szCs w:val="24"/>
        </w:rPr>
        <w:t>of</w:t>
      </w:r>
      <w:r w:rsidR="00FE3624">
        <w:rPr>
          <w:rFonts w:ascii="Arial" w:hAnsi="Arial" w:cs="Arial"/>
          <w:sz w:val="24"/>
          <w:szCs w:val="24"/>
        </w:rPr>
        <w:t xml:space="preserve"> the two-pronged nature of the test for condonation is that an </w:t>
      </w:r>
      <w:r w:rsidR="003A5EF2">
        <w:rPr>
          <w:rFonts w:ascii="Arial" w:hAnsi="Arial" w:cs="Arial"/>
          <w:sz w:val="24"/>
          <w:szCs w:val="24"/>
        </w:rPr>
        <w:t>appellant</w:t>
      </w:r>
      <w:r w:rsidR="00FE3624">
        <w:rPr>
          <w:rFonts w:ascii="Arial" w:hAnsi="Arial" w:cs="Arial"/>
          <w:sz w:val="24"/>
          <w:szCs w:val="24"/>
        </w:rPr>
        <w:t xml:space="preserve"> for condonation is required to provide a reasonable and acceptable explanation for non-compliance with the rules</w:t>
      </w:r>
      <w:r w:rsidR="00873924">
        <w:rPr>
          <w:rFonts w:ascii="Arial" w:hAnsi="Arial" w:cs="Arial"/>
          <w:sz w:val="24"/>
          <w:szCs w:val="24"/>
        </w:rPr>
        <w:t xml:space="preserve">. In </w:t>
      </w:r>
      <w:r w:rsidR="00FE3624">
        <w:rPr>
          <w:rFonts w:ascii="Arial" w:hAnsi="Arial" w:cs="Arial"/>
          <w:sz w:val="24"/>
          <w:szCs w:val="24"/>
        </w:rPr>
        <w:t xml:space="preserve">this instance there is material non-compliance with three different rules and </w:t>
      </w:r>
      <w:r w:rsidR="00873924">
        <w:rPr>
          <w:rFonts w:ascii="Arial" w:hAnsi="Arial" w:cs="Arial"/>
          <w:sz w:val="24"/>
          <w:szCs w:val="24"/>
        </w:rPr>
        <w:t xml:space="preserve">in </w:t>
      </w:r>
      <w:r w:rsidR="00FE3624">
        <w:rPr>
          <w:rFonts w:ascii="Arial" w:hAnsi="Arial" w:cs="Arial"/>
          <w:sz w:val="24"/>
          <w:szCs w:val="24"/>
        </w:rPr>
        <w:t>two instances</w:t>
      </w:r>
      <w:r w:rsidR="00873924">
        <w:rPr>
          <w:rFonts w:ascii="Arial" w:hAnsi="Arial" w:cs="Arial"/>
          <w:sz w:val="24"/>
          <w:szCs w:val="24"/>
        </w:rPr>
        <w:t xml:space="preserve"> where</w:t>
      </w:r>
      <w:r w:rsidR="00FE3624">
        <w:rPr>
          <w:rFonts w:ascii="Arial" w:hAnsi="Arial" w:cs="Arial"/>
          <w:sz w:val="24"/>
          <w:szCs w:val="24"/>
        </w:rPr>
        <w:t xml:space="preserve"> non-compliance is being persisted in</w:t>
      </w:r>
      <w:r w:rsidR="002A34BB">
        <w:rPr>
          <w:rFonts w:ascii="Arial" w:hAnsi="Arial" w:cs="Arial"/>
          <w:sz w:val="24"/>
          <w:szCs w:val="24"/>
        </w:rPr>
        <w:t xml:space="preserve"> each matter</w:t>
      </w:r>
      <w:r w:rsidR="00FE3624">
        <w:rPr>
          <w:rFonts w:ascii="Arial" w:hAnsi="Arial" w:cs="Arial"/>
          <w:sz w:val="24"/>
          <w:szCs w:val="24"/>
        </w:rPr>
        <w:t xml:space="preserve">. </w:t>
      </w:r>
    </w:p>
    <w:p w:rsidR="00873924" w:rsidRDefault="00873924" w:rsidP="00873924">
      <w:pPr>
        <w:pStyle w:val="ListParagraph"/>
        <w:rPr>
          <w:rFonts w:ascii="Arial" w:hAnsi="Arial" w:cs="Arial"/>
          <w:sz w:val="24"/>
          <w:szCs w:val="24"/>
        </w:rPr>
      </w:pPr>
    </w:p>
    <w:p w:rsidR="00873924" w:rsidRPr="00E91815" w:rsidRDefault="00C979E0" w:rsidP="00C979E0">
      <w:pPr>
        <w:pStyle w:val="NoSpacing"/>
        <w:spacing w:line="480" w:lineRule="auto"/>
        <w:jc w:val="both"/>
        <w:rPr>
          <w:rFonts w:ascii="Arial" w:hAnsi="Arial" w:cs="Arial"/>
          <w:sz w:val="24"/>
          <w:szCs w:val="24"/>
        </w:rPr>
      </w:pPr>
      <w:r w:rsidRPr="00E91815">
        <w:rPr>
          <w:rFonts w:ascii="Arial" w:hAnsi="Arial" w:cs="Arial"/>
          <w:sz w:val="24"/>
          <w:szCs w:val="24"/>
        </w:rPr>
        <w:t>[44]</w:t>
      </w:r>
      <w:r w:rsidRPr="00E91815">
        <w:rPr>
          <w:rFonts w:ascii="Arial" w:hAnsi="Arial" w:cs="Arial"/>
          <w:sz w:val="24"/>
          <w:szCs w:val="24"/>
        </w:rPr>
        <w:tab/>
      </w:r>
      <w:r w:rsidR="00873924">
        <w:rPr>
          <w:rFonts w:ascii="Arial" w:hAnsi="Arial" w:cs="Arial"/>
          <w:sz w:val="24"/>
          <w:szCs w:val="24"/>
        </w:rPr>
        <w:t>This</w:t>
      </w:r>
      <w:r w:rsidR="00FE3624">
        <w:rPr>
          <w:rFonts w:ascii="Arial" w:hAnsi="Arial" w:cs="Arial"/>
          <w:sz w:val="24"/>
          <w:szCs w:val="24"/>
        </w:rPr>
        <w:t xml:space="preserve"> court has made it clear that there are times when an unacceptable explanation is </w:t>
      </w:r>
      <w:r w:rsidR="007D60BB">
        <w:rPr>
          <w:rFonts w:ascii="Arial" w:hAnsi="Arial" w:cs="Arial"/>
          <w:sz w:val="24"/>
          <w:szCs w:val="24"/>
        </w:rPr>
        <w:t xml:space="preserve">so </w:t>
      </w:r>
      <w:r w:rsidR="00FE3624">
        <w:rPr>
          <w:rFonts w:ascii="Arial" w:hAnsi="Arial" w:cs="Arial"/>
          <w:sz w:val="24"/>
          <w:szCs w:val="24"/>
        </w:rPr>
        <w:t xml:space="preserve">glaring </w:t>
      </w:r>
      <w:r w:rsidR="00873924">
        <w:rPr>
          <w:rFonts w:ascii="Arial" w:hAnsi="Arial" w:cs="Arial"/>
          <w:sz w:val="24"/>
          <w:szCs w:val="24"/>
        </w:rPr>
        <w:t>or flagrant that application</w:t>
      </w:r>
      <w:r w:rsidR="00FE3624">
        <w:rPr>
          <w:rFonts w:ascii="Arial" w:hAnsi="Arial" w:cs="Arial"/>
          <w:sz w:val="24"/>
          <w:szCs w:val="24"/>
        </w:rPr>
        <w:t xml:space="preserve">s for condonation may be dismissed without </w:t>
      </w:r>
      <w:r w:rsidR="007D60BB">
        <w:rPr>
          <w:rFonts w:ascii="Arial" w:hAnsi="Arial" w:cs="Arial"/>
          <w:sz w:val="24"/>
          <w:szCs w:val="24"/>
        </w:rPr>
        <w:t xml:space="preserve">a </w:t>
      </w:r>
      <w:r w:rsidR="00FE3624">
        <w:rPr>
          <w:rFonts w:ascii="Arial" w:hAnsi="Arial" w:cs="Arial"/>
          <w:sz w:val="24"/>
          <w:szCs w:val="24"/>
        </w:rPr>
        <w:t>consideration of the prospects of success on appeal.</w:t>
      </w:r>
      <w:r w:rsidR="00FE3624">
        <w:rPr>
          <w:rStyle w:val="FootnoteReference"/>
          <w:rFonts w:ascii="Arial" w:hAnsi="Arial" w:cs="Arial"/>
          <w:sz w:val="24"/>
          <w:szCs w:val="24"/>
        </w:rPr>
        <w:footnoteReference w:id="13"/>
      </w:r>
      <w:r w:rsidR="00E91815">
        <w:rPr>
          <w:rFonts w:ascii="Arial" w:hAnsi="Arial" w:cs="Arial"/>
          <w:sz w:val="24"/>
          <w:szCs w:val="24"/>
        </w:rPr>
        <w:t xml:space="preserve"> </w:t>
      </w:r>
      <w:r w:rsidR="00FE3624" w:rsidRPr="00E91815">
        <w:rPr>
          <w:rFonts w:ascii="Arial" w:hAnsi="Arial" w:cs="Arial"/>
          <w:sz w:val="24"/>
          <w:szCs w:val="24"/>
        </w:rPr>
        <w:t xml:space="preserve">The condonation applications in each of these </w:t>
      </w:r>
      <w:r w:rsidR="003A5EF2">
        <w:rPr>
          <w:rFonts w:ascii="Arial" w:hAnsi="Arial" w:cs="Arial"/>
          <w:sz w:val="24"/>
          <w:szCs w:val="24"/>
        </w:rPr>
        <w:t>four</w:t>
      </w:r>
      <w:r w:rsidR="00FE3624" w:rsidRPr="00E91815">
        <w:rPr>
          <w:rFonts w:ascii="Arial" w:hAnsi="Arial" w:cs="Arial"/>
          <w:sz w:val="24"/>
          <w:szCs w:val="24"/>
        </w:rPr>
        <w:t xml:space="preserve"> matters fall squarely within this category. </w:t>
      </w:r>
      <w:r w:rsidR="00425B78" w:rsidRPr="00E91815">
        <w:rPr>
          <w:rFonts w:ascii="Arial" w:hAnsi="Arial" w:cs="Arial"/>
          <w:sz w:val="24"/>
          <w:szCs w:val="24"/>
        </w:rPr>
        <w:t xml:space="preserve">The breaches in question are material. </w:t>
      </w:r>
      <w:r w:rsidR="00FE3624" w:rsidRPr="00E91815">
        <w:rPr>
          <w:rFonts w:ascii="Arial" w:hAnsi="Arial" w:cs="Arial"/>
          <w:sz w:val="24"/>
          <w:szCs w:val="24"/>
        </w:rPr>
        <w:t>The explanations pr</w:t>
      </w:r>
      <w:r w:rsidR="00873924" w:rsidRPr="00E91815">
        <w:rPr>
          <w:rFonts w:ascii="Arial" w:hAnsi="Arial" w:cs="Arial"/>
          <w:sz w:val="24"/>
          <w:szCs w:val="24"/>
        </w:rPr>
        <w:t>of</w:t>
      </w:r>
      <w:r w:rsidR="00FE3624" w:rsidRPr="00E91815">
        <w:rPr>
          <w:rFonts w:ascii="Arial" w:hAnsi="Arial" w:cs="Arial"/>
          <w:sz w:val="24"/>
          <w:szCs w:val="24"/>
        </w:rPr>
        <w:t xml:space="preserve">fered in each case </w:t>
      </w:r>
      <w:r w:rsidR="007E63FE" w:rsidRPr="00E91815">
        <w:rPr>
          <w:rFonts w:ascii="Arial" w:hAnsi="Arial" w:cs="Arial"/>
          <w:sz w:val="24"/>
          <w:szCs w:val="24"/>
        </w:rPr>
        <w:t xml:space="preserve">are so glaringly or flagrantly unacceptable, </w:t>
      </w:r>
      <w:r w:rsidR="002A34BB" w:rsidRPr="00E91815">
        <w:rPr>
          <w:rFonts w:ascii="Arial" w:hAnsi="Arial" w:cs="Arial"/>
          <w:sz w:val="24"/>
          <w:szCs w:val="24"/>
        </w:rPr>
        <w:t xml:space="preserve">that </w:t>
      </w:r>
      <w:r w:rsidR="007E63FE" w:rsidRPr="00E91815">
        <w:rPr>
          <w:rFonts w:ascii="Arial" w:hAnsi="Arial" w:cs="Arial"/>
          <w:sz w:val="24"/>
          <w:szCs w:val="24"/>
        </w:rPr>
        <w:t xml:space="preserve">they </w:t>
      </w:r>
      <w:r w:rsidR="00FE3624" w:rsidRPr="00E91815">
        <w:rPr>
          <w:rFonts w:ascii="Arial" w:hAnsi="Arial" w:cs="Arial"/>
          <w:sz w:val="24"/>
          <w:szCs w:val="24"/>
        </w:rPr>
        <w:t>amount to no explanation</w:t>
      </w:r>
      <w:r w:rsidR="00425B78" w:rsidRPr="00E91815">
        <w:rPr>
          <w:rFonts w:ascii="Arial" w:hAnsi="Arial" w:cs="Arial"/>
          <w:sz w:val="24"/>
          <w:szCs w:val="24"/>
        </w:rPr>
        <w:t xml:space="preserve">. </w:t>
      </w:r>
    </w:p>
    <w:p w:rsidR="00873924" w:rsidRDefault="00873924" w:rsidP="00873924">
      <w:pPr>
        <w:pStyle w:val="ListParagraph"/>
        <w:rPr>
          <w:rFonts w:ascii="Arial" w:hAnsi="Arial" w:cs="Arial"/>
          <w:sz w:val="24"/>
          <w:szCs w:val="24"/>
        </w:rPr>
      </w:pPr>
    </w:p>
    <w:p w:rsidR="00873924" w:rsidRDefault="00C979E0" w:rsidP="00C979E0">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425B78">
        <w:rPr>
          <w:rFonts w:ascii="Arial" w:hAnsi="Arial" w:cs="Arial"/>
          <w:sz w:val="24"/>
          <w:szCs w:val="24"/>
        </w:rPr>
        <w:t xml:space="preserve">In the case of noting of the appeals, notices were in all instances </w:t>
      </w:r>
      <w:r w:rsidR="007D60BB">
        <w:rPr>
          <w:rFonts w:ascii="Arial" w:hAnsi="Arial" w:cs="Arial"/>
          <w:sz w:val="24"/>
          <w:szCs w:val="24"/>
        </w:rPr>
        <w:t xml:space="preserve">only </w:t>
      </w:r>
      <w:r w:rsidR="00425B78">
        <w:rPr>
          <w:rFonts w:ascii="Arial" w:hAnsi="Arial" w:cs="Arial"/>
          <w:sz w:val="24"/>
          <w:szCs w:val="24"/>
        </w:rPr>
        <w:t xml:space="preserve">filed when execution loomed large and after a considerable delay in each instance. The </w:t>
      </w:r>
      <w:r w:rsidR="00425B78">
        <w:rPr>
          <w:rFonts w:ascii="Arial" w:hAnsi="Arial" w:cs="Arial"/>
          <w:sz w:val="24"/>
          <w:szCs w:val="24"/>
        </w:rPr>
        <w:lastRenderedPageBreak/>
        <w:t xml:space="preserve">failure to file records has been persisted with in each matter, as has been the failure to enter security. </w:t>
      </w:r>
    </w:p>
    <w:p w:rsidR="00873924" w:rsidRDefault="00873924" w:rsidP="00873924">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425B78">
        <w:rPr>
          <w:rFonts w:ascii="Arial" w:hAnsi="Arial" w:cs="Arial"/>
          <w:sz w:val="24"/>
          <w:szCs w:val="24"/>
        </w:rPr>
        <w:t>These condonation applications fall to be dismissed on the basis of the flagrantly inadequate explanations</w:t>
      </w:r>
      <w:r w:rsidR="00606B58">
        <w:rPr>
          <w:rFonts w:ascii="Arial" w:hAnsi="Arial" w:cs="Arial"/>
          <w:sz w:val="24"/>
          <w:szCs w:val="24"/>
        </w:rPr>
        <w:t>,</w:t>
      </w:r>
      <w:r w:rsidR="00425B78">
        <w:rPr>
          <w:rFonts w:ascii="Arial" w:hAnsi="Arial" w:cs="Arial"/>
          <w:sz w:val="24"/>
          <w:szCs w:val="24"/>
        </w:rPr>
        <w:t xml:space="preserve"> without </w:t>
      </w:r>
      <w:r w:rsidR="002A34BB">
        <w:rPr>
          <w:rFonts w:ascii="Arial" w:hAnsi="Arial" w:cs="Arial"/>
          <w:sz w:val="24"/>
          <w:szCs w:val="24"/>
        </w:rPr>
        <w:t xml:space="preserve">the need to </w:t>
      </w:r>
      <w:r w:rsidR="00425B78">
        <w:rPr>
          <w:rFonts w:ascii="Arial" w:hAnsi="Arial" w:cs="Arial"/>
          <w:sz w:val="24"/>
          <w:szCs w:val="24"/>
        </w:rPr>
        <w:t>consider</w:t>
      </w:r>
      <w:r w:rsidR="002A34BB">
        <w:rPr>
          <w:rFonts w:ascii="Arial" w:hAnsi="Arial" w:cs="Arial"/>
          <w:sz w:val="24"/>
          <w:szCs w:val="24"/>
        </w:rPr>
        <w:t xml:space="preserve"> </w:t>
      </w:r>
      <w:r w:rsidR="00425B78">
        <w:rPr>
          <w:rFonts w:ascii="Arial" w:hAnsi="Arial" w:cs="Arial"/>
          <w:sz w:val="24"/>
          <w:szCs w:val="24"/>
        </w:rPr>
        <w:t>the prospects of success of the respective appeals.</w:t>
      </w:r>
      <w:r w:rsidR="00606B58">
        <w:rPr>
          <w:rFonts w:ascii="Arial" w:hAnsi="Arial" w:cs="Arial"/>
          <w:sz w:val="24"/>
          <w:szCs w:val="24"/>
        </w:rPr>
        <w:t xml:space="preserve"> Where the applications for condonation are opposed, costs are awarded</w:t>
      </w:r>
      <w:r w:rsidR="007D60BB">
        <w:rPr>
          <w:rFonts w:ascii="Arial" w:hAnsi="Arial" w:cs="Arial"/>
          <w:sz w:val="24"/>
          <w:szCs w:val="24"/>
        </w:rPr>
        <w:t xml:space="preserve"> and includes the costs of instructing legal practitioners where they have been engaged</w:t>
      </w:r>
      <w:r w:rsidR="00606B58">
        <w:rPr>
          <w:rFonts w:ascii="Arial" w:hAnsi="Arial" w:cs="Arial"/>
          <w:sz w:val="24"/>
          <w:szCs w:val="24"/>
        </w:rPr>
        <w:t>. Where they are unopposed, no order is made as to costs.</w:t>
      </w:r>
    </w:p>
    <w:p w:rsidR="0058512E" w:rsidRDefault="0058512E" w:rsidP="0058512E">
      <w:pPr>
        <w:pStyle w:val="ListParagraph"/>
        <w:rPr>
          <w:rFonts w:ascii="Arial" w:hAnsi="Arial" w:cs="Arial"/>
          <w:sz w:val="24"/>
          <w:szCs w:val="24"/>
        </w:rPr>
      </w:pPr>
    </w:p>
    <w:p w:rsidR="0058512E" w:rsidRDefault="00C979E0" w:rsidP="00C979E0">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58512E">
        <w:rPr>
          <w:rFonts w:ascii="Arial" w:hAnsi="Arial" w:cs="Arial"/>
          <w:sz w:val="24"/>
          <w:szCs w:val="24"/>
        </w:rPr>
        <w:t xml:space="preserve">In conclusion, a word of caution must be given to the public about seeking and acting upon the advice of unqualified persons professing knowledge about the law, such as occurred in each of these matters. In every single respect, the advice given </w:t>
      </w:r>
      <w:r w:rsidR="00E91815">
        <w:rPr>
          <w:rFonts w:ascii="Arial" w:hAnsi="Arial" w:cs="Arial"/>
          <w:sz w:val="24"/>
          <w:szCs w:val="24"/>
        </w:rPr>
        <w:t>by the self-s</w:t>
      </w:r>
      <w:r w:rsidR="00043128">
        <w:rPr>
          <w:rFonts w:ascii="Arial" w:hAnsi="Arial" w:cs="Arial"/>
          <w:sz w:val="24"/>
          <w:szCs w:val="24"/>
        </w:rPr>
        <w:t>t</w:t>
      </w:r>
      <w:r w:rsidR="00E91815">
        <w:rPr>
          <w:rFonts w:ascii="Arial" w:hAnsi="Arial" w:cs="Arial"/>
          <w:sz w:val="24"/>
          <w:szCs w:val="24"/>
        </w:rPr>
        <w:t>yled</w:t>
      </w:r>
      <w:r w:rsidR="00043128">
        <w:rPr>
          <w:rFonts w:ascii="Arial" w:hAnsi="Arial" w:cs="Arial"/>
          <w:sz w:val="24"/>
          <w:szCs w:val="24"/>
        </w:rPr>
        <w:t xml:space="preserve"> paralegal </w:t>
      </w:r>
      <w:r w:rsidR="0058512E">
        <w:rPr>
          <w:rFonts w:ascii="Arial" w:hAnsi="Arial" w:cs="Arial"/>
          <w:sz w:val="24"/>
          <w:szCs w:val="24"/>
        </w:rPr>
        <w:t xml:space="preserve">to the appellants was palpably bad and entirely wrong. The advice concerning notices of appeal and the consequences of filing one was wrong. So too the advice about condonation and the rules of this court in every respect. The advice about the prerequisite of first winding up a close corporation before execution </w:t>
      </w:r>
      <w:r w:rsidR="00043128">
        <w:rPr>
          <w:rFonts w:ascii="Arial" w:hAnsi="Arial" w:cs="Arial"/>
          <w:sz w:val="24"/>
          <w:szCs w:val="24"/>
        </w:rPr>
        <w:t>would be</w:t>
      </w:r>
      <w:r w:rsidR="0058512E">
        <w:rPr>
          <w:rFonts w:ascii="Arial" w:hAnsi="Arial" w:cs="Arial"/>
          <w:sz w:val="24"/>
          <w:szCs w:val="24"/>
        </w:rPr>
        <w:t xml:space="preserve"> permissible is also completely baseless, as is the advice about the need for power of attorney to institute proceedings in the High Court.</w:t>
      </w:r>
    </w:p>
    <w:p w:rsidR="0058512E" w:rsidRDefault="0058512E" w:rsidP="0058512E">
      <w:pPr>
        <w:pStyle w:val="ListParagraph"/>
        <w:rPr>
          <w:rFonts w:ascii="Arial" w:hAnsi="Arial" w:cs="Arial"/>
          <w:sz w:val="24"/>
          <w:szCs w:val="24"/>
        </w:rPr>
      </w:pPr>
    </w:p>
    <w:p w:rsidR="00043128" w:rsidRDefault="00043128" w:rsidP="0058512E">
      <w:pPr>
        <w:pStyle w:val="ListParagraph"/>
        <w:rPr>
          <w:rFonts w:ascii="Arial" w:hAnsi="Arial" w:cs="Arial"/>
          <w:sz w:val="24"/>
          <w:szCs w:val="24"/>
        </w:rPr>
      </w:pPr>
    </w:p>
    <w:p w:rsidR="00043128" w:rsidRDefault="00043128" w:rsidP="0058512E">
      <w:pPr>
        <w:pStyle w:val="ListParagraph"/>
        <w:rPr>
          <w:rFonts w:ascii="Arial" w:hAnsi="Arial" w:cs="Arial"/>
          <w:sz w:val="24"/>
          <w:szCs w:val="24"/>
        </w:rPr>
      </w:pPr>
    </w:p>
    <w:p w:rsidR="00043128" w:rsidRDefault="00043128" w:rsidP="0058512E">
      <w:pPr>
        <w:pStyle w:val="ListParagraph"/>
        <w:rPr>
          <w:rFonts w:ascii="Arial" w:hAnsi="Arial" w:cs="Arial"/>
          <w:sz w:val="24"/>
          <w:szCs w:val="24"/>
        </w:rPr>
      </w:pPr>
    </w:p>
    <w:p w:rsidR="00043128" w:rsidRDefault="00043128" w:rsidP="0058512E">
      <w:pPr>
        <w:pStyle w:val="ListParagraph"/>
        <w:rPr>
          <w:rFonts w:ascii="Arial" w:hAnsi="Arial" w:cs="Arial"/>
          <w:sz w:val="24"/>
          <w:szCs w:val="24"/>
        </w:rPr>
      </w:pPr>
    </w:p>
    <w:p w:rsidR="0058512E" w:rsidRDefault="00C979E0" w:rsidP="00C979E0">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58512E">
        <w:rPr>
          <w:rFonts w:ascii="Arial" w:hAnsi="Arial" w:cs="Arial"/>
          <w:sz w:val="24"/>
          <w:szCs w:val="24"/>
        </w:rPr>
        <w:t>It soon became apparent to us that the incorrect advi</w:t>
      </w:r>
      <w:r w:rsidR="00CE614E">
        <w:rPr>
          <w:rFonts w:ascii="Arial" w:hAnsi="Arial" w:cs="Arial"/>
          <w:sz w:val="24"/>
          <w:szCs w:val="24"/>
        </w:rPr>
        <w:t>c</w:t>
      </w:r>
      <w:r w:rsidR="0058512E">
        <w:rPr>
          <w:rFonts w:ascii="Arial" w:hAnsi="Arial" w:cs="Arial"/>
          <w:sz w:val="24"/>
          <w:szCs w:val="24"/>
        </w:rPr>
        <w:t xml:space="preserve">e (in its manifold components) not only served to create false hope for judgment debtors facing </w:t>
      </w:r>
      <w:r w:rsidR="00CE614E">
        <w:rPr>
          <w:rFonts w:ascii="Arial" w:hAnsi="Arial" w:cs="Arial"/>
          <w:sz w:val="24"/>
          <w:szCs w:val="24"/>
        </w:rPr>
        <w:t xml:space="preserve">the enormity of foreclosure on their immovable property. But it also had the further </w:t>
      </w:r>
      <w:r w:rsidR="00043128">
        <w:rPr>
          <w:rFonts w:ascii="Arial" w:hAnsi="Arial" w:cs="Arial"/>
          <w:sz w:val="24"/>
          <w:szCs w:val="24"/>
        </w:rPr>
        <w:lastRenderedPageBreak/>
        <w:t xml:space="preserve">severely adverse </w:t>
      </w:r>
      <w:r w:rsidR="00CE614E">
        <w:rPr>
          <w:rFonts w:ascii="Arial" w:hAnsi="Arial" w:cs="Arial"/>
          <w:sz w:val="24"/>
          <w:szCs w:val="24"/>
        </w:rPr>
        <w:t xml:space="preserve">consequence of being liable for further legal costs incurred by the respondents as a </w:t>
      </w:r>
      <w:r w:rsidR="00043128">
        <w:rPr>
          <w:rFonts w:ascii="Arial" w:hAnsi="Arial" w:cs="Arial"/>
          <w:sz w:val="24"/>
          <w:szCs w:val="24"/>
        </w:rPr>
        <w:t xml:space="preserve">result </w:t>
      </w:r>
      <w:r w:rsidR="00CE614E">
        <w:rPr>
          <w:rFonts w:ascii="Arial" w:hAnsi="Arial" w:cs="Arial"/>
          <w:sz w:val="24"/>
          <w:szCs w:val="24"/>
        </w:rPr>
        <w:t>of the hopelessly wrong advice given</w:t>
      </w:r>
      <w:r w:rsidR="00043128">
        <w:rPr>
          <w:rFonts w:ascii="Arial" w:hAnsi="Arial" w:cs="Arial"/>
          <w:sz w:val="24"/>
          <w:szCs w:val="24"/>
        </w:rPr>
        <w:t xml:space="preserve"> and acted upon</w:t>
      </w:r>
      <w:r w:rsidR="00CE614E">
        <w:rPr>
          <w:rFonts w:ascii="Arial" w:hAnsi="Arial" w:cs="Arial"/>
          <w:sz w:val="24"/>
          <w:szCs w:val="24"/>
        </w:rPr>
        <w:t>.</w:t>
      </w:r>
    </w:p>
    <w:p w:rsidR="00C62F2E" w:rsidRDefault="00C62F2E" w:rsidP="00C62F2E">
      <w:pPr>
        <w:pStyle w:val="ListParagraph"/>
        <w:rPr>
          <w:rFonts w:ascii="Arial" w:hAnsi="Arial" w:cs="Arial"/>
          <w:sz w:val="24"/>
          <w:szCs w:val="24"/>
        </w:rPr>
      </w:pPr>
    </w:p>
    <w:p w:rsidR="00C62F2E" w:rsidRDefault="00C979E0" w:rsidP="00C979E0">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425B78">
        <w:rPr>
          <w:rFonts w:ascii="Arial" w:hAnsi="Arial" w:cs="Arial"/>
          <w:sz w:val="24"/>
          <w:szCs w:val="24"/>
        </w:rPr>
        <w:t>In the result, the following orders are made in each of these matters:</w:t>
      </w:r>
    </w:p>
    <w:p w:rsidR="00CE614E" w:rsidRDefault="00CE614E" w:rsidP="00425B78">
      <w:pPr>
        <w:pStyle w:val="NoSpacing"/>
        <w:spacing w:line="480" w:lineRule="auto"/>
        <w:ind w:left="720"/>
        <w:jc w:val="both"/>
        <w:rPr>
          <w:rFonts w:ascii="Arial" w:hAnsi="Arial" w:cs="Arial"/>
          <w:sz w:val="24"/>
          <w:szCs w:val="24"/>
          <w:u w:val="single"/>
        </w:rPr>
      </w:pPr>
    </w:p>
    <w:p w:rsidR="00C62F2E" w:rsidRPr="00425B78" w:rsidRDefault="00425B78" w:rsidP="00425B78">
      <w:pPr>
        <w:pStyle w:val="NoSpacing"/>
        <w:spacing w:line="480" w:lineRule="auto"/>
        <w:ind w:left="720"/>
        <w:jc w:val="both"/>
        <w:rPr>
          <w:rFonts w:ascii="Arial" w:hAnsi="Arial" w:cs="Arial"/>
          <w:sz w:val="24"/>
          <w:szCs w:val="24"/>
          <w:u w:val="single"/>
        </w:rPr>
      </w:pPr>
      <w:r>
        <w:rPr>
          <w:rFonts w:ascii="Arial" w:hAnsi="Arial" w:cs="Arial"/>
          <w:sz w:val="24"/>
          <w:szCs w:val="24"/>
          <w:u w:val="single"/>
        </w:rPr>
        <w:t xml:space="preserve">In case SA </w:t>
      </w:r>
      <w:r w:rsidR="00736962">
        <w:rPr>
          <w:rFonts w:ascii="Arial" w:hAnsi="Arial" w:cs="Arial"/>
          <w:sz w:val="24"/>
          <w:szCs w:val="24"/>
          <w:u w:val="single"/>
        </w:rPr>
        <w:t>90/2020</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425B78" w:rsidRPr="00C979E0">
        <w:rPr>
          <w:rFonts w:ascii="Arial" w:hAnsi="Arial" w:cs="Arial"/>
          <w:sz w:val="24"/>
          <w:szCs w:val="24"/>
        </w:rPr>
        <w:t xml:space="preserve">The </w:t>
      </w:r>
      <w:r w:rsidR="003A5EF2" w:rsidRPr="00C979E0">
        <w:rPr>
          <w:rFonts w:ascii="Arial" w:hAnsi="Arial" w:cs="Arial"/>
          <w:sz w:val="24"/>
          <w:szCs w:val="24"/>
        </w:rPr>
        <w:t>appellant</w:t>
      </w:r>
      <w:r w:rsidR="00425B78" w:rsidRPr="00C979E0">
        <w:rPr>
          <w:rFonts w:ascii="Arial" w:hAnsi="Arial" w:cs="Arial"/>
          <w:sz w:val="24"/>
          <w:szCs w:val="24"/>
        </w:rPr>
        <w:t>s’ application is dismissed with costs, including the costs of one instructing and one instructed legal practitioner.</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425B78" w:rsidRPr="00C979E0">
        <w:rPr>
          <w:rFonts w:ascii="Arial" w:hAnsi="Arial" w:cs="Arial"/>
          <w:sz w:val="24"/>
          <w:szCs w:val="24"/>
        </w:rPr>
        <w:t>The appeal is struck from the roll.</w:t>
      </w:r>
    </w:p>
    <w:p w:rsidR="00637BD3" w:rsidRDefault="00637BD3" w:rsidP="00425B78">
      <w:pPr>
        <w:pStyle w:val="NoSpacing"/>
        <w:spacing w:line="480" w:lineRule="auto"/>
        <w:ind w:left="720"/>
        <w:jc w:val="both"/>
        <w:rPr>
          <w:rFonts w:ascii="Arial" w:hAnsi="Arial" w:cs="Arial"/>
          <w:sz w:val="24"/>
          <w:szCs w:val="24"/>
          <w:u w:val="single"/>
        </w:rPr>
      </w:pPr>
    </w:p>
    <w:p w:rsidR="00425B78" w:rsidRPr="00425B78" w:rsidRDefault="00425B78" w:rsidP="00425B78">
      <w:pPr>
        <w:pStyle w:val="NoSpacing"/>
        <w:spacing w:line="480" w:lineRule="auto"/>
        <w:ind w:left="720"/>
        <w:jc w:val="both"/>
        <w:rPr>
          <w:rFonts w:ascii="Arial" w:hAnsi="Arial" w:cs="Arial"/>
          <w:sz w:val="24"/>
          <w:szCs w:val="24"/>
          <w:u w:val="single"/>
        </w:rPr>
      </w:pPr>
      <w:r>
        <w:rPr>
          <w:rFonts w:ascii="Arial" w:hAnsi="Arial" w:cs="Arial"/>
          <w:sz w:val="24"/>
          <w:szCs w:val="24"/>
          <w:u w:val="single"/>
        </w:rPr>
        <w:t xml:space="preserve">In case SA </w:t>
      </w:r>
      <w:r w:rsidR="00736962">
        <w:rPr>
          <w:rFonts w:ascii="Arial" w:hAnsi="Arial" w:cs="Arial"/>
          <w:sz w:val="24"/>
          <w:szCs w:val="24"/>
          <w:u w:val="single"/>
        </w:rPr>
        <w:t>94/2020</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425B78" w:rsidRPr="00C979E0">
        <w:rPr>
          <w:rFonts w:ascii="Arial" w:hAnsi="Arial" w:cs="Arial"/>
          <w:sz w:val="24"/>
          <w:szCs w:val="24"/>
        </w:rPr>
        <w:t xml:space="preserve">The </w:t>
      </w:r>
      <w:r w:rsidR="003A5EF2" w:rsidRPr="00C979E0">
        <w:rPr>
          <w:rFonts w:ascii="Arial" w:hAnsi="Arial" w:cs="Arial"/>
          <w:sz w:val="24"/>
          <w:szCs w:val="24"/>
        </w:rPr>
        <w:t>appellant</w:t>
      </w:r>
      <w:r w:rsidR="00425B78" w:rsidRPr="00C979E0">
        <w:rPr>
          <w:rFonts w:ascii="Arial" w:hAnsi="Arial" w:cs="Arial"/>
          <w:sz w:val="24"/>
          <w:szCs w:val="24"/>
        </w:rPr>
        <w:t>s’ application is dismissed.</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425B78" w:rsidRPr="00C979E0">
        <w:rPr>
          <w:rFonts w:ascii="Arial" w:hAnsi="Arial" w:cs="Arial"/>
          <w:sz w:val="24"/>
          <w:szCs w:val="24"/>
        </w:rPr>
        <w:t>The appeal is struck from the roll.</w:t>
      </w:r>
    </w:p>
    <w:p w:rsidR="00637BD3" w:rsidRDefault="00637BD3" w:rsidP="00425B78">
      <w:pPr>
        <w:pStyle w:val="NoSpacing"/>
        <w:spacing w:line="480" w:lineRule="auto"/>
        <w:ind w:left="720"/>
        <w:jc w:val="both"/>
        <w:rPr>
          <w:rFonts w:ascii="Arial" w:hAnsi="Arial" w:cs="Arial"/>
          <w:sz w:val="24"/>
          <w:szCs w:val="24"/>
          <w:u w:val="single"/>
        </w:rPr>
      </w:pPr>
    </w:p>
    <w:p w:rsidR="00425B78" w:rsidRPr="00425B78" w:rsidRDefault="00425B78" w:rsidP="00425B78">
      <w:pPr>
        <w:pStyle w:val="NoSpacing"/>
        <w:spacing w:line="480" w:lineRule="auto"/>
        <w:ind w:left="720"/>
        <w:jc w:val="both"/>
        <w:rPr>
          <w:rFonts w:ascii="Arial" w:hAnsi="Arial" w:cs="Arial"/>
          <w:sz w:val="24"/>
          <w:szCs w:val="24"/>
          <w:u w:val="single"/>
        </w:rPr>
      </w:pPr>
      <w:r>
        <w:rPr>
          <w:rFonts w:ascii="Arial" w:hAnsi="Arial" w:cs="Arial"/>
          <w:sz w:val="24"/>
          <w:szCs w:val="24"/>
          <w:u w:val="single"/>
        </w:rPr>
        <w:t xml:space="preserve">In case SA </w:t>
      </w:r>
      <w:r w:rsidR="00736962">
        <w:rPr>
          <w:rFonts w:ascii="Arial" w:hAnsi="Arial" w:cs="Arial"/>
          <w:sz w:val="24"/>
          <w:szCs w:val="24"/>
          <w:u w:val="single"/>
        </w:rPr>
        <w:t>98/2020</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425B78" w:rsidRPr="00C979E0">
        <w:rPr>
          <w:rFonts w:ascii="Arial" w:hAnsi="Arial" w:cs="Arial"/>
          <w:sz w:val="24"/>
          <w:szCs w:val="24"/>
        </w:rPr>
        <w:t xml:space="preserve">The </w:t>
      </w:r>
      <w:r w:rsidR="003A5EF2" w:rsidRPr="00C979E0">
        <w:rPr>
          <w:rFonts w:ascii="Arial" w:hAnsi="Arial" w:cs="Arial"/>
          <w:sz w:val="24"/>
          <w:szCs w:val="24"/>
        </w:rPr>
        <w:t>appellant</w:t>
      </w:r>
      <w:r w:rsidR="00425B78" w:rsidRPr="00C979E0">
        <w:rPr>
          <w:rFonts w:ascii="Arial" w:hAnsi="Arial" w:cs="Arial"/>
          <w:sz w:val="24"/>
          <w:szCs w:val="24"/>
        </w:rPr>
        <w:t>s’ application is dismissed with costs, including the costs of one instructing and one instructed legal practitioner.</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425B78" w:rsidRPr="00C979E0">
        <w:rPr>
          <w:rFonts w:ascii="Arial" w:hAnsi="Arial" w:cs="Arial"/>
          <w:sz w:val="24"/>
          <w:szCs w:val="24"/>
        </w:rPr>
        <w:t>The appeal is struck from the roll.</w:t>
      </w:r>
    </w:p>
    <w:p w:rsidR="00043128" w:rsidRDefault="00043128" w:rsidP="00425B78">
      <w:pPr>
        <w:pStyle w:val="NoSpacing"/>
        <w:spacing w:line="480" w:lineRule="auto"/>
        <w:ind w:left="720"/>
        <w:jc w:val="both"/>
        <w:rPr>
          <w:rFonts w:ascii="Arial" w:hAnsi="Arial" w:cs="Arial"/>
          <w:sz w:val="24"/>
          <w:szCs w:val="24"/>
          <w:u w:val="single"/>
        </w:rPr>
      </w:pPr>
    </w:p>
    <w:p w:rsidR="00923950" w:rsidRDefault="00923950" w:rsidP="00425B78">
      <w:pPr>
        <w:pStyle w:val="NoSpacing"/>
        <w:spacing w:line="480" w:lineRule="auto"/>
        <w:ind w:left="720"/>
        <w:jc w:val="both"/>
        <w:rPr>
          <w:rFonts w:ascii="Arial" w:hAnsi="Arial" w:cs="Arial"/>
          <w:sz w:val="24"/>
          <w:szCs w:val="24"/>
          <w:u w:val="single"/>
        </w:rPr>
      </w:pPr>
    </w:p>
    <w:p w:rsidR="00923950" w:rsidRDefault="00923950" w:rsidP="00425B78">
      <w:pPr>
        <w:pStyle w:val="NoSpacing"/>
        <w:spacing w:line="480" w:lineRule="auto"/>
        <w:ind w:left="720"/>
        <w:jc w:val="both"/>
        <w:rPr>
          <w:rFonts w:ascii="Arial" w:hAnsi="Arial" w:cs="Arial"/>
          <w:sz w:val="24"/>
          <w:szCs w:val="24"/>
          <w:u w:val="single"/>
        </w:rPr>
      </w:pPr>
    </w:p>
    <w:p w:rsidR="00923950" w:rsidRDefault="00923950" w:rsidP="00425B78">
      <w:pPr>
        <w:pStyle w:val="NoSpacing"/>
        <w:spacing w:line="480" w:lineRule="auto"/>
        <w:ind w:left="720"/>
        <w:jc w:val="both"/>
        <w:rPr>
          <w:rFonts w:ascii="Arial" w:hAnsi="Arial" w:cs="Arial"/>
          <w:sz w:val="24"/>
          <w:szCs w:val="24"/>
          <w:u w:val="single"/>
        </w:rPr>
      </w:pPr>
    </w:p>
    <w:p w:rsidR="00425B78" w:rsidRPr="00425B78" w:rsidRDefault="00425B78" w:rsidP="00425B78">
      <w:pPr>
        <w:pStyle w:val="NoSpacing"/>
        <w:spacing w:line="480" w:lineRule="auto"/>
        <w:ind w:left="720"/>
        <w:jc w:val="both"/>
        <w:rPr>
          <w:rFonts w:ascii="Arial" w:hAnsi="Arial" w:cs="Arial"/>
          <w:sz w:val="24"/>
          <w:szCs w:val="24"/>
          <w:u w:val="single"/>
        </w:rPr>
      </w:pPr>
      <w:r>
        <w:rPr>
          <w:rFonts w:ascii="Arial" w:hAnsi="Arial" w:cs="Arial"/>
          <w:sz w:val="24"/>
          <w:szCs w:val="24"/>
          <w:u w:val="single"/>
        </w:rPr>
        <w:t xml:space="preserve">In case SA </w:t>
      </w:r>
      <w:r w:rsidR="00736962">
        <w:rPr>
          <w:rFonts w:ascii="Arial" w:hAnsi="Arial" w:cs="Arial"/>
          <w:sz w:val="24"/>
          <w:szCs w:val="24"/>
          <w:u w:val="single"/>
        </w:rPr>
        <w:t>47/202</w:t>
      </w:r>
      <w:r w:rsidR="00606B58">
        <w:rPr>
          <w:rFonts w:ascii="Arial" w:hAnsi="Arial" w:cs="Arial"/>
          <w:sz w:val="24"/>
          <w:szCs w:val="24"/>
          <w:u w:val="single"/>
        </w:rPr>
        <w:t>1</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425B78" w:rsidRPr="00C979E0">
        <w:rPr>
          <w:rFonts w:ascii="Arial" w:hAnsi="Arial" w:cs="Arial"/>
          <w:sz w:val="24"/>
          <w:szCs w:val="24"/>
        </w:rPr>
        <w:t xml:space="preserve">The </w:t>
      </w:r>
      <w:r w:rsidR="003A5EF2" w:rsidRPr="00C979E0">
        <w:rPr>
          <w:rFonts w:ascii="Arial" w:hAnsi="Arial" w:cs="Arial"/>
          <w:sz w:val="24"/>
          <w:szCs w:val="24"/>
        </w:rPr>
        <w:t>appellant</w:t>
      </w:r>
      <w:r w:rsidR="00425B78" w:rsidRPr="00C979E0">
        <w:rPr>
          <w:rFonts w:ascii="Arial" w:hAnsi="Arial" w:cs="Arial"/>
          <w:sz w:val="24"/>
          <w:szCs w:val="24"/>
        </w:rPr>
        <w:t>s’ application is dismissed with costs, including the costs of one instructing and one instructed legal practitioner.</w:t>
      </w:r>
    </w:p>
    <w:p w:rsidR="00425B78" w:rsidRPr="00C979E0" w:rsidRDefault="00C979E0" w:rsidP="00C979E0">
      <w:pPr>
        <w:spacing w:line="480" w:lineRule="auto"/>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425B78" w:rsidRPr="00C979E0">
        <w:rPr>
          <w:rFonts w:ascii="Arial" w:hAnsi="Arial" w:cs="Arial"/>
          <w:sz w:val="24"/>
          <w:szCs w:val="24"/>
        </w:rPr>
        <w:t>The appeal is struck from the roll.</w:t>
      </w:r>
    </w:p>
    <w:p w:rsidR="00C62F2E" w:rsidRDefault="00C62F2E" w:rsidP="00BD55B9">
      <w:pPr>
        <w:pStyle w:val="ListParagraph"/>
        <w:spacing w:after="0"/>
        <w:rPr>
          <w:rFonts w:ascii="Bookman Old Style" w:hAnsi="Bookman Old Style"/>
          <w:noProof/>
          <w:lang w:eastAsia="en-ZA"/>
        </w:rPr>
      </w:pPr>
    </w:p>
    <w:p w:rsidR="007E63FE" w:rsidRDefault="007E63FE" w:rsidP="00BD55B9">
      <w:pPr>
        <w:pStyle w:val="ListParagraph"/>
        <w:spacing w:after="0"/>
        <w:rPr>
          <w:rFonts w:ascii="Bookman Old Style" w:hAnsi="Bookman Old Style"/>
          <w:noProof/>
          <w:lang w:eastAsia="en-ZA"/>
        </w:rPr>
      </w:pPr>
    </w:p>
    <w:p w:rsidR="007E63FE" w:rsidRDefault="007E63FE" w:rsidP="00BD55B9">
      <w:pPr>
        <w:pStyle w:val="ListParagraph"/>
        <w:spacing w:after="0"/>
        <w:rPr>
          <w:rFonts w:ascii="Bookman Old Style" w:hAnsi="Bookman Old Style"/>
          <w:noProof/>
          <w:lang w:eastAsia="en-ZA"/>
        </w:rPr>
      </w:pPr>
    </w:p>
    <w:p w:rsidR="00E54DE5" w:rsidRDefault="00E54DE5" w:rsidP="00BD55B9">
      <w:pPr>
        <w:pStyle w:val="ListParagraph"/>
        <w:spacing w:after="0"/>
        <w:rPr>
          <w:rFonts w:ascii="Arial" w:hAnsi="Arial" w:cs="Arial"/>
          <w:sz w:val="24"/>
          <w:szCs w:val="24"/>
        </w:rPr>
      </w:pP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___________________</w:t>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r w:rsidRPr="0044790E">
        <w:rPr>
          <w:rFonts w:ascii="Arial" w:hAnsi="Arial" w:cs="Arial"/>
          <w:b/>
          <w:sz w:val="24"/>
          <w:szCs w:val="24"/>
        </w:rPr>
        <w:tab/>
      </w: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SMUTS JA</w:t>
      </w:r>
    </w:p>
    <w:p w:rsidR="00BA5726" w:rsidRDefault="00BA5726" w:rsidP="00BA5726">
      <w:pPr>
        <w:pStyle w:val="NoSpacing"/>
        <w:spacing w:line="360" w:lineRule="auto"/>
        <w:jc w:val="both"/>
        <w:rPr>
          <w:rFonts w:ascii="Arial" w:hAnsi="Arial" w:cs="Arial"/>
          <w:b/>
          <w:sz w:val="24"/>
          <w:szCs w:val="24"/>
        </w:rPr>
      </w:pPr>
    </w:p>
    <w:p w:rsidR="00BA5726" w:rsidRDefault="00BA5726" w:rsidP="00BA5726">
      <w:pPr>
        <w:pStyle w:val="NoSpacing"/>
        <w:spacing w:line="360" w:lineRule="auto"/>
        <w:jc w:val="both"/>
        <w:rPr>
          <w:rFonts w:ascii="Arial" w:hAnsi="Arial" w:cs="Arial"/>
          <w:b/>
          <w:sz w:val="24"/>
          <w:szCs w:val="24"/>
        </w:rPr>
      </w:pPr>
    </w:p>
    <w:p w:rsidR="00CE614E" w:rsidRDefault="00CE614E" w:rsidP="00BA5726">
      <w:pPr>
        <w:pStyle w:val="NoSpacing"/>
        <w:spacing w:line="360" w:lineRule="auto"/>
        <w:jc w:val="both"/>
        <w:rPr>
          <w:rFonts w:ascii="Arial" w:hAnsi="Arial" w:cs="Arial"/>
          <w:b/>
          <w:sz w:val="24"/>
          <w:szCs w:val="24"/>
        </w:rPr>
      </w:pPr>
    </w:p>
    <w:p w:rsidR="00BA5726" w:rsidRPr="0044790E" w:rsidRDefault="00BA5726" w:rsidP="00BA5726">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BA5726" w:rsidRDefault="003B6A9D" w:rsidP="00BA5726">
      <w:pPr>
        <w:pStyle w:val="NoSpacing"/>
        <w:spacing w:line="360" w:lineRule="auto"/>
        <w:rPr>
          <w:rFonts w:ascii="Arial" w:hAnsi="Arial" w:cs="Arial"/>
          <w:b/>
          <w:sz w:val="24"/>
          <w:szCs w:val="24"/>
        </w:rPr>
      </w:pPr>
      <w:r>
        <w:rPr>
          <w:rFonts w:ascii="Arial" w:hAnsi="Arial" w:cs="Arial"/>
          <w:b/>
          <w:sz w:val="24"/>
          <w:szCs w:val="24"/>
        </w:rPr>
        <w:t xml:space="preserve">HOFF </w:t>
      </w:r>
      <w:r w:rsidR="00BA5726">
        <w:rPr>
          <w:rFonts w:ascii="Arial" w:hAnsi="Arial" w:cs="Arial"/>
          <w:b/>
          <w:sz w:val="24"/>
          <w:szCs w:val="24"/>
        </w:rPr>
        <w:t>J</w:t>
      </w:r>
      <w:r>
        <w:rPr>
          <w:rFonts w:ascii="Arial" w:hAnsi="Arial" w:cs="Arial"/>
          <w:b/>
          <w:sz w:val="24"/>
          <w:szCs w:val="24"/>
        </w:rPr>
        <w:t>A</w:t>
      </w:r>
    </w:p>
    <w:p w:rsidR="00BA5726" w:rsidRDefault="00BA5726" w:rsidP="00BA5726">
      <w:pPr>
        <w:pStyle w:val="NoSpacing"/>
        <w:spacing w:line="360" w:lineRule="auto"/>
        <w:rPr>
          <w:rFonts w:ascii="Arial" w:hAnsi="Arial" w:cs="Arial"/>
          <w:b/>
          <w:sz w:val="24"/>
          <w:szCs w:val="24"/>
        </w:rPr>
      </w:pPr>
    </w:p>
    <w:p w:rsidR="00BA5726" w:rsidRDefault="00BA5726" w:rsidP="00BA5726">
      <w:pPr>
        <w:pStyle w:val="NoSpacing"/>
        <w:spacing w:line="360" w:lineRule="auto"/>
        <w:rPr>
          <w:rFonts w:ascii="Arial" w:hAnsi="Arial" w:cs="Arial"/>
          <w:b/>
          <w:sz w:val="24"/>
          <w:szCs w:val="24"/>
        </w:rPr>
      </w:pPr>
    </w:p>
    <w:p w:rsidR="00BA5726" w:rsidRPr="0044790E" w:rsidRDefault="00BA5726" w:rsidP="00BA5726">
      <w:pPr>
        <w:pStyle w:val="NoSpacing"/>
        <w:spacing w:line="360" w:lineRule="auto"/>
        <w:rPr>
          <w:rFonts w:ascii="Arial" w:hAnsi="Arial" w:cs="Arial"/>
          <w:b/>
          <w:sz w:val="24"/>
          <w:szCs w:val="24"/>
        </w:rPr>
      </w:pPr>
    </w:p>
    <w:p w:rsidR="00BA5726" w:rsidRPr="0044790E" w:rsidRDefault="00BA5726" w:rsidP="00BA5726">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2E426A" w:rsidRPr="001C25CA" w:rsidRDefault="00BA5726" w:rsidP="000B1CCA">
      <w:pPr>
        <w:pStyle w:val="NoSpacing"/>
        <w:spacing w:line="360" w:lineRule="auto"/>
        <w:rPr>
          <w:rFonts w:ascii="Arial" w:hAnsi="Arial" w:cs="Arial"/>
          <w:sz w:val="24"/>
          <w:szCs w:val="24"/>
        </w:rPr>
      </w:pPr>
      <w:r>
        <w:rPr>
          <w:rFonts w:ascii="Arial" w:hAnsi="Arial" w:cs="Arial"/>
          <w:b/>
          <w:sz w:val="24"/>
          <w:szCs w:val="24"/>
        </w:rPr>
        <w:t>FRANK AJA</w:t>
      </w:r>
      <w:r w:rsidR="002E426A" w:rsidRPr="001C25CA">
        <w:rPr>
          <w:rFonts w:ascii="Arial" w:hAnsi="Arial" w:cs="Arial"/>
          <w:sz w:val="24"/>
          <w:szCs w:val="24"/>
        </w:rPr>
        <w:br w:type="page"/>
      </w:r>
    </w:p>
    <w:tbl>
      <w:tblPr>
        <w:tblW w:w="0" w:type="auto"/>
        <w:tblInd w:w="-142" w:type="dxa"/>
        <w:tblLook w:val="04A0" w:firstRow="1" w:lastRow="0" w:firstColumn="1" w:lastColumn="0" w:noHBand="0" w:noVBand="1"/>
      </w:tblPr>
      <w:tblGrid>
        <w:gridCol w:w="142"/>
        <w:gridCol w:w="4244"/>
        <w:gridCol w:w="142"/>
        <w:gridCol w:w="4119"/>
        <w:gridCol w:w="142"/>
      </w:tblGrid>
      <w:tr w:rsidR="00721889" w:rsidRPr="001C25CA" w:rsidTr="00637BD3">
        <w:trPr>
          <w:gridBefore w:val="1"/>
          <w:wBefore w:w="142" w:type="dxa"/>
        </w:trPr>
        <w:tc>
          <w:tcPr>
            <w:tcW w:w="4386" w:type="dxa"/>
            <w:gridSpan w:val="2"/>
            <w:shd w:val="clear" w:color="auto" w:fill="auto"/>
          </w:tcPr>
          <w:p w:rsidR="00736962" w:rsidRDefault="00736962" w:rsidP="00736962">
            <w:pPr>
              <w:ind w:left="-108" w:right="-146"/>
              <w:rPr>
                <w:rFonts w:ascii="Arial" w:hAnsi="Arial" w:cs="Arial"/>
                <w:sz w:val="24"/>
                <w:szCs w:val="24"/>
              </w:rPr>
            </w:pPr>
            <w:r>
              <w:rPr>
                <w:rFonts w:ascii="Arial" w:hAnsi="Arial" w:cs="Arial"/>
                <w:sz w:val="24"/>
                <w:szCs w:val="24"/>
              </w:rPr>
              <w:lastRenderedPageBreak/>
              <w:t>APPEARANCES</w:t>
            </w:r>
            <w:r w:rsidR="006D4E69">
              <w:rPr>
                <w:rFonts w:ascii="Arial" w:hAnsi="Arial" w:cs="Arial"/>
                <w:sz w:val="24"/>
                <w:szCs w:val="24"/>
              </w:rPr>
              <w:t>:</w:t>
            </w:r>
          </w:p>
          <w:p w:rsidR="006D4E69" w:rsidRDefault="006D4E69" w:rsidP="00736962">
            <w:pPr>
              <w:ind w:left="-108" w:right="-146"/>
              <w:rPr>
                <w:rFonts w:ascii="Arial" w:hAnsi="Arial" w:cs="Arial"/>
                <w:b/>
                <w:i/>
                <w:sz w:val="24"/>
                <w:szCs w:val="24"/>
                <w:u w:val="single"/>
              </w:rPr>
            </w:pPr>
          </w:p>
          <w:p w:rsidR="00736962" w:rsidRPr="006D4E69" w:rsidRDefault="00736962" w:rsidP="00736962">
            <w:pPr>
              <w:ind w:left="-108" w:right="-146"/>
              <w:rPr>
                <w:rFonts w:ascii="Arial" w:hAnsi="Arial" w:cs="Arial"/>
                <w:b/>
                <w:sz w:val="24"/>
                <w:szCs w:val="24"/>
              </w:rPr>
            </w:pPr>
            <w:r w:rsidRPr="006D4E69">
              <w:rPr>
                <w:rFonts w:ascii="Arial" w:hAnsi="Arial" w:cs="Arial"/>
                <w:b/>
                <w:i/>
                <w:sz w:val="24"/>
                <w:szCs w:val="24"/>
                <w:u w:val="single"/>
              </w:rPr>
              <w:t>In case SA 90/2020</w:t>
            </w: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r w:rsidR="00AC3EDE">
              <w:rPr>
                <w:rFonts w:ascii="Arial" w:hAnsi="Arial" w:cs="Arial"/>
                <w:sz w:val="24"/>
                <w:szCs w:val="24"/>
              </w:rPr>
              <w:t>S</w:t>
            </w:r>
            <w:r w:rsidRPr="001C25CA">
              <w:rPr>
                <w:rFonts w:ascii="Arial" w:hAnsi="Arial" w:cs="Arial"/>
                <w:sz w:val="24"/>
                <w:szCs w:val="24"/>
              </w:rPr>
              <w:t>:</w:t>
            </w:r>
          </w:p>
        </w:tc>
        <w:tc>
          <w:tcPr>
            <w:tcW w:w="4261" w:type="dxa"/>
            <w:gridSpan w:val="2"/>
            <w:shd w:val="clear" w:color="auto" w:fill="auto"/>
          </w:tcPr>
          <w:p w:rsidR="00721889" w:rsidRPr="001C25CA" w:rsidRDefault="00721889" w:rsidP="00503269">
            <w:pPr>
              <w:rPr>
                <w:rFonts w:ascii="Arial" w:hAnsi="Arial" w:cs="Arial"/>
                <w:sz w:val="24"/>
                <w:szCs w:val="24"/>
              </w:rPr>
            </w:pPr>
          </w:p>
          <w:p w:rsidR="00736962" w:rsidRDefault="00736962" w:rsidP="00503269">
            <w:pPr>
              <w:rPr>
                <w:rFonts w:ascii="Arial" w:hAnsi="Arial" w:cs="Arial"/>
                <w:sz w:val="24"/>
                <w:szCs w:val="24"/>
              </w:rPr>
            </w:pPr>
          </w:p>
          <w:p w:rsidR="006D4E69" w:rsidRDefault="006D4E69" w:rsidP="006D4E69">
            <w:pPr>
              <w:rPr>
                <w:rFonts w:ascii="Arial" w:hAnsi="Arial" w:cs="Arial"/>
                <w:sz w:val="24"/>
                <w:szCs w:val="24"/>
              </w:rPr>
            </w:pPr>
          </w:p>
          <w:p w:rsidR="00644878" w:rsidRPr="001C25CA" w:rsidRDefault="00736962" w:rsidP="006D4E69">
            <w:pPr>
              <w:rPr>
                <w:rFonts w:ascii="Arial" w:hAnsi="Arial" w:cs="Arial"/>
                <w:sz w:val="24"/>
                <w:szCs w:val="24"/>
              </w:rPr>
            </w:pPr>
            <w:r>
              <w:rPr>
                <w:rFonts w:ascii="Arial" w:hAnsi="Arial" w:cs="Arial"/>
                <w:sz w:val="24"/>
                <w:szCs w:val="24"/>
              </w:rPr>
              <w:t>In person</w:t>
            </w:r>
          </w:p>
        </w:tc>
      </w:tr>
      <w:tr w:rsidR="00721889" w:rsidRPr="001C25CA" w:rsidTr="00637BD3">
        <w:trPr>
          <w:gridBefore w:val="1"/>
          <w:wBefore w:w="142" w:type="dxa"/>
        </w:trPr>
        <w:tc>
          <w:tcPr>
            <w:tcW w:w="4386" w:type="dxa"/>
            <w:gridSpan w:val="2"/>
            <w:shd w:val="clear" w:color="auto" w:fill="auto"/>
          </w:tcPr>
          <w:p w:rsidR="00721889" w:rsidRPr="001C25CA" w:rsidRDefault="00721889" w:rsidP="00C27754">
            <w:pPr>
              <w:ind w:left="-108"/>
              <w:rPr>
                <w:rFonts w:ascii="Arial" w:hAnsi="Arial" w:cs="Arial"/>
                <w:sz w:val="24"/>
                <w:szCs w:val="24"/>
              </w:rPr>
            </w:pPr>
            <w:r w:rsidRPr="001C25CA">
              <w:rPr>
                <w:rFonts w:ascii="Arial" w:hAnsi="Arial" w:cs="Arial"/>
                <w:sz w:val="24"/>
                <w:szCs w:val="24"/>
              </w:rPr>
              <w:t>RESPONDENT:</w:t>
            </w:r>
          </w:p>
        </w:tc>
        <w:tc>
          <w:tcPr>
            <w:tcW w:w="4261" w:type="dxa"/>
            <w:gridSpan w:val="2"/>
            <w:shd w:val="clear" w:color="auto" w:fill="auto"/>
          </w:tcPr>
          <w:p w:rsidR="00C06ED6" w:rsidRDefault="00637BD3" w:rsidP="009834C3">
            <w:pPr>
              <w:rPr>
                <w:rFonts w:ascii="Arial" w:hAnsi="Arial" w:cs="Arial"/>
                <w:sz w:val="24"/>
                <w:szCs w:val="24"/>
              </w:rPr>
            </w:pPr>
            <w:r>
              <w:rPr>
                <w:rFonts w:ascii="Arial" w:hAnsi="Arial" w:cs="Arial"/>
                <w:sz w:val="24"/>
                <w:szCs w:val="24"/>
              </w:rPr>
              <w:t>E Nekwaya</w:t>
            </w:r>
          </w:p>
          <w:p w:rsidR="009834C3" w:rsidRPr="001C25CA" w:rsidRDefault="008E1D7B" w:rsidP="00736962">
            <w:pPr>
              <w:rPr>
                <w:rFonts w:ascii="Arial" w:hAnsi="Arial" w:cs="Arial"/>
                <w:sz w:val="24"/>
                <w:szCs w:val="24"/>
              </w:rPr>
            </w:pPr>
            <w:r>
              <w:rPr>
                <w:rFonts w:ascii="Arial" w:hAnsi="Arial" w:cs="Arial"/>
                <w:sz w:val="24"/>
                <w:szCs w:val="24"/>
              </w:rPr>
              <w:t xml:space="preserve">Instructed by </w:t>
            </w:r>
            <w:r w:rsidR="00736962">
              <w:rPr>
                <w:rFonts w:ascii="Arial" w:hAnsi="Arial" w:cs="Arial"/>
                <w:sz w:val="24"/>
                <w:szCs w:val="24"/>
              </w:rPr>
              <w:t>ENS Africa Namibia</w:t>
            </w:r>
            <w:r w:rsidR="008E6024">
              <w:rPr>
                <w:rFonts w:ascii="Arial" w:hAnsi="Arial" w:cs="Arial"/>
                <w:sz w:val="24"/>
                <w:szCs w:val="24"/>
              </w:rPr>
              <w:t xml:space="preserve">, Windhoek </w:t>
            </w:r>
            <w:r w:rsidR="00736962">
              <w:rPr>
                <w:rFonts w:ascii="Arial" w:hAnsi="Arial" w:cs="Arial"/>
                <w:sz w:val="24"/>
                <w:szCs w:val="24"/>
              </w:rPr>
              <w:t xml:space="preserve"> </w:t>
            </w:r>
            <w:r w:rsidR="00FD51CB" w:rsidRPr="001C25CA">
              <w:rPr>
                <w:rFonts w:ascii="Arial" w:hAnsi="Arial" w:cs="Arial"/>
                <w:sz w:val="24"/>
                <w:szCs w:val="24"/>
              </w:rPr>
              <w:t xml:space="preserve"> </w:t>
            </w:r>
          </w:p>
        </w:tc>
      </w:tr>
      <w:tr w:rsidR="00736962" w:rsidRPr="001C25CA" w:rsidTr="00637BD3">
        <w:trPr>
          <w:gridBefore w:val="1"/>
          <w:gridAfter w:val="1"/>
          <w:wBefore w:w="142" w:type="dxa"/>
          <w:wAfter w:w="142" w:type="dxa"/>
        </w:trPr>
        <w:tc>
          <w:tcPr>
            <w:tcW w:w="4244" w:type="dxa"/>
            <w:shd w:val="clear" w:color="auto" w:fill="auto"/>
          </w:tcPr>
          <w:p w:rsidR="00CE614E" w:rsidRDefault="00CE614E" w:rsidP="00CC0E37">
            <w:pPr>
              <w:ind w:left="-108" w:right="-146"/>
              <w:rPr>
                <w:rFonts w:ascii="Arial" w:hAnsi="Arial" w:cs="Arial"/>
                <w:b/>
                <w:i/>
                <w:sz w:val="24"/>
                <w:szCs w:val="24"/>
                <w:u w:val="single"/>
              </w:rPr>
            </w:pPr>
          </w:p>
          <w:p w:rsidR="00736962" w:rsidRPr="006D4E69" w:rsidRDefault="00736962" w:rsidP="00CC0E37">
            <w:pPr>
              <w:ind w:left="-108" w:right="-146"/>
              <w:rPr>
                <w:rFonts w:ascii="Arial" w:hAnsi="Arial" w:cs="Arial"/>
                <w:b/>
                <w:sz w:val="24"/>
                <w:szCs w:val="24"/>
              </w:rPr>
            </w:pPr>
            <w:r w:rsidRPr="006D4E69">
              <w:rPr>
                <w:rFonts w:ascii="Arial" w:hAnsi="Arial" w:cs="Arial"/>
                <w:b/>
                <w:i/>
                <w:sz w:val="24"/>
                <w:szCs w:val="24"/>
                <w:u w:val="single"/>
              </w:rPr>
              <w:t>In case SA 9</w:t>
            </w:r>
            <w:r w:rsidR="006D4E69" w:rsidRPr="006D4E69">
              <w:rPr>
                <w:rFonts w:ascii="Arial" w:hAnsi="Arial" w:cs="Arial"/>
                <w:b/>
                <w:i/>
                <w:sz w:val="24"/>
                <w:szCs w:val="24"/>
                <w:u w:val="single"/>
              </w:rPr>
              <w:t>4</w:t>
            </w:r>
            <w:r w:rsidRPr="006D4E69">
              <w:rPr>
                <w:rFonts w:ascii="Arial" w:hAnsi="Arial" w:cs="Arial"/>
                <w:b/>
                <w:i/>
                <w:sz w:val="24"/>
                <w:szCs w:val="24"/>
                <w:u w:val="single"/>
              </w:rPr>
              <w:t>/2020</w:t>
            </w:r>
          </w:p>
          <w:p w:rsidR="00736962" w:rsidRPr="001C25CA" w:rsidRDefault="00736962" w:rsidP="00CC0E37">
            <w:pPr>
              <w:ind w:left="-108" w:right="-146"/>
              <w:rPr>
                <w:rFonts w:ascii="Arial" w:hAnsi="Arial" w:cs="Arial"/>
                <w:sz w:val="24"/>
                <w:szCs w:val="24"/>
              </w:rPr>
            </w:pPr>
            <w:r w:rsidRPr="001C25CA">
              <w:rPr>
                <w:rFonts w:ascii="Arial" w:hAnsi="Arial" w:cs="Arial"/>
                <w:sz w:val="24"/>
                <w:szCs w:val="24"/>
              </w:rPr>
              <w:t>APPELLANT</w:t>
            </w:r>
            <w:r>
              <w:rPr>
                <w:rFonts w:ascii="Arial" w:hAnsi="Arial" w:cs="Arial"/>
                <w:sz w:val="24"/>
                <w:szCs w:val="24"/>
              </w:rPr>
              <w:t>S</w:t>
            </w:r>
            <w:r w:rsidRPr="001C25CA">
              <w:rPr>
                <w:rFonts w:ascii="Arial" w:hAnsi="Arial" w:cs="Arial"/>
                <w:sz w:val="24"/>
                <w:szCs w:val="24"/>
              </w:rPr>
              <w:t>:</w:t>
            </w:r>
          </w:p>
        </w:tc>
        <w:tc>
          <w:tcPr>
            <w:tcW w:w="4261" w:type="dxa"/>
            <w:gridSpan w:val="2"/>
            <w:shd w:val="clear" w:color="auto" w:fill="auto"/>
          </w:tcPr>
          <w:p w:rsidR="001C1974" w:rsidRPr="001C25CA" w:rsidRDefault="001C1974" w:rsidP="00CE614E">
            <w:pPr>
              <w:rPr>
                <w:rFonts w:ascii="Arial" w:hAnsi="Arial" w:cs="Arial"/>
                <w:sz w:val="24"/>
                <w:szCs w:val="24"/>
              </w:rPr>
            </w:pPr>
          </w:p>
          <w:p w:rsidR="00736962" w:rsidRDefault="00736962" w:rsidP="00CC0E37">
            <w:pPr>
              <w:rPr>
                <w:rFonts w:ascii="Arial" w:hAnsi="Arial" w:cs="Arial"/>
                <w:sz w:val="24"/>
                <w:szCs w:val="24"/>
              </w:rPr>
            </w:pPr>
          </w:p>
          <w:p w:rsidR="00CE614E" w:rsidRPr="00CE614E" w:rsidRDefault="00CE614E" w:rsidP="00CE614E">
            <w:pPr>
              <w:rPr>
                <w:rFonts w:ascii="Arial" w:hAnsi="Arial" w:cs="Arial"/>
                <w:sz w:val="24"/>
                <w:szCs w:val="24"/>
              </w:rPr>
            </w:pPr>
            <w:r>
              <w:rPr>
                <w:rFonts w:ascii="Arial" w:hAnsi="Arial" w:cs="Arial"/>
                <w:sz w:val="24"/>
                <w:szCs w:val="24"/>
              </w:rPr>
              <w:t>In person</w:t>
            </w:r>
          </w:p>
        </w:tc>
      </w:tr>
      <w:tr w:rsidR="00736962" w:rsidRPr="001C25CA" w:rsidTr="00637BD3">
        <w:trPr>
          <w:gridAfter w:val="1"/>
          <w:wAfter w:w="142" w:type="dxa"/>
        </w:trPr>
        <w:tc>
          <w:tcPr>
            <w:tcW w:w="4386" w:type="dxa"/>
            <w:gridSpan w:val="2"/>
            <w:shd w:val="clear" w:color="auto" w:fill="auto"/>
          </w:tcPr>
          <w:p w:rsidR="006D4E69" w:rsidRDefault="00637BD3" w:rsidP="00736962">
            <w:pPr>
              <w:rPr>
                <w:rFonts w:ascii="Arial" w:hAnsi="Arial" w:cs="Arial"/>
                <w:sz w:val="24"/>
                <w:szCs w:val="24"/>
              </w:rPr>
            </w:pPr>
            <w:r>
              <w:rPr>
                <w:rFonts w:ascii="Arial" w:hAnsi="Arial" w:cs="Arial"/>
                <w:sz w:val="24"/>
                <w:szCs w:val="24"/>
              </w:rPr>
              <w:t>RESPONDENTS:</w:t>
            </w:r>
          </w:p>
          <w:p w:rsidR="00637BD3" w:rsidRDefault="00637BD3" w:rsidP="00736962">
            <w:pPr>
              <w:rPr>
                <w:rFonts w:ascii="Arial" w:hAnsi="Arial" w:cs="Arial"/>
                <w:sz w:val="24"/>
                <w:szCs w:val="24"/>
              </w:rPr>
            </w:pPr>
          </w:p>
          <w:p w:rsidR="00CE614E" w:rsidRPr="00637BD3" w:rsidRDefault="00CE614E" w:rsidP="00736962">
            <w:pPr>
              <w:rPr>
                <w:rFonts w:ascii="Arial" w:hAnsi="Arial" w:cs="Arial"/>
                <w:sz w:val="24"/>
                <w:szCs w:val="24"/>
              </w:rPr>
            </w:pPr>
          </w:p>
          <w:p w:rsidR="00736962" w:rsidRPr="006D4E69" w:rsidRDefault="00736962" w:rsidP="00736962">
            <w:pPr>
              <w:rPr>
                <w:rFonts w:ascii="Arial" w:hAnsi="Arial" w:cs="Arial"/>
                <w:b/>
                <w:i/>
                <w:sz w:val="24"/>
                <w:szCs w:val="24"/>
                <w:u w:val="single"/>
              </w:rPr>
            </w:pPr>
            <w:r w:rsidRPr="006D4E69">
              <w:rPr>
                <w:rFonts w:ascii="Arial" w:hAnsi="Arial" w:cs="Arial"/>
                <w:b/>
                <w:i/>
                <w:sz w:val="24"/>
                <w:szCs w:val="24"/>
                <w:u w:val="single"/>
              </w:rPr>
              <w:t>In case SA 9</w:t>
            </w:r>
            <w:r w:rsidR="006D4E69" w:rsidRPr="006D4E69">
              <w:rPr>
                <w:rFonts w:ascii="Arial" w:hAnsi="Arial" w:cs="Arial"/>
                <w:b/>
                <w:i/>
                <w:sz w:val="24"/>
                <w:szCs w:val="24"/>
                <w:u w:val="single"/>
              </w:rPr>
              <w:t>8</w:t>
            </w:r>
            <w:r w:rsidRPr="006D4E69">
              <w:rPr>
                <w:rFonts w:ascii="Arial" w:hAnsi="Arial" w:cs="Arial"/>
                <w:b/>
                <w:i/>
                <w:sz w:val="24"/>
                <w:szCs w:val="24"/>
                <w:u w:val="single"/>
              </w:rPr>
              <w:t>/2020</w:t>
            </w:r>
          </w:p>
          <w:p w:rsidR="00736962" w:rsidRPr="001C25CA" w:rsidRDefault="00736962" w:rsidP="00736962">
            <w:pPr>
              <w:rPr>
                <w:rFonts w:ascii="Arial" w:hAnsi="Arial" w:cs="Arial"/>
                <w:sz w:val="24"/>
                <w:szCs w:val="24"/>
              </w:rPr>
            </w:pPr>
            <w:r w:rsidRPr="001C25CA">
              <w:rPr>
                <w:rFonts w:ascii="Arial" w:hAnsi="Arial" w:cs="Arial"/>
                <w:sz w:val="24"/>
                <w:szCs w:val="24"/>
              </w:rPr>
              <w:t>APPELLANT</w:t>
            </w:r>
            <w:r>
              <w:rPr>
                <w:rFonts w:ascii="Arial" w:hAnsi="Arial" w:cs="Arial"/>
                <w:sz w:val="24"/>
                <w:szCs w:val="24"/>
              </w:rPr>
              <w:t>S</w:t>
            </w:r>
            <w:r w:rsidRPr="001C25CA">
              <w:rPr>
                <w:rFonts w:ascii="Arial" w:hAnsi="Arial" w:cs="Arial"/>
                <w:sz w:val="24"/>
                <w:szCs w:val="24"/>
              </w:rPr>
              <w:t>:</w:t>
            </w:r>
          </w:p>
        </w:tc>
        <w:tc>
          <w:tcPr>
            <w:tcW w:w="4261" w:type="dxa"/>
            <w:gridSpan w:val="2"/>
            <w:shd w:val="clear" w:color="auto" w:fill="auto"/>
          </w:tcPr>
          <w:p w:rsidR="00736962" w:rsidRDefault="00637BD3" w:rsidP="00CC0E37">
            <w:pPr>
              <w:rPr>
                <w:rFonts w:ascii="Arial" w:hAnsi="Arial" w:cs="Arial"/>
                <w:sz w:val="24"/>
                <w:szCs w:val="24"/>
              </w:rPr>
            </w:pPr>
            <w:r>
              <w:rPr>
                <w:rFonts w:ascii="Arial" w:hAnsi="Arial" w:cs="Arial"/>
                <w:sz w:val="24"/>
                <w:szCs w:val="24"/>
              </w:rPr>
              <w:t>No appearance</w:t>
            </w:r>
          </w:p>
          <w:p w:rsidR="006D4E69" w:rsidRDefault="006D4E69" w:rsidP="00736962">
            <w:pPr>
              <w:rPr>
                <w:rFonts w:ascii="Arial" w:hAnsi="Arial" w:cs="Arial"/>
                <w:sz w:val="24"/>
                <w:szCs w:val="24"/>
              </w:rPr>
            </w:pPr>
          </w:p>
          <w:p w:rsidR="00637BD3" w:rsidRDefault="00637BD3" w:rsidP="00736962">
            <w:pPr>
              <w:rPr>
                <w:rFonts w:ascii="Arial" w:hAnsi="Arial" w:cs="Arial"/>
                <w:sz w:val="24"/>
                <w:szCs w:val="24"/>
              </w:rPr>
            </w:pPr>
          </w:p>
          <w:p w:rsidR="00CE614E" w:rsidRDefault="00CE614E" w:rsidP="00736962">
            <w:pPr>
              <w:rPr>
                <w:rFonts w:ascii="Arial" w:hAnsi="Arial" w:cs="Arial"/>
                <w:sz w:val="24"/>
                <w:szCs w:val="24"/>
              </w:rPr>
            </w:pPr>
          </w:p>
          <w:p w:rsidR="00736962" w:rsidRPr="001C25CA" w:rsidRDefault="00736962" w:rsidP="00736962">
            <w:pPr>
              <w:rPr>
                <w:rFonts w:ascii="Arial" w:hAnsi="Arial" w:cs="Arial"/>
                <w:sz w:val="24"/>
                <w:szCs w:val="24"/>
              </w:rPr>
            </w:pPr>
            <w:r>
              <w:rPr>
                <w:rFonts w:ascii="Arial" w:hAnsi="Arial" w:cs="Arial"/>
                <w:sz w:val="24"/>
                <w:szCs w:val="24"/>
              </w:rPr>
              <w:t>In person</w:t>
            </w:r>
          </w:p>
        </w:tc>
      </w:tr>
      <w:tr w:rsidR="00736962" w:rsidRPr="001C25CA" w:rsidTr="00637BD3">
        <w:trPr>
          <w:gridAfter w:val="1"/>
          <w:wAfter w:w="142" w:type="dxa"/>
        </w:trPr>
        <w:tc>
          <w:tcPr>
            <w:tcW w:w="4386" w:type="dxa"/>
            <w:gridSpan w:val="2"/>
            <w:shd w:val="clear" w:color="auto" w:fill="auto"/>
          </w:tcPr>
          <w:p w:rsidR="00736962" w:rsidRPr="001C25CA" w:rsidRDefault="00736962" w:rsidP="00736962">
            <w:pPr>
              <w:rPr>
                <w:rFonts w:ascii="Arial" w:hAnsi="Arial" w:cs="Arial"/>
                <w:sz w:val="24"/>
                <w:szCs w:val="24"/>
              </w:rPr>
            </w:pPr>
            <w:r w:rsidRPr="001C25CA">
              <w:rPr>
                <w:rFonts w:ascii="Arial" w:hAnsi="Arial" w:cs="Arial"/>
                <w:sz w:val="24"/>
                <w:szCs w:val="24"/>
              </w:rPr>
              <w:t>RESPONDENT:</w:t>
            </w:r>
          </w:p>
        </w:tc>
        <w:tc>
          <w:tcPr>
            <w:tcW w:w="4261" w:type="dxa"/>
            <w:gridSpan w:val="2"/>
            <w:shd w:val="clear" w:color="auto" w:fill="auto"/>
          </w:tcPr>
          <w:p w:rsidR="00736962" w:rsidRDefault="00637BD3" w:rsidP="00CC0E37">
            <w:pPr>
              <w:rPr>
                <w:rFonts w:ascii="Arial" w:hAnsi="Arial" w:cs="Arial"/>
                <w:sz w:val="24"/>
                <w:szCs w:val="24"/>
              </w:rPr>
            </w:pPr>
            <w:r>
              <w:rPr>
                <w:rFonts w:ascii="Arial" w:hAnsi="Arial" w:cs="Arial"/>
                <w:sz w:val="24"/>
                <w:szCs w:val="24"/>
              </w:rPr>
              <w:t>S J Jacobs</w:t>
            </w:r>
          </w:p>
          <w:p w:rsidR="00736962" w:rsidRPr="001C25CA" w:rsidRDefault="00736962" w:rsidP="006D4E69">
            <w:pPr>
              <w:rPr>
                <w:rFonts w:ascii="Arial" w:hAnsi="Arial" w:cs="Arial"/>
                <w:sz w:val="24"/>
                <w:szCs w:val="24"/>
              </w:rPr>
            </w:pPr>
            <w:r>
              <w:rPr>
                <w:rFonts w:ascii="Arial" w:hAnsi="Arial" w:cs="Arial"/>
                <w:sz w:val="24"/>
                <w:szCs w:val="24"/>
              </w:rPr>
              <w:t xml:space="preserve">Instructed by </w:t>
            </w:r>
            <w:r w:rsidR="008E6024">
              <w:rPr>
                <w:rFonts w:ascii="Arial" w:hAnsi="Arial" w:cs="Arial"/>
                <w:sz w:val="24"/>
                <w:szCs w:val="24"/>
              </w:rPr>
              <w:t>Fischer, Quarmby &amp; Pfeiffer, Windhoek</w:t>
            </w:r>
            <w:r>
              <w:rPr>
                <w:rFonts w:ascii="Arial" w:hAnsi="Arial" w:cs="Arial"/>
                <w:sz w:val="24"/>
                <w:szCs w:val="24"/>
              </w:rPr>
              <w:t xml:space="preserve"> </w:t>
            </w:r>
            <w:r w:rsidRPr="001C25CA">
              <w:rPr>
                <w:rFonts w:ascii="Arial" w:hAnsi="Arial" w:cs="Arial"/>
                <w:sz w:val="24"/>
                <w:szCs w:val="24"/>
              </w:rPr>
              <w:t xml:space="preserve"> </w:t>
            </w:r>
          </w:p>
        </w:tc>
      </w:tr>
      <w:tr w:rsidR="00736962" w:rsidRPr="001C25CA" w:rsidTr="00637BD3">
        <w:trPr>
          <w:gridBefore w:val="1"/>
          <w:wBefore w:w="142" w:type="dxa"/>
        </w:trPr>
        <w:tc>
          <w:tcPr>
            <w:tcW w:w="4386" w:type="dxa"/>
            <w:gridSpan w:val="2"/>
            <w:shd w:val="clear" w:color="auto" w:fill="auto"/>
          </w:tcPr>
          <w:p w:rsidR="00736962" w:rsidRDefault="00736962" w:rsidP="00736962">
            <w:pPr>
              <w:rPr>
                <w:rFonts w:ascii="Arial" w:hAnsi="Arial" w:cs="Arial"/>
                <w:sz w:val="24"/>
                <w:szCs w:val="24"/>
              </w:rPr>
            </w:pPr>
          </w:p>
          <w:p w:rsidR="00736962" w:rsidRPr="006D4E69" w:rsidRDefault="00736962" w:rsidP="00736962">
            <w:pPr>
              <w:rPr>
                <w:rFonts w:ascii="Arial" w:hAnsi="Arial" w:cs="Arial"/>
                <w:b/>
                <w:i/>
                <w:sz w:val="24"/>
                <w:szCs w:val="24"/>
                <w:u w:val="single"/>
              </w:rPr>
            </w:pPr>
            <w:r w:rsidRPr="006D4E69">
              <w:rPr>
                <w:rFonts w:ascii="Arial" w:hAnsi="Arial" w:cs="Arial"/>
                <w:b/>
                <w:i/>
                <w:sz w:val="24"/>
                <w:szCs w:val="24"/>
                <w:u w:val="single"/>
              </w:rPr>
              <w:t xml:space="preserve">In case SA </w:t>
            </w:r>
            <w:r w:rsidR="006D4E69" w:rsidRPr="006D4E69">
              <w:rPr>
                <w:rFonts w:ascii="Arial" w:hAnsi="Arial" w:cs="Arial"/>
                <w:b/>
                <w:i/>
                <w:sz w:val="24"/>
                <w:szCs w:val="24"/>
                <w:u w:val="single"/>
              </w:rPr>
              <w:t>47</w:t>
            </w:r>
            <w:r w:rsidRPr="006D4E69">
              <w:rPr>
                <w:rFonts w:ascii="Arial" w:hAnsi="Arial" w:cs="Arial"/>
                <w:b/>
                <w:i/>
                <w:sz w:val="24"/>
                <w:szCs w:val="24"/>
                <w:u w:val="single"/>
              </w:rPr>
              <w:t>/202</w:t>
            </w:r>
            <w:r w:rsidR="003B6A9D">
              <w:rPr>
                <w:rFonts w:ascii="Arial" w:hAnsi="Arial" w:cs="Arial"/>
                <w:b/>
                <w:i/>
                <w:sz w:val="24"/>
                <w:szCs w:val="24"/>
                <w:u w:val="single"/>
              </w:rPr>
              <w:t>1</w:t>
            </w:r>
          </w:p>
          <w:p w:rsidR="00736962" w:rsidRPr="001C25CA" w:rsidRDefault="00736962" w:rsidP="00736962">
            <w:pPr>
              <w:rPr>
                <w:rFonts w:ascii="Arial" w:hAnsi="Arial" w:cs="Arial"/>
                <w:sz w:val="24"/>
                <w:szCs w:val="24"/>
              </w:rPr>
            </w:pPr>
            <w:r w:rsidRPr="001C25CA">
              <w:rPr>
                <w:rFonts w:ascii="Arial" w:hAnsi="Arial" w:cs="Arial"/>
                <w:sz w:val="24"/>
                <w:szCs w:val="24"/>
              </w:rPr>
              <w:t>APPELLANT</w:t>
            </w:r>
            <w:r>
              <w:rPr>
                <w:rFonts w:ascii="Arial" w:hAnsi="Arial" w:cs="Arial"/>
                <w:sz w:val="24"/>
                <w:szCs w:val="24"/>
              </w:rPr>
              <w:t>S</w:t>
            </w:r>
            <w:r w:rsidRPr="001C25CA">
              <w:rPr>
                <w:rFonts w:ascii="Arial" w:hAnsi="Arial" w:cs="Arial"/>
                <w:sz w:val="24"/>
                <w:szCs w:val="24"/>
              </w:rPr>
              <w:t>:</w:t>
            </w:r>
          </w:p>
        </w:tc>
        <w:tc>
          <w:tcPr>
            <w:tcW w:w="4261" w:type="dxa"/>
            <w:gridSpan w:val="2"/>
            <w:shd w:val="clear" w:color="auto" w:fill="auto"/>
          </w:tcPr>
          <w:p w:rsidR="00736962" w:rsidRPr="001C25CA" w:rsidRDefault="00736962" w:rsidP="00CC0E37">
            <w:pPr>
              <w:rPr>
                <w:rFonts w:ascii="Arial" w:hAnsi="Arial" w:cs="Arial"/>
                <w:sz w:val="24"/>
                <w:szCs w:val="24"/>
              </w:rPr>
            </w:pPr>
          </w:p>
          <w:p w:rsidR="00736962" w:rsidRDefault="00736962" w:rsidP="00CC0E37">
            <w:pPr>
              <w:rPr>
                <w:rFonts w:ascii="Arial" w:hAnsi="Arial" w:cs="Arial"/>
                <w:sz w:val="24"/>
                <w:szCs w:val="24"/>
              </w:rPr>
            </w:pPr>
          </w:p>
          <w:p w:rsidR="00736962" w:rsidRPr="001C25CA" w:rsidRDefault="00736962" w:rsidP="00736962">
            <w:pPr>
              <w:rPr>
                <w:rFonts w:ascii="Arial" w:hAnsi="Arial" w:cs="Arial"/>
                <w:sz w:val="24"/>
                <w:szCs w:val="24"/>
              </w:rPr>
            </w:pPr>
            <w:r>
              <w:rPr>
                <w:rFonts w:ascii="Arial" w:hAnsi="Arial" w:cs="Arial"/>
                <w:sz w:val="24"/>
                <w:szCs w:val="24"/>
              </w:rPr>
              <w:t>In person</w:t>
            </w:r>
          </w:p>
        </w:tc>
      </w:tr>
      <w:tr w:rsidR="00736962" w:rsidRPr="001C25CA" w:rsidTr="00637BD3">
        <w:trPr>
          <w:gridBefore w:val="1"/>
          <w:wBefore w:w="142" w:type="dxa"/>
        </w:trPr>
        <w:tc>
          <w:tcPr>
            <w:tcW w:w="4386" w:type="dxa"/>
            <w:gridSpan w:val="2"/>
            <w:shd w:val="clear" w:color="auto" w:fill="auto"/>
          </w:tcPr>
          <w:p w:rsidR="00736962" w:rsidRPr="001C25CA" w:rsidRDefault="00736962" w:rsidP="00736962">
            <w:pPr>
              <w:rPr>
                <w:rFonts w:ascii="Arial" w:hAnsi="Arial" w:cs="Arial"/>
                <w:sz w:val="24"/>
                <w:szCs w:val="24"/>
              </w:rPr>
            </w:pPr>
            <w:r w:rsidRPr="001C25CA">
              <w:rPr>
                <w:rFonts w:ascii="Arial" w:hAnsi="Arial" w:cs="Arial"/>
                <w:sz w:val="24"/>
                <w:szCs w:val="24"/>
              </w:rPr>
              <w:t>RESPONDENT:</w:t>
            </w:r>
          </w:p>
        </w:tc>
        <w:tc>
          <w:tcPr>
            <w:tcW w:w="4261" w:type="dxa"/>
            <w:gridSpan w:val="2"/>
            <w:shd w:val="clear" w:color="auto" w:fill="auto"/>
          </w:tcPr>
          <w:p w:rsidR="00736962" w:rsidRDefault="000A5E7E" w:rsidP="00CC0E37">
            <w:pPr>
              <w:rPr>
                <w:rFonts w:ascii="Arial" w:hAnsi="Arial" w:cs="Arial"/>
                <w:sz w:val="24"/>
                <w:szCs w:val="24"/>
              </w:rPr>
            </w:pPr>
            <w:r>
              <w:rPr>
                <w:rFonts w:ascii="Arial" w:hAnsi="Arial" w:cs="Arial"/>
                <w:sz w:val="24"/>
                <w:szCs w:val="24"/>
              </w:rPr>
              <w:t>W Boesak</w:t>
            </w:r>
          </w:p>
          <w:p w:rsidR="00736962" w:rsidRPr="001C25CA" w:rsidRDefault="00736962" w:rsidP="00CC0E37">
            <w:pPr>
              <w:rPr>
                <w:rFonts w:ascii="Arial" w:hAnsi="Arial" w:cs="Arial"/>
                <w:sz w:val="24"/>
                <w:szCs w:val="24"/>
              </w:rPr>
            </w:pPr>
            <w:r>
              <w:rPr>
                <w:rFonts w:ascii="Arial" w:hAnsi="Arial" w:cs="Arial"/>
                <w:sz w:val="24"/>
                <w:szCs w:val="24"/>
              </w:rPr>
              <w:t>Instructed by ENS Africa N</w:t>
            </w:r>
            <w:r w:rsidR="006D4E69">
              <w:rPr>
                <w:rFonts w:ascii="Arial" w:hAnsi="Arial" w:cs="Arial"/>
                <w:sz w:val="24"/>
                <w:szCs w:val="24"/>
              </w:rPr>
              <w:t>amibia</w:t>
            </w:r>
            <w:r w:rsidR="008E6024">
              <w:rPr>
                <w:rFonts w:ascii="Arial" w:hAnsi="Arial" w:cs="Arial"/>
                <w:sz w:val="24"/>
                <w:szCs w:val="24"/>
              </w:rPr>
              <w:t>, Windhoek</w:t>
            </w:r>
          </w:p>
        </w:tc>
      </w:tr>
    </w:tbl>
    <w:p w:rsidR="00736962" w:rsidRPr="00736962" w:rsidRDefault="00736962" w:rsidP="006D4E69"/>
    <w:sectPr w:rsidR="00736962" w:rsidRPr="00736962" w:rsidSect="004B275C">
      <w:headerReference w:type="default" r:id="rId11"/>
      <w:pgSz w:w="11906" w:h="16838"/>
      <w:pgMar w:top="811" w:right="1418"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54" w:rsidRDefault="00640054" w:rsidP="00B5013F">
      <w:pPr>
        <w:spacing w:after="0" w:line="240" w:lineRule="auto"/>
      </w:pPr>
      <w:r>
        <w:separator/>
      </w:r>
    </w:p>
  </w:endnote>
  <w:endnote w:type="continuationSeparator" w:id="0">
    <w:p w:rsidR="00640054" w:rsidRDefault="00640054"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54" w:rsidRDefault="00640054" w:rsidP="00B5013F">
      <w:pPr>
        <w:spacing w:after="0" w:line="240" w:lineRule="auto"/>
      </w:pPr>
      <w:r>
        <w:separator/>
      </w:r>
    </w:p>
  </w:footnote>
  <w:footnote w:type="continuationSeparator" w:id="0">
    <w:p w:rsidR="00640054" w:rsidRDefault="00640054" w:rsidP="00B5013F">
      <w:pPr>
        <w:spacing w:after="0" w:line="240" w:lineRule="auto"/>
      </w:pPr>
      <w:r>
        <w:continuationSeparator/>
      </w:r>
    </w:p>
  </w:footnote>
  <w:footnote w:id="1">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SA 65/2019 </w:t>
      </w:r>
      <w:r w:rsidR="003A5EF2">
        <w:rPr>
          <w:rFonts w:ascii="Arial" w:hAnsi="Arial" w:cs="Arial"/>
        </w:rPr>
        <w:t>[</w:t>
      </w:r>
      <w:r w:rsidRPr="0098025E">
        <w:rPr>
          <w:rFonts w:ascii="Arial" w:hAnsi="Arial" w:cs="Arial"/>
        </w:rPr>
        <w:t>2021</w:t>
      </w:r>
      <w:r w:rsidR="003A5EF2">
        <w:rPr>
          <w:rFonts w:ascii="Arial" w:hAnsi="Arial" w:cs="Arial"/>
        </w:rPr>
        <w:t>]</w:t>
      </w:r>
      <w:r w:rsidRPr="0098025E">
        <w:rPr>
          <w:rFonts w:ascii="Arial" w:hAnsi="Arial" w:cs="Arial"/>
        </w:rPr>
        <w:t xml:space="preserve"> NASC </w:t>
      </w:r>
      <w:r w:rsidR="00B008BE" w:rsidRPr="0098025E">
        <w:rPr>
          <w:rFonts w:ascii="Arial" w:hAnsi="Arial" w:cs="Arial"/>
        </w:rPr>
        <w:t xml:space="preserve">(25 August </w:t>
      </w:r>
      <w:r w:rsidRPr="0098025E">
        <w:rPr>
          <w:rFonts w:ascii="Arial" w:hAnsi="Arial" w:cs="Arial"/>
        </w:rPr>
        <w:t>2021).</w:t>
      </w:r>
    </w:p>
  </w:footnote>
  <w:footnote w:id="2">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2018</w:t>
      </w:r>
      <w:r w:rsidR="00B008BE" w:rsidRPr="0098025E">
        <w:rPr>
          <w:rFonts w:ascii="Arial" w:hAnsi="Arial" w:cs="Arial"/>
        </w:rPr>
        <w:t xml:space="preserve"> </w:t>
      </w:r>
      <w:r w:rsidRPr="0098025E">
        <w:rPr>
          <w:rFonts w:ascii="Arial" w:hAnsi="Arial" w:cs="Arial"/>
        </w:rPr>
        <w:t>(3) NR 849 (SC).</w:t>
      </w:r>
    </w:p>
  </w:footnote>
  <w:footnote w:id="3">
    <w:p w:rsidR="00355132" w:rsidRPr="0098025E" w:rsidRDefault="00355132"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9(4).</w:t>
      </w:r>
    </w:p>
  </w:footnote>
  <w:footnote w:id="4">
    <w:p w:rsidR="003F3FF6" w:rsidRPr="0098025E" w:rsidRDefault="003F3FF6"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w:t>
      </w:r>
      <w:r w:rsidR="008E6024">
        <w:rPr>
          <w:rFonts w:ascii="Arial" w:hAnsi="Arial" w:cs="Arial"/>
        </w:rPr>
        <w:t>Rules of the High Court of Namibia: High Court Act, 1990, GN 4, G</w:t>
      </w:r>
      <w:r w:rsidRPr="0098025E">
        <w:rPr>
          <w:rFonts w:ascii="Arial" w:hAnsi="Arial" w:cs="Arial"/>
        </w:rPr>
        <w:t>G No 5392, 17 January 2014.</w:t>
      </w:r>
    </w:p>
  </w:footnote>
  <w:footnote w:id="5">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7(1).</w:t>
      </w:r>
    </w:p>
  </w:footnote>
  <w:footnote w:id="6">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8(2).</w:t>
      </w:r>
    </w:p>
  </w:footnote>
  <w:footnote w:id="7">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w:t>
      </w:r>
      <w:r w:rsidR="002D1B6A" w:rsidRPr="0098025E">
        <w:rPr>
          <w:rFonts w:ascii="Arial" w:hAnsi="Arial" w:cs="Arial"/>
        </w:rPr>
        <w:t>9</w:t>
      </w:r>
      <w:r w:rsidRPr="0098025E">
        <w:rPr>
          <w:rFonts w:ascii="Arial" w:hAnsi="Arial" w:cs="Arial"/>
        </w:rPr>
        <w:t xml:space="preserve">(4) read with rule </w:t>
      </w:r>
      <w:r w:rsidR="0054616E">
        <w:rPr>
          <w:rFonts w:ascii="Arial" w:hAnsi="Arial" w:cs="Arial"/>
        </w:rPr>
        <w:t>9</w:t>
      </w:r>
      <w:r w:rsidRPr="0098025E">
        <w:rPr>
          <w:rFonts w:ascii="Arial" w:hAnsi="Arial" w:cs="Arial"/>
        </w:rPr>
        <w:t>(</w:t>
      </w:r>
      <w:r w:rsidR="0054616E">
        <w:rPr>
          <w:rFonts w:ascii="Arial" w:hAnsi="Arial" w:cs="Arial"/>
        </w:rPr>
        <w:t>1</w:t>
      </w:r>
      <w:r w:rsidRPr="0098025E">
        <w:rPr>
          <w:rFonts w:ascii="Arial" w:hAnsi="Arial" w:cs="Arial"/>
        </w:rPr>
        <w:t>)</w:t>
      </w:r>
      <w:r w:rsidR="0054616E">
        <w:rPr>
          <w:rFonts w:ascii="Arial" w:hAnsi="Arial" w:cs="Arial"/>
        </w:rPr>
        <w:t>(b) and (c).</w:t>
      </w:r>
    </w:p>
  </w:footnote>
  <w:footnote w:id="8">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9.</w:t>
      </w:r>
    </w:p>
  </w:footnote>
  <w:footnote w:id="9">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w:t>
      </w:r>
      <w:r w:rsidRPr="0098025E">
        <w:rPr>
          <w:rFonts w:ascii="Arial" w:hAnsi="Arial" w:cs="Arial"/>
          <w:i/>
        </w:rPr>
        <w:t xml:space="preserve">Worku v </w:t>
      </w:r>
      <w:r w:rsidRPr="0098025E">
        <w:rPr>
          <w:rFonts w:ascii="Arial" w:hAnsi="Arial" w:cs="Arial"/>
          <w:i/>
          <w:shd w:val="clear" w:color="auto" w:fill="FFFFFF"/>
        </w:rPr>
        <w:t xml:space="preserve">Equity Aviation Services (Namibia) (Pty) Ltd (In Liquidation) and </w:t>
      </w:r>
      <w:r w:rsidR="00637BD3" w:rsidRPr="0098025E">
        <w:rPr>
          <w:rFonts w:ascii="Arial" w:hAnsi="Arial" w:cs="Arial"/>
          <w:i/>
          <w:shd w:val="clear" w:color="auto" w:fill="FFFFFF"/>
        </w:rPr>
        <w:t>o</w:t>
      </w:r>
      <w:r w:rsidRPr="0098025E">
        <w:rPr>
          <w:rFonts w:ascii="Arial" w:hAnsi="Arial" w:cs="Arial"/>
          <w:i/>
          <w:shd w:val="clear" w:color="auto" w:fill="FFFFFF"/>
        </w:rPr>
        <w:t>thers</w:t>
      </w:r>
      <w:r w:rsidRPr="0098025E">
        <w:rPr>
          <w:rFonts w:ascii="Arial" w:hAnsi="Arial" w:cs="Arial"/>
          <w:shd w:val="clear" w:color="auto" w:fill="FFFFFF"/>
        </w:rPr>
        <w:t xml:space="preserve"> 2014</w:t>
      </w:r>
      <w:r w:rsidR="00637BD3" w:rsidRPr="0098025E">
        <w:rPr>
          <w:rFonts w:ascii="Arial" w:hAnsi="Arial" w:cs="Arial"/>
          <w:shd w:val="clear" w:color="auto" w:fill="FFFFFF"/>
        </w:rPr>
        <w:t xml:space="preserve"> </w:t>
      </w:r>
      <w:r w:rsidRPr="0098025E">
        <w:rPr>
          <w:rFonts w:ascii="Arial" w:hAnsi="Arial" w:cs="Arial"/>
          <w:shd w:val="clear" w:color="auto" w:fill="FFFFFF"/>
        </w:rPr>
        <w:t xml:space="preserve">(1) NR 234 (SC) at para 11; </w:t>
      </w:r>
      <w:r w:rsidRPr="0098025E">
        <w:rPr>
          <w:rFonts w:ascii="Arial" w:hAnsi="Arial" w:cs="Arial"/>
          <w:i/>
          <w:shd w:val="clear" w:color="auto" w:fill="FFFFFF"/>
        </w:rPr>
        <w:t xml:space="preserve">Shilongo v Church Council of the Evangelical Lutheran Church in </w:t>
      </w:r>
      <w:r w:rsidR="008E6024">
        <w:rPr>
          <w:rFonts w:ascii="Arial" w:hAnsi="Arial" w:cs="Arial"/>
          <w:i/>
          <w:shd w:val="clear" w:color="auto" w:fill="FFFFFF"/>
        </w:rPr>
        <w:t xml:space="preserve">the Republic of </w:t>
      </w:r>
      <w:r w:rsidRPr="0098025E">
        <w:rPr>
          <w:rFonts w:ascii="Arial" w:hAnsi="Arial" w:cs="Arial"/>
          <w:i/>
          <w:shd w:val="clear" w:color="auto" w:fill="FFFFFF"/>
        </w:rPr>
        <w:t xml:space="preserve">Namibia </w:t>
      </w:r>
      <w:r w:rsidRPr="0098025E">
        <w:rPr>
          <w:rFonts w:ascii="Arial" w:hAnsi="Arial" w:cs="Arial"/>
          <w:shd w:val="clear" w:color="auto" w:fill="FFFFFF"/>
        </w:rPr>
        <w:t>2014</w:t>
      </w:r>
      <w:r w:rsidR="00637BD3" w:rsidRPr="0098025E">
        <w:rPr>
          <w:rFonts w:ascii="Arial" w:hAnsi="Arial" w:cs="Arial"/>
          <w:shd w:val="clear" w:color="auto" w:fill="FFFFFF"/>
        </w:rPr>
        <w:t xml:space="preserve"> </w:t>
      </w:r>
      <w:r w:rsidRPr="0098025E">
        <w:rPr>
          <w:rFonts w:ascii="Arial" w:hAnsi="Arial" w:cs="Arial"/>
          <w:shd w:val="clear" w:color="auto" w:fill="FFFFFF"/>
        </w:rPr>
        <w:t xml:space="preserve">(1) NR 166 (SC); </w:t>
      </w:r>
      <w:r w:rsidRPr="0098025E">
        <w:rPr>
          <w:rFonts w:ascii="Arial" w:hAnsi="Arial" w:cs="Arial"/>
          <w:i/>
          <w:shd w:val="clear" w:color="auto" w:fill="FFFFFF"/>
        </w:rPr>
        <w:t xml:space="preserve">Namib Plains Farming and Tourism CC v Valencia Uranium (Pty) Ltd &amp; others </w:t>
      </w:r>
      <w:r w:rsidRPr="0098025E">
        <w:rPr>
          <w:rFonts w:ascii="Arial" w:hAnsi="Arial" w:cs="Arial"/>
          <w:shd w:val="clear" w:color="auto" w:fill="FFFFFF"/>
        </w:rPr>
        <w:t>2011</w:t>
      </w:r>
      <w:r w:rsidR="00637BD3" w:rsidRPr="0098025E">
        <w:rPr>
          <w:rFonts w:ascii="Arial" w:hAnsi="Arial" w:cs="Arial"/>
          <w:shd w:val="clear" w:color="auto" w:fill="FFFFFF"/>
        </w:rPr>
        <w:t xml:space="preserve"> </w:t>
      </w:r>
      <w:r w:rsidRPr="0098025E">
        <w:rPr>
          <w:rFonts w:ascii="Arial" w:hAnsi="Arial" w:cs="Arial"/>
          <w:shd w:val="clear" w:color="auto" w:fill="FFFFFF"/>
        </w:rPr>
        <w:t>(2) NR 469 (SC) paras 19-25.</w:t>
      </w:r>
    </w:p>
  </w:footnote>
  <w:footnote w:id="10">
    <w:p w:rsidR="003F3FF6" w:rsidRPr="0098025E" w:rsidRDefault="003F3FF6"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Rule 17(2).</w:t>
      </w:r>
    </w:p>
  </w:footnote>
  <w:footnote w:id="11">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w:t>
      </w:r>
      <w:r w:rsidRPr="0098025E">
        <w:rPr>
          <w:rFonts w:ascii="Arial" w:hAnsi="Arial" w:cs="Arial"/>
          <w:i/>
        </w:rPr>
        <w:t>Sun Square Hotel (Pty) Ltd v Southern Sun</w:t>
      </w:r>
      <w:r w:rsidR="008E6024">
        <w:rPr>
          <w:rFonts w:ascii="Arial" w:hAnsi="Arial" w:cs="Arial"/>
          <w:i/>
        </w:rPr>
        <w:t xml:space="preserve"> Africa</w:t>
      </w:r>
      <w:r w:rsidRPr="0098025E">
        <w:rPr>
          <w:rFonts w:ascii="Arial" w:hAnsi="Arial" w:cs="Arial"/>
          <w:i/>
        </w:rPr>
        <w:t xml:space="preserve"> &amp; another </w:t>
      </w:r>
      <w:r w:rsidRPr="0098025E">
        <w:rPr>
          <w:rFonts w:ascii="Arial" w:hAnsi="Arial" w:cs="Arial"/>
        </w:rPr>
        <w:t>2020</w:t>
      </w:r>
      <w:r w:rsidR="00637BD3" w:rsidRPr="0098025E">
        <w:rPr>
          <w:rFonts w:ascii="Arial" w:hAnsi="Arial" w:cs="Arial"/>
        </w:rPr>
        <w:t xml:space="preserve"> </w:t>
      </w:r>
      <w:r w:rsidRPr="0098025E">
        <w:rPr>
          <w:rFonts w:ascii="Arial" w:hAnsi="Arial" w:cs="Arial"/>
        </w:rPr>
        <w:t>(1) NR 19 (SC) para 22.</w:t>
      </w:r>
    </w:p>
  </w:footnote>
  <w:footnote w:id="12">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Para 17.</w:t>
      </w:r>
    </w:p>
  </w:footnote>
  <w:footnote w:id="13">
    <w:p w:rsidR="00CC0E37" w:rsidRPr="0098025E" w:rsidRDefault="00CC0E37" w:rsidP="0098025E">
      <w:pPr>
        <w:pStyle w:val="FootnoteText"/>
        <w:jc w:val="both"/>
        <w:rPr>
          <w:rFonts w:ascii="Arial" w:hAnsi="Arial" w:cs="Arial"/>
        </w:rPr>
      </w:pPr>
      <w:r w:rsidRPr="0098025E">
        <w:rPr>
          <w:rStyle w:val="FootnoteReference"/>
          <w:rFonts w:ascii="Arial" w:hAnsi="Arial" w:cs="Arial"/>
        </w:rPr>
        <w:footnoteRef/>
      </w:r>
      <w:r w:rsidRPr="0098025E">
        <w:rPr>
          <w:rFonts w:ascii="Arial" w:hAnsi="Arial" w:cs="Arial"/>
        </w:rPr>
        <w:t xml:space="preserve"> </w:t>
      </w:r>
      <w:r w:rsidRPr="0098025E">
        <w:rPr>
          <w:rFonts w:ascii="Arial" w:hAnsi="Arial" w:cs="Arial"/>
          <w:i/>
        </w:rPr>
        <w:t xml:space="preserve">Arangies t/a Auto Tech v Quick Build </w:t>
      </w:r>
      <w:r w:rsidR="007E63FE" w:rsidRPr="0098025E">
        <w:rPr>
          <w:rFonts w:ascii="Arial" w:hAnsi="Arial" w:cs="Arial"/>
        </w:rPr>
        <w:t>2014</w:t>
      </w:r>
      <w:r w:rsidR="00637BD3" w:rsidRPr="0098025E">
        <w:rPr>
          <w:rFonts w:ascii="Arial" w:hAnsi="Arial" w:cs="Arial"/>
        </w:rPr>
        <w:t xml:space="preserve"> </w:t>
      </w:r>
      <w:r w:rsidR="007E63FE" w:rsidRPr="0098025E">
        <w:rPr>
          <w:rFonts w:ascii="Arial" w:hAnsi="Arial" w:cs="Arial"/>
        </w:rPr>
        <w:t xml:space="preserve">(1) NR 187 (SC); see also </w:t>
      </w:r>
      <w:r w:rsidR="007E63FE" w:rsidRPr="0098025E">
        <w:rPr>
          <w:rFonts w:ascii="Arial" w:hAnsi="Arial" w:cs="Arial"/>
          <w:i/>
        </w:rPr>
        <w:t>K</w:t>
      </w:r>
      <w:r w:rsidR="00637BD3" w:rsidRPr="0098025E">
        <w:rPr>
          <w:rFonts w:ascii="Arial" w:hAnsi="Arial" w:cs="Arial"/>
          <w:i/>
        </w:rPr>
        <w:t>i</w:t>
      </w:r>
      <w:r w:rsidR="007E63FE" w:rsidRPr="0098025E">
        <w:rPr>
          <w:rFonts w:ascii="Arial" w:hAnsi="Arial" w:cs="Arial"/>
          <w:i/>
        </w:rPr>
        <w:t xml:space="preserve">silipile </w:t>
      </w:r>
      <w:r w:rsidR="007E63FE" w:rsidRPr="0098025E">
        <w:rPr>
          <w:rFonts w:ascii="Arial" w:hAnsi="Arial" w:cs="Arial"/>
        </w:rPr>
        <w:t>para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CC0E37" w:rsidRPr="00111C5B" w:rsidRDefault="00CC0E37">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C979E0">
          <w:rPr>
            <w:rFonts w:ascii="Arial" w:hAnsi="Arial" w:cs="Arial"/>
            <w:noProof/>
            <w:sz w:val="24"/>
            <w:szCs w:val="24"/>
          </w:rPr>
          <w:t>22</w:t>
        </w:r>
        <w:r w:rsidRPr="00111C5B">
          <w:rPr>
            <w:rFonts w:ascii="Arial" w:hAnsi="Arial" w:cs="Arial"/>
            <w:noProof/>
            <w:sz w:val="24"/>
            <w:szCs w:val="24"/>
          </w:rPr>
          <w:fldChar w:fldCharType="end"/>
        </w:r>
      </w:p>
    </w:sdtContent>
  </w:sdt>
  <w:p w:rsidR="00CC0E37" w:rsidRDefault="00CC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5F2D32"/>
    <w:multiLevelType w:val="hybridMultilevel"/>
    <w:tmpl w:val="6E2C2EC2"/>
    <w:lvl w:ilvl="0" w:tplc="13865D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3D41DC"/>
    <w:multiLevelType w:val="hybridMultilevel"/>
    <w:tmpl w:val="6E2C2EC2"/>
    <w:lvl w:ilvl="0" w:tplc="13865D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45B134E"/>
    <w:multiLevelType w:val="hybridMultilevel"/>
    <w:tmpl w:val="0D76B758"/>
    <w:lvl w:ilvl="0" w:tplc="710C72B6">
      <w:start w:val="1"/>
      <w:numFmt w:val="decimal"/>
      <w:lvlText w:val="[%1]"/>
      <w:lvlJc w:val="left"/>
      <w:pPr>
        <w:ind w:left="502" w:hanging="360"/>
      </w:pPr>
      <w:rPr>
        <w:rFonts w:hint="default"/>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15:restartNumberingAfterBreak="0">
    <w:nsid w:val="4B58231F"/>
    <w:multiLevelType w:val="hybridMultilevel"/>
    <w:tmpl w:val="D6D429BC"/>
    <w:lvl w:ilvl="0" w:tplc="BEC63A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D2C6477"/>
    <w:multiLevelType w:val="hybridMultilevel"/>
    <w:tmpl w:val="6E2C2EC2"/>
    <w:lvl w:ilvl="0" w:tplc="13865D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55A024F0"/>
    <w:multiLevelType w:val="hybridMultilevel"/>
    <w:tmpl w:val="6E2C2EC2"/>
    <w:lvl w:ilvl="0" w:tplc="13865D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3962AB0"/>
    <w:multiLevelType w:val="hybridMultilevel"/>
    <w:tmpl w:val="6E2C2EC2"/>
    <w:lvl w:ilvl="0" w:tplc="13865D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13"/>
  </w:num>
  <w:num w:numId="7">
    <w:abstractNumId w:val="12"/>
  </w:num>
  <w:num w:numId="8">
    <w:abstractNumId w:val="9"/>
  </w:num>
  <w:num w:numId="9">
    <w:abstractNumId w:val="7"/>
  </w:num>
  <w:num w:numId="10">
    <w:abstractNumId w:val="11"/>
  </w:num>
  <w:num w:numId="11">
    <w:abstractNumId w:val="2"/>
  </w:num>
  <w:num w:numId="12">
    <w:abstractNumId w:val="3"/>
  </w:num>
  <w:num w:numId="13">
    <w:abstractNumId w:val="1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2C6"/>
    <w:rsid w:val="000015F4"/>
    <w:rsid w:val="00001BAF"/>
    <w:rsid w:val="0000225F"/>
    <w:rsid w:val="0000237F"/>
    <w:rsid w:val="00004C4D"/>
    <w:rsid w:val="00004F3A"/>
    <w:rsid w:val="0000525D"/>
    <w:rsid w:val="00007C7C"/>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C69"/>
    <w:rsid w:val="00031EBA"/>
    <w:rsid w:val="00032DD2"/>
    <w:rsid w:val="00033256"/>
    <w:rsid w:val="00034227"/>
    <w:rsid w:val="00034839"/>
    <w:rsid w:val="000400C4"/>
    <w:rsid w:val="00040AC4"/>
    <w:rsid w:val="00042A20"/>
    <w:rsid w:val="00042B3A"/>
    <w:rsid w:val="00043128"/>
    <w:rsid w:val="000433D8"/>
    <w:rsid w:val="00043713"/>
    <w:rsid w:val="00044AD2"/>
    <w:rsid w:val="00045931"/>
    <w:rsid w:val="000478EF"/>
    <w:rsid w:val="00052049"/>
    <w:rsid w:val="00052B8A"/>
    <w:rsid w:val="00055805"/>
    <w:rsid w:val="00057B7B"/>
    <w:rsid w:val="000610A3"/>
    <w:rsid w:val="00062308"/>
    <w:rsid w:val="000626CC"/>
    <w:rsid w:val="00064340"/>
    <w:rsid w:val="000643B5"/>
    <w:rsid w:val="00065459"/>
    <w:rsid w:val="00066723"/>
    <w:rsid w:val="00070506"/>
    <w:rsid w:val="0007080A"/>
    <w:rsid w:val="00071EB4"/>
    <w:rsid w:val="00073046"/>
    <w:rsid w:val="00073B76"/>
    <w:rsid w:val="00073FC7"/>
    <w:rsid w:val="00074D92"/>
    <w:rsid w:val="00074FBE"/>
    <w:rsid w:val="0007542D"/>
    <w:rsid w:val="00075678"/>
    <w:rsid w:val="00075ABD"/>
    <w:rsid w:val="00076790"/>
    <w:rsid w:val="00076931"/>
    <w:rsid w:val="00076F53"/>
    <w:rsid w:val="000778A2"/>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A5E7E"/>
    <w:rsid w:val="000A6A7D"/>
    <w:rsid w:val="000B06C9"/>
    <w:rsid w:val="000B0A11"/>
    <w:rsid w:val="000B1CCA"/>
    <w:rsid w:val="000B587E"/>
    <w:rsid w:val="000B5B95"/>
    <w:rsid w:val="000B6715"/>
    <w:rsid w:val="000B75AB"/>
    <w:rsid w:val="000C1390"/>
    <w:rsid w:val="000C2A58"/>
    <w:rsid w:val="000C2D19"/>
    <w:rsid w:val="000C4126"/>
    <w:rsid w:val="000C4A34"/>
    <w:rsid w:val="000C5AE6"/>
    <w:rsid w:val="000C5C13"/>
    <w:rsid w:val="000C6F5D"/>
    <w:rsid w:val="000D1ADC"/>
    <w:rsid w:val="000D1E08"/>
    <w:rsid w:val="000D1F3C"/>
    <w:rsid w:val="000D2762"/>
    <w:rsid w:val="000D3FA5"/>
    <w:rsid w:val="000E008B"/>
    <w:rsid w:val="000E0BFC"/>
    <w:rsid w:val="000E3DF0"/>
    <w:rsid w:val="000E4E76"/>
    <w:rsid w:val="000E5305"/>
    <w:rsid w:val="000E6B27"/>
    <w:rsid w:val="000E6CCD"/>
    <w:rsid w:val="000E6D80"/>
    <w:rsid w:val="000F1A59"/>
    <w:rsid w:val="000F27F1"/>
    <w:rsid w:val="000F2C87"/>
    <w:rsid w:val="000F3DA6"/>
    <w:rsid w:val="000F4BBD"/>
    <w:rsid w:val="000F4E2E"/>
    <w:rsid w:val="000F542F"/>
    <w:rsid w:val="000F613E"/>
    <w:rsid w:val="000F61A4"/>
    <w:rsid w:val="000F76DB"/>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0E3"/>
    <w:rsid w:val="00117CE3"/>
    <w:rsid w:val="001201B4"/>
    <w:rsid w:val="00120911"/>
    <w:rsid w:val="00120F58"/>
    <w:rsid w:val="00121972"/>
    <w:rsid w:val="00122119"/>
    <w:rsid w:val="001222DE"/>
    <w:rsid w:val="001227DB"/>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5038"/>
    <w:rsid w:val="0013608D"/>
    <w:rsid w:val="00136880"/>
    <w:rsid w:val="00140678"/>
    <w:rsid w:val="00140975"/>
    <w:rsid w:val="00140A9D"/>
    <w:rsid w:val="001423E7"/>
    <w:rsid w:val="0014303A"/>
    <w:rsid w:val="0014338B"/>
    <w:rsid w:val="00144DDF"/>
    <w:rsid w:val="001450C8"/>
    <w:rsid w:val="00147ACF"/>
    <w:rsid w:val="0015020C"/>
    <w:rsid w:val="0015083E"/>
    <w:rsid w:val="00151CCB"/>
    <w:rsid w:val="00151FFA"/>
    <w:rsid w:val="00153F19"/>
    <w:rsid w:val="00154104"/>
    <w:rsid w:val="0015782D"/>
    <w:rsid w:val="001578CD"/>
    <w:rsid w:val="001617C5"/>
    <w:rsid w:val="00161C35"/>
    <w:rsid w:val="001624CF"/>
    <w:rsid w:val="001634AF"/>
    <w:rsid w:val="00163660"/>
    <w:rsid w:val="00164734"/>
    <w:rsid w:val="00167F33"/>
    <w:rsid w:val="0017081A"/>
    <w:rsid w:val="0017115B"/>
    <w:rsid w:val="00171B66"/>
    <w:rsid w:val="00171BA2"/>
    <w:rsid w:val="00173532"/>
    <w:rsid w:val="00180CE0"/>
    <w:rsid w:val="001819C6"/>
    <w:rsid w:val="00182B59"/>
    <w:rsid w:val="001838C9"/>
    <w:rsid w:val="00184D66"/>
    <w:rsid w:val="00185996"/>
    <w:rsid w:val="00186BB3"/>
    <w:rsid w:val="001873C6"/>
    <w:rsid w:val="00190F70"/>
    <w:rsid w:val="00192135"/>
    <w:rsid w:val="00192C22"/>
    <w:rsid w:val="00193723"/>
    <w:rsid w:val="00193825"/>
    <w:rsid w:val="00194D51"/>
    <w:rsid w:val="001957EE"/>
    <w:rsid w:val="00196E77"/>
    <w:rsid w:val="001A0E25"/>
    <w:rsid w:val="001A2B18"/>
    <w:rsid w:val="001A2F2F"/>
    <w:rsid w:val="001A3D9C"/>
    <w:rsid w:val="001A4A99"/>
    <w:rsid w:val="001A582C"/>
    <w:rsid w:val="001A666A"/>
    <w:rsid w:val="001A6B0E"/>
    <w:rsid w:val="001A77B8"/>
    <w:rsid w:val="001A7909"/>
    <w:rsid w:val="001B292E"/>
    <w:rsid w:val="001B4200"/>
    <w:rsid w:val="001B4618"/>
    <w:rsid w:val="001B61E6"/>
    <w:rsid w:val="001C1974"/>
    <w:rsid w:val="001C1FD2"/>
    <w:rsid w:val="001C25C8"/>
    <w:rsid w:val="001C25CA"/>
    <w:rsid w:val="001C2720"/>
    <w:rsid w:val="001C518C"/>
    <w:rsid w:val="001C558D"/>
    <w:rsid w:val="001C735C"/>
    <w:rsid w:val="001C73CA"/>
    <w:rsid w:val="001C7DF6"/>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323"/>
    <w:rsid w:val="001E44D9"/>
    <w:rsid w:val="001E4C77"/>
    <w:rsid w:val="001F004F"/>
    <w:rsid w:val="001F06C4"/>
    <w:rsid w:val="001F4CB8"/>
    <w:rsid w:val="001F634C"/>
    <w:rsid w:val="001F7942"/>
    <w:rsid w:val="0020220F"/>
    <w:rsid w:val="0020312C"/>
    <w:rsid w:val="002037AE"/>
    <w:rsid w:val="0020572A"/>
    <w:rsid w:val="00206744"/>
    <w:rsid w:val="002070CF"/>
    <w:rsid w:val="00207296"/>
    <w:rsid w:val="002078F3"/>
    <w:rsid w:val="00207960"/>
    <w:rsid w:val="00207D05"/>
    <w:rsid w:val="00213FE2"/>
    <w:rsid w:val="0021448D"/>
    <w:rsid w:val="00215411"/>
    <w:rsid w:val="00215D8F"/>
    <w:rsid w:val="002212AD"/>
    <w:rsid w:val="002245DA"/>
    <w:rsid w:val="00224757"/>
    <w:rsid w:val="00230B7C"/>
    <w:rsid w:val="002314E5"/>
    <w:rsid w:val="002317A5"/>
    <w:rsid w:val="0023277C"/>
    <w:rsid w:val="002337F7"/>
    <w:rsid w:val="0023393F"/>
    <w:rsid w:val="00235497"/>
    <w:rsid w:val="00235E57"/>
    <w:rsid w:val="00236C2D"/>
    <w:rsid w:val="0023748C"/>
    <w:rsid w:val="00237710"/>
    <w:rsid w:val="00243CB0"/>
    <w:rsid w:val="002441F9"/>
    <w:rsid w:val="002444CD"/>
    <w:rsid w:val="00244664"/>
    <w:rsid w:val="002447B6"/>
    <w:rsid w:val="002457A4"/>
    <w:rsid w:val="00246463"/>
    <w:rsid w:val="00250021"/>
    <w:rsid w:val="00250B14"/>
    <w:rsid w:val="00251412"/>
    <w:rsid w:val="0025700A"/>
    <w:rsid w:val="00262874"/>
    <w:rsid w:val="00262EF8"/>
    <w:rsid w:val="0026340F"/>
    <w:rsid w:val="00263481"/>
    <w:rsid w:val="002647B9"/>
    <w:rsid w:val="002658ED"/>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F17"/>
    <w:rsid w:val="00290EE3"/>
    <w:rsid w:val="00291956"/>
    <w:rsid w:val="00291B16"/>
    <w:rsid w:val="002933AF"/>
    <w:rsid w:val="00294302"/>
    <w:rsid w:val="0029556C"/>
    <w:rsid w:val="00295AE2"/>
    <w:rsid w:val="00296238"/>
    <w:rsid w:val="002A24E5"/>
    <w:rsid w:val="002A2B5C"/>
    <w:rsid w:val="002A34BB"/>
    <w:rsid w:val="002A4C01"/>
    <w:rsid w:val="002A6E22"/>
    <w:rsid w:val="002B0CAC"/>
    <w:rsid w:val="002B1CE3"/>
    <w:rsid w:val="002B2DA3"/>
    <w:rsid w:val="002B3B7D"/>
    <w:rsid w:val="002B3F7E"/>
    <w:rsid w:val="002B5CF1"/>
    <w:rsid w:val="002B64F5"/>
    <w:rsid w:val="002B6F2A"/>
    <w:rsid w:val="002C0FC3"/>
    <w:rsid w:val="002C0FF2"/>
    <w:rsid w:val="002C1199"/>
    <w:rsid w:val="002C2CDC"/>
    <w:rsid w:val="002C33EC"/>
    <w:rsid w:val="002C38D2"/>
    <w:rsid w:val="002C3E6D"/>
    <w:rsid w:val="002C568C"/>
    <w:rsid w:val="002C758D"/>
    <w:rsid w:val="002D1B6A"/>
    <w:rsid w:val="002D1B71"/>
    <w:rsid w:val="002D1D8D"/>
    <w:rsid w:val="002D1E38"/>
    <w:rsid w:val="002D1F1E"/>
    <w:rsid w:val="002D39D6"/>
    <w:rsid w:val="002D4EE0"/>
    <w:rsid w:val="002D5C8C"/>
    <w:rsid w:val="002D5D6D"/>
    <w:rsid w:val="002D60C7"/>
    <w:rsid w:val="002E2321"/>
    <w:rsid w:val="002E2625"/>
    <w:rsid w:val="002E3346"/>
    <w:rsid w:val="002E426A"/>
    <w:rsid w:val="002E43C6"/>
    <w:rsid w:val="002E4E6A"/>
    <w:rsid w:val="002E708E"/>
    <w:rsid w:val="002F12B3"/>
    <w:rsid w:val="002F1E29"/>
    <w:rsid w:val="002F27EF"/>
    <w:rsid w:val="002F3401"/>
    <w:rsid w:val="002F4F51"/>
    <w:rsid w:val="002F52F9"/>
    <w:rsid w:val="002F6451"/>
    <w:rsid w:val="002F6AE9"/>
    <w:rsid w:val="002F7D7C"/>
    <w:rsid w:val="0030014D"/>
    <w:rsid w:val="00300CD3"/>
    <w:rsid w:val="003039EF"/>
    <w:rsid w:val="003042AF"/>
    <w:rsid w:val="003046F4"/>
    <w:rsid w:val="00305FE9"/>
    <w:rsid w:val="00306CA5"/>
    <w:rsid w:val="0030702B"/>
    <w:rsid w:val="0030737F"/>
    <w:rsid w:val="0030775E"/>
    <w:rsid w:val="00310940"/>
    <w:rsid w:val="00312262"/>
    <w:rsid w:val="003122F6"/>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789"/>
    <w:rsid w:val="00351E20"/>
    <w:rsid w:val="00352985"/>
    <w:rsid w:val="00353481"/>
    <w:rsid w:val="00355132"/>
    <w:rsid w:val="003551AC"/>
    <w:rsid w:val="00357C85"/>
    <w:rsid w:val="003619CC"/>
    <w:rsid w:val="00361E96"/>
    <w:rsid w:val="00362560"/>
    <w:rsid w:val="00363974"/>
    <w:rsid w:val="00370025"/>
    <w:rsid w:val="003745AA"/>
    <w:rsid w:val="0037609A"/>
    <w:rsid w:val="003801E5"/>
    <w:rsid w:val="00381349"/>
    <w:rsid w:val="00381678"/>
    <w:rsid w:val="003863FC"/>
    <w:rsid w:val="003879E0"/>
    <w:rsid w:val="00387E33"/>
    <w:rsid w:val="00395B99"/>
    <w:rsid w:val="00396B62"/>
    <w:rsid w:val="003A1DAC"/>
    <w:rsid w:val="003A2101"/>
    <w:rsid w:val="003A31DE"/>
    <w:rsid w:val="003A4CE3"/>
    <w:rsid w:val="003A5B4A"/>
    <w:rsid w:val="003A5EF2"/>
    <w:rsid w:val="003A6287"/>
    <w:rsid w:val="003A78BA"/>
    <w:rsid w:val="003B0665"/>
    <w:rsid w:val="003B1AAE"/>
    <w:rsid w:val="003B2957"/>
    <w:rsid w:val="003B3FCB"/>
    <w:rsid w:val="003B5B36"/>
    <w:rsid w:val="003B6A4C"/>
    <w:rsid w:val="003B6A9D"/>
    <w:rsid w:val="003B72EC"/>
    <w:rsid w:val="003B782C"/>
    <w:rsid w:val="003B7CB7"/>
    <w:rsid w:val="003C231E"/>
    <w:rsid w:val="003C266A"/>
    <w:rsid w:val="003C276A"/>
    <w:rsid w:val="003C3011"/>
    <w:rsid w:val="003C4379"/>
    <w:rsid w:val="003C4C67"/>
    <w:rsid w:val="003D02CE"/>
    <w:rsid w:val="003D0BA5"/>
    <w:rsid w:val="003D0CE6"/>
    <w:rsid w:val="003D2579"/>
    <w:rsid w:val="003D4A07"/>
    <w:rsid w:val="003D4B94"/>
    <w:rsid w:val="003D6A9C"/>
    <w:rsid w:val="003D6C13"/>
    <w:rsid w:val="003D7216"/>
    <w:rsid w:val="003E029D"/>
    <w:rsid w:val="003E1056"/>
    <w:rsid w:val="003E289D"/>
    <w:rsid w:val="003E2DB6"/>
    <w:rsid w:val="003E322E"/>
    <w:rsid w:val="003E34C8"/>
    <w:rsid w:val="003E4527"/>
    <w:rsid w:val="003E46F3"/>
    <w:rsid w:val="003E51AD"/>
    <w:rsid w:val="003E77F5"/>
    <w:rsid w:val="003E7F28"/>
    <w:rsid w:val="003F0E71"/>
    <w:rsid w:val="003F0F43"/>
    <w:rsid w:val="003F1463"/>
    <w:rsid w:val="003F2001"/>
    <w:rsid w:val="003F3800"/>
    <w:rsid w:val="003F3FF6"/>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5B78"/>
    <w:rsid w:val="00425E8E"/>
    <w:rsid w:val="00427400"/>
    <w:rsid w:val="00427EB2"/>
    <w:rsid w:val="00430321"/>
    <w:rsid w:val="00431601"/>
    <w:rsid w:val="00432E79"/>
    <w:rsid w:val="0043337A"/>
    <w:rsid w:val="004361E6"/>
    <w:rsid w:val="00436AEB"/>
    <w:rsid w:val="00437C60"/>
    <w:rsid w:val="004413BD"/>
    <w:rsid w:val="004425FC"/>
    <w:rsid w:val="0044469D"/>
    <w:rsid w:val="0044735D"/>
    <w:rsid w:val="0044790E"/>
    <w:rsid w:val="00450915"/>
    <w:rsid w:val="00451609"/>
    <w:rsid w:val="00454EC2"/>
    <w:rsid w:val="00455D55"/>
    <w:rsid w:val="004569B7"/>
    <w:rsid w:val="00456D8B"/>
    <w:rsid w:val="004577FF"/>
    <w:rsid w:val="00457F24"/>
    <w:rsid w:val="00461198"/>
    <w:rsid w:val="004616CD"/>
    <w:rsid w:val="00461B37"/>
    <w:rsid w:val="00464AAA"/>
    <w:rsid w:val="00470864"/>
    <w:rsid w:val="00472E19"/>
    <w:rsid w:val="004732FD"/>
    <w:rsid w:val="004738B5"/>
    <w:rsid w:val="0047500B"/>
    <w:rsid w:val="00475114"/>
    <w:rsid w:val="00475F4A"/>
    <w:rsid w:val="00476925"/>
    <w:rsid w:val="004774C0"/>
    <w:rsid w:val="00480C4E"/>
    <w:rsid w:val="00481680"/>
    <w:rsid w:val="00483F40"/>
    <w:rsid w:val="004841C1"/>
    <w:rsid w:val="00485805"/>
    <w:rsid w:val="0048592A"/>
    <w:rsid w:val="00485BB6"/>
    <w:rsid w:val="004921A4"/>
    <w:rsid w:val="00492B12"/>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AC9"/>
    <w:rsid w:val="004B07A4"/>
    <w:rsid w:val="004B1588"/>
    <w:rsid w:val="004B161D"/>
    <w:rsid w:val="004B275C"/>
    <w:rsid w:val="004B2A80"/>
    <w:rsid w:val="004B31D9"/>
    <w:rsid w:val="004B4AEE"/>
    <w:rsid w:val="004B584B"/>
    <w:rsid w:val="004B6477"/>
    <w:rsid w:val="004B6BA4"/>
    <w:rsid w:val="004C0E0B"/>
    <w:rsid w:val="004C0E72"/>
    <w:rsid w:val="004C4D6B"/>
    <w:rsid w:val="004C50CB"/>
    <w:rsid w:val="004C7D5D"/>
    <w:rsid w:val="004D023F"/>
    <w:rsid w:val="004D1969"/>
    <w:rsid w:val="004D221F"/>
    <w:rsid w:val="004D326A"/>
    <w:rsid w:val="004D3E4F"/>
    <w:rsid w:val="004D60BF"/>
    <w:rsid w:val="004D77F2"/>
    <w:rsid w:val="004E0F45"/>
    <w:rsid w:val="004E198A"/>
    <w:rsid w:val="004E1BBD"/>
    <w:rsid w:val="004E21E1"/>
    <w:rsid w:val="004E232B"/>
    <w:rsid w:val="004E2834"/>
    <w:rsid w:val="004E2A24"/>
    <w:rsid w:val="004E34E5"/>
    <w:rsid w:val="004E503B"/>
    <w:rsid w:val="004E69C6"/>
    <w:rsid w:val="004E6C81"/>
    <w:rsid w:val="004E6D91"/>
    <w:rsid w:val="004E7000"/>
    <w:rsid w:val="004F0B37"/>
    <w:rsid w:val="004F0C0D"/>
    <w:rsid w:val="004F15DB"/>
    <w:rsid w:val="004F2F0E"/>
    <w:rsid w:val="004F41EF"/>
    <w:rsid w:val="004F44AA"/>
    <w:rsid w:val="004F4ECB"/>
    <w:rsid w:val="004F5128"/>
    <w:rsid w:val="004F5883"/>
    <w:rsid w:val="004F7B5B"/>
    <w:rsid w:val="004F7C7C"/>
    <w:rsid w:val="00501505"/>
    <w:rsid w:val="00503269"/>
    <w:rsid w:val="00504C6E"/>
    <w:rsid w:val="00504D3C"/>
    <w:rsid w:val="005050C6"/>
    <w:rsid w:val="00510B8B"/>
    <w:rsid w:val="00511905"/>
    <w:rsid w:val="00512A29"/>
    <w:rsid w:val="00512CAD"/>
    <w:rsid w:val="00513468"/>
    <w:rsid w:val="00514857"/>
    <w:rsid w:val="005157B4"/>
    <w:rsid w:val="005168D5"/>
    <w:rsid w:val="00516D2E"/>
    <w:rsid w:val="00516EBB"/>
    <w:rsid w:val="005171C3"/>
    <w:rsid w:val="0051747D"/>
    <w:rsid w:val="00517EF4"/>
    <w:rsid w:val="005221AF"/>
    <w:rsid w:val="00523018"/>
    <w:rsid w:val="00523919"/>
    <w:rsid w:val="00524ED7"/>
    <w:rsid w:val="00525451"/>
    <w:rsid w:val="00525868"/>
    <w:rsid w:val="005301B6"/>
    <w:rsid w:val="0053087E"/>
    <w:rsid w:val="005318B8"/>
    <w:rsid w:val="00532C17"/>
    <w:rsid w:val="00532D93"/>
    <w:rsid w:val="00534547"/>
    <w:rsid w:val="005356B1"/>
    <w:rsid w:val="0053623E"/>
    <w:rsid w:val="00536A02"/>
    <w:rsid w:val="0053799E"/>
    <w:rsid w:val="00537DA8"/>
    <w:rsid w:val="00537DDD"/>
    <w:rsid w:val="0054616E"/>
    <w:rsid w:val="005501B1"/>
    <w:rsid w:val="0055044E"/>
    <w:rsid w:val="00550DE2"/>
    <w:rsid w:val="00551CFA"/>
    <w:rsid w:val="0055212E"/>
    <w:rsid w:val="00552F23"/>
    <w:rsid w:val="00552F70"/>
    <w:rsid w:val="00553821"/>
    <w:rsid w:val="00553981"/>
    <w:rsid w:val="00554FF4"/>
    <w:rsid w:val="00556075"/>
    <w:rsid w:val="00556D82"/>
    <w:rsid w:val="005617D0"/>
    <w:rsid w:val="00562666"/>
    <w:rsid w:val="00563855"/>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12E"/>
    <w:rsid w:val="00587010"/>
    <w:rsid w:val="00592466"/>
    <w:rsid w:val="0059472F"/>
    <w:rsid w:val="00594EA3"/>
    <w:rsid w:val="005A0E6E"/>
    <w:rsid w:val="005A16AE"/>
    <w:rsid w:val="005A2269"/>
    <w:rsid w:val="005A3F59"/>
    <w:rsid w:val="005A531E"/>
    <w:rsid w:val="005A73A9"/>
    <w:rsid w:val="005B2665"/>
    <w:rsid w:val="005B365F"/>
    <w:rsid w:val="005B4417"/>
    <w:rsid w:val="005B4785"/>
    <w:rsid w:val="005B483F"/>
    <w:rsid w:val="005B496A"/>
    <w:rsid w:val="005C0BAB"/>
    <w:rsid w:val="005C38CD"/>
    <w:rsid w:val="005C40C0"/>
    <w:rsid w:val="005C577D"/>
    <w:rsid w:val="005C5B26"/>
    <w:rsid w:val="005C6696"/>
    <w:rsid w:val="005D057E"/>
    <w:rsid w:val="005D14D4"/>
    <w:rsid w:val="005D1CBE"/>
    <w:rsid w:val="005D3137"/>
    <w:rsid w:val="005D3149"/>
    <w:rsid w:val="005D534A"/>
    <w:rsid w:val="005D54CF"/>
    <w:rsid w:val="005D603E"/>
    <w:rsid w:val="005D6CA4"/>
    <w:rsid w:val="005D6E01"/>
    <w:rsid w:val="005E1AF8"/>
    <w:rsid w:val="005E22D2"/>
    <w:rsid w:val="005E2333"/>
    <w:rsid w:val="005E3190"/>
    <w:rsid w:val="005E40EF"/>
    <w:rsid w:val="005E4D0E"/>
    <w:rsid w:val="005F2A59"/>
    <w:rsid w:val="005F2BE5"/>
    <w:rsid w:val="005F68D7"/>
    <w:rsid w:val="005F71EA"/>
    <w:rsid w:val="00603C78"/>
    <w:rsid w:val="0060629F"/>
    <w:rsid w:val="00606B58"/>
    <w:rsid w:val="00607F6F"/>
    <w:rsid w:val="006105DE"/>
    <w:rsid w:val="006134A5"/>
    <w:rsid w:val="0061491A"/>
    <w:rsid w:val="006160AD"/>
    <w:rsid w:val="006166D8"/>
    <w:rsid w:val="006207B6"/>
    <w:rsid w:val="00623F46"/>
    <w:rsid w:val="00624C08"/>
    <w:rsid w:val="00624D99"/>
    <w:rsid w:val="00626913"/>
    <w:rsid w:val="00626A9F"/>
    <w:rsid w:val="00630329"/>
    <w:rsid w:val="006306C1"/>
    <w:rsid w:val="00630802"/>
    <w:rsid w:val="00633338"/>
    <w:rsid w:val="00634C4D"/>
    <w:rsid w:val="00637546"/>
    <w:rsid w:val="00637BD3"/>
    <w:rsid w:val="00640054"/>
    <w:rsid w:val="006406F0"/>
    <w:rsid w:val="0064150D"/>
    <w:rsid w:val="00642FBC"/>
    <w:rsid w:val="00643C33"/>
    <w:rsid w:val="00643CAC"/>
    <w:rsid w:val="006445D0"/>
    <w:rsid w:val="00644878"/>
    <w:rsid w:val="00644C54"/>
    <w:rsid w:val="00645F41"/>
    <w:rsid w:val="006515A9"/>
    <w:rsid w:val="00653333"/>
    <w:rsid w:val="00653E17"/>
    <w:rsid w:val="00654FB8"/>
    <w:rsid w:val="006556C0"/>
    <w:rsid w:val="00656CD1"/>
    <w:rsid w:val="0066189A"/>
    <w:rsid w:val="00662CAC"/>
    <w:rsid w:val="00662DCC"/>
    <w:rsid w:val="00662F25"/>
    <w:rsid w:val="006673D0"/>
    <w:rsid w:val="00670783"/>
    <w:rsid w:val="00673B76"/>
    <w:rsid w:val="00673E44"/>
    <w:rsid w:val="0067405A"/>
    <w:rsid w:val="00675D54"/>
    <w:rsid w:val="00676179"/>
    <w:rsid w:val="00676260"/>
    <w:rsid w:val="00676451"/>
    <w:rsid w:val="00676915"/>
    <w:rsid w:val="006816E8"/>
    <w:rsid w:val="00681B57"/>
    <w:rsid w:val="00681E97"/>
    <w:rsid w:val="00682C7E"/>
    <w:rsid w:val="00683671"/>
    <w:rsid w:val="0068387E"/>
    <w:rsid w:val="0068398E"/>
    <w:rsid w:val="00684CD4"/>
    <w:rsid w:val="00684F4E"/>
    <w:rsid w:val="0068550E"/>
    <w:rsid w:val="00685B56"/>
    <w:rsid w:val="006908E6"/>
    <w:rsid w:val="006912D3"/>
    <w:rsid w:val="00692548"/>
    <w:rsid w:val="0069532C"/>
    <w:rsid w:val="006A06DE"/>
    <w:rsid w:val="006A19BE"/>
    <w:rsid w:val="006A29CE"/>
    <w:rsid w:val="006A368C"/>
    <w:rsid w:val="006A6418"/>
    <w:rsid w:val="006A660B"/>
    <w:rsid w:val="006A7919"/>
    <w:rsid w:val="006A7F7A"/>
    <w:rsid w:val="006B2DF6"/>
    <w:rsid w:val="006B30C3"/>
    <w:rsid w:val="006B428A"/>
    <w:rsid w:val="006B79FA"/>
    <w:rsid w:val="006C367B"/>
    <w:rsid w:val="006C3C07"/>
    <w:rsid w:val="006C50CB"/>
    <w:rsid w:val="006C7E78"/>
    <w:rsid w:val="006D094B"/>
    <w:rsid w:val="006D47AF"/>
    <w:rsid w:val="006D4E69"/>
    <w:rsid w:val="006D6DA9"/>
    <w:rsid w:val="006D7412"/>
    <w:rsid w:val="006E247C"/>
    <w:rsid w:val="006E2ABB"/>
    <w:rsid w:val="006E5B7E"/>
    <w:rsid w:val="006E698F"/>
    <w:rsid w:val="006F1A08"/>
    <w:rsid w:val="006F414C"/>
    <w:rsid w:val="006F4B7D"/>
    <w:rsid w:val="006F6A61"/>
    <w:rsid w:val="00700A0E"/>
    <w:rsid w:val="00700E33"/>
    <w:rsid w:val="0070158E"/>
    <w:rsid w:val="00701F58"/>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5ABD"/>
    <w:rsid w:val="00726AAE"/>
    <w:rsid w:val="0073089B"/>
    <w:rsid w:val="00730A27"/>
    <w:rsid w:val="00730DB7"/>
    <w:rsid w:val="00732591"/>
    <w:rsid w:val="0073324C"/>
    <w:rsid w:val="00735106"/>
    <w:rsid w:val="00736962"/>
    <w:rsid w:val="00736B0D"/>
    <w:rsid w:val="007402BF"/>
    <w:rsid w:val="00742201"/>
    <w:rsid w:val="00742AE8"/>
    <w:rsid w:val="00742D5B"/>
    <w:rsid w:val="00744BC3"/>
    <w:rsid w:val="00744D03"/>
    <w:rsid w:val="00745BF5"/>
    <w:rsid w:val="00746290"/>
    <w:rsid w:val="00747138"/>
    <w:rsid w:val="00747300"/>
    <w:rsid w:val="00751F49"/>
    <w:rsid w:val="00752596"/>
    <w:rsid w:val="007531D6"/>
    <w:rsid w:val="007545D2"/>
    <w:rsid w:val="00754C2C"/>
    <w:rsid w:val="00761DFD"/>
    <w:rsid w:val="00765464"/>
    <w:rsid w:val="0076561C"/>
    <w:rsid w:val="00766963"/>
    <w:rsid w:val="00766B22"/>
    <w:rsid w:val="00770A11"/>
    <w:rsid w:val="00770A4B"/>
    <w:rsid w:val="00771515"/>
    <w:rsid w:val="00771623"/>
    <w:rsid w:val="0077206A"/>
    <w:rsid w:val="00773035"/>
    <w:rsid w:val="00773E32"/>
    <w:rsid w:val="007740F6"/>
    <w:rsid w:val="007767BD"/>
    <w:rsid w:val="007807B5"/>
    <w:rsid w:val="00781885"/>
    <w:rsid w:val="00782A80"/>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31D0"/>
    <w:rsid w:val="007A4483"/>
    <w:rsid w:val="007A6033"/>
    <w:rsid w:val="007B02CA"/>
    <w:rsid w:val="007B0878"/>
    <w:rsid w:val="007B1DA5"/>
    <w:rsid w:val="007B26B3"/>
    <w:rsid w:val="007B28AB"/>
    <w:rsid w:val="007B3A5B"/>
    <w:rsid w:val="007B42C4"/>
    <w:rsid w:val="007B4C9B"/>
    <w:rsid w:val="007B5B9E"/>
    <w:rsid w:val="007B6348"/>
    <w:rsid w:val="007B65BB"/>
    <w:rsid w:val="007B6930"/>
    <w:rsid w:val="007B728B"/>
    <w:rsid w:val="007B77E0"/>
    <w:rsid w:val="007C094C"/>
    <w:rsid w:val="007C19D8"/>
    <w:rsid w:val="007C3931"/>
    <w:rsid w:val="007C4E32"/>
    <w:rsid w:val="007C66D9"/>
    <w:rsid w:val="007C732D"/>
    <w:rsid w:val="007C7E3C"/>
    <w:rsid w:val="007D0D4C"/>
    <w:rsid w:val="007D0D7A"/>
    <w:rsid w:val="007D43B8"/>
    <w:rsid w:val="007D5428"/>
    <w:rsid w:val="007D60BB"/>
    <w:rsid w:val="007D6B6E"/>
    <w:rsid w:val="007E349A"/>
    <w:rsid w:val="007E4BD8"/>
    <w:rsid w:val="007E5807"/>
    <w:rsid w:val="007E5D66"/>
    <w:rsid w:val="007E63FE"/>
    <w:rsid w:val="007E667C"/>
    <w:rsid w:val="007E7563"/>
    <w:rsid w:val="007F0A19"/>
    <w:rsid w:val="007F10DC"/>
    <w:rsid w:val="007F18E3"/>
    <w:rsid w:val="007F2117"/>
    <w:rsid w:val="007F3458"/>
    <w:rsid w:val="007F5010"/>
    <w:rsid w:val="007F632F"/>
    <w:rsid w:val="007F6CEC"/>
    <w:rsid w:val="007F7003"/>
    <w:rsid w:val="007F76A6"/>
    <w:rsid w:val="007F7AA0"/>
    <w:rsid w:val="008005BF"/>
    <w:rsid w:val="00804852"/>
    <w:rsid w:val="00804E23"/>
    <w:rsid w:val="008059C3"/>
    <w:rsid w:val="008077D6"/>
    <w:rsid w:val="00810824"/>
    <w:rsid w:val="008111C7"/>
    <w:rsid w:val="00811FDA"/>
    <w:rsid w:val="0081289A"/>
    <w:rsid w:val="008150CF"/>
    <w:rsid w:val="00817BE0"/>
    <w:rsid w:val="00820044"/>
    <w:rsid w:val="008217EC"/>
    <w:rsid w:val="00821BB0"/>
    <w:rsid w:val="008251AD"/>
    <w:rsid w:val="00825F8E"/>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3C89"/>
    <w:rsid w:val="008641FA"/>
    <w:rsid w:val="00864712"/>
    <w:rsid w:val="0086653F"/>
    <w:rsid w:val="00866B3A"/>
    <w:rsid w:val="008703B0"/>
    <w:rsid w:val="00871D8F"/>
    <w:rsid w:val="0087241B"/>
    <w:rsid w:val="00872DE5"/>
    <w:rsid w:val="00872FFE"/>
    <w:rsid w:val="008730E4"/>
    <w:rsid w:val="00873924"/>
    <w:rsid w:val="008742E3"/>
    <w:rsid w:val="00874C97"/>
    <w:rsid w:val="008768C8"/>
    <w:rsid w:val="0088149D"/>
    <w:rsid w:val="00881C9F"/>
    <w:rsid w:val="008829E3"/>
    <w:rsid w:val="00887ACA"/>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7EC"/>
    <w:rsid w:val="008D4E59"/>
    <w:rsid w:val="008D6413"/>
    <w:rsid w:val="008D7C9D"/>
    <w:rsid w:val="008E0763"/>
    <w:rsid w:val="008E1D7B"/>
    <w:rsid w:val="008E25AA"/>
    <w:rsid w:val="008E3696"/>
    <w:rsid w:val="008E3D60"/>
    <w:rsid w:val="008E6024"/>
    <w:rsid w:val="008E6FF0"/>
    <w:rsid w:val="008E7A2B"/>
    <w:rsid w:val="008F0180"/>
    <w:rsid w:val="008F1CA4"/>
    <w:rsid w:val="008F3E78"/>
    <w:rsid w:val="008F45CA"/>
    <w:rsid w:val="008F5849"/>
    <w:rsid w:val="00900E0B"/>
    <w:rsid w:val="009019E9"/>
    <w:rsid w:val="009021BA"/>
    <w:rsid w:val="0090388B"/>
    <w:rsid w:val="009056CD"/>
    <w:rsid w:val="00906CCA"/>
    <w:rsid w:val="00912521"/>
    <w:rsid w:val="00913D27"/>
    <w:rsid w:val="00914143"/>
    <w:rsid w:val="00915C50"/>
    <w:rsid w:val="00915E6F"/>
    <w:rsid w:val="00917F9A"/>
    <w:rsid w:val="00920DD1"/>
    <w:rsid w:val="0092134E"/>
    <w:rsid w:val="00922881"/>
    <w:rsid w:val="00923375"/>
    <w:rsid w:val="00923950"/>
    <w:rsid w:val="00924775"/>
    <w:rsid w:val="00927FAB"/>
    <w:rsid w:val="009300D3"/>
    <w:rsid w:val="009313DD"/>
    <w:rsid w:val="00933B34"/>
    <w:rsid w:val="00934B73"/>
    <w:rsid w:val="00934E1D"/>
    <w:rsid w:val="0093586D"/>
    <w:rsid w:val="009408BB"/>
    <w:rsid w:val="00940B59"/>
    <w:rsid w:val="00942DC9"/>
    <w:rsid w:val="009435D3"/>
    <w:rsid w:val="00945FA9"/>
    <w:rsid w:val="009509F3"/>
    <w:rsid w:val="009510CB"/>
    <w:rsid w:val="0095188F"/>
    <w:rsid w:val="00951A76"/>
    <w:rsid w:val="00953906"/>
    <w:rsid w:val="00957243"/>
    <w:rsid w:val="00957589"/>
    <w:rsid w:val="00960030"/>
    <w:rsid w:val="009602DC"/>
    <w:rsid w:val="00960DA5"/>
    <w:rsid w:val="00962918"/>
    <w:rsid w:val="009637EC"/>
    <w:rsid w:val="00963EDF"/>
    <w:rsid w:val="009659C2"/>
    <w:rsid w:val="009667A6"/>
    <w:rsid w:val="00966C44"/>
    <w:rsid w:val="009678DB"/>
    <w:rsid w:val="00967D7A"/>
    <w:rsid w:val="00970B56"/>
    <w:rsid w:val="00971638"/>
    <w:rsid w:val="009716B0"/>
    <w:rsid w:val="00975830"/>
    <w:rsid w:val="00975FA0"/>
    <w:rsid w:val="00980095"/>
    <w:rsid w:val="0098025E"/>
    <w:rsid w:val="009834C3"/>
    <w:rsid w:val="009845A3"/>
    <w:rsid w:val="00985241"/>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0165"/>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C07C9"/>
    <w:rsid w:val="009C0964"/>
    <w:rsid w:val="009C51C5"/>
    <w:rsid w:val="009C6F69"/>
    <w:rsid w:val="009C70E6"/>
    <w:rsid w:val="009D0357"/>
    <w:rsid w:val="009D0604"/>
    <w:rsid w:val="009D117E"/>
    <w:rsid w:val="009D6D67"/>
    <w:rsid w:val="009E035A"/>
    <w:rsid w:val="009E53D5"/>
    <w:rsid w:val="009E7CF0"/>
    <w:rsid w:val="009F00A8"/>
    <w:rsid w:val="009F02EB"/>
    <w:rsid w:val="009F0449"/>
    <w:rsid w:val="009F0E47"/>
    <w:rsid w:val="009F1C11"/>
    <w:rsid w:val="009F5AE5"/>
    <w:rsid w:val="009F627F"/>
    <w:rsid w:val="009F67BC"/>
    <w:rsid w:val="009F7D37"/>
    <w:rsid w:val="00A001B5"/>
    <w:rsid w:val="00A00293"/>
    <w:rsid w:val="00A00552"/>
    <w:rsid w:val="00A00E4E"/>
    <w:rsid w:val="00A02C21"/>
    <w:rsid w:val="00A040EA"/>
    <w:rsid w:val="00A057D6"/>
    <w:rsid w:val="00A066DB"/>
    <w:rsid w:val="00A06886"/>
    <w:rsid w:val="00A07047"/>
    <w:rsid w:val="00A07A5C"/>
    <w:rsid w:val="00A106B4"/>
    <w:rsid w:val="00A1200B"/>
    <w:rsid w:val="00A1240B"/>
    <w:rsid w:val="00A129AB"/>
    <w:rsid w:val="00A12E19"/>
    <w:rsid w:val="00A138E4"/>
    <w:rsid w:val="00A14789"/>
    <w:rsid w:val="00A174C1"/>
    <w:rsid w:val="00A17C0E"/>
    <w:rsid w:val="00A17CF2"/>
    <w:rsid w:val="00A20498"/>
    <w:rsid w:val="00A21F2E"/>
    <w:rsid w:val="00A22B94"/>
    <w:rsid w:val="00A23540"/>
    <w:rsid w:val="00A2465D"/>
    <w:rsid w:val="00A25AFC"/>
    <w:rsid w:val="00A26B21"/>
    <w:rsid w:val="00A274E4"/>
    <w:rsid w:val="00A27C78"/>
    <w:rsid w:val="00A31590"/>
    <w:rsid w:val="00A34E98"/>
    <w:rsid w:val="00A356B9"/>
    <w:rsid w:val="00A36DC1"/>
    <w:rsid w:val="00A43C53"/>
    <w:rsid w:val="00A44318"/>
    <w:rsid w:val="00A44FA1"/>
    <w:rsid w:val="00A4522B"/>
    <w:rsid w:val="00A45FF9"/>
    <w:rsid w:val="00A46EFE"/>
    <w:rsid w:val="00A47669"/>
    <w:rsid w:val="00A501D5"/>
    <w:rsid w:val="00A528F9"/>
    <w:rsid w:val="00A52E70"/>
    <w:rsid w:val="00A538C8"/>
    <w:rsid w:val="00A54F78"/>
    <w:rsid w:val="00A567BA"/>
    <w:rsid w:val="00A5797F"/>
    <w:rsid w:val="00A60633"/>
    <w:rsid w:val="00A63522"/>
    <w:rsid w:val="00A64B26"/>
    <w:rsid w:val="00A64F96"/>
    <w:rsid w:val="00A6519D"/>
    <w:rsid w:val="00A66719"/>
    <w:rsid w:val="00A67B61"/>
    <w:rsid w:val="00A72471"/>
    <w:rsid w:val="00A743F2"/>
    <w:rsid w:val="00A8275B"/>
    <w:rsid w:val="00A82ACF"/>
    <w:rsid w:val="00A82D85"/>
    <w:rsid w:val="00A8322C"/>
    <w:rsid w:val="00A8444D"/>
    <w:rsid w:val="00A8499D"/>
    <w:rsid w:val="00A87981"/>
    <w:rsid w:val="00A92144"/>
    <w:rsid w:val="00A932C8"/>
    <w:rsid w:val="00A94967"/>
    <w:rsid w:val="00A94E26"/>
    <w:rsid w:val="00A97558"/>
    <w:rsid w:val="00A979D0"/>
    <w:rsid w:val="00AA0F94"/>
    <w:rsid w:val="00AA341C"/>
    <w:rsid w:val="00AA402D"/>
    <w:rsid w:val="00AA4F7E"/>
    <w:rsid w:val="00AA5D68"/>
    <w:rsid w:val="00AA72FF"/>
    <w:rsid w:val="00AA7AAB"/>
    <w:rsid w:val="00AA7B0A"/>
    <w:rsid w:val="00AA7D76"/>
    <w:rsid w:val="00AA7FA0"/>
    <w:rsid w:val="00AB05EF"/>
    <w:rsid w:val="00AB06B4"/>
    <w:rsid w:val="00AB06FA"/>
    <w:rsid w:val="00AB1CEF"/>
    <w:rsid w:val="00AB3E22"/>
    <w:rsid w:val="00AB3F69"/>
    <w:rsid w:val="00AB4A33"/>
    <w:rsid w:val="00AB4D39"/>
    <w:rsid w:val="00AB58A9"/>
    <w:rsid w:val="00AC0134"/>
    <w:rsid w:val="00AC11CF"/>
    <w:rsid w:val="00AC1872"/>
    <w:rsid w:val="00AC3EDE"/>
    <w:rsid w:val="00AC478B"/>
    <w:rsid w:val="00AC668A"/>
    <w:rsid w:val="00AD1804"/>
    <w:rsid w:val="00AD3A9E"/>
    <w:rsid w:val="00AD51F7"/>
    <w:rsid w:val="00AD6A1D"/>
    <w:rsid w:val="00AD6D9C"/>
    <w:rsid w:val="00AD7F23"/>
    <w:rsid w:val="00AE072F"/>
    <w:rsid w:val="00AE0C13"/>
    <w:rsid w:val="00AE140F"/>
    <w:rsid w:val="00AE15C1"/>
    <w:rsid w:val="00AE369C"/>
    <w:rsid w:val="00AE3877"/>
    <w:rsid w:val="00AE4FE7"/>
    <w:rsid w:val="00AE5525"/>
    <w:rsid w:val="00AE6161"/>
    <w:rsid w:val="00AE78DB"/>
    <w:rsid w:val="00AF0A60"/>
    <w:rsid w:val="00AF16D0"/>
    <w:rsid w:val="00AF1B4D"/>
    <w:rsid w:val="00AF2889"/>
    <w:rsid w:val="00AF3229"/>
    <w:rsid w:val="00AF326F"/>
    <w:rsid w:val="00AF34C2"/>
    <w:rsid w:val="00AF7042"/>
    <w:rsid w:val="00AF7B6D"/>
    <w:rsid w:val="00AF7D12"/>
    <w:rsid w:val="00B008BE"/>
    <w:rsid w:val="00B02B85"/>
    <w:rsid w:val="00B02CAE"/>
    <w:rsid w:val="00B032CF"/>
    <w:rsid w:val="00B040F4"/>
    <w:rsid w:val="00B0498F"/>
    <w:rsid w:val="00B06B54"/>
    <w:rsid w:val="00B06BAE"/>
    <w:rsid w:val="00B07140"/>
    <w:rsid w:val="00B075A2"/>
    <w:rsid w:val="00B129B9"/>
    <w:rsid w:val="00B13A45"/>
    <w:rsid w:val="00B13B3A"/>
    <w:rsid w:val="00B1473F"/>
    <w:rsid w:val="00B207EA"/>
    <w:rsid w:val="00B231CE"/>
    <w:rsid w:val="00B239F2"/>
    <w:rsid w:val="00B23B40"/>
    <w:rsid w:val="00B23DF3"/>
    <w:rsid w:val="00B25242"/>
    <w:rsid w:val="00B26C68"/>
    <w:rsid w:val="00B27122"/>
    <w:rsid w:val="00B27898"/>
    <w:rsid w:val="00B27C54"/>
    <w:rsid w:val="00B30010"/>
    <w:rsid w:val="00B30288"/>
    <w:rsid w:val="00B31AF4"/>
    <w:rsid w:val="00B31C7E"/>
    <w:rsid w:val="00B31E83"/>
    <w:rsid w:val="00B321E9"/>
    <w:rsid w:val="00B32436"/>
    <w:rsid w:val="00B337A2"/>
    <w:rsid w:val="00B37F89"/>
    <w:rsid w:val="00B4005A"/>
    <w:rsid w:val="00B40CD3"/>
    <w:rsid w:val="00B41390"/>
    <w:rsid w:val="00B443B2"/>
    <w:rsid w:val="00B44617"/>
    <w:rsid w:val="00B45E78"/>
    <w:rsid w:val="00B45FBC"/>
    <w:rsid w:val="00B46062"/>
    <w:rsid w:val="00B46340"/>
    <w:rsid w:val="00B47262"/>
    <w:rsid w:val="00B5013F"/>
    <w:rsid w:val="00B501DF"/>
    <w:rsid w:val="00B51071"/>
    <w:rsid w:val="00B539E3"/>
    <w:rsid w:val="00B53ED8"/>
    <w:rsid w:val="00B551E3"/>
    <w:rsid w:val="00B558A2"/>
    <w:rsid w:val="00B55A60"/>
    <w:rsid w:val="00B56650"/>
    <w:rsid w:val="00B56701"/>
    <w:rsid w:val="00B56B94"/>
    <w:rsid w:val="00B56F30"/>
    <w:rsid w:val="00B57330"/>
    <w:rsid w:val="00B57A5E"/>
    <w:rsid w:val="00B62F28"/>
    <w:rsid w:val="00B63FA5"/>
    <w:rsid w:val="00B644BA"/>
    <w:rsid w:val="00B65AAF"/>
    <w:rsid w:val="00B65D05"/>
    <w:rsid w:val="00B665DC"/>
    <w:rsid w:val="00B673DD"/>
    <w:rsid w:val="00B6750B"/>
    <w:rsid w:val="00B731E2"/>
    <w:rsid w:val="00B749D8"/>
    <w:rsid w:val="00B756B8"/>
    <w:rsid w:val="00B76AE2"/>
    <w:rsid w:val="00B77EC2"/>
    <w:rsid w:val="00B80865"/>
    <w:rsid w:val="00B81F33"/>
    <w:rsid w:val="00B82939"/>
    <w:rsid w:val="00B82DFC"/>
    <w:rsid w:val="00B835D4"/>
    <w:rsid w:val="00B83B9F"/>
    <w:rsid w:val="00B8476F"/>
    <w:rsid w:val="00B85752"/>
    <w:rsid w:val="00B863A6"/>
    <w:rsid w:val="00B90AA4"/>
    <w:rsid w:val="00B9404B"/>
    <w:rsid w:val="00B94BF9"/>
    <w:rsid w:val="00B94C64"/>
    <w:rsid w:val="00B95E84"/>
    <w:rsid w:val="00B95F70"/>
    <w:rsid w:val="00BA07C6"/>
    <w:rsid w:val="00BA084B"/>
    <w:rsid w:val="00BA09F8"/>
    <w:rsid w:val="00BA2181"/>
    <w:rsid w:val="00BA2888"/>
    <w:rsid w:val="00BA42CC"/>
    <w:rsid w:val="00BA48C5"/>
    <w:rsid w:val="00BA5726"/>
    <w:rsid w:val="00BA5821"/>
    <w:rsid w:val="00BA6518"/>
    <w:rsid w:val="00BA6DC9"/>
    <w:rsid w:val="00BB108F"/>
    <w:rsid w:val="00BB32F6"/>
    <w:rsid w:val="00BB6962"/>
    <w:rsid w:val="00BC05AF"/>
    <w:rsid w:val="00BC1A7F"/>
    <w:rsid w:val="00BC1B6C"/>
    <w:rsid w:val="00BC27C7"/>
    <w:rsid w:val="00BC2B32"/>
    <w:rsid w:val="00BC5201"/>
    <w:rsid w:val="00BC545F"/>
    <w:rsid w:val="00BC5BFA"/>
    <w:rsid w:val="00BD0CB3"/>
    <w:rsid w:val="00BD0D29"/>
    <w:rsid w:val="00BD1121"/>
    <w:rsid w:val="00BD1685"/>
    <w:rsid w:val="00BD25F9"/>
    <w:rsid w:val="00BD2FC0"/>
    <w:rsid w:val="00BD516C"/>
    <w:rsid w:val="00BD52CF"/>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47D6"/>
    <w:rsid w:val="00BF5DE1"/>
    <w:rsid w:val="00C01777"/>
    <w:rsid w:val="00C017E7"/>
    <w:rsid w:val="00C031FD"/>
    <w:rsid w:val="00C03AFC"/>
    <w:rsid w:val="00C03DC2"/>
    <w:rsid w:val="00C04C67"/>
    <w:rsid w:val="00C0522A"/>
    <w:rsid w:val="00C06ED6"/>
    <w:rsid w:val="00C06F71"/>
    <w:rsid w:val="00C10693"/>
    <w:rsid w:val="00C15776"/>
    <w:rsid w:val="00C17055"/>
    <w:rsid w:val="00C17592"/>
    <w:rsid w:val="00C17EAE"/>
    <w:rsid w:val="00C21162"/>
    <w:rsid w:val="00C21C41"/>
    <w:rsid w:val="00C22523"/>
    <w:rsid w:val="00C22C62"/>
    <w:rsid w:val="00C24B1F"/>
    <w:rsid w:val="00C25ACC"/>
    <w:rsid w:val="00C27754"/>
    <w:rsid w:val="00C27B12"/>
    <w:rsid w:val="00C3154E"/>
    <w:rsid w:val="00C31EDE"/>
    <w:rsid w:val="00C3277B"/>
    <w:rsid w:val="00C34064"/>
    <w:rsid w:val="00C3743E"/>
    <w:rsid w:val="00C40889"/>
    <w:rsid w:val="00C40904"/>
    <w:rsid w:val="00C40FE2"/>
    <w:rsid w:val="00C452F5"/>
    <w:rsid w:val="00C45C12"/>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2F2E"/>
    <w:rsid w:val="00C63F7B"/>
    <w:rsid w:val="00C6456D"/>
    <w:rsid w:val="00C64AD9"/>
    <w:rsid w:val="00C65A0E"/>
    <w:rsid w:val="00C6761E"/>
    <w:rsid w:val="00C679D2"/>
    <w:rsid w:val="00C70ECA"/>
    <w:rsid w:val="00C71369"/>
    <w:rsid w:val="00C71619"/>
    <w:rsid w:val="00C720A8"/>
    <w:rsid w:val="00C72565"/>
    <w:rsid w:val="00C726FE"/>
    <w:rsid w:val="00C7304B"/>
    <w:rsid w:val="00C7693C"/>
    <w:rsid w:val="00C76FB3"/>
    <w:rsid w:val="00C7748D"/>
    <w:rsid w:val="00C8032B"/>
    <w:rsid w:val="00C81B8B"/>
    <w:rsid w:val="00C82509"/>
    <w:rsid w:val="00C83CF6"/>
    <w:rsid w:val="00C85199"/>
    <w:rsid w:val="00C8542E"/>
    <w:rsid w:val="00C86EDB"/>
    <w:rsid w:val="00C87343"/>
    <w:rsid w:val="00C9051A"/>
    <w:rsid w:val="00C91DFD"/>
    <w:rsid w:val="00C96175"/>
    <w:rsid w:val="00C971C0"/>
    <w:rsid w:val="00C979E0"/>
    <w:rsid w:val="00CA0D2D"/>
    <w:rsid w:val="00CA1800"/>
    <w:rsid w:val="00CA3D0A"/>
    <w:rsid w:val="00CA4ABA"/>
    <w:rsid w:val="00CA7917"/>
    <w:rsid w:val="00CA79F1"/>
    <w:rsid w:val="00CB07DB"/>
    <w:rsid w:val="00CB10DF"/>
    <w:rsid w:val="00CB14BE"/>
    <w:rsid w:val="00CB1763"/>
    <w:rsid w:val="00CB32A7"/>
    <w:rsid w:val="00CB3B91"/>
    <w:rsid w:val="00CB3D41"/>
    <w:rsid w:val="00CB4C75"/>
    <w:rsid w:val="00CB6DF2"/>
    <w:rsid w:val="00CB754A"/>
    <w:rsid w:val="00CB7621"/>
    <w:rsid w:val="00CC0E17"/>
    <w:rsid w:val="00CC0E37"/>
    <w:rsid w:val="00CC108A"/>
    <w:rsid w:val="00CC6222"/>
    <w:rsid w:val="00CC7A02"/>
    <w:rsid w:val="00CD0281"/>
    <w:rsid w:val="00CD0B62"/>
    <w:rsid w:val="00CD1D09"/>
    <w:rsid w:val="00CD4E07"/>
    <w:rsid w:val="00CD749A"/>
    <w:rsid w:val="00CD765F"/>
    <w:rsid w:val="00CE1192"/>
    <w:rsid w:val="00CE24DD"/>
    <w:rsid w:val="00CE2AC5"/>
    <w:rsid w:val="00CE2F39"/>
    <w:rsid w:val="00CE3A02"/>
    <w:rsid w:val="00CE614E"/>
    <w:rsid w:val="00CE6404"/>
    <w:rsid w:val="00CE6ABC"/>
    <w:rsid w:val="00CE78C7"/>
    <w:rsid w:val="00CF0FF9"/>
    <w:rsid w:val="00CF11C4"/>
    <w:rsid w:val="00CF12F5"/>
    <w:rsid w:val="00CF2C71"/>
    <w:rsid w:val="00CF3785"/>
    <w:rsid w:val="00CF6154"/>
    <w:rsid w:val="00CF649F"/>
    <w:rsid w:val="00CF762E"/>
    <w:rsid w:val="00D00D95"/>
    <w:rsid w:val="00D0114A"/>
    <w:rsid w:val="00D019CC"/>
    <w:rsid w:val="00D01CF5"/>
    <w:rsid w:val="00D02242"/>
    <w:rsid w:val="00D03039"/>
    <w:rsid w:val="00D05662"/>
    <w:rsid w:val="00D05BB6"/>
    <w:rsid w:val="00D05E4A"/>
    <w:rsid w:val="00D05E6A"/>
    <w:rsid w:val="00D07A51"/>
    <w:rsid w:val="00D11E3A"/>
    <w:rsid w:val="00D12E22"/>
    <w:rsid w:val="00D15527"/>
    <w:rsid w:val="00D16C3A"/>
    <w:rsid w:val="00D16EC4"/>
    <w:rsid w:val="00D201C9"/>
    <w:rsid w:val="00D20E1D"/>
    <w:rsid w:val="00D21638"/>
    <w:rsid w:val="00D21ADF"/>
    <w:rsid w:val="00D22A38"/>
    <w:rsid w:val="00D246C6"/>
    <w:rsid w:val="00D27B21"/>
    <w:rsid w:val="00D27B24"/>
    <w:rsid w:val="00D27E99"/>
    <w:rsid w:val="00D301B6"/>
    <w:rsid w:val="00D30E05"/>
    <w:rsid w:val="00D33AEA"/>
    <w:rsid w:val="00D33DC9"/>
    <w:rsid w:val="00D3451B"/>
    <w:rsid w:val="00D35137"/>
    <w:rsid w:val="00D359FF"/>
    <w:rsid w:val="00D36061"/>
    <w:rsid w:val="00D36DE1"/>
    <w:rsid w:val="00D4116A"/>
    <w:rsid w:val="00D42931"/>
    <w:rsid w:val="00D475ED"/>
    <w:rsid w:val="00D479D5"/>
    <w:rsid w:val="00D523C7"/>
    <w:rsid w:val="00D568B7"/>
    <w:rsid w:val="00D57618"/>
    <w:rsid w:val="00D61686"/>
    <w:rsid w:val="00D644FB"/>
    <w:rsid w:val="00D648D1"/>
    <w:rsid w:val="00D65D0E"/>
    <w:rsid w:val="00D66580"/>
    <w:rsid w:val="00D66F2E"/>
    <w:rsid w:val="00D7278C"/>
    <w:rsid w:val="00D72D29"/>
    <w:rsid w:val="00D7427C"/>
    <w:rsid w:val="00D76EC6"/>
    <w:rsid w:val="00D80AB2"/>
    <w:rsid w:val="00D8490D"/>
    <w:rsid w:val="00D84BAC"/>
    <w:rsid w:val="00D85432"/>
    <w:rsid w:val="00D85740"/>
    <w:rsid w:val="00D864C0"/>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B1956"/>
    <w:rsid w:val="00DB1FA6"/>
    <w:rsid w:val="00DB39B3"/>
    <w:rsid w:val="00DB3EA8"/>
    <w:rsid w:val="00DB5741"/>
    <w:rsid w:val="00DB6B70"/>
    <w:rsid w:val="00DB77E5"/>
    <w:rsid w:val="00DC0068"/>
    <w:rsid w:val="00DC016F"/>
    <w:rsid w:val="00DC0E2A"/>
    <w:rsid w:val="00DC244A"/>
    <w:rsid w:val="00DC594F"/>
    <w:rsid w:val="00DC5D28"/>
    <w:rsid w:val="00DC681C"/>
    <w:rsid w:val="00DD165B"/>
    <w:rsid w:val="00DD2C02"/>
    <w:rsid w:val="00DD3B6E"/>
    <w:rsid w:val="00DD4B47"/>
    <w:rsid w:val="00DD6FF7"/>
    <w:rsid w:val="00DD7541"/>
    <w:rsid w:val="00DD756E"/>
    <w:rsid w:val="00DE039D"/>
    <w:rsid w:val="00DE057F"/>
    <w:rsid w:val="00DE1A54"/>
    <w:rsid w:val="00DE4719"/>
    <w:rsid w:val="00DE5421"/>
    <w:rsid w:val="00DE6231"/>
    <w:rsid w:val="00DE7014"/>
    <w:rsid w:val="00DE7BC4"/>
    <w:rsid w:val="00DF1F9C"/>
    <w:rsid w:val="00DF2594"/>
    <w:rsid w:val="00DF374C"/>
    <w:rsid w:val="00E02EDF"/>
    <w:rsid w:val="00E0556A"/>
    <w:rsid w:val="00E059A9"/>
    <w:rsid w:val="00E06CE7"/>
    <w:rsid w:val="00E0755A"/>
    <w:rsid w:val="00E10EEA"/>
    <w:rsid w:val="00E12C95"/>
    <w:rsid w:val="00E141BF"/>
    <w:rsid w:val="00E16776"/>
    <w:rsid w:val="00E1692E"/>
    <w:rsid w:val="00E1729A"/>
    <w:rsid w:val="00E174AB"/>
    <w:rsid w:val="00E17919"/>
    <w:rsid w:val="00E17E65"/>
    <w:rsid w:val="00E2050D"/>
    <w:rsid w:val="00E218E6"/>
    <w:rsid w:val="00E22919"/>
    <w:rsid w:val="00E25B8B"/>
    <w:rsid w:val="00E26935"/>
    <w:rsid w:val="00E269CF"/>
    <w:rsid w:val="00E27FD9"/>
    <w:rsid w:val="00E31947"/>
    <w:rsid w:val="00E3218C"/>
    <w:rsid w:val="00E34535"/>
    <w:rsid w:val="00E350CD"/>
    <w:rsid w:val="00E36848"/>
    <w:rsid w:val="00E3707F"/>
    <w:rsid w:val="00E4085B"/>
    <w:rsid w:val="00E42454"/>
    <w:rsid w:val="00E42624"/>
    <w:rsid w:val="00E42EE0"/>
    <w:rsid w:val="00E43FB9"/>
    <w:rsid w:val="00E44BCE"/>
    <w:rsid w:val="00E4509A"/>
    <w:rsid w:val="00E4534A"/>
    <w:rsid w:val="00E45487"/>
    <w:rsid w:val="00E454C2"/>
    <w:rsid w:val="00E46EBC"/>
    <w:rsid w:val="00E5011B"/>
    <w:rsid w:val="00E50E95"/>
    <w:rsid w:val="00E52942"/>
    <w:rsid w:val="00E54369"/>
    <w:rsid w:val="00E54957"/>
    <w:rsid w:val="00E549C7"/>
    <w:rsid w:val="00E54DE5"/>
    <w:rsid w:val="00E5737F"/>
    <w:rsid w:val="00E57BCA"/>
    <w:rsid w:val="00E62AEF"/>
    <w:rsid w:val="00E63D3D"/>
    <w:rsid w:val="00E65443"/>
    <w:rsid w:val="00E658A6"/>
    <w:rsid w:val="00E66801"/>
    <w:rsid w:val="00E71546"/>
    <w:rsid w:val="00E71CBA"/>
    <w:rsid w:val="00E72932"/>
    <w:rsid w:val="00E74CA1"/>
    <w:rsid w:val="00E7527A"/>
    <w:rsid w:val="00E75B15"/>
    <w:rsid w:val="00E76268"/>
    <w:rsid w:val="00E76B62"/>
    <w:rsid w:val="00E76EE1"/>
    <w:rsid w:val="00E770D7"/>
    <w:rsid w:val="00E817FE"/>
    <w:rsid w:val="00E81F72"/>
    <w:rsid w:val="00E846BD"/>
    <w:rsid w:val="00E84B55"/>
    <w:rsid w:val="00E85EBC"/>
    <w:rsid w:val="00E870EB"/>
    <w:rsid w:val="00E87B9A"/>
    <w:rsid w:val="00E90AFE"/>
    <w:rsid w:val="00E91815"/>
    <w:rsid w:val="00E933E3"/>
    <w:rsid w:val="00E948E4"/>
    <w:rsid w:val="00E950C2"/>
    <w:rsid w:val="00E96067"/>
    <w:rsid w:val="00E979B6"/>
    <w:rsid w:val="00EA0987"/>
    <w:rsid w:val="00EA1012"/>
    <w:rsid w:val="00EA3097"/>
    <w:rsid w:val="00EA444A"/>
    <w:rsid w:val="00EA5644"/>
    <w:rsid w:val="00EA6B24"/>
    <w:rsid w:val="00EB0CBE"/>
    <w:rsid w:val="00EB28BA"/>
    <w:rsid w:val="00EB403B"/>
    <w:rsid w:val="00EB4AB3"/>
    <w:rsid w:val="00EB6C94"/>
    <w:rsid w:val="00EC0E8C"/>
    <w:rsid w:val="00EC48CC"/>
    <w:rsid w:val="00EC4B35"/>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281F"/>
    <w:rsid w:val="00EF4407"/>
    <w:rsid w:val="00EF4C4C"/>
    <w:rsid w:val="00EF4E74"/>
    <w:rsid w:val="00EF501A"/>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2FC"/>
    <w:rsid w:val="00F468F2"/>
    <w:rsid w:val="00F47291"/>
    <w:rsid w:val="00F50379"/>
    <w:rsid w:val="00F507DB"/>
    <w:rsid w:val="00F51D6C"/>
    <w:rsid w:val="00F5428F"/>
    <w:rsid w:val="00F54752"/>
    <w:rsid w:val="00F5582B"/>
    <w:rsid w:val="00F55C3C"/>
    <w:rsid w:val="00F560A6"/>
    <w:rsid w:val="00F5668E"/>
    <w:rsid w:val="00F56992"/>
    <w:rsid w:val="00F626FB"/>
    <w:rsid w:val="00F63081"/>
    <w:rsid w:val="00F653DE"/>
    <w:rsid w:val="00F66131"/>
    <w:rsid w:val="00F67284"/>
    <w:rsid w:val="00F7039E"/>
    <w:rsid w:val="00F7134F"/>
    <w:rsid w:val="00F71373"/>
    <w:rsid w:val="00F713EC"/>
    <w:rsid w:val="00F71C20"/>
    <w:rsid w:val="00F732B8"/>
    <w:rsid w:val="00F7342A"/>
    <w:rsid w:val="00F73889"/>
    <w:rsid w:val="00F741A7"/>
    <w:rsid w:val="00F7451B"/>
    <w:rsid w:val="00F7494F"/>
    <w:rsid w:val="00F752C6"/>
    <w:rsid w:val="00F75530"/>
    <w:rsid w:val="00F763C2"/>
    <w:rsid w:val="00F84318"/>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72E"/>
    <w:rsid w:val="00FC6CE4"/>
    <w:rsid w:val="00FC6F81"/>
    <w:rsid w:val="00FC7A6B"/>
    <w:rsid w:val="00FD1E6B"/>
    <w:rsid w:val="00FD247C"/>
    <w:rsid w:val="00FD2BE9"/>
    <w:rsid w:val="00FD2C12"/>
    <w:rsid w:val="00FD2E1C"/>
    <w:rsid w:val="00FD51CB"/>
    <w:rsid w:val="00FD5B72"/>
    <w:rsid w:val="00FD5F42"/>
    <w:rsid w:val="00FD6FB2"/>
    <w:rsid w:val="00FE16D3"/>
    <w:rsid w:val="00FE32C2"/>
    <w:rsid w:val="00FE3440"/>
    <w:rsid w:val="00FE3624"/>
    <w:rsid w:val="00FE4CB0"/>
    <w:rsid w:val="00FE5677"/>
    <w:rsid w:val="00FE5E27"/>
    <w:rsid w:val="00FE5E3B"/>
    <w:rsid w:val="00FE60AD"/>
    <w:rsid w:val="00FE7278"/>
    <w:rsid w:val="00FE774C"/>
    <w:rsid w:val="00FF138C"/>
    <w:rsid w:val="00FF198B"/>
    <w:rsid w:val="00FF1FFC"/>
    <w:rsid w:val="00FF32C8"/>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2021-10-14T18:30:00+00:00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81EB-371A-499D-AAB2-D42C9A319C6D}">
  <ds:schemaRefs>
    <ds:schemaRef ds:uri="http://schemas.microsoft.com/sharepoint/v3/contenttype/forms"/>
  </ds:schemaRefs>
</ds:datastoreItem>
</file>

<file path=customXml/itemProps2.xml><?xml version="1.0" encoding="utf-8"?>
<ds:datastoreItem xmlns:ds="http://schemas.openxmlformats.org/officeDocument/2006/customXml" ds:itemID="{54938642-60B6-44E5-9C17-E0D2C458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695AE-C507-4C23-AF2E-E94071AB3F7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0B6DABDC-D1BF-4761-AC97-DC82A861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Andrews v Standard Bank Namibia Limited</vt:lpstr>
    </vt:vector>
  </TitlesOfParts>
  <Company/>
  <LinksUpToDate>false</LinksUpToDate>
  <CharactersWithSpaces>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v Standard Bank Namibia Limited</dc:title>
  <dc:creator>David</dc:creator>
  <cp:lastModifiedBy>Microsoft account</cp:lastModifiedBy>
  <cp:revision>4</cp:revision>
  <cp:lastPrinted>2021-10-13T10:16:00Z</cp:lastPrinted>
  <dcterms:created xsi:type="dcterms:W3CDTF">2021-12-05T07:46:00Z</dcterms:created>
  <dcterms:modified xsi:type="dcterms:W3CDTF">2021-12-05T17:32:00Z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