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bookmarkStart w:id="0" w:name="_GoBack"/>
      <w:bookmarkEnd w:id="0"/>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C25CA" w:rsidRDefault="00844A3F" w:rsidP="008C3367">
      <w:pPr>
        <w:spacing w:line="480" w:lineRule="auto"/>
        <w:ind w:left="1701"/>
        <w:jc w:val="right"/>
        <w:rPr>
          <w:rFonts w:ascii="Arial" w:hAnsi="Arial" w:cs="Arial"/>
          <w:b/>
          <w:sz w:val="24"/>
          <w:szCs w:val="24"/>
        </w:rPr>
      </w:pPr>
      <w:r>
        <w:rPr>
          <w:rFonts w:ascii="Arial" w:hAnsi="Arial" w:cs="Arial"/>
          <w:b/>
          <w:sz w:val="24"/>
          <w:szCs w:val="24"/>
        </w:rPr>
        <w:t xml:space="preserve">NOT </w:t>
      </w:r>
      <w:r w:rsidR="008C3367"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08263C">
        <w:rPr>
          <w:rFonts w:ascii="Arial" w:hAnsi="Arial" w:cs="Arial"/>
          <w:sz w:val="24"/>
          <w:szCs w:val="24"/>
        </w:rPr>
        <w:t>1</w:t>
      </w:r>
      <w:r w:rsidR="004E232B">
        <w:rPr>
          <w:rFonts w:ascii="Arial" w:hAnsi="Arial" w:cs="Arial"/>
          <w:sz w:val="24"/>
          <w:szCs w:val="24"/>
        </w:rPr>
        <w:t>6</w:t>
      </w:r>
      <w:r w:rsidRPr="001C25CA">
        <w:rPr>
          <w:rFonts w:ascii="Arial" w:hAnsi="Arial" w:cs="Arial"/>
          <w:sz w:val="24"/>
          <w:szCs w:val="24"/>
        </w:rPr>
        <w:t>/2</w:t>
      </w:r>
      <w:r w:rsidR="00CD0281">
        <w:rPr>
          <w:rFonts w:ascii="Arial" w:hAnsi="Arial" w:cs="Arial"/>
          <w:sz w:val="24"/>
          <w:szCs w:val="24"/>
        </w:rPr>
        <w:t>0</w:t>
      </w:r>
      <w:r w:rsidR="00CE6ABC">
        <w:rPr>
          <w:rFonts w:ascii="Arial" w:hAnsi="Arial" w:cs="Arial"/>
          <w:sz w:val="24"/>
          <w:szCs w:val="24"/>
        </w:rPr>
        <w:t>1</w:t>
      </w:r>
      <w:r w:rsidR="00AF326F">
        <w:rPr>
          <w:rFonts w:ascii="Arial" w:hAnsi="Arial" w:cs="Arial"/>
          <w:sz w:val="24"/>
          <w:szCs w:val="24"/>
        </w:rPr>
        <w:t>9</w:t>
      </w:r>
    </w:p>
    <w:p w:rsidR="00105960" w:rsidRPr="001C25CA" w:rsidRDefault="00105960"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Pr="00E43FB9" w:rsidRDefault="008C3367" w:rsidP="00B40CD3">
      <w:pPr>
        <w:spacing w:line="240" w:lineRule="auto"/>
        <w:jc w:val="both"/>
        <w:rPr>
          <w:rFonts w:ascii="Arial" w:hAnsi="Arial" w:cs="Arial"/>
          <w:sz w:val="24"/>
          <w:szCs w:val="24"/>
        </w:rPr>
      </w:pPr>
      <w:r w:rsidRPr="00E43FB9">
        <w:rPr>
          <w:rFonts w:ascii="Arial" w:hAnsi="Arial" w:cs="Arial"/>
          <w:sz w:val="24"/>
          <w:szCs w:val="24"/>
        </w:rPr>
        <w:t>In the matter between:</w:t>
      </w:r>
    </w:p>
    <w:p w:rsidR="00396B62" w:rsidRPr="00E43FB9" w:rsidRDefault="00396B62"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E43FB9" w:rsidTr="00B40CD3">
        <w:tc>
          <w:tcPr>
            <w:tcW w:w="6204" w:type="dxa"/>
            <w:shd w:val="clear" w:color="auto" w:fill="auto"/>
          </w:tcPr>
          <w:p w:rsidR="002212AD" w:rsidRPr="00E43FB9" w:rsidRDefault="000B1CCA" w:rsidP="00C5513A">
            <w:pPr>
              <w:pStyle w:val="NoSpacing"/>
              <w:spacing w:line="360" w:lineRule="auto"/>
              <w:rPr>
                <w:rFonts w:ascii="Arial" w:hAnsi="Arial" w:cs="Arial"/>
                <w:b/>
                <w:sz w:val="24"/>
                <w:szCs w:val="24"/>
              </w:rPr>
            </w:pPr>
            <w:r>
              <w:rPr>
                <w:rFonts w:ascii="Arial" w:hAnsi="Arial" w:cs="Arial"/>
                <w:b/>
                <w:sz w:val="24"/>
                <w:szCs w:val="24"/>
              </w:rPr>
              <w:t>ALEX MABUKU KAMWI KAMWI</w:t>
            </w:r>
          </w:p>
        </w:tc>
        <w:tc>
          <w:tcPr>
            <w:tcW w:w="3011" w:type="dxa"/>
            <w:shd w:val="clear" w:color="auto" w:fill="auto"/>
          </w:tcPr>
          <w:p w:rsidR="008C3367" w:rsidRPr="00E43FB9" w:rsidRDefault="008C3367" w:rsidP="00161C35">
            <w:pPr>
              <w:pStyle w:val="NoSpacing"/>
              <w:spacing w:line="360" w:lineRule="auto"/>
              <w:jc w:val="right"/>
              <w:rPr>
                <w:rFonts w:ascii="Arial" w:hAnsi="Arial" w:cs="Arial"/>
                <w:b/>
                <w:sz w:val="24"/>
                <w:szCs w:val="24"/>
              </w:rPr>
            </w:pPr>
            <w:r w:rsidRPr="00E43FB9">
              <w:rPr>
                <w:rFonts w:ascii="Arial" w:hAnsi="Arial" w:cs="Arial"/>
                <w:b/>
                <w:sz w:val="24"/>
                <w:szCs w:val="24"/>
              </w:rPr>
              <w:t>Appellant</w:t>
            </w:r>
          </w:p>
        </w:tc>
      </w:tr>
      <w:tr w:rsidR="00AF326F" w:rsidRPr="00E43FB9" w:rsidTr="00B40CD3">
        <w:tc>
          <w:tcPr>
            <w:tcW w:w="6204" w:type="dxa"/>
            <w:shd w:val="clear" w:color="auto" w:fill="auto"/>
          </w:tcPr>
          <w:p w:rsidR="00AF326F" w:rsidRPr="00E43FB9" w:rsidRDefault="00AF326F" w:rsidP="00161C35">
            <w:pPr>
              <w:pStyle w:val="NoSpacing"/>
              <w:spacing w:line="360" w:lineRule="auto"/>
              <w:rPr>
                <w:rFonts w:ascii="Arial" w:hAnsi="Arial" w:cs="Arial"/>
                <w:b/>
                <w:sz w:val="24"/>
                <w:szCs w:val="24"/>
              </w:rPr>
            </w:pPr>
          </w:p>
        </w:tc>
        <w:tc>
          <w:tcPr>
            <w:tcW w:w="3011" w:type="dxa"/>
            <w:shd w:val="clear" w:color="auto" w:fill="auto"/>
          </w:tcPr>
          <w:p w:rsidR="00AF326F" w:rsidRPr="00E43FB9" w:rsidRDefault="00AF326F" w:rsidP="00161C35">
            <w:pPr>
              <w:pStyle w:val="NoSpacing"/>
              <w:spacing w:line="360" w:lineRule="auto"/>
              <w:rPr>
                <w:rFonts w:ascii="Arial" w:hAnsi="Arial" w:cs="Arial"/>
                <w:b/>
                <w:sz w:val="24"/>
                <w:szCs w:val="24"/>
              </w:rPr>
            </w:pPr>
          </w:p>
        </w:tc>
      </w:tr>
      <w:tr w:rsidR="008C3367" w:rsidRPr="00E43FB9" w:rsidTr="00B40CD3">
        <w:tc>
          <w:tcPr>
            <w:tcW w:w="6204" w:type="dxa"/>
            <w:shd w:val="clear" w:color="auto" w:fill="auto"/>
          </w:tcPr>
          <w:p w:rsidR="008C3367" w:rsidRPr="00E43FB9" w:rsidRDefault="007C732D" w:rsidP="00161C35">
            <w:pPr>
              <w:pStyle w:val="NoSpacing"/>
              <w:spacing w:line="360" w:lineRule="auto"/>
              <w:rPr>
                <w:rFonts w:ascii="Arial" w:hAnsi="Arial" w:cs="Arial"/>
                <w:sz w:val="24"/>
                <w:szCs w:val="24"/>
              </w:rPr>
            </w:pPr>
            <w:r w:rsidRPr="00E43FB9">
              <w:rPr>
                <w:rFonts w:ascii="Arial" w:hAnsi="Arial" w:cs="Arial"/>
                <w:sz w:val="24"/>
                <w:szCs w:val="24"/>
              </w:rPr>
              <w:t>a</w:t>
            </w:r>
            <w:r w:rsidR="008C3367" w:rsidRPr="00E43FB9">
              <w:rPr>
                <w:rFonts w:ascii="Arial" w:hAnsi="Arial" w:cs="Arial"/>
                <w:sz w:val="24"/>
                <w:szCs w:val="24"/>
              </w:rPr>
              <w:t>nd</w:t>
            </w:r>
          </w:p>
        </w:tc>
        <w:tc>
          <w:tcPr>
            <w:tcW w:w="3011" w:type="dxa"/>
            <w:shd w:val="clear" w:color="auto" w:fill="auto"/>
          </w:tcPr>
          <w:p w:rsidR="008C3367" w:rsidRPr="00E43FB9" w:rsidRDefault="008C3367" w:rsidP="00161C35">
            <w:pPr>
              <w:pStyle w:val="NoSpacing"/>
              <w:spacing w:line="360" w:lineRule="auto"/>
              <w:rPr>
                <w:rFonts w:ascii="Arial" w:hAnsi="Arial" w:cs="Arial"/>
                <w:sz w:val="24"/>
                <w:szCs w:val="24"/>
              </w:rPr>
            </w:pPr>
          </w:p>
        </w:tc>
      </w:tr>
      <w:tr w:rsidR="008C3367" w:rsidRPr="00E43FB9" w:rsidTr="00B40CD3">
        <w:tc>
          <w:tcPr>
            <w:tcW w:w="6204" w:type="dxa"/>
            <w:shd w:val="clear" w:color="auto" w:fill="auto"/>
          </w:tcPr>
          <w:p w:rsidR="008C3367" w:rsidRPr="00E43FB9" w:rsidRDefault="008C3367" w:rsidP="00161C35">
            <w:pPr>
              <w:pStyle w:val="NoSpacing"/>
              <w:spacing w:line="360" w:lineRule="auto"/>
              <w:rPr>
                <w:rFonts w:ascii="Arial" w:hAnsi="Arial" w:cs="Arial"/>
                <w:b/>
                <w:sz w:val="24"/>
                <w:szCs w:val="24"/>
              </w:rPr>
            </w:pPr>
          </w:p>
        </w:tc>
        <w:tc>
          <w:tcPr>
            <w:tcW w:w="3011" w:type="dxa"/>
            <w:shd w:val="clear" w:color="auto" w:fill="auto"/>
          </w:tcPr>
          <w:p w:rsidR="008C3367" w:rsidRPr="00E43FB9" w:rsidRDefault="008C3367" w:rsidP="00161C35">
            <w:pPr>
              <w:pStyle w:val="NoSpacing"/>
              <w:spacing w:line="360" w:lineRule="auto"/>
              <w:rPr>
                <w:rFonts w:ascii="Arial" w:hAnsi="Arial" w:cs="Arial"/>
                <w:b/>
                <w:sz w:val="24"/>
                <w:szCs w:val="24"/>
              </w:rPr>
            </w:pPr>
          </w:p>
        </w:tc>
      </w:tr>
      <w:tr w:rsidR="008C3367" w:rsidRPr="00E43FB9" w:rsidTr="00B40CD3">
        <w:tc>
          <w:tcPr>
            <w:tcW w:w="6204" w:type="dxa"/>
            <w:shd w:val="clear" w:color="auto" w:fill="auto"/>
          </w:tcPr>
          <w:p w:rsidR="008C3367" w:rsidRPr="00E43FB9" w:rsidRDefault="000B1CCA" w:rsidP="007F76A6">
            <w:pPr>
              <w:pStyle w:val="NoSpacing"/>
              <w:spacing w:line="360" w:lineRule="auto"/>
              <w:rPr>
                <w:rFonts w:ascii="Arial" w:hAnsi="Arial" w:cs="Arial"/>
                <w:b/>
                <w:sz w:val="24"/>
                <w:szCs w:val="24"/>
              </w:rPr>
            </w:pPr>
            <w:r>
              <w:rPr>
                <w:rFonts w:ascii="Arial" w:hAnsi="Arial" w:cs="Arial"/>
                <w:b/>
                <w:sz w:val="24"/>
                <w:szCs w:val="24"/>
              </w:rPr>
              <w:t>MINISTER OF LAND</w:t>
            </w:r>
            <w:r w:rsidR="00E96067">
              <w:rPr>
                <w:rFonts w:ascii="Arial" w:hAnsi="Arial" w:cs="Arial"/>
                <w:b/>
                <w:sz w:val="24"/>
                <w:szCs w:val="24"/>
              </w:rPr>
              <w:t>S</w:t>
            </w:r>
            <w:r>
              <w:rPr>
                <w:rFonts w:ascii="Arial" w:hAnsi="Arial" w:cs="Arial"/>
                <w:b/>
                <w:sz w:val="24"/>
                <w:szCs w:val="24"/>
              </w:rPr>
              <w:t xml:space="preserve"> AND RESETTLEMENT </w:t>
            </w:r>
          </w:p>
        </w:tc>
        <w:tc>
          <w:tcPr>
            <w:tcW w:w="3011" w:type="dxa"/>
            <w:shd w:val="clear" w:color="auto" w:fill="auto"/>
          </w:tcPr>
          <w:p w:rsidR="00584213" w:rsidRPr="00E43FB9" w:rsidRDefault="000B1CCA" w:rsidP="00235497">
            <w:pPr>
              <w:pStyle w:val="NoSpacing"/>
              <w:spacing w:line="360" w:lineRule="auto"/>
              <w:jc w:val="right"/>
              <w:rPr>
                <w:rFonts w:ascii="Arial" w:hAnsi="Arial" w:cs="Arial"/>
                <w:b/>
                <w:sz w:val="24"/>
                <w:szCs w:val="24"/>
              </w:rPr>
            </w:pPr>
            <w:r>
              <w:rPr>
                <w:rFonts w:ascii="Arial" w:hAnsi="Arial" w:cs="Arial"/>
                <w:b/>
                <w:sz w:val="24"/>
                <w:szCs w:val="24"/>
              </w:rPr>
              <w:t xml:space="preserve">First </w:t>
            </w:r>
            <w:r w:rsidR="00584213" w:rsidRPr="00E43FB9">
              <w:rPr>
                <w:rFonts w:ascii="Arial" w:hAnsi="Arial" w:cs="Arial"/>
                <w:b/>
                <w:sz w:val="24"/>
                <w:szCs w:val="24"/>
              </w:rPr>
              <w:t>Respondent</w:t>
            </w:r>
          </w:p>
        </w:tc>
      </w:tr>
      <w:tr w:rsidR="00E96067" w:rsidRPr="00E43FB9" w:rsidTr="00B40CD3">
        <w:tc>
          <w:tcPr>
            <w:tcW w:w="6204" w:type="dxa"/>
            <w:shd w:val="clear" w:color="auto" w:fill="auto"/>
          </w:tcPr>
          <w:p w:rsidR="00E96067" w:rsidRDefault="00E96067" w:rsidP="007F76A6">
            <w:pPr>
              <w:pStyle w:val="NoSpacing"/>
              <w:spacing w:line="360" w:lineRule="auto"/>
              <w:rPr>
                <w:rFonts w:ascii="Arial" w:hAnsi="Arial" w:cs="Arial"/>
                <w:b/>
                <w:sz w:val="24"/>
                <w:szCs w:val="24"/>
              </w:rPr>
            </w:pPr>
            <w:r>
              <w:rPr>
                <w:rFonts w:ascii="Arial" w:hAnsi="Arial" w:cs="Arial"/>
                <w:b/>
                <w:sz w:val="24"/>
                <w:szCs w:val="24"/>
              </w:rPr>
              <w:t>COMMUNAL LAND BOARD OF ZAMBEZI</w:t>
            </w:r>
          </w:p>
        </w:tc>
        <w:tc>
          <w:tcPr>
            <w:tcW w:w="3011" w:type="dxa"/>
            <w:shd w:val="clear" w:color="auto" w:fill="auto"/>
          </w:tcPr>
          <w:p w:rsidR="00E96067" w:rsidRDefault="00E96067" w:rsidP="00235497">
            <w:pPr>
              <w:pStyle w:val="NoSpacing"/>
              <w:spacing w:line="360" w:lineRule="auto"/>
              <w:jc w:val="right"/>
              <w:rPr>
                <w:rFonts w:ascii="Arial" w:hAnsi="Arial" w:cs="Arial"/>
                <w:b/>
                <w:sz w:val="24"/>
                <w:szCs w:val="24"/>
              </w:rPr>
            </w:pPr>
            <w:r>
              <w:rPr>
                <w:rFonts w:ascii="Arial" w:hAnsi="Arial" w:cs="Arial"/>
                <w:b/>
                <w:sz w:val="24"/>
                <w:szCs w:val="24"/>
              </w:rPr>
              <w:t>Second Respondent</w:t>
            </w:r>
          </w:p>
        </w:tc>
      </w:tr>
      <w:tr w:rsidR="00E96067" w:rsidRPr="00E43FB9" w:rsidTr="00B40CD3">
        <w:tc>
          <w:tcPr>
            <w:tcW w:w="6204" w:type="dxa"/>
            <w:shd w:val="clear" w:color="auto" w:fill="auto"/>
          </w:tcPr>
          <w:p w:rsidR="00E96067" w:rsidRDefault="00E96067" w:rsidP="007F76A6">
            <w:pPr>
              <w:pStyle w:val="NoSpacing"/>
              <w:spacing w:line="360" w:lineRule="auto"/>
              <w:rPr>
                <w:rFonts w:ascii="Arial" w:hAnsi="Arial" w:cs="Arial"/>
                <w:b/>
                <w:sz w:val="24"/>
                <w:szCs w:val="24"/>
              </w:rPr>
            </w:pPr>
            <w:r>
              <w:rPr>
                <w:rFonts w:ascii="Arial" w:hAnsi="Arial" w:cs="Arial"/>
                <w:b/>
                <w:sz w:val="24"/>
                <w:szCs w:val="24"/>
              </w:rPr>
              <w:t>CHIEF KISKO MAIBA LISWANI III</w:t>
            </w:r>
          </w:p>
        </w:tc>
        <w:tc>
          <w:tcPr>
            <w:tcW w:w="3011" w:type="dxa"/>
            <w:shd w:val="clear" w:color="auto" w:fill="auto"/>
          </w:tcPr>
          <w:p w:rsidR="00E96067" w:rsidRDefault="00E96067" w:rsidP="00235497">
            <w:pPr>
              <w:pStyle w:val="NoSpacing"/>
              <w:spacing w:line="360" w:lineRule="auto"/>
              <w:jc w:val="right"/>
              <w:rPr>
                <w:rFonts w:ascii="Arial" w:hAnsi="Arial" w:cs="Arial"/>
                <w:b/>
                <w:sz w:val="24"/>
                <w:szCs w:val="24"/>
              </w:rPr>
            </w:pPr>
            <w:r>
              <w:rPr>
                <w:rFonts w:ascii="Arial" w:hAnsi="Arial" w:cs="Arial"/>
                <w:b/>
                <w:sz w:val="24"/>
                <w:szCs w:val="24"/>
              </w:rPr>
              <w:t>Third Respondent</w:t>
            </w:r>
          </w:p>
        </w:tc>
      </w:tr>
      <w:tr w:rsidR="00E96067" w:rsidRPr="00E43FB9" w:rsidTr="00B40CD3">
        <w:tc>
          <w:tcPr>
            <w:tcW w:w="6204" w:type="dxa"/>
            <w:shd w:val="clear" w:color="auto" w:fill="auto"/>
          </w:tcPr>
          <w:p w:rsidR="00E96067" w:rsidRDefault="00E96067" w:rsidP="007F76A6">
            <w:pPr>
              <w:pStyle w:val="NoSpacing"/>
              <w:spacing w:line="360" w:lineRule="auto"/>
              <w:rPr>
                <w:rFonts w:ascii="Arial" w:hAnsi="Arial" w:cs="Arial"/>
                <w:b/>
                <w:sz w:val="24"/>
                <w:szCs w:val="24"/>
              </w:rPr>
            </w:pPr>
            <w:r>
              <w:rPr>
                <w:rFonts w:ascii="Arial" w:hAnsi="Arial" w:cs="Arial"/>
                <w:b/>
                <w:sz w:val="24"/>
                <w:szCs w:val="24"/>
              </w:rPr>
              <w:t>LUCKSON MAHOSHI CHIKA</w:t>
            </w:r>
          </w:p>
        </w:tc>
        <w:tc>
          <w:tcPr>
            <w:tcW w:w="3011" w:type="dxa"/>
            <w:shd w:val="clear" w:color="auto" w:fill="auto"/>
          </w:tcPr>
          <w:p w:rsidR="00E96067" w:rsidRDefault="00E96067" w:rsidP="00235497">
            <w:pPr>
              <w:pStyle w:val="NoSpacing"/>
              <w:spacing w:line="360" w:lineRule="auto"/>
              <w:jc w:val="right"/>
              <w:rPr>
                <w:rFonts w:ascii="Arial" w:hAnsi="Arial" w:cs="Arial"/>
                <w:b/>
                <w:sz w:val="24"/>
                <w:szCs w:val="24"/>
              </w:rPr>
            </w:pPr>
            <w:r>
              <w:rPr>
                <w:rFonts w:ascii="Arial" w:hAnsi="Arial" w:cs="Arial"/>
                <w:b/>
                <w:sz w:val="24"/>
                <w:szCs w:val="24"/>
              </w:rPr>
              <w:t>Fourth Respondent</w:t>
            </w:r>
          </w:p>
        </w:tc>
      </w:tr>
      <w:tr w:rsidR="00E96067" w:rsidRPr="00E43FB9" w:rsidTr="00B40CD3">
        <w:tc>
          <w:tcPr>
            <w:tcW w:w="6204" w:type="dxa"/>
            <w:shd w:val="clear" w:color="auto" w:fill="auto"/>
          </w:tcPr>
          <w:p w:rsidR="00E96067" w:rsidRDefault="00E96067" w:rsidP="007F76A6">
            <w:pPr>
              <w:pStyle w:val="NoSpacing"/>
              <w:spacing w:line="360" w:lineRule="auto"/>
              <w:rPr>
                <w:rFonts w:ascii="Arial" w:hAnsi="Arial" w:cs="Arial"/>
                <w:b/>
                <w:sz w:val="24"/>
                <w:szCs w:val="24"/>
              </w:rPr>
            </w:pPr>
            <w:r>
              <w:rPr>
                <w:rFonts w:ascii="Arial" w:hAnsi="Arial" w:cs="Arial"/>
                <w:b/>
                <w:sz w:val="24"/>
                <w:szCs w:val="24"/>
              </w:rPr>
              <w:t>PHILLEMON MUNICHEZE NASILELE</w:t>
            </w:r>
          </w:p>
        </w:tc>
        <w:tc>
          <w:tcPr>
            <w:tcW w:w="3011" w:type="dxa"/>
            <w:shd w:val="clear" w:color="auto" w:fill="auto"/>
          </w:tcPr>
          <w:p w:rsidR="00E96067" w:rsidRDefault="00E96067" w:rsidP="00235497">
            <w:pPr>
              <w:pStyle w:val="NoSpacing"/>
              <w:spacing w:line="360" w:lineRule="auto"/>
              <w:jc w:val="right"/>
              <w:rPr>
                <w:rFonts w:ascii="Arial" w:hAnsi="Arial" w:cs="Arial"/>
                <w:b/>
                <w:sz w:val="24"/>
                <w:szCs w:val="24"/>
              </w:rPr>
            </w:pPr>
            <w:r>
              <w:rPr>
                <w:rFonts w:ascii="Arial" w:hAnsi="Arial" w:cs="Arial"/>
                <w:b/>
                <w:sz w:val="24"/>
                <w:szCs w:val="24"/>
              </w:rPr>
              <w:t>Fifth Respondent</w:t>
            </w:r>
          </w:p>
        </w:tc>
      </w:tr>
      <w:tr w:rsidR="00E96067" w:rsidRPr="00E43FB9" w:rsidTr="00B40CD3">
        <w:tc>
          <w:tcPr>
            <w:tcW w:w="6204" w:type="dxa"/>
            <w:shd w:val="clear" w:color="auto" w:fill="auto"/>
          </w:tcPr>
          <w:p w:rsidR="00E96067" w:rsidRDefault="00E96067" w:rsidP="007F76A6">
            <w:pPr>
              <w:pStyle w:val="NoSpacing"/>
              <w:spacing w:line="360" w:lineRule="auto"/>
              <w:rPr>
                <w:rFonts w:ascii="Arial" w:hAnsi="Arial" w:cs="Arial"/>
                <w:b/>
                <w:sz w:val="24"/>
                <w:szCs w:val="24"/>
              </w:rPr>
            </w:pPr>
            <w:r>
              <w:rPr>
                <w:rFonts w:ascii="Arial" w:hAnsi="Arial" w:cs="Arial"/>
                <w:b/>
                <w:sz w:val="24"/>
                <w:szCs w:val="24"/>
              </w:rPr>
              <w:t>SIMASIKU RAYMOND SILUZUNGILA NTOMWA</w:t>
            </w:r>
          </w:p>
        </w:tc>
        <w:tc>
          <w:tcPr>
            <w:tcW w:w="3011" w:type="dxa"/>
            <w:shd w:val="clear" w:color="auto" w:fill="auto"/>
          </w:tcPr>
          <w:p w:rsidR="00E96067" w:rsidRDefault="00E96067" w:rsidP="00235497">
            <w:pPr>
              <w:pStyle w:val="NoSpacing"/>
              <w:spacing w:line="360" w:lineRule="auto"/>
              <w:jc w:val="right"/>
              <w:rPr>
                <w:rFonts w:ascii="Arial" w:hAnsi="Arial" w:cs="Arial"/>
                <w:b/>
                <w:sz w:val="24"/>
                <w:szCs w:val="24"/>
              </w:rPr>
            </w:pPr>
            <w:r>
              <w:rPr>
                <w:rFonts w:ascii="Arial" w:hAnsi="Arial" w:cs="Arial"/>
                <w:b/>
                <w:sz w:val="24"/>
                <w:szCs w:val="24"/>
              </w:rPr>
              <w:t>Sixth Respondent</w:t>
            </w:r>
          </w:p>
        </w:tc>
      </w:tr>
      <w:tr w:rsidR="00E96067" w:rsidRPr="00E43FB9" w:rsidTr="00B40CD3">
        <w:tc>
          <w:tcPr>
            <w:tcW w:w="6204" w:type="dxa"/>
            <w:shd w:val="clear" w:color="auto" w:fill="auto"/>
          </w:tcPr>
          <w:p w:rsidR="00E96067" w:rsidRDefault="00E96067" w:rsidP="007F76A6">
            <w:pPr>
              <w:pStyle w:val="NoSpacing"/>
              <w:spacing w:line="360" w:lineRule="auto"/>
              <w:rPr>
                <w:rFonts w:ascii="Arial" w:hAnsi="Arial" w:cs="Arial"/>
                <w:b/>
                <w:sz w:val="24"/>
                <w:szCs w:val="24"/>
              </w:rPr>
            </w:pPr>
            <w:r>
              <w:rPr>
                <w:rFonts w:ascii="Arial" w:hAnsi="Arial" w:cs="Arial"/>
                <w:b/>
                <w:sz w:val="24"/>
                <w:szCs w:val="24"/>
              </w:rPr>
              <w:t>CHARLES LISULO</w:t>
            </w:r>
          </w:p>
        </w:tc>
        <w:tc>
          <w:tcPr>
            <w:tcW w:w="3011" w:type="dxa"/>
            <w:shd w:val="clear" w:color="auto" w:fill="auto"/>
          </w:tcPr>
          <w:p w:rsidR="00E96067" w:rsidRDefault="00E96067" w:rsidP="00235497">
            <w:pPr>
              <w:pStyle w:val="NoSpacing"/>
              <w:spacing w:line="360" w:lineRule="auto"/>
              <w:jc w:val="right"/>
              <w:rPr>
                <w:rFonts w:ascii="Arial" w:hAnsi="Arial" w:cs="Arial"/>
                <w:b/>
                <w:sz w:val="24"/>
                <w:szCs w:val="24"/>
              </w:rPr>
            </w:pPr>
            <w:r>
              <w:rPr>
                <w:rFonts w:ascii="Arial" w:hAnsi="Arial" w:cs="Arial"/>
                <w:b/>
                <w:sz w:val="24"/>
                <w:szCs w:val="24"/>
              </w:rPr>
              <w:t>Seventh Respondent</w:t>
            </w:r>
          </w:p>
        </w:tc>
      </w:tr>
      <w:tr w:rsidR="00E96067" w:rsidRPr="00E43FB9" w:rsidTr="00B40CD3">
        <w:tc>
          <w:tcPr>
            <w:tcW w:w="6204" w:type="dxa"/>
            <w:shd w:val="clear" w:color="auto" w:fill="auto"/>
          </w:tcPr>
          <w:p w:rsidR="00E96067" w:rsidRDefault="00E96067" w:rsidP="007F76A6">
            <w:pPr>
              <w:pStyle w:val="NoSpacing"/>
              <w:spacing w:line="360" w:lineRule="auto"/>
              <w:rPr>
                <w:rFonts w:ascii="Arial" w:hAnsi="Arial" w:cs="Arial"/>
                <w:b/>
                <w:sz w:val="24"/>
                <w:szCs w:val="24"/>
              </w:rPr>
            </w:pPr>
            <w:r>
              <w:rPr>
                <w:rFonts w:ascii="Arial" w:hAnsi="Arial" w:cs="Arial"/>
                <w:b/>
                <w:sz w:val="24"/>
                <w:szCs w:val="24"/>
              </w:rPr>
              <w:t>BENSON NTOMWA</w:t>
            </w:r>
          </w:p>
        </w:tc>
        <w:tc>
          <w:tcPr>
            <w:tcW w:w="3011" w:type="dxa"/>
            <w:shd w:val="clear" w:color="auto" w:fill="auto"/>
          </w:tcPr>
          <w:p w:rsidR="00E96067" w:rsidRDefault="00E96067" w:rsidP="00235497">
            <w:pPr>
              <w:pStyle w:val="NoSpacing"/>
              <w:spacing w:line="360" w:lineRule="auto"/>
              <w:jc w:val="right"/>
              <w:rPr>
                <w:rFonts w:ascii="Arial" w:hAnsi="Arial" w:cs="Arial"/>
                <w:b/>
                <w:sz w:val="24"/>
                <w:szCs w:val="24"/>
              </w:rPr>
            </w:pPr>
            <w:r>
              <w:rPr>
                <w:rFonts w:ascii="Arial" w:hAnsi="Arial" w:cs="Arial"/>
                <w:b/>
                <w:sz w:val="24"/>
                <w:szCs w:val="24"/>
              </w:rPr>
              <w:t>Eight</w:t>
            </w:r>
            <w:r w:rsidR="00052049">
              <w:rPr>
                <w:rFonts w:ascii="Arial" w:hAnsi="Arial" w:cs="Arial"/>
                <w:b/>
                <w:sz w:val="24"/>
                <w:szCs w:val="24"/>
              </w:rPr>
              <w:t>h</w:t>
            </w:r>
            <w:r>
              <w:rPr>
                <w:rFonts w:ascii="Arial" w:hAnsi="Arial" w:cs="Arial"/>
                <w:b/>
                <w:sz w:val="24"/>
                <w:szCs w:val="24"/>
              </w:rPr>
              <w:t xml:space="preserve"> Respondent</w:t>
            </w:r>
          </w:p>
        </w:tc>
      </w:tr>
      <w:tr w:rsidR="00E96067" w:rsidRPr="00E43FB9" w:rsidTr="00B40CD3">
        <w:tc>
          <w:tcPr>
            <w:tcW w:w="6204" w:type="dxa"/>
            <w:shd w:val="clear" w:color="auto" w:fill="auto"/>
          </w:tcPr>
          <w:p w:rsidR="00E96067" w:rsidRDefault="00E96067" w:rsidP="007F76A6">
            <w:pPr>
              <w:pStyle w:val="NoSpacing"/>
              <w:spacing w:line="360" w:lineRule="auto"/>
              <w:rPr>
                <w:rFonts w:ascii="Arial" w:hAnsi="Arial" w:cs="Arial"/>
                <w:b/>
                <w:sz w:val="24"/>
                <w:szCs w:val="24"/>
              </w:rPr>
            </w:pPr>
            <w:r>
              <w:rPr>
                <w:rFonts w:ascii="Arial" w:hAnsi="Arial" w:cs="Arial"/>
                <w:b/>
                <w:sz w:val="24"/>
                <w:szCs w:val="24"/>
              </w:rPr>
              <w:t>ALBERT SHAMUKUNI</w:t>
            </w:r>
          </w:p>
        </w:tc>
        <w:tc>
          <w:tcPr>
            <w:tcW w:w="3011" w:type="dxa"/>
            <w:shd w:val="clear" w:color="auto" w:fill="auto"/>
          </w:tcPr>
          <w:p w:rsidR="00E96067" w:rsidRDefault="00E96067" w:rsidP="00235497">
            <w:pPr>
              <w:pStyle w:val="NoSpacing"/>
              <w:spacing w:line="360" w:lineRule="auto"/>
              <w:jc w:val="right"/>
              <w:rPr>
                <w:rFonts w:ascii="Arial" w:hAnsi="Arial" w:cs="Arial"/>
                <w:b/>
                <w:sz w:val="24"/>
                <w:szCs w:val="24"/>
              </w:rPr>
            </w:pPr>
            <w:r>
              <w:rPr>
                <w:rFonts w:ascii="Arial" w:hAnsi="Arial" w:cs="Arial"/>
                <w:b/>
                <w:sz w:val="24"/>
                <w:szCs w:val="24"/>
              </w:rPr>
              <w:t>Ninth Respondent</w:t>
            </w:r>
          </w:p>
        </w:tc>
      </w:tr>
      <w:tr w:rsidR="00E96067" w:rsidRPr="00E43FB9" w:rsidTr="00B40CD3">
        <w:tc>
          <w:tcPr>
            <w:tcW w:w="6204" w:type="dxa"/>
            <w:shd w:val="clear" w:color="auto" w:fill="auto"/>
          </w:tcPr>
          <w:p w:rsidR="00E96067" w:rsidRDefault="00E96067" w:rsidP="007F76A6">
            <w:pPr>
              <w:pStyle w:val="NoSpacing"/>
              <w:spacing w:line="360" w:lineRule="auto"/>
              <w:rPr>
                <w:rFonts w:ascii="Arial" w:hAnsi="Arial" w:cs="Arial"/>
                <w:b/>
                <w:sz w:val="24"/>
                <w:szCs w:val="24"/>
              </w:rPr>
            </w:pPr>
            <w:r>
              <w:rPr>
                <w:rFonts w:ascii="Arial" w:hAnsi="Arial" w:cs="Arial"/>
                <w:b/>
                <w:sz w:val="24"/>
                <w:szCs w:val="24"/>
              </w:rPr>
              <w:t>NCHINDO SIMASIKU</w:t>
            </w:r>
          </w:p>
        </w:tc>
        <w:tc>
          <w:tcPr>
            <w:tcW w:w="3011" w:type="dxa"/>
            <w:shd w:val="clear" w:color="auto" w:fill="auto"/>
          </w:tcPr>
          <w:p w:rsidR="00E96067" w:rsidRDefault="00E96067" w:rsidP="00235497">
            <w:pPr>
              <w:pStyle w:val="NoSpacing"/>
              <w:spacing w:line="360" w:lineRule="auto"/>
              <w:jc w:val="right"/>
              <w:rPr>
                <w:rFonts w:ascii="Arial" w:hAnsi="Arial" w:cs="Arial"/>
                <w:b/>
                <w:sz w:val="24"/>
                <w:szCs w:val="24"/>
              </w:rPr>
            </w:pPr>
            <w:r>
              <w:rPr>
                <w:rFonts w:ascii="Arial" w:hAnsi="Arial" w:cs="Arial"/>
                <w:b/>
                <w:sz w:val="24"/>
                <w:szCs w:val="24"/>
              </w:rPr>
              <w:t>Tenth Respondent</w:t>
            </w:r>
          </w:p>
        </w:tc>
      </w:tr>
      <w:tr w:rsidR="00E96067" w:rsidRPr="00E43FB9" w:rsidTr="00B40CD3">
        <w:tc>
          <w:tcPr>
            <w:tcW w:w="6204" w:type="dxa"/>
            <w:shd w:val="clear" w:color="auto" w:fill="auto"/>
          </w:tcPr>
          <w:p w:rsidR="00E96067" w:rsidRDefault="00E96067" w:rsidP="007F76A6">
            <w:pPr>
              <w:pStyle w:val="NoSpacing"/>
              <w:spacing w:line="360" w:lineRule="auto"/>
              <w:rPr>
                <w:rFonts w:ascii="Arial" w:hAnsi="Arial" w:cs="Arial"/>
                <w:b/>
                <w:sz w:val="24"/>
                <w:szCs w:val="24"/>
              </w:rPr>
            </w:pPr>
            <w:r>
              <w:rPr>
                <w:rFonts w:ascii="Arial" w:hAnsi="Arial" w:cs="Arial"/>
                <w:b/>
                <w:sz w:val="24"/>
                <w:szCs w:val="24"/>
              </w:rPr>
              <w:t>SAMUELE BUCHANE (MAKANGARA) SIMATAA</w:t>
            </w:r>
          </w:p>
        </w:tc>
        <w:tc>
          <w:tcPr>
            <w:tcW w:w="3011" w:type="dxa"/>
            <w:shd w:val="clear" w:color="auto" w:fill="auto"/>
          </w:tcPr>
          <w:p w:rsidR="00E96067" w:rsidRDefault="00E96067" w:rsidP="00235497">
            <w:pPr>
              <w:pStyle w:val="NoSpacing"/>
              <w:spacing w:line="360" w:lineRule="auto"/>
              <w:jc w:val="right"/>
              <w:rPr>
                <w:rFonts w:ascii="Arial" w:hAnsi="Arial" w:cs="Arial"/>
                <w:b/>
                <w:sz w:val="24"/>
                <w:szCs w:val="24"/>
              </w:rPr>
            </w:pPr>
            <w:r>
              <w:rPr>
                <w:rFonts w:ascii="Arial" w:hAnsi="Arial" w:cs="Arial"/>
                <w:b/>
                <w:sz w:val="24"/>
                <w:szCs w:val="24"/>
              </w:rPr>
              <w:t>Eleventh Respondent</w:t>
            </w:r>
          </w:p>
        </w:tc>
      </w:tr>
    </w:tbl>
    <w:p w:rsidR="00105960" w:rsidRPr="00E43FB9" w:rsidRDefault="00105960" w:rsidP="00B40CD3">
      <w:pPr>
        <w:spacing w:line="240" w:lineRule="auto"/>
        <w:ind w:left="-142" w:firstLine="142"/>
        <w:jc w:val="both"/>
        <w:rPr>
          <w:rFonts w:ascii="Arial" w:hAnsi="Arial" w:cs="Arial"/>
          <w:b/>
          <w:sz w:val="24"/>
          <w:szCs w:val="24"/>
        </w:rPr>
      </w:pPr>
    </w:p>
    <w:p w:rsidR="008C3367" w:rsidRPr="00E43FB9" w:rsidRDefault="008C3367" w:rsidP="00161C35">
      <w:pPr>
        <w:spacing w:line="240" w:lineRule="auto"/>
        <w:jc w:val="both"/>
        <w:rPr>
          <w:rFonts w:ascii="Arial" w:hAnsi="Arial" w:cs="Arial"/>
          <w:sz w:val="24"/>
          <w:szCs w:val="24"/>
        </w:rPr>
      </w:pPr>
      <w:r w:rsidRPr="00E43FB9">
        <w:rPr>
          <w:rFonts w:ascii="Arial" w:hAnsi="Arial" w:cs="Arial"/>
          <w:b/>
          <w:sz w:val="24"/>
          <w:szCs w:val="24"/>
        </w:rPr>
        <w:t>Coram:</w:t>
      </w:r>
      <w:r w:rsidRPr="00E43FB9">
        <w:rPr>
          <w:rFonts w:ascii="Arial" w:hAnsi="Arial" w:cs="Arial"/>
          <w:sz w:val="24"/>
          <w:szCs w:val="24"/>
        </w:rPr>
        <w:tab/>
      </w:r>
      <w:r w:rsidRPr="00E43FB9">
        <w:rPr>
          <w:rFonts w:ascii="Arial" w:hAnsi="Arial" w:cs="Arial"/>
          <w:sz w:val="24"/>
          <w:szCs w:val="24"/>
        </w:rPr>
        <w:tab/>
      </w:r>
      <w:r w:rsidR="00BA6DC9">
        <w:rPr>
          <w:rFonts w:ascii="Arial" w:hAnsi="Arial" w:cs="Arial"/>
          <w:sz w:val="24"/>
          <w:szCs w:val="24"/>
        </w:rPr>
        <w:t xml:space="preserve">SHIVUTE CJ, </w:t>
      </w:r>
      <w:r w:rsidR="000B1CCA" w:rsidRPr="00E43FB9">
        <w:rPr>
          <w:rFonts w:ascii="Arial" w:hAnsi="Arial" w:cs="Arial"/>
          <w:sz w:val="24"/>
          <w:szCs w:val="24"/>
        </w:rPr>
        <w:t xml:space="preserve">SMUTS JA </w:t>
      </w:r>
      <w:r w:rsidR="00BA6DC9" w:rsidRPr="00E43FB9">
        <w:rPr>
          <w:rFonts w:ascii="Arial" w:hAnsi="Arial" w:cs="Arial"/>
          <w:sz w:val="24"/>
          <w:szCs w:val="24"/>
        </w:rPr>
        <w:t xml:space="preserve">and </w:t>
      </w:r>
      <w:r w:rsidR="000B1CCA">
        <w:rPr>
          <w:rFonts w:ascii="Arial" w:hAnsi="Arial" w:cs="Arial"/>
          <w:sz w:val="24"/>
          <w:szCs w:val="24"/>
        </w:rPr>
        <w:t>HOFF JA</w:t>
      </w:r>
    </w:p>
    <w:p w:rsidR="008C3367" w:rsidRPr="00E43FB9" w:rsidRDefault="008C3367" w:rsidP="00161C35">
      <w:pPr>
        <w:spacing w:line="240" w:lineRule="auto"/>
        <w:jc w:val="both"/>
        <w:rPr>
          <w:rFonts w:ascii="Arial" w:hAnsi="Arial" w:cs="Arial"/>
          <w:b/>
          <w:sz w:val="24"/>
          <w:szCs w:val="24"/>
        </w:rPr>
      </w:pPr>
      <w:r w:rsidRPr="00E43FB9">
        <w:rPr>
          <w:rFonts w:ascii="Arial" w:hAnsi="Arial" w:cs="Arial"/>
          <w:b/>
          <w:sz w:val="24"/>
          <w:szCs w:val="24"/>
        </w:rPr>
        <w:t>Heard:</w:t>
      </w:r>
      <w:r w:rsidRPr="00E43FB9">
        <w:rPr>
          <w:rFonts w:ascii="Arial" w:hAnsi="Arial" w:cs="Arial"/>
          <w:b/>
          <w:sz w:val="24"/>
          <w:szCs w:val="24"/>
        </w:rPr>
        <w:tab/>
      </w:r>
      <w:r w:rsidRPr="00E43FB9">
        <w:rPr>
          <w:rFonts w:ascii="Arial" w:hAnsi="Arial" w:cs="Arial"/>
          <w:b/>
          <w:sz w:val="24"/>
          <w:szCs w:val="24"/>
        </w:rPr>
        <w:tab/>
      </w:r>
      <w:r w:rsidR="0008263C">
        <w:rPr>
          <w:rFonts w:ascii="Arial" w:hAnsi="Arial" w:cs="Arial"/>
          <w:b/>
          <w:sz w:val="24"/>
          <w:szCs w:val="24"/>
        </w:rPr>
        <w:t>1</w:t>
      </w:r>
      <w:r w:rsidR="000B1CCA">
        <w:rPr>
          <w:rFonts w:ascii="Arial" w:hAnsi="Arial" w:cs="Arial"/>
          <w:b/>
          <w:sz w:val="24"/>
          <w:szCs w:val="24"/>
        </w:rPr>
        <w:t>5</w:t>
      </w:r>
      <w:r w:rsidR="00C70ECA">
        <w:rPr>
          <w:rFonts w:ascii="Arial" w:hAnsi="Arial" w:cs="Arial"/>
          <w:b/>
          <w:sz w:val="24"/>
          <w:szCs w:val="24"/>
        </w:rPr>
        <w:t xml:space="preserve"> </w:t>
      </w:r>
      <w:r w:rsidR="000B1CCA">
        <w:rPr>
          <w:rFonts w:ascii="Arial" w:hAnsi="Arial" w:cs="Arial"/>
          <w:b/>
          <w:sz w:val="24"/>
          <w:szCs w:val="24"/>
        </w:rPr>
        <w:t>March</w:t>
      </w:r>
      <w:r w:rsidR="003C276A" w:rsidRPr="00E43FB9">
        <w:rPr>
          <w:rFonts w:ascii="Arial" w:hAnsi="Arial" w:cs="Arial"/>
          <w:b/>
          <w:sz w:val="24"/>
          <w:szCs w:val="24"/>
        </w:rPr>
        <w:t xml:space="preserve"> 20</w:t>
      </w:r>
      <w:r w:rsidR="000B1CCA">
        <w:rPr>
          <w:rFonts w:ascii="Arial" w:hAnsi="Arial" w:cs="Arial"/>
          <w:b/>
          <w:sz w:val="24"/>
          <w:szCs w:val="24"/>
        </w:rPr>
        <w:t>21</w:t>
      </w:r>
    </w:p>
    <w:p w:rsidR="008C3367" w:rsidRPr="001C25CA" w:rsidRDefault="008C3367" w:rsidP="00161C35">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052049">
        <w:rPr>
          <w:rFonts w:ascii="Arial" w:hAnsi="Arial" w:cs="Arial"/>
          <w:b/>
          <w:sz w:val="24"/>
          <w:szCs w:val="24"/>
        </w:rPr>
        <w:t>29</w:t>
      </w:r>
      <w:r w:rsidR="00E549C7">
        <w:rPr>
          <w:rFonts w:ascii="Arial" w:hAnsi="Arial" w:cs="Arial"/>
          <w:b/>
          <w:sz w:val="24"/>
          <w:szCs w:val="24"/>
        </w:rPr>
        <w:t xml:space="preserve"> </w:t>
      </w:r>
      <w:r w:rsidR="000B1CCA">
        <w:rPr>
          <w:rFonts w:ascii="Arial" w:hAnsi="Arial" w:cs="Arial"/>
          <w:b/>
          <w:sz w:val="24"/>
          <w:szCs w:val="24"/>
        </w:rPr>
        <w:t>March 2021</w:t>
      </w:r>
    </w:p>
    <w:p w:rsidR="005E1AF8" w:rsidRDefault="005E1AF8" w:rsidP="000B1CCA">
      <w:pPr>
        <w:spacing w:after="0" w:line="360" w:lineRule="auto"/>
        <w:jc w:val="both"/>
        <w:rPr>
          <w:rFonts w:ascii="Arial" w:hAnsi="Arial" w:cs="Arial"/>
          <w:b/>
          <w:sz w:val="24"/>
          <w:szCs w:val="24"/>
          <w:lang w:val="en-GB"/>
        </w:rPr>
      </w:pPr>
    </w:p>
    <w:p w:rsidR="007B3A5B" w:rsidRDefault="008C3367" w:rsidP="007B3A5B">
      <w:pPr>
        <w:spacing w:after="0" w:line="360" w:lineRule="auto"/>
        <w:jc w:val="both"/>
        <w:rPr>
          <w:rFonts w:ascii="Arial" w:hAnsi="Arial" w:cs="Arial"/>
          <w:sz w:val="24"/>
          <w:szCs w:val="24"/>
        </w:rPr>
      </w:pPr>
      <w:r w:rsidRPr="00EF6EF1">
        <w:rPr>
          <w:rFonts w:ascii="Arial" w:hAnsi="Arial" w:cs="Arial"/>
          <w:b/>
          <w:sz w:val="24"/>
          <w:szCs w:val="24"/>
          <w:lang w:val="en-GB"/>
        </w:rPr>
        <w:t>Summary:</w:t>
      </w:r>
      <w:r w:rsidR="002B6F2A">
        <w:rPr>
          <w:rFonts w:ascii="Arial" w:hAnsi="Arial" w:cs="Arial"/>
          <w:b/>
          <w:sz w:val="24"/>
          <w:szCs w:val="24"/>
          <w:lang w:val="en-GB"/>
        </w:rPr>
        <w:tab/>
      </w:r>
      <w:r w:rsidR="007B3A5B" w:rsidRPr="00AB0861">
        <w:rPr>
          <w:rFonts w:ascii="Arial" w:hAnsi="Arial" w:cs="Arial"/>
          <w:sz w:val="24"/>
          <w:szCs w:val="24"/>
        </w:rPr>
        <w:t>Th</w:t>
      </w:r>
      <w:r w:rsidR="007B3A5B">
        <w:rPr>
          <w:rFonts w:ascii="Arial" w:hAnsi="Arial" w:cs="Arial"/>
          <w:sz w:val="24"/>
          <w:szCs w:val="24"/>
        </w:rPr>
        <w:t xml:space="preserve">e appellant brought an application to evict the fourth to eleventh respondents and their families in the court </w:t>
      </w:r>
      <w:r w:rsidR="007B3A5B" w:rsidRPr="00E772D6">
        <w:rPr>
          <w:rFonts w:ascii="Arial" w:hAnsi="Arial" w:cs="Arial"/>
          <w:i/>
          <w:sz w:val="24"/>
          <w:szCs w:val="24"/>
        </w:rPr>
        <w:t>a quo</w:t>
      </w:r>
      <w:r w:rsidR="007B3A5B">
        <w:rPr>
          <w:rFonts w:ascii="Arial" w:hAnsi="Arial" w:cs="Arial"/>
          <w:sz w:val="24"/>
          <w:szCs w:val="24"/>
        </w:rPr>
        <w:t>. The respondent</w:t>
      </w:r>
      <w:r w:rsidR="00052049">
        <w:rPr>
          <w:rFonts w:ascii="Arial" w:hAnsi="Arial" w:cs="Arial"/>
          <w:sz w:val="24"/>
          <w:szCs w:val="24"/>
        </w:rPr>
        <w:t>s</w:t>
      </w:r>
      <w:r w:rsidR="007B3A5B">
        <w:rPr>
          <w:rFonts w:ascii="Arial" w:hAnsi="Arial" w:cs="Arial"/>
          <w:sz w:val="24"/>
          <w:szCs w:val="24"/>
        </w:rPr>
        <w:t xml:space="preserve"> raised points of </w:t>
      </w:r>
      <w:r w:rsidR="007B3A5B">
        <w:rPr>
          <w:rFonts w:ascii="Arial" w:hAnsi="Arial" w:cs="Arial"/>
          <w:sz w:val="24"/>
          <w:szCs w:val="24"/>
        </w:rPr>
        <w:lastRenderedPageBreak/>
        <w:t xml:space="preserve">law under rule 66 of the High Court Rules (ie the defective service on the second respondent, the Communal Land Board of the Zambezi Region) and that </w:t>
      </w:r>
      <w:r w:rsidR="007B3A5B" w:rsidRPr="008A40BA">
        <w:rPr>
          <w:rFonts w:ascii="Arial" w:hAnsi="Arial" w:cs="Arial"/>
          <w:sz w:val="24"/>
          <w:szCs w:val="24"/>
        </w:rPr>
        <w:t>the are</w:t>
      </w:r>
      <w:r w:rsidR="007B3A5B">
        <w:rPr>
          <w:rFonts w:ascii="Arial" w:hAnsi="Arial" w:cs="Arial"/>
          <w:sz w:val="24"/>
          <w:szCs w:val="24"/>
        </w:rPr>
        <w:t>a</w:t>
      </w:r>
      <w:r w:rsidR="007B3A5B" w:rsidRPr="008A40BA">
        <w:rPr>
          <w:rFonts w:ascii="Arial" w:hAnsi="Arial" w:cs="Arial"/>
          <w:sz w:val="24"/>
          <w:szCs w:val="24"/>
        </w:rPr>
        <w:t xml:space="preserve"> from which the appellant sought to evict </w:t>
      </w:r>
      <w:r w:rsidR="007B3A5B">
        <w:rPr>
          <w:rFonts w:ascii="Arial" w:hAnsi="Arial" w:cs="Arial"/>
          <w:sz w:val="24"/>
          <w:szCs w:val="24"/>
        </w:rPr>
        <w:t xml:space="preserve">them was not properly described. The High Court found that service upon the second respondent was not in accordance with the </w:t>
      </w:r>
      <w:r w:rsidR="00052049">
        <w:rPr>
          <w:rFonts w:ascii="Arial" w:hAnsi="Arial" w:cs="Arial"/>
          <w:sz w:val="24"/>
          <w:szCs w:val="24"/>
        </w:rPr>
        <w:t>its</w:t>
      </w:r>
      <w:r w:rsidR="007B3A5B">
        <w:rPr>
          <w:rFonts w:ascii="Arial" w:hAnsi="Arial" w:cs="Arial"/>
          <w:sz w:val="24"/>
          <w:szCs w:val="24"/>
        </w:rPr>
        <w:t xml:space="preserve"> </w:t>
      </w:r>
      <w:r w:rsidR="00B835D4">
        <w:rPr>
          <w:rFonts w:ascii="Arial" w:hAnsi="Arial" w:cs="Arial"/>
          <w:sz w:val="24"/>
          <w:szCs w:val="24"/>
        </w:rPr>
        <w:t>r</w:t>
      </w:r>
      <w:r w:rsidR="007B3A5B">
        <w:rPr>
          <w:rFonts w:ascii="Arial" w:hAnsi="Arial" w:cs="Arial"/>
          <w:sz w:val="24"/>
          <w:szCs w:val="24"/>
        </w:rPr>
        <w:t>ules; that it was fatally defective and a nullity and that the application should be served properly. As a consequence, the High Court struck the application from the roll with costs due to appellant’s failure to properly effect service upon the second respondent. Appellant’s appeal is against this order.</w:t>
      </w:r>
    </w:p>
    <w:p w:rsidR="007B3A5B" w:rsidRDefault="007B3A5B" w:rsidP="007B3A5B">
      <w:pPr>
        <w:spacing w:after="0" w:line="360" w:lineRule="auto"/>
        <w:jc w:val="both"/>
        <w:rPr>
          <w:rFonts w:ascii="Arial" w:hAnsi="Arial" w:cs="Arial"/>
          <w:sz w:val="24"/>
          <w:szCs w:val="24"/>
        </w:rPr>
      </w:pPr>
    </w:p>
    <w:p w:rsidR="007B3A5B" w:rsidRDefault="007B3A5B" w:rsidP="007B3A5B">
      <w:pPr>
        <w:spacing w:after="0" w:line="360" w:lineRule="auto"/>
        <w:jc w:val="both"/>
        <w:rPr>
          <w:rFonts w:ascii="Arial" w:hAnsi="Arial" w:cs="Arial"/>
          <w:sz w:val="24"/>
          <w:szCs w:val="24"/>
        </w:rPr>
      </w:pPr>
      <w:r>
        <w:rPr>
          <w:rFonts w:ascii="Arial" w:hAnsi="Arial" w:cs="Arial"/>
          <w:sz w:val="24"/>
          <w:szCs w:val="24"/>
        </w:rPr>
        <w:t xml:space="preserve">On appeal, the respondents brought an application in terms of s 14(7) of the Supreme Court Act 15 of 1990 read with rule 6 of the Supreme Court </w:t>
      </w:r>
      <w:r w:rsidR="00052049">
        <w:rPr>
          <w:rFonts w:ascii="Arial" w:hAnsi="Arial" w:cs="Arial"/>
          <w:sz w:val="24"/>
          <w:szCs w:val="24"/>
        </w:rPr>
        <w:t>R</w:t>
      </w:r>
      <w:r>
        <w:rPr>
          <w:rFonts w:ascii="Arial" w:hAnsi="Arial" w:cs="Arial"/>
          <w:sz w:val="24"/>
          <w:szCs w:val="24"/>
        </w:rPr>
        <w:t xml:space="preserve">ules for the dismissal of the appeal on grounds that the appeal is frivolous, vexatious and/or without merit. Appellant opposed this application. The respondent argued that the order of court sought to be appealed is of an interlocutory nature and it required leave of the court </w:t>
      </w:r>
      <w:r w:rsidRPr="003D6ABC">
        <w:rPr>
          <w:rFonts w:ascii="Arial" w:hAnsi="Arial" w:cs="Arial"/>
          <w:i/>
          <w:sz w:val="24"/>
          <w:szCs w:val="24"/>
        </w:rPr>
        <w:t>a quo</w:t>
      </w:r>
      <w:r>
        <w:rPr>
          <w:rFonts w:ascii="Arial" w:hAnsi="Arial" w:cs="Arial"/>
          <w:sz w:val="24"/>
          <w:szCs w:val="24"/>
        </w:rPr>
        <w:t>.</w:t>
      </w:r>
    </w:p>
    <w:p w:rsidR="007B3A5B" w:rsidRDefault="007B3A5B" w:rsidP="007B3A5B">
      <w:pPr>
        <w:spacing w:after="0" w:line="360" w:lineRule="auto"/>
        <w:jc w:val="both"/>
        <w:rPr>
          <w:rFonts w:ascii="Arial" w:hAnsi="Arial" w:cs="Arial"/>
          <w:sz w:val="24"/>
          <w:szCs w:val="24"/>
        </w:rPr>
      </w:pPr>
    </w:p>
    <w:p w:rsidR="007B3A5B" w:rsidRDefault="007B3A5B" w:rsidP="007B3A5B">
      <w:pPr>
        <w:spacing w:after="0" w:line="360" w:lineRule="auto"/>
        <w:jc w:val="both"/>
        <w:rPr>
          <w:rFonts w:ascii="Arial" w:hAnsi="Arial" w:cs="Arial"/>
          <w:sz w:val="24"/>
          <w:szCs w:val="24"/>
        </w:rPr>
      </w:pPr>
      <w:r w:rsidRPr="003D6ABC">
        <w:rPr>
          <w:rFonts w:ascii="Arial" w:hAnsi="Arial" w:cs="Arial"/>
          <w:i/>
          <w:sz w:val="24"/>
          <w:szCs w:val="24"/>
        </w:rPr>
        <w:t>Held that</w:t>
      </w:r>
      <w:r>
        <w:rPr>
          <w:rFonts w:ascii="Arial" w:hAnsi="Arial" w:cs="Arial"/>
          <w:sz w:val="24"/>
          <w:szCs w:val="24"/>
        </w:rPr>
        <w:t>, s 14(7) of the Supreme Court Act 15 of 1990 does not apply to an order of an interlocutory nature. In interlocutory matters, leave to appeal is required in terms of s 18(3) of the High Court Act 16 of 1990.</w:t>
      </w:r>
    </w:p>
    <w:p w:rsidR="007B3A5B" w:rsidRDefault="007B3A5B" w:rsidP="007B3A5B">
      <w:pPr>
        <w:spacing w:after="0" w:line="360" w:lineRule="auto"/>
        <w:jc w:val="both"/>
        <w:rPr>
          <w:rFonts w:ascii="Arial" w:hAnsi="Arial" w:cs="Arial"/>
          <w:sz w:val="24"/>
          <w:szCs w:val="24"/>
        </w:rPr>
      </w:pPr>
    </w:p>
    <w:p w:rsidR="007B3A5B" w:rsidRDefault="007B3A5B" w:rsidP="007B3A5B">
      <w:pPr>
        <w:spacing w:after="0" w:line="360" w:lineRule="auto"/>
        <w:jc w:val="both"/>
        <w:rPr>
          <w:rFonts w:ascii="Arial" w:hAnsi="Arial" w:cs="Arial"/>
          <w:sz w:val="24"/>
          <w:szCs w:val="24"/>
        </w:rPr>
      </w:pPr>
      <w:r w:rsidRPr="00CF5CF5">
        <w:rPr>
          <w:rFonts w:ascii="Arial" w:hAnsi="Arial" w:cs="Arial"/>
          <w:i/>
          <w:sz w:val="24"/>
          <w:szCs w:val="24"/>
        </w:rPr>
        <w:t>Held that</w:t>
      </w:r>
      <w:r>
        <w:rPr>
          <w:rFonts w:ascii="Arial" w:hAnsi="Arial" w:cs="Arial"/>
          <w:sz w:val="24"/>
          <w:szCs w:val="24"/>
        </w:rPr>
        <w:t xml:space="preserve">, the test whether an order is appealable is set out by the Supreme Court in </w:t>
      </w:r>
      <w:r w:rsidRPr="005C111C">
        <w:rPr>
          <w:rFonts w:ascii="Arial" w:hAnsi="Arial" w:cs="Arial"/>
          <w:i/>
          <w:sz w:val="24"/>
          <w:szCs w:val="24"/>
        </w:rPr>
        <w:t>Di Savino v Nedbank Namibia Limited</w:t>
      </w:r>
      <w:r>
        <w:rPr>
          <w:rFonts w:ascii="Arial" w:hAnsi="Arial" w:cs="Arial"/>
          <w:sz w:val="24"/>
          <w:szCs w:val="24"/>
        </w:rPr>
        <w:t xml:space="preserve"> 2017 (3) NR 880 (SC).</w:t>
      </w:r>
    </w:p>
    <w:p w:rsidR="007B3A5B" w:rsidRDefault="007B3A5B" w:rsidP="007B3A5B">
      <w:pPr>
        <w:spacing w:after="0" w:line="360" w:lineRule="auto"/>
        <w:jc w:val="both"/>
        <w:rPr>
          <w:rFonts w:ascii="Arial" w:hAnsi="Arial" w:cs="Arial"/>
          <w:sz w:val="24"/>
          <w:szCs w:val="24"/>
        </w:rPr>
      </w:pPr>
    </w:p>
    <w:p w:rsidR="007B3A5B" w:rsidRDefault="007B3A5B" w:rsidP="007B3A5B">
      <w:pPr>
        <w:spacing w:after="0" w:line="360" w:lineRule="auto"/>
        <w:jc w:val="both"/>
        <w:rPr>
          <w:rFonts w:ascii="Arial" w:hAnsi="Arial" w:cs="Arial"/>
          <w:sz w:val="24"/>
          <w:szCs w:val="24"/>
        </w:rPr>
      </w:pPr>
      <w:r w:rsidRPr="00E017D4">
        <w:rPr>
          <w:rFonts w:ascii="Arial" w:hAnsi="Arial" w:cs="Arial"/>
          <w:i/>
          <w:sz w:val="24"/>
          <w:szCs w:val="24"/>
        </w:rPr>
        <w:t>Held that</w:t>
      </w:r>
      <w:r>
        <w:rPr>
          <w:rFonts w:ascii="Arial" w:hAnsi="Arial" w:cs="Arial"/>
          <w:sz w:val="24"/>
          <w:szCs w:val="24"/>
        </w:rPr>
        <w:t xml:space="preserve">, the order by the High Court to strike the matter from the roll does not meet the requisites as set out in </w:t>
      </w:r>
      <w:r w:rsidRPr="00E772D6">
        <w:rPr>
          <w:rFonts w:ascii="Arial" w:hAnsi="Arial" w:cs="Arial"/>
          <w:i/>
          <w:sz w:val="24"/>
          <w:szCs w:val="24"/>
        </w:rPr>
        <w:t>Di Savino</w:t>
      </w:r>
      <w:r>
        <w:rPr>
          <w:rFonts w:ascii="Arial" w:hAnsi="Arial" w:cs="Arial"/>
          <w:sz w:val="24"/>
          <w:szCs w:val="24"/>
        </w:rPr>
        <w:t xml:space="preserve"> for an appealable order. The order lacked the hallmark of finality and is not definitive of the rights of the parties and it certainly did not have the effect of disposing of any portion of the relief claimed.</w:t>
      </w:r>
    </w:p>
    <w:p w:rsidR="007B3A5B" w:rsidRDefault="007B3A5B" w:rsidP="007B3A5B">
      <w:pPr>
        <w:spacing w:after="0" w:line="360" w:lineRule="auto"/>
        <w:jc w:val="both"/>
        <w:rPr>
          <w:rFonts w:ascii="Arial" w:hAnsi="Arial" w:cs="Arial"/>
          <w:sz w:val="24"/>
          <w:szCs w:val="24"/>
        </w:rPr>
      </w:pPr>
    </w:p>
    <w:p w:rsidR="007B3A5B" w:rsidRDefault="007B3A5B" w:rsidP="007B3A5B">
      <w:pPr>
        <w:spacing w:after="0" w:line="360" w:lineRule="auto"/>
        <w:jc w:val="both"/>
        <w:rPr>
          <w:rFonts w:ascii="Arial" w:hAnsi="Arial" w:cs="Arial"/>
          <w:sz w:val="24"/>
          <w:szCs w:val="24"/>
        </w:rPr>
      </w:pPr>
      <w:r w:rsidRPr="00E017D4">
        <w:rPr>
          <w:rFonts w:ascii="Arial" w:hAnsi="Arial" w:cs="Arial"/>
          <w:i/>
          <w:sz w:val="24"/>
          <w:szCs w:val="24"/>
        </w:rPr>
        <w:t>Held further that</w:t>
      </w:r>
      <w:r>
        <w:rPr>
          <w:rFonts w:ascii="Arial" w:hAnsi="Arial" w:cs="Arial"/>
          <w:sz w:val="24"/>
          <w:szCs w:val="24"/>
        </w:rPr>
        <w:t xml:space="preserve">, given the fact that the order was not appealable, the further question as to whether </w:t>
      </w:r>
      <w:r w:rsidR="00CA79F1">
        <w:rPr>
          <w:rFonts w:ascii="Arial" w:hAnsi="Arial" w:cs="Arial"/>
          <w:sz w:val="24"/>
          <w:szCs w:val="24"/>
        </w:rPr>
        <w:t>leave to appeal was req</w:t>
      </w:r>
      <w:r w:rsidR="00C470C9">
        <w:rPr>
          <w:rFonts w:ascii="Arial" w:hAnsi="Arial" w:cs="Arial"/>
          <w:sz w:val="24"/>
          <w:szCs w:val="24"/>
        </w:rPr>
        <w:t>uir</w:t>
      </w:r>
      <w:r w:rsidR="00CA79F1">
        <w:rPr>
          <w:rFonts w:ascii="Arial" w:hAnsi="Arial" w:cs="Arial"/>
          <w:sz w:val="24"/>
          <w:szCs w:val="24"/>
        </w:rPr>
        <w:t>ed</w:t>
      </w:r>
      <w:r>
        <w:rPr>
          <w:rFonts w:ascii="Arial" w:hAnsi="Arial" w:cs="Arial"/>
          <w:sz w:val="24"/>
          <w:szCs w:val="24"/>
        </w:rPr>
        <w:t xml:space="preserve"> does not arise</w:t>
      </w:r>
      <w:r w:rsidR="00B835D4">
        <w:rPr>
          <w:rFonts w:ascii="Arial" w:hAnsi="Arial" w:cs="Arial"/>
          <w:sz w:val="24"/>
          <w:szCs w:val="24"/>
        </w:rPr>
        <w:t xml:space="preserve"> </w:t>
      </w:r>
      <w:r w:rsidR="00C470C9">
        <w:rPr>
          <w:rFonts w:ascii="Arial" w:hAnsi="Arial" w:cs="Arial"/>
          <w:sz w:val="24"/>
          <w:szCs w:val="24"/>
        </w:rPr>
        <w:t>and</w:t>
      </w:r>
      <w:r>
        <w:rPr>
          <w:rFonts w:ascii="Arial" w:hAnsi="Arial" w:cs="Arial"/>
          <w:sz w:val="24"/>
          <w:szCs w:val="24"/>
        </w:rPr>
        <w:t xml:space="preserve"> was</w:t>
      </w:r>
      <w:r w:rsidR="00CA79F1">
        <w:rPr>
          <w:rFonts w:ascii="Arial" w:hAnsi="Arial" w:cs="Arial"/>
          <w:sz w:val="24"/>
          <w:szCs w:val="24"/>
        </w:rPr>
        <w:t xml:space="preserve"> in any event</w:t>
      </w:r>
      <w:r>
        <w:rPr>
          <w:rFonts w:ascii="Arial" w:hAnsi="Arial" w:cs="Arial"/>
          <w:sz w:val="24"/>
          <w:szCs w:val="24"/>
        </w:rPr>
        <w:t xml:space="preserve"> not sought or granted.</w:t>
      </w:r>
    </w:p>
    <w:p w:rsidR="007B3A5B" w:rsidRDefault="007B3A5B" w:rsidP="007B3A5B">
      <w:pPr>
        <w:spacing w:after="0" w:line="360" w:lineRule="auto"/>
        <w:jc w:val="both"/>
        <w:rPr>
          <w:rFonts w:ascii="Arial" w:hAnsi="Arial" w:cs="Arial"/>
          <w:sz w:val="24"/>
          <w:szCs w:val="24"/>
        </w:rPr>
      </w:pPr>
    </w:p>
    <w:p w:rsidR="007B3A5B" w:rsidRPr="004B634D" w:rsidRDefault="007B3A5B" w:rsidP="007B3A5B">
      <w:pPr>
        <w:spacing w:after="0" w:line="360" w:lineRule="auto"/>
        <w:jc w:val="both"/>
        <w:rPr>
          <w:rFonts w:ascii="Arial" w:hAnsi="Arial" w:cs="Arial"/>
          <w:sz w:val="24"/>
          <w:szCs w:val="24"/>
        </w:rPr>
      </w:pPr>
      <w:r w:rsidRPr="00E017D4">
        <w:rPr>
          <w:rFonts w:ascii="Arial" w:hAnsi="Arial" w:cs="Arial"/>
          <w:i/>
          <w:sz w:val="24"/>
          <w:szCs w:val="24"/>
        </w:rPr>
        <w:lastRenderedPageBreak/>
        <w:t>Held</w:t>
      </w:r>
      <w:r>
        <w:rPr>
          <w:rFonts w:ascii="Arial" w:hAnsi="Arial" w:cs="Arial"/>
          <w:sz w:val="24"/>
          <w:szCs w:val="24"/>
        </w:rPr>
        <w:t>, this matter not brought within the ambit of s 18(3) of the High Court Act 16 of 1990, stands to be struck from the roll with costs. The matter is referred back to the High Court for further case management.</w:t>
      </w:r>
    </w:p>
    <w:p w:rsidR="002B6F2A" w:rsidRDefault="002B6F2A" w:rsidP="00BA6DC9">
      <w:pPr>
        <w:spacing w:after="0" w:line="360" w:lineRule="auto"/>
        <w:jc w:val="both"/>
        <w:rPr>
          <w:rFonts w:ascii="Arial" w:hAnsi="Arial" w:cs="Arial"/>
          <w:sz w:val="24"/>
          <w:szCs w:val="24"/>
        </w:rPr>
      </w:pPr>
    </w:p>
    <w:p w:rsidR="00EF6EF1" w:rsidRPr="001C25CA" w:rsidRDefault="00EF6EF1" w:rsidP="002B6F2A">
      <w:pPr>
        <w:pStyle w:val="NoSpacing"/>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957589" w:rsidRPr="001C25CA" w:rsidRDefault="008C3367" w:rsidP="00957589">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71730B" w:rsidP="00395B99">
      <w:pPr>
        <w:spacing w:line="480" w:lineRule="auto"/>
        <w:jc w:val="both"/>
        <w:rPr>
          <w:rFonts w:ascii="Arial" w:hAnsi="Arial" w:cs="Arial"/>
          <w:sz w:val="24"/>
          <w:szCs w:val="24"/>
        </w:rPr>
      </w:pPr>
      <w:r>
        <w:rPr>
          <w:rFonts w:ascii="Arial" w:hAnsi="Arial" w:cs="Arial"/>
          <w:sz w:val="24"/>
          <w:szCs w:val="24"/>
        </w:rPr>
        <w:t>SMUTS</w:t>
      </w:r>
      <w:r w:rsidRPr="001C25CA">
        <w:rPr>
          <w:rFonts w:ascii="Arial" w:hAnsi="Arial" w:cs="Arial"/>
          <w:sz w:val="24"/>
          <w:szCs w:val="24"/>
        </w:rPr>
        <w:t xml:space="preserve"> JA </w:t>
      </w:r>
      <w:r w:rsidR="008C3367" w:rsidRPr="001C25CA">
        <w:rPr>
          <w:rFonts w:ascii="Arial" w:hAnsi="Arial" w:cs="Arial"/>
          <w:sz w:val="24"/>
          <w:szCs w:val="24"/>
        </w:rPr>
        <w:t>(</w:t>
      </w:r>
      <w:r w:rsidR="0008263C">
        <w:rPr>
          <w:rFonts w:ascii="Arial" w:hAnsi="Arial" w:cs="Arial"/>
          <w:sz w:val="24"/>
          <w:szCs w:val="24"/>
        </w:rPr>
        <w:t xml:space="preserve">SHIVUTE CJ and </w:t>
      </w:r>
      <w:r w:rsidR="000B1CCA">
        <w:rPr>
          <w:rFonts w:ascii="Arial" w:hAnsi="Arial" w:cs="Arial"/>
          <w:sz w:val="24"/>
          <w:szCs w:val="24"/>
        </w:rPr>
        <w:t>HOFF JA</w:t>
      </w:r>
      <w:r w:rsidR="00CD0281" w:rsidRPr="001C25CA">
        <w:rPr>
          <w:rFonts w:ascii="Arial" w:hAnsi="Arial" w:cs="Arial"/>
          <w:sz w:val="24"/>
          <w:szCs w:val="24"/>
        </w:rPr>
        <w:t xml:space="preserve"> concurring</w:t>
      </w:r>
      <w:r w:rsidR="008C3367" w:rsidRPr="001C25CA">
        <w:rPr>
          <w:rFonts w:ascii="Arial" w:hAnsi="Arial" w:cs="Arial"/>
          <w:sz w:val="24"/>
          <w:szCs w:val="24"/>
        </w:rPr>
        <w:t>):</w:t>
      </w:r>
    </w:p>
    <w:p w:rsidR="007C7E3C" w:rsidRDefault="00B9404B" w:rsidP="000B1CC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7F76A6">
        <w:rPr>
          <w:rFonts w:ascii="Arial" w:hAnsi="Arial" w:cs="Arial"/>
          <w:sz w:val="24"/>
          <w:szCs w:val="24"/>
        </w:rPr>
        <w:t>h</w:t>
      </w:r>
      <w:r w:rsidR="000B1CCA">
        <w:rPr>
          <w:rFonts w:ascii="Arial" w:hAnsi="Arial" w:cs="Arial"/>
          <w:sz w:val="24"/>
          <w:szCs w:val="24"/>
        </w:rPr>
        <w:t xml:space="preserve">e appellant approached the High Court in application proceedings seeking the eviction of the fourth to eleventh </w:t>
      </w:r>
      <w:r w:rsidR="007B1DA5">
        <w:rPr>
          <w:rFonts w:ascii="Arial" w:hAnsi="Arial" w:cs="Arial"/>
          <w:sz w:val="24"/>
          <w:szCs w:val="24"/>
        </w:rPr>
        <w:t>respondents as well as their families and all persons claiming occupation of the area in question through those respondents.</w:t>
      </w:r>
    </w:p>
    <w:p w:rsidR="007B1DA5" w:rsidRDefault="007B1DA5" w:rsidP="007B1DA5">
      <w:pPr>
        <w:pStyle w:val="NoSpacing"/>
        <w:spacing w:line="480" w:lineRule="auto"/>
        <w:jc w:val="both"/>
        <w:rPr>
          <w:rFonts w:ascii="Arial" w:hAnsi="Arial" w:cs="Arial"/>
          <w:sz w:val="24"/>
          <w:szCs w:val="24"/>
        </w:rPr>
      </w:pPr>
    </w:p>
    <w:p w:rsidR="007B1DA5" w:rsidRDefault="007B1DA5" w:rsidP="000B1CC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fourth to eleventh respondents opposed the application. They are together referred to as the respondents for present purposes, although the appellant withdrew against the ninth respondent</w:t>
      </w:r>
      <w:r w:rsidR="004616CD">
        <w:rPr>
          <w:rFonts w:ascii="Arial" w:hAnsi="Arial" w:cs="Arial"/>
          <w:sz w:val="24"/>
          <w:szCs w:val="24"/>
        </w:rPr>
        <w:t xml:space="preserve"> in the court below</w:t>
      </w:r>
      <w:r>
        <w:rPr>
          <w:rFonts w:ascii="Arial" w:hAnsi="Arial" w:cs="Arial"/>
          <w:sz w:val="24"/>
          <w:szCs w:val="24"/>
        </w:rPr>
        <w:t>.</w:t>
      </w:r>
    </w:p>
    <w:p w:rsidR="007B1DA5" w:rsidRDefault="007B1DA5" w:rsidP="007B1DA5">
      <w:pPr>
        <w:pStyle w:val="ListParagraph"/>
        <w:rPr>
          <w:rFonts w:ascii="Arial" w:hAnsi="Arial" w:cs="Arial"/>
          <w:sz w:val="24"/>
          <w:szCs w:val="24"/>
        </w:rPr>
      </w:pPr>
    </w:p>
    <w:p w:rsidR="007B1DA5" w:rsidRDefault="00DD2C02" w:rsidP="008A40B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respondents did not file an answering affidavit, having repeatedly failed to do so timeously. They however raised points of law under rule 66 of the High Court Rules. </w:t>
      </w:r>
      <w:r w:rsidR="00F374C2">
        <w:rPr>
          <w:rFonts w:ascii="Arial" w:hAnsi="Arial" w:cs="Arial"/>
          <w:sz w:val="24"/>
          <w:szCs w:val="24"/>
        </w:rPr>
        <w:t>They</w:t>
      </w:r>
      <w:r>
        <w:rPr>
          <w:rFonts w:ascii="Arial" w:hAnsi="Arial" w:cs="Arial"/>
          <w:sz w:val="24"/>
          <w:szCs w:val="24"/>
        </w:rPr>
        <w:t xml:space="preserve"> raised points concerning the service of the application. </w:t>
      </w:r>
      <w:r w:rsidR="00F374C2">
        <w:rPr>
          <w:rFonts w:ascii="Arial" w:hAnsi="Arial" w:cs="Arial"/>
          <w:sz w:val="24"/>
          <w:szCs w:val="24"/>
        </w:rPr>
        <w:t>Firstly</w:t>
      </w:r>
      <w:r w:rsidR="004616CD">
        <w:rPr>
          <w:rFonts w:ascii="Arial" w:hAnsi="Arial" w:cs="Arial"/>
          <w:sz w:val="24"/>
          <w:szCs w:val="24"/>
        </w:rPr>
        <w:t>,</w:t>
      </w:r>
      <w:r w:rsidR="00F374C2">
        <w:rPr>
          <w:rFonts w:ascii="Arial" w:hAnsi="Arial" w:cs="Arial"/>
          <w:sz w:val="24"/>
          <w:szCs w:val="24"/>
        </w:rPr>
        <w:t xml:space="preserve"> it was contended</w:t>
      </w:r>
      <w:r>
        <w:rPr>
          <w:rFonts w:ascii="Arial" w:hAnsi="Arial" w:cs="Arial"/>
          <w:sz w:val="24"/>
          <w:szCs w:val="24"/>
        </w:rPr>
        <w:t xml:space="preserve"> that there was defective service on another respondent cited as second respondent, the Communal Land Board of the Zambezi Region</w:t>
      </w:r>
      <w:r w:rsidR="00F374C2">
        <w:rPr>
          <w:rFonts w:ascii="Arial" w:hAnsi="Arial" w:cs="Arial"/>
          <w:sz w:val="24"/>
          <w:szCs w:val="24"/>
        </w:rPr>
        <w:t xml:space="preserve"> (the </w:t>
      </w:r>
      <w:r w:rsidR="00B835D4">
        <w:rPr>
          <w:rFonts w:ascii="Arial" w:hAnsi="Arial" w:cs="Arial"/>
          <w:sz w:val="24"/>
          <w:szCs w:val="24"/>
        </w:rPr>
        <w:t>b</w:t>
      </w:r>
      <w:r w:rsidR="00F374C2">
        <w:rPr>
          <w:rFonts w:ascii="Arial" w:hAnsi="Arial" w:cs="Arial"/>
          <w:sz w:val="24"/>
          <w:szCs w:val="24"/>
        </w:rPr>
        <w:t>oard)</w:t>
      </w:r>
      <w:r>
        <w:rPr>
          <w:rFonts w:ascii="Arial" w:hAnsi="Arial" w:cs="Arial"/>
          <w:sz w:val="24"/>
          <w:szCs w:val="24"/>
        </w:rPr>
        <w:t xml:space="preserve">. The point </w:t>
      </w:r>
      <w:r w:rsidR="000243A1">
        <w:rPr>
          <w:rFonts w:ascii="Arial" w:hAnsi="Arial" w:cs="Arial"/>
          <w:sz w:val="24"/>
          <w:szCs w:val="24"/>
        </w:rPr>
        <w:t>was also taken that service on fourth</w:t>
      </w:r>
      <w:r>
        <w:rPr>
          <w:rFonts w:ascii="Arial" w:hAnsi="Arial" w:cs="Arial"/>
          <w:sz w:val="24"/>
          <w:szCs w:val="24"/>
        </w:rPr>
        <w:t>,</w:t>
      </w:r>
      <w:r w:rsidR="000243A1">
        <w:rPr>
          <w:rFonts w:ascii="Arial" w:hAnsi="Arial" w:cs="Arial"/>
          <w:sz w:val="24"/>
          <w:szCs w:val="24"/>
        </w:rPr>
        <w:t xml:space="preserve"> seventh</w:t>
      </w:r>
      <w:r>
        <w:rPr>
          <w:rFonts w:ascii="Arial" w:hAnsi="Arial" w:cs="Arial"/>
          <w:sz w:val="24"/>
          <w:szCs w:val="24"/>
        </w:rPr>
        <w:t xml:space="preserve"> and </w:t>
      </w:r>
      <w:r w:rsidR="000243A1">
        <w:rPr>
          <w:rFonts w:ascii="Arial" w:hAnsi="Arial" w:cs="Arial"/>
          <w:sz w:val="24"/>
          <w:szCs w:val="24"/>
        </w:rPr>
        <w:t xml:space="preserve">ninth </w:t>
      </w:r>
      <w:r>
        <w:rPr>
          <w:rFonts w:ascii="Arial" w:hAnsi="Arial" w:cs="Arial"/>
          <w:sz w:val="24"/>
          <w:szCs w:val="24"/>
        </w:rPr>
        <w:t xml:space="preserve">respondents </w:t>
      </w:r>
      <w:r w:rsidR="00F374C2">
        <w:rPr>
          <w:rFonts w:ascii="Arial" w:hAnsi="Arial" w:cs="Arial"/>
          <w:sz w:val="24"/>
          <w:szCs w:val="24"/>
        </w:rPr>
        <w:t>w</w:t>
      </w:r>
      <w:r>
        <w:rPr>
          <w:rFonts w:ascii="Arial" w:hAnsi="Arial" w:cs="Arial"/>
          <w:sz w:val="24"/>
          <w:szCs w:val="24"/>
        </w:rPr>
        <w:t xml:space="preserve">as defective as it had been </w:t>
      </w:r>
      <w:r w:rsidR="00F374C2">
        <w:rPr>
          <w:rFonts w:ascii="Arial" w:hAnsi="Arial" w:cs="Arial"/>
          <w:sz w:val="24"/>
          <w:szCs w:val="24"/>
        </w:rPr>
        <w:t>e</w:t>
      </w:r>
      <w:r>
        <w:rPr>
          <w:rFonts w:ascii="Arial" w:hAnsi="Arial" w:cs="Arial"/>
          <w:sz w:val="24"/>
          <w:szCs w:val="24"/>
        </w:rPr>
        <w:t xml:space="preserve">ffected upon the </w:t>
      </w:r>
      <w:r w:rsidR="000243A1">
        <w:rPr>
          <w:rFonts w:ascii="Arial" w:hAnsi="Arial" w:cs="Arial"/>
          <w:sz w:val="24"/>
          <w:szCs w:val="24"/>
        </w:rPr>
        <w:t>fifth</w:t>
      </w:r>
      <w:r>
        <w:rPr>
          <w:rFonts w:ascii="Arial" w:hAnsi="Arial" w:cs="Arial"/>
          <w:sz w:val="24"/>
          <w:szCs w:val="24"/>
        </w:rPr>
        <w:t xml:space="preserve"> respondent, the headman of the area, purportedly in terms of </w:t>
      </w:r>
      <w:r w:rsidR="000243A1">
        <w:rPr>
          <w:rFonts w:ascii="Arial" w:hAnsi="Arial" w:cs="Arial"/>
          <w:sz w:val="24"/>
          <w:szCs w:val="24"/>
        </w:rPr>
        <w:t>r</w:t>
      </w:r>
      <w:r>
        <w:rPr>
          <w:rFonts w:ascii="Arial" w:hAnsi="Arial" w:cs="Arial"/>
          <w:sz w:val="24"/>
          <w:szCs w:val="24"/>
        </w:rPr>
        <w:t>ule 8(</w:t>
      </w:r>
      <w:r w:rsidR="00052049">
        <w:rPr>
          <w:rFonts w:ascii="Arial" w:hAnsi="Arial" w:cs="Arial"/>
          <w:sz w:val="24"/>
          <w:szCs w:val="24"/>
        </w:rPr>
        <w:t>2</w:t>
      </w:r>
      <w:r w:rsidRPr="00052049">
        <w:rPr>
          <w:rFonts w:ascii="Arial" w:hAnsi="Arial" w:cs="Arial"/>
          <w:sz w:val="24"/>
          <w:szCs w:val="24"/>
        </w:rPr>
        <w:t>)(b)</w:t>
      </w:r>
      <w:r>
        <w:rPr>
          <w:rFonts w:ascii="Arial" w:hAnsi="Arial" w:cs="Arial"/>
          <w:sz w:val="24"/>
          <w:szCs w:val="24"/>
        </w:rPr>
        <w:t xml:space="preserve"> of the High Court Rules.</w:t>
      </w:r>
      <w:r w:rsidR="008A40BA">
        <w:rPr>
          <w:rFonts w:ascii="Arial" w:hAnsi="Arial" w:cs="Arial"/>
          <w:sz w:val="24"/>
          <w:szCs w:val="24"/>
        </w:rPr>
        <w:t xml:space="preserve"> </w:t>
      </w:r>
      <w:r w:rsidRPr="008A40BA">
        <w:rPr>
          <w:rFonts w:ascii="Arial" w:hAnsi="Arial" w:cs="Arial"/>
          <w:sz w:val="24"/>
          <w:szCs w:val="24"/>
        </w:rPr>
        <w:t>The respondents also took the point that the</w:t>
      </w:r>
      <w:r w:rsidR="008A40BA" w:rsidRPr="008A40BA">
        <w:rPr>
          <w:rFonts w:ascii="Arial" w:hAnsi="Arial" w:cs="Arial"/>
          <w:sz w:val="24"/>
          <w:szCs w:val="24"/>
        </w:rPr>
        <w:t xml:space="preserve"> are</w:t>
      </w:r>
      <w:r w:rsidR="00F374C2">
        <w:rPr>
          <w:rFonts w:ascii="Arial" w:hAnsi="Arial" w:cs="Arial"/>
          <w:sz w:val="24"/>
          <w:szCs w:val="24"/>
        </w:rPr>
        <w:t>a</w:t>
      </w:r>
      <w:r w:rsidR="008A40BA" w:rsidRPr="008A40BA">
        <w:rPr>
          <w:rFonts w:ascii="Arial" w:hAnsi="Arial" w:cs="Arial"/>
          <w:sz w:val="24"/>
          <w:szCs w:val="24"/>
        </w:rPr>
        <w:t xml:space="preserve"> from which the appellant sought to evict them was not properly described.</w:t>
      </w:r>
      <w:r w:rsidR="00EC6367">
        <w:rPr>
          <w:rFonts w:ascii="Arial" w:hAnsi="Arial" w:cs="Arial"/>
          <w:sz w:val="24"/>
          <w:szCs w:val="24"/>
        </w:rPr>
        <w:t xml:space="preserve"> Although the respondents brought an application under s 14(7) </w:t>
      </w:r>
      <w:r w:rsidR="00EC6367">
        <w:rPr>
          <w:rFonts w:ascii="Arial" w:hAnsi="Arial" w:cs="Arial"/>
          <w:sz w:val="24"/>
          <w:szCs w:val="24"/>
        </w:rPr>
        <w:lastRenderedPageBreak/>
        <w:t>of the Supreme Court Act</w:t>
      </w:r>
      <w:r w:rsidR="00EC6367">
        <w:rPr>
          <w:rStyle w:val="FootnoteReference"/>
          <w:rFonts w:ascii="Arial" w:hAnsi="Arial" w:cs="Arial"/>
          <w:sz w:val="24"/>
          <w:szCs w:val="24"/>
        </w:rPr>
        <w:footnoteReference w:id="1"/>
      </w:r>
      <w:r w:rsidR="00EC6367">
        <w:rPr>
          <w:rFonts w:ascii="Arial" w:hAnsi="Arial" w:cs="Arial"/>
          <w:sz w:val="24"/>
          <w:szCs w:val="24"/>
        </w:rPr>
        <w:t xml:space="preserve"> for the dismissal of the appeal, referred to below, heads of argument were not filed on their behalf. Nor was there any appearance for them even though no notice of withdrawal was filed by their legal practitioner of record.</w:t>
      </w:r>
    </w:p>
    <w:p w:rsidR="008A40BA" w:rsidRDefault="008A40BA" w:rsidP="008A40BA">
      <w:pPr>
        <w:pStyle w:val="ListParagraph"/>
        <w:rPr>
          <w:rFonts w:ascii="Arial" w:hAnsi="Arial" w:cs="Arial"/>
          <w:sz w:val="24"/>
          <w:szCs w:val="24"/>
        </w:rPr>
      </w:pPr>
    </w:p>
    <w:p w:rsidR="008A40BA" w:rsidRDefault="008A40BA" w:rsidP="008A40B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found that the service upon the </w:t>
      </w:r>
      <w:r w:rsidR="00B835D4">
        <w:rPr>
          <w:rFonts w:ascii="Arial" w:hAnsi="Arial" w:cs="Arial"/>
          <w:sz w:val="24"/>
          <w:szCs w:val="24"/>
        </w:rPr>
        <w:t>b</w:t>
      </w:r>
      <w:r>
        <w:rPr>
          <w:rFonts w:ascii="Arial" w:hAnsi="Arial" w:cs="Arial"/>
          <w:sz w:val="24"/>
          <w:szCs w:val="24"/>
        </w:rPr>
        <w:t xml:space="preserve">oard had not been in accordance with the High Court </w:t>
      </w:r>
      <w:r w:rsidR="00052049">
        <w:rPr>
          <w:rFonts w:ascii="Arial" w:hAnsi="Arial" w:cs="Arial"/>
          <w:sz w:val="24"/>
          <w:szCs w:val="24"/>
        </w:rPr>
        <w:t>R</w:t>
      </w:r>
      <w:r>
        <w:rPr>
          <w:rFonts w:ascii="Arial" w:hAnsi="Arial" w:cs="Arial"/>
          <w:sz w:val="24"/>
          <w:szCs w:val="24"/>
        </w:rPr>
        <w:t>ule</w:t>
      </w:r>
      <w:r w:rsidR="00F374C2">
        <w:rPr>
          <w:rFonts w:ascii="Arial" w:hAnsi="Arial" w:cs="Arial"/>
          <w:sz w:val="24"/>
          <w:szCs w:val="24"/>
        </w:rPr>
        <w:t>s</w:t>
      </w:r>
      <w:r w:rsidR="00EC6367">
        <w:rPr>
          <w:rFonts w:ascii="Arial" w:hAnsi="Arial" w:cs="Arial"/>
          <w:sz w:val="24"/>
          <w:szCs w:val="24"/>
        </w:rPr>
        <w:t xml:space="preserve"> and</w:t>
      </w:r>
      <w:r>
        <w:rPr>
          <w:rFonts w:ascii="Arial" w:hAnsi="Arial" w:cs="Arial"/>
          <w:sz w:val="24"/>
          <w:szCs w:val="24"/>
        </w:rPr>
        <w:t xml:space="preserve"> was fatally defective and a nullity and </w:t>
      </w:r>
      <w:r w:rsidR="00F374C2">
        <w:rPr>
          <w:rFonts w:ascii="Arial" w:hAnsi="Arial" w:cs="Arial"/>
          <w:sz w:val="24"/>
          <w:szCs w:val="24"/>
        </w:rPr>
        <w:t xml:space="preserve">that the application </w:t>
      </w:r>
      <w:r>
        <w:rPr>
          <w:rFonts w:ascii="Arial" w:hAnsi="Arial" w:cs="Arial"/>
          <w:sz w:val="24"/>
          <w:szCs w:val="24"/>
        </w:rPr>
        <w:t xml:space="preserve">should be served properly. The court then for that reason struck the application from the roll and directed that the appellant pay the respondents’ costs as the appellant had been forewarned long in advance </w:t>
      </w:r>
      <w:r w:rsidR="00F374C2">
        <w:rPr>
          <w:rFonts w:ascii="Arial" w:hAnsi="Arial" w:cs="Arial"/>
          <w:sz w:val="24"/>
          <w:szCs w:val="24"/>
        </w:rPr>
        <w:t xml:space="preserve">as to this point </w:t>
      </w:r>
      <w:r>
        <w:rPr>
          <w:rFonts w:ascii="Arial" w:hAnsi="Arial" w:cs="Arial"/>
          <w:sz w:val="24"/>
          <w:szCs w:val="24"/>
        </w:rPr>
        <w:t xml:space="preserve">and had not rectified the </w:t>
      </w:r>
      <w:r w:rsidR="004616CD">
        <w:rPr>
          <w:rFonts w:ascii="Arial" w:hAnsi="Arial" w:cs="Arial"/>
          <w:sz w:val="24"/>
          <w:szCs w:val="24"/>
        </w:rPr>
        <w:t xml:space="preserve">defective </w:t>
      </w:r>
      <w:r>
        <w:rPr>
          <w:rFonts w:ascii="Arial" w:hAnsi="Arial" w:cs="Arial"/>
          <w:sz w:val="24"/>
          <w:szCs w:val="24"/>
        </w:rPr>
        <w:t>service.</w:t>
      </w:r>
    </w:p>
    <w:p w:rsidR="008A40BA" w:rsidRDefault="008A40BA" w:rsidP="008A40BA">
      <w:pPr>
        <w:pStyle w:val="ListParagraph"/>
        <w:rPr>
          <w:rFonts w:ascii="Arial" w:hAnsi="Arial" w:cs="Arial"/>
          <w:sz w:val="24"/>
          <w:szCs w:val="24"/>
        </w:rPr>
      </w:pPr>
    </w:p>
    <w:p w:rsidR="008A40BA" w:rsidRDefault="008A40BA" w:rsidP="008A40B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 noted an appeal against the court’s ruling. The respondents thereafter brought an application under s 14(7) of the Supreme Court Act read with rule 6 of this court’s rules for the dismissal of the appeal on the grounds of being frivolous, vexatious and/or without merit.</w:t>
      </w:r>
      <w:r w:rsidR="00C64AD9">
        <w:rPr>
          <w:rFonts w:ascii="Arial" w:hAnsi="Arial" w:cs="Arial"/>
          <w:sz w:val="24"/>
          <w:szCs w:val="24"/>
        </w:rPr>
        <w:t xml:space="preserve"> That application was opposed and declined</w:t>
      </w:r>
      <w:r w:rsidR="00EC6367">
        <w:rPr>
          <w:rFonts w:ascii="Arial" w:hAnsi="Arial" w:cs="Arial"/>
          <w:sz w:val="24"/>
          <w:szCs w:val="24"/>
        </w:rPr>
        <w:t>,</w:t>
      </w:r>
      <w:r w:rsidR="00C64AD9">
        <w:rPr>
          <w:rFonts w:ascii="Arial" w:hAnsi="Arial" w:cs="Arial"/>
          <w:sz w:val="24"/>
          <w:szCs w:val="24"/>
        </w:rPr>
        <w:t xml:space="preserve"> </w:t>
      </w:r>
      <w:r w:rsidR="004616CD">
        <w:rPr>
          <w:rFonts w:ascii="Arial" w:hAnsi="Arial" w:cs="Arial"/>
          <w:sz w:val="24"/>
          <w:szCs w:val="24"/>
        </w:rPr>
        <w:t xml:space="preserve">with </w:t>
      </w:r>
      <w:r w:rsidR="00C64AD9">
        <w:rPr>
          <w:rFonts w:ascii="Arial" w:hAnsi="Arial" w:cs="Arial"/>
          <w:sz w:val="24"/>
          <w:szCs w:val="24"/>
        </w:rPr>
        <w:t>its costs be</w:t>
      </w:r>
      <w:r w:rsidR="004616CD">
        <w:rPr>
          <w:rFonts w:ascii="Arial" w:hAnsi="Arial" w:cs="Arial"/>
          <w:sz w:val="24"/>
          <w:szCs w:val="24"/>
        </w:rPr>
        <w:t>ing</w:t>
      </w:r>
      <w:r w:rsidR="00C64AD9">
        <w:rPr>
          <w:rFonts w:ascii="Arial" w:hAnsi="Arial" w:cs="Arial"/>
          <w:sz w:val="24"/>
          <w:szCs w:val="24"/>
        </w:rPr>
        <w:t xml:space="preserve"> costs in the appeal.</w:t>
      </w:r>
      <w:r w:rsidR="00F374C2">
        <w:rPr>
          <w:rFonts w:ascii="Arial" w:hAnsi="Arial" w:cs="Arial"/>
          <w:sz w:val="24"/>
          <w:szCs w:val="24"/>
        </w:rPr>
        <w:t xml:space="preserve"> As will </w:t>
      </w:r>
      <w:r w:rsidR="00EC6367">
        <w:rPr>
          <w:rFonts w:ascii="Arial" w:hAnsi="Arial" w:cs="Arial"/>
          <w:sz w:val="24"/>
          <w:szCs w:val="24"/>
        </w:rPr>
        <w:t xml:space="preserve">soon </w:t>
      </w:r>
      <w:r w:rsidR="00F374C2">
        <w:rPr>
          <w:rFonts w:ascii="Arial" w:hAnsi="Arial" w:cs="Arial"/>
          <w:sz w:val="24"/>
          <w:szCs w:val="24"/>
        </w:rPr>
        <w:t xml:space="preserve">become apparent, </w:t>
      </w:r>
      <w:r w:rsidR="00EC6367">
        <w:rPr>
          <w:rFonts w:ascii="Arial" w:hAnsi="Arial" w:cs="Arial"/>
          <w:sz w:val="24"/>
          <w:szCs w:val="24"/>
        </w:rPr>
        <w:t xml:space="preserve">     </w:t>
      </w:r>
      <w:r w:rsidR="00F374C2">
        <w:rPr>
          <w:rFonts w:ascii="Arial" w:hAnsi="Arial" w:cs="Arial"/>
          <w:sz w:val="24"/>
          <w:szCs w:val="24"/>
        </w:rPr>
        <w:t>s 14(7) does not apply to these proceedings.</w:t>
      </w:r>
    </w:p>
    <w:p w:rsidR="00C64AD9" w:rsidRDefault="00C64AD9" w:rsidP="00C64AD9">
      <w:pPr>
        <w:pStyle w:val="ListParagraph"/>
        <w:rPr>
          <w:rFonts w:ascii="Arial" w:hAnsi="Arial" w:cs="Arial"/>
          <w:sz w:val="24"/>
          <w:szCs w:val="24"/>
        </w:rPr>
      </w:pPr>
    </w:p>
    <w:p w:rsidR="00C64AD9" w:rsidRDefault="00EC6367" w:rsidP="008A40B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that application</w:t>
      </w:r>
      <w:r w:rsidR="00052049">
        <w:rPr>
          <w:rFonts w:ascii="Arial" w:hAnsi="Arial" w:cs="Arial"/>
          <w:sz w:val="24"/>
          <w:szCs w:val="24"/>
        </w:rPr>
        <w:t>,</w:t>
      </w:r>
      <w:r>
        <w:rPr>
          <w:rFonts w:ascii="Arial" w:hAnsi="Arial" w:cs="Arial"/>
          <w:sz w:val="24"/>
          <w:szCs w:val="24"/>
        </w:rPr>
        <w:t xml:space="preserve"> t</w:t>
      </w:r>
      <w:r w:rsidR="00C64AD9">
        <w:rPr>
          <w:rFonts w:ascii="Arial" w:hAnsi="Arial" w:cs="Arial"/>
          <w:sz w:val="24"/>
          <w:szCs w:val="24"/>
        </w:rPr>
        <w:t>he respondent</w:t>
      </w:r>
      <w:r w:rsidR="000243A1">
        <w:rPr>
          <w:rFonts w:ascii="Arial" w:hAnsi="Arial" w:cs="Arial"/>
          <w:sz w:val="24"/>
          <w:szCs w:val="24"/>
        </w:rPr>
        <w:t>s</w:t>
      </w:r>
      <w:r w:rsidR="00C64AD9">
        <w:rPr>
          <w:rFonts w:ascii="Arial" w:hAnsi="Arial" w:cs="Arial"/>
          <w:sz w:val="24"/>
          <w:szCs w:val="24"/>
        </w:rPr>
        <w:t xml:space="preserve">’ practitioner </w:t>
      </w:r>
      <w:r>
        <w:rPr>
          <w:rFonts w:ascii="Arial" w:hAnsi="Arial" w:cs="Arial"/>
          <w:sz w:val="24"/>
          <w:szCs w:val="24"/>
        </w:rPr>
        <w:t>took</w:t>
      </w:r>
      <w:r w:rsidR="00C64AD9">
        <w:rPr>
          <w:rFonts w:ascii="Arial" w:hAnsi="Arial" w:cs="Arial"/>
          <w:sz w:val="24"/>
          <w:szCs w:val="24"/>
        </w:rPr>
        <w:t xml:space="preserve"> the point that the order of the court sought to be appealed is of an interlocutory nature and required leave of the court below.</w:t>
      </w:r>
      <w:r w:rsidR="00F374C2">
        <w:rPr>
          <w:rFonts w:ascii="Arial" w:hAnsi="Arial" w:cs="Arial"/>
          <w:sz w:val="24"/>
          <w:szCs w:val="24"/>
        </w:rPr>
        <w:t xml:space="preserve"> Section 14(7) </w:t>
      </w:r>
      <w:r w:rsidR="00E549C7">
        <w:rPr>
          <w:rFonts w:ascii="Arial" w:hAnsi="Arial" w:cs="Arial"/>
          <w:sz w:val="24"/>
          <w:szCs w:val="24"/>
        </w:rPr>
        <w:t xml:space="preserve">however </w:t>
      </w:r>
      <w:r>
        <w:rPr>
          <w:rFonts w:ascii="Arial" w:hAnsi="Arial" w:cs="Arial"/>
          <w:sz w:val="24"/>
          <w:szCs w:val="24"/>
        </w:rPr>
        <w:t xml:space="preserve">does </w:t>
      </w:r>
      <w:r w:rsidR="00F374C2">
        <w:rPr>
          <w:rFonts w:ascii="Arial" w:hAnsi="Arial" w:cs="Arial"/>
          <w:sz w:val="24"/>
          <w:szCs w:val="24"/>
        </w:rPr>
        <w:t>not apply to an order of an interlocutory nature</w:t>
      </w:r>
      <w:r>
        <w:rPr>
          <w:rFonts w:ascii="Arial" w:hAnsi="Arial" w:cs="Arial"/>
          <w:sz w:val="24"/>
          <w:szCs w:val="24"/>
        </w:rPr>
        <w:t xml:space="preserve"> or where an order is not appealable</w:t>
      </w:r>
      <w:r w:rsidR="00F374C2">
        <w:rPr>
          <w:rFonts w:ascii="Arial" w:hAnsi="Arial" w:cs="Arial"/>
          <w:sz w:val="24"/>
          <w:szCs w:val="24"/>
        </w:rPr>
        <w:t xml:space="preserve">, given the wording of </w:t>
      </w:r>
      <w:r w:rsidR="00052049">
        <w:rPr>
          <w:rFonts w:ascii="Arial" w:hAnsi="Arial" w:cs="Arial"/>
          <w:sz w:val="24"/>
          <w:szCs w:val="24"/>
        </w:rPr>
        <w:t xml:space="preserve">              </w:t>
      </w:r>
      <w:r w:rsidR="00F374C2">
        <w:rPr>
          <w:rFonts w:ascii="Arial" w:hAnsi="Arial" w:cs="Arial"/>
          <w:sz w:val="24"/>
          <w:szCs w:val="24"/>
        </w:rPr>
        <w:t>s 14(7)</w:t>
      </w:r>
      <w:r w:rsidR="00F374C2" w:rsidRPr="00052049">
        <w:rPr>
          <w:rFonts w:ascii="Arial" w:hAnsi="Arial" w:cs="Arial"/>
          <w:i/>
          <w:sz w:val="24"/>
          <w:szCs w:val="24"/>
        </w:rPr>
        <w:t>(a)</w:t>
      </w:r>
      <w:r w:rsidR="00F374C2">
        <w:rPr>
          <w:rFonts w:ascii="Arial" w:hAnsi="Arial" w:cs="Arial"/>
          <w:sz w:val="24"/>
          <w:szCs w:val="24"/>
        </w:rPr>
        <w:t xml:space="preserve"> which </w:t>
      </w:r>
      <w:r>
        <w:rPr>
          <w:rFonts w:ascii="Arial" w:hAnsi="Arial" w:cs="Arial"/>
          <w:sz w:val="24"/>
          <w:szCs w:val="24"/>
        </w:rPr>
        <w:t xml:space="preserve">expressly states that it </w:t>
      </w:r>
      <w:r w:rsidR="00F374C2">
        <w:rPr>
          <w:rFonts w:ascii="Arial" w:hAnsi="Arial" w:cs="Arial"/>
          <w:sz w:val="24"/>
          <w:szCs w:val="24"/>
        </w:rPr>
        <w:t xml:space="preserve">applies to civil proceedings where </w:t>
      </w:r>
      <w:r w:rsidR="00F374C2" w:rsidRPr="00EC6367">
        <w:rPr>
          <w:rFonts w:ascii="Arial" w:hAnsi="Arial" w:cs="Arial"/>
          <w:sz w:val="24"/>
          <w:szCs w:val="24"/>
          <w:u w:val="single"/>
        </w:rPr>
        <w:t>no</w:t>
      </w:r>
      <w:r w:rsidR="00F374C2">
        <w:rPr>
          <w:rFonts w:ascii="Arial" w:hAnsi="Arial" w:cs="Arial"/>
          <w:sz w:val="24"/>
          <w:szCs w:val="24"/>
        </w:rPr>
        <w:t xml:space="preserve"> leave </w:t>
      </w:r>
      <w:r w:rsidR="00F374C2">
        <w:rPr>
          <w:rFonts w:ascii="Arial" w:hAnsi="Arial" w:cs="Arial"/>
          <w:sz w:val="24"/>
          <w:szCs w:val="24"/>
        </w:rPr>
        <w:lastRenderedPageBreak/>
        <w:t xml:space="preserve">to appeal is required. </w:t>
      </w:r>
      <w:r>
        <w:rPr>
          <w:rFonts w:ascii="Arial" w:hAnsi="Arial" w:cs="Arial"/>
          <w:sz w:val="24"/>
          <w:szCs w:val="24"/>
        </w:rPr>
        <w:t>As for</w:t>
      </w:r>
      <w:r w:rsidR="00F374C2">
        <w:rPr>
          <w:rFonts w:ascii="Arial" w:hAnsi="Arial" w:cs="Arial"/>
          <w:sz w:val="24"/>
          <w:szCs w:val="24"/>
        </w:rPr>
        <w:t xml:space="preserve"> interlocutory matters, leave to appeal is required in terms of s 18(3) of the High Court Act.</w:t>
      </w:r>
      <w:r w:rsidR="00F374C2">
        <w:rPr>
          <w:rStyle w:val="FootnoteReference"/>
          <w:rFonts w:ascii="Arial" w:hAnsi="Arial" w:cs="Arial"/>
          <w:sz w:val="24"/>
          <w:szCs w:val="24"/>
        </w:rPr>
        <w:footnoteReference w:id="2"/>
      </w:r>
      <w:r>
        <w:rPr>
          <w:rFonts w:ascii="Arial" w:hAnsi="Arial" w:cs="Arial"/>
          <w:sz w:val="24"/>
          <w:szCs w:val="24"/>
        </w:rPr>
        <w:t xml:space="preserve"> This subsection provides:</w:t>
      </w:r>
    </w:p>
    <w:p w:rsidR="00EE5DE4" w:rsidRPr="000A0116" w:rsidRDefault="00EE5DE4" w:rsidP="00C71619">
      <w:pPr>
        <w:pStyle w:val="ListParagraph"/>
        <w:spacing w:after="0" w:line="480" w:lineRule="auto"/>
        <w:rPr>
          <w:rFonts w:ascii="Arial" w:hAnsi="Arial" w:cs="Arial"/>
        </w:rPr>
      </w:pPr>
    </w:p>
    <w:p w:rsidR="00EE5DE4" w:rsidRPr="000A0116" w:rsidRDefault="00EE5DE4" w:rsidP="008B241E">
      <w:pPr>
        <w:pStyle w:val="NoSpacing"/>
        <w:spacing w:line="360" w:lineRule="auto"/>
        <w:ind w:left="720"/>
        <w:jc w:val="both"/>
        <w:rPr>
          <w:rFonts w:ascii="Arial" w:hAnsi="Arial" w:cs="Arial"/>
        </w:rPr>
      </w:pPr>
      <w:r w:rsidRPr="000A0116">
        <w:rPr>
          <w:rFonts w:ascii="Arial" w:hAnsi="Arial" w:cs="Arial"/>
        </w:rPr>
        <w:t>‘</w:t>
      </w:r>
      <w:r w:rsidR="000A0116" w:rsidRPr="000A0116">
        <w:rPr>
          <w:rFonts w:ascii="Arial" w:hAnsi="Arial" w:cs="Arial"/>
        </w:rPr>
        <w:t>(3) No judgment or order where the judgment or order sought to be appealed from is an interlocutory order or an order as to costs only left by law to the discretion of the court shall be subject to appeal save with the leave of the court which has given the judgment or has made the order, or in the event of such leave to appeal being refused, leave to appeal being granted by the Supreme Court.’</w:t>
      </w:r>
    </w:p>
    <w:p w:rsidR="000A0116" w:rsidRPr="008B241E" w:rsidRDefault="000A0116" w:rsidP="00C71619">
      <w:pPr>
        <w:pStyle w:val="NoSpacing"/>
        <w:spacing w:line="480" w:lineRule="auto"/>
      </w:pPr>
    </w:p>
    <w:p w:rsidR="00EE5DE4" w:rsidRDefault="00EE5DE4" w:rsidP="008A40B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When the appellant was invited to address this court on whether the </w:t>
      </w:r>
      <w:r w:rsidR="00052049">
        <w:rPr>
          <w:rFonts w:ascii="Arial" w:hAnsi="Arial" w:cs="Arial"/>
          <w:sz w:val="24"/>
          <w:szCs w:val="24"/>
        </w:rPr>
        <w:t xml:space="preserve">striking of </w:t>
      </w:r>
      <w:r>
        <w:rPr>
          <w:rFonts w:ascii="Arial" w:hAnsi="Arial" w:cs="Arial"/>
          <w:sz w:val="24"/>
          <w:szCs w:val="24"/>
        </w:rPr>
        <w:t>his application</w:t>
      </w:r>
      <w:r w:rsidR="00052049">
        <w:rPr>
          <w:rFonts w:ascii="Arial" w:hAnsi="Arial" w:cs="Arial"/>
          <w:sz w:val="24"/>
          <w:szCs w:val="24"/>
        </w:rPr>
        <w:t xml:space="preserve"> by the High Court</w:t>
      </w:r>
      <w:r>
        <w:rPr>
          <w:rFonts w:ascii="Arial" w:hAnsi="Arial" w:cs="Arial"/>
          <w:sz w:val="24"/>
          <w:szCs w:val="24"/>
        </w:rPr>
        <w:t xml:space="preserve"> was a procedural matter and at best for him interlocutory, his response was that the principle in s 18 was that whenever the High Court sits as a court of first instance, </w:t>
      </w:r>
      <w:r w:rsidR="00052049">
        <w:rPr>
          <w:rFonts w:ascii="Arial" w:hAnsi="Arial" w:cs="Arial"/>
          <w:sz w:val="24"/>
          <w:szCs w:val="24"/>
        </w:rPr>
        <w:t xml:space="preserve">an </w:t>
      </w:r>
      <w:r>
        <w:rPr>
          <w:rFonts w:ascii="Arial" w:hAnsi="Arial" w:cs="Arial"/>
          <w:sz w:val="24"/>
          <w:szCs w:val="24"/>
        </w:rPr>
        <w:t xml:space="preserve">appeal lies as of right to this court. The appellant referred to a decision of this court in support of this contention, </w:t>
      </w:r>
      <w:r w:rsidRPr="00EE5DE4">
        <w:rPr>
          <w:rFonts w:ascii="Arial" w:hAnsi="Arial" w:cs="Arial"/>
          <w:i/>
          <w:sz w:val="24"/>
          <w:szCs w:val="24"/>
        </w:rPr>
        <w:t>Mento</w:t>
      </w:r>
      <w:r w:rsidR="008E25AA">
        <w:rPr>
          <w:rFonts w:ascii="Arial" w:hAnsi="Arial" w:cs="Arial"/>
          <w:i/>
          <w:sz w:val="24"/>
          <w:szCs w:val="24"/>
        </w:rPr>
        <w:t>o</w:t>
      </w:r>
      <w:r w:rsidRPr="00EE5DE4">
        <w:rPr>
          <w:rFonts w:ascii="Arial" w:hAnsi="Arial" w:cs="Arial"/>
          <w:i/>
          <w:sz w:val="24"/>
          <w:szCs w:val="24"/>
        </w:rPr>
        <w:t>r v Usebiu</w:t>
      </w:r>
      <w:r w:rsidRPr="00B835D4">
        <w:rPr>
          <w:rStyle w:val="FootnoteReference"/>
          <w:rFonts w:ascii="Arial" w:hAnsi="Arial" w:cs="Arial"/>
          <w:sz w:val="24"/>
          <w:szCs w:val="24"/>
        </w:rPr>
        <w:footnoteReference w:id="3"/>
      </w:r>
      <w:r>
        <w:rPr>
          <w:rFonts w:ascii="Arial" w:hAnsi="Arial" w:cs="Arial"/>
          <w:sz w:val="24"/>
          <w:szCs w:val="24"/>
        </w:rPr>
        <w:t xml:space="preserve">. The appellant’s citation </w:t>
      </w:r>
      <w:r w:rsidR="00052049">
        <w:rPr>
          <w:rFonts w:ascii="Arial" w:hAnsi="Arial" w:cs="Arial"/>
          <w:sz w:val="24"/>
          <w:szCs w:val="24"/>
        </w:rPr>
        <w:t>from</w:t>
      </w:r>
      <w:r>
        <w:rPr>
          <w:rFonts w:ascii="Arial" w:hAnsi="Arial" w:cs="Arial"/>
          <w:sz w:val="24"/>
          <w:szCs w:val="24"/>
        </w:rPr>
        <w:t xml:space="preserve"> this case is however selective</w:t>
      </w:r>
      <w:r w:rsidR="00483F40">
        <w:rPr>
          <w:rFonts w:ascii="Arial" w:hAnsi="Arial" w:cs="Arial"/>
          <w:sz w:val="24"/>
          <w:szCs w:val="24"/>
        </w:rPr>
        <w:t xml:space="preserve"> and without </w:t>
      </w:r>
      <w:r w:rsidR="00052049">
        <w:rPr>
          <w:rFonts w:ascii="Arial" w:hAnsi="Arial" w:cs="Arial"/>
          <w:sz w:val="24"/>
          <w:szCs w:val="24"/>
        </w:rPr>
        <w:t xml:space="preserve">an </w:t>
      </w:r>
      <w:r w:rsidR="00483F40">
        <w:rPr>
          <w:rFonts w:ascii="Arial" w:hAnsi="Arial" w:cs="Arial"/>
          <w:sz w:val="24"/>
          <w:szCs w:val="24"/>
        </w:rPr>
        <w:t xml:space="preserve">appreciation of the different context [where the High Court had in that matter sat as a court of appeal requiring </w:t>
      </w:r>
      <w:r w:rsidR="00052049">
        <w:rPr>
          <w:rFonts w:ascii="Arial" w:hAnsi="Arial" w:cs="Arial"/>
          <w:sz w:val="24"/>
          <w:szCs w:val="24"/>
        </w:rPr>
        <w:t>for a further</w:t>
      </w:r>
      <w:r w:rsidR="00483F40">
        <w:rPr>
          <w:rFonts w:ascii="Arial" w:hAnsi="Arial" w:cs="Arial"/>
          <w:sz w:val="24"/>
          <w:szCs w:val="24"/>
        </w:rPr>
        <w:t xml:space="preserve"> appeal under s 18(2)]. In the </w:t>
      </w:r>
      <w:r w:rsidR="00483F40" w:rsidRPr="00483F40">
        <w:rPr>
          <w:rFonts w:ascii="Arial" w:hAnsi="Arial" w:cs="Arial"/>
          <w:i/>
          <w:sz w:val="24"/>
          <w:szCs w:val="24"/>
        </w:rPr>
        <w:t>Mento</w:t>
      </w:r>
      <w:r w:rsidR="008E25AA">
        <w:rPr>
          <w:rFonts w:ascii="Arial" w:hAnsi="Arial" w:cs="Arial"/>
          <w:i/>
          <w:sz w:val="24"/>
          <w:szCs w:val="24"/>
        </w:rPr>
        <w:t>o</w:t>
      </w:r>
      <w:r w:rsidR="00483F40" w:rsidRPr="00483F40">
        <w:rPr>
          <w:rFonts w:ascii="Arial" w:hAnsi="Arial" w:cs="Arial"/>
          <w:i/>
          <w:sz w:val="24"/>
          <w:szCs w:val="24"/>
        </w:rPr>
        <w:t>r</w:t>
      </w:r>
      <w:r w:rsidR="00483F40">
        <w:rPr>
          <w:rFonts w:ascii="Arial" w:hAnsi="Arial" w:cs="Arial"/>
          <w:sz w:val="24"/>
          <w:szCs w:val="24"/>
        </w:rPr>
        <w:t xml:space="preserve"> case, the Chief Justice explained the ambit of s 18 in the following way:</w:t>
      </w:r>
    </w:p>
    <w:p w:rsidR="00483F40" w:rsidRPr="008B241E" w:rsidRDefault="00483F40" w:rsidP="00483F40">
      <w:pPr>
        <w:pStyle w:val="NoSpacing"/>
        <w:spacing w:line="480" w:lineRule="auto"/>
        <w:jc w:val="both"/>
        <w:rPr>
          <w:rFonts w:ascii="Arial" w:hAnsi="Arial" w:cs="Arial"/>
        </w:rPr>
      </w:pPr>
    </w:p>
    <w:p w:rsidR="008B241E" w:rsidRPr="008B241E" w:rsidRDefault="00C71619" w:rsidP="008B241E">
      <w:pPr>
        <w:pStyle w:val="NormalWeb"/>
        <w:shd w:val="clear" w:color="auto" w:fill="F8F8F8"/>
        <w:spacing w:before="0" w:beforeAutospacing="0" w:line="360" w:lineRule="auto"/>
        <w:ind w:left="1440" w:hanging="731"/>
        <w:jc w:val="both"/>
        <w:rPr>
          <w:rFonts w:ascii="Arial" w:hAnsi="Arial" w:cs="Arial"/>
          <w:sz w:val="22"/>
          <w:szCs w:val="22"/>
        </w:rPr>
      </w:pPr>
      <w:r>
        <w:rPr>
          <w:rFonts w:ascii="Arial" w:hAnsi="Arial" w:cs="Arial"/>
          <w:sz w:val="22"/>
          <w:szCs w:val="22"/>
        </w:rPr>
        <w:t>‘</w:t>
      </w:r>
      <w:r w:rsidR="008B241E" w:rsidRPr="008B241E">
        <w:rPr>
          <w:rFonts w:ascii="Arial" w:hAnsi="Arial" w:cs="Arial"/>
          <w:sz w:val="22"/>
          <w:szCs w:val="22"/>
        </w:rPr>
        <w:t>[7]        In deciding the issue stated above the starting point is s 18 of the High Court Act 16 of 1990 (the Act). Section 18(1) grants a right of appeal against a judgment or order given by the High Court in civil proceedings whether sitting as a court of first instance or a court of appeal to the Supreme Court ‘except in so far as this section otherwise provides’.</w:t>
      </w:r>
    </w:p>
    <w:p w:rsidR="008B241E" w:rsidRPr="008B241E" w:rsidRDefault="008B241E" w:rsidP="008B241E">
      <w:pPr>
        <w:pStyle w:val="NormalWeb"/>
        <w:shd w:val="clear" w:color="auto" w:fill="F8F8F8"/>
        <w:spacing w:before="0" w:beforeAutospacing="0" w:line="360" w:lineRule="auto"/>
        <w:ind w:left="1440" w:hanging="731"/>
        <w:jc w:val="both"/>
        <w:rPr>
          <w:rFonts w:ascii="Arial" w:hAnsi="Arial" w:cs="Arial"/>
          <w:sz w:val="22"/>
          <w:szCs w:val="22"/>
        </w:rPr>
      </w:pPr>
      <w:r w:rsidRPr="008B241E">
        <w:rPr>
          <w:rFonts w:ascii="Arial" w:hAnsi="Arial" w:cs="Arial"/>
          <w:sz w:val="22"/>
          <w:szCs w:val="22"/>
        </w:rPr>
        <w:t>[8]        Section 18(2) of the Act is of direct application to the facts of the case and provides ‘otherwise’ as follows:</w:t>
      </w:r>
    </w:p>
    <w:p w:rsidR="008B241E" w:rsidRPr="008B241E" w:rsidRDefault="008B241E" w:rsidP="008B241E">
      <w:pPr>
        <w:pStyle w:val="rteindent1"/>
        <w:shd w:val="clear" w:color="auto" w:fill="F8F8F8"/>
        <w:tabs>
          <w:tab w:val="left" w:pos="2835"/>
        </w:tabs>
        <w:spacing w:before="0" w:beforeAutospacing="0" w:line="360" w:lineRule="auto"/>
        <w:ind w:left="2160"/>
        <w:jc w:val="both"/>
        <w:rPr>
          <w:rFonts w:ascii="Arial" w:hAnsi="Arial" w:cs="Arial"/>
          <w:sz w:val="22"/>
          <w:szCs w:val="22"/>
        </w:rPr>
      </w:pPr>
      <w:r>
        <w:rPr>
          <w:rFonts w:ascii="Arial" w:hAnsi="Arial" w:cs="Arial"/>
          <w:sz w:val="22"/>
          <w:szCs w:val="22"/>
        </w:rPr>
        <w:lastRenderedPageBreak/>
        <w:t>'(2)</w:t>
      </w:r>
      <w:r>
        <w:rPr>
          <w:rFonts w:ascii="Arial" w:hAnsi="Arial" w:cs="Arial"/>
          <w:sz w:val="22"/>
          <w:szCs w:val="22"/>
        </w:rPr>
        <w:tab/>
      </w:r>
      <w:r w:rsidRPr="008B241E">
        <w:rPr>
          <w:rFonts w:ascii="Arial" w:hAnsi="Arial" w:cs="Arial"/>
          <w:sz w:val="22"/>
          <w:szCs w:val="22"/>
        </w:rPr>
        <w:t>An appeal from any judgment or order of the High Court in civil proceedings shall lie ˗         </w:t>
      </w:r>
    </w:p>
    <w:p w:rsidR="008B241E" w:rsidRDefault="008B241E" w:rsidP="008B241E">
      <w:pPr>
        <w:pStyle w:val="rteindent1"/>
        <w:shd w:val="clear" w:color="auto" w:fill="F8F8F8"/>
        <w:spacing w:before="0" w:beforeAutospacing="0" w:line="360" w:lineRule="auto"/>
        <w:ind w:left="3600" w:hanging="623"/>
        <w:jc w:val="both"/>
        <w:rPr>
          <w:rFonts w:ascii="Arial" w:hAnsi="Arial" w:cs="Arial"/>
          <w:sz w:val="22"/>
          <w:szCs w:val="22"/>
        </w:rPr>
      </w:pPr>
      <w:r>
        <w:rPr>
          <w:rFonts w:ascii="Arial" w:hAnsi="Arial" w:cs="Arial"/>
          <w:sz w:val="22"/>
          <w:szCs w:val="22"/>
        </w:rPr>
        <w:t>(a)      </w:t>
      </w:r>
      <w:r w:rsidRPr="008B241E">
        <w:rPr>
          <w:rFonts w:ascii="Arial" w:hAnsi="Arial" w:cs="Arial"/>
          <w:sz w:val="22"/>
          <w:szCs w:val="22"/>
        </w:rPr>
        <w:t>in the case of that court sitting as a court of first instance, whether the full court or otherwise, to the Supreme Court, as of right, and no leave to appeal shall be required;</w:t>
      </w:r>
    </w:p>
    <w:p w:rsidR="008B241E" w:rsidRPr="008B241E" w:rsidRDefault="008B241E" w:rsidP="008B241E">
      <w:pPr>
        <w:pStyle w:val="rteindent1"/>
        <w:shd w:val="clear" w:color="auto" w:fill="F8F8F8"/>
        <w:spacing w:before="0" w:beforeAutospacing="0" w:line="360" w:lineRule="auto"/>
        <w:ind w:left="3600" w:hanging="623"/>
        <w:jc w:val="both"/>
        <w:rPr>
          <w:rFonts w:ascii="Arial" w:hAnsi="Arial" w:cs="Arial"/>
          <w:sz w:val="22"/>
          <w:szCs w:val="22"/>
        </w:rPr>
      </w:pPr>
      <w:r>
        <w:rPr>
          <w:rFonts w:ascii="Arial" w:hAnsi="Arial" w:cs="Arial"/>
          <w:sz w:val="22"/>
          <w:szCs w:val="22"/>
        </w:rPr>
        <w:t>(b)      </w:t>
      </w:r>
      <w:r w:rsidRPr="008B241E">
        <w:rPr>
          <w:rFonts w:ascii="Arial" w:hAnsi="Arial" w:cs="Arial"/>
          <w:sz w:val="22"/>
          <w:szCs w:val="22"/>
        </w:rPr>
        <w:t>in the case of that court sitting as a court of appeal, whether the full court or otherwise, to the Supreme Court if leave to appeal is granted by the court which has given the judgment or has made the order or, in the event of such leave being refused, leave to appeal is granted by the Supreme Court.’</w:t>
      </w:r>
    </w:p>
    <w:p w:rsidR="008B241E" w:rsidRPr="008B241E" w:rsidRDefault="008B241E" w:rsidP="008B241E">
      <w:pPr>
        <w:pStyle w:val="NormalWeb"/>
        <w:shd w:val="clear" w:color="auto" w:fill="F8F8F8"/>
        <w:spacing w:before="0" w:beforeAutospacing="0" w:line="360" w:lineRule="auto"/>
        <w:ind w:left="1440" w:hanging="731"/>
        <w:jc w:val="both"/>
        <w:rPr>
          <w:rFonts w:ascii="Arial" w:hAnsi="Arial" w:cs="Arial"/>
          <w:sz w:val="22"/>
          <w:szCs w:val="22"/>
        </w:rPr>
      </w:pPr>
      <w:r w:rsidRPr="008B241E">
        <w:rPr>
          <w:rFonts w:ascii="Arial" w:hAnsi="Arial" w:cs="Arial"/>
          <w:sz w:val="22"/>
          <w:szCs w:val="22"/>
        </w:rPr>
        <w:t>[9]        According to s 18(2)</w:t>
      </w:r>
      <w:r w:rsidRPr="008B241E">
        <w:rPr>
          <w:rStyle w:val="Emphasis"/>
          <w:rFonts w:ascii="Arial" w:hAnsi="Arial" w:cs="Arial"/>
          <w:sz w:val="22"/>
          <w:szCs w:val="22"/>
        </w:rPr>
        <w:t>(a)</w:t>
      </w:r>
      <w:r w:rsidRPr="008B241E">
        <w:rPr>
          <w:rFonts w:ascii="Arial" w:hAnsi="Arial" w:cs="Arial"/>
          <w:sz w:val="22"/>
          <w:szCs w:val="22"/>
        </w:rPr>
        <w:t>, if the High Court sits as a court of first instance in civil proceedings, an appeal against a judgment or order of the High Court lies as of right to this court. This, however, is not the case where the High Court has sat as a court of appeal. In such a circumstance, a judgment or order of the High Court is not appealable as of right. Leave to appeal to the Supreme Court must first be sought and obtained from the High Court. However, if leave to appeal is refused by the High Court, then the Supreme Court must be approached with a petition for leave to appeal. See </w:t>
      </w:r>
      <w:r w:rsidRPr="008B241E">
        <w:rPr>
          <w:rStyle w:val="Emphasis"/>
          <w:rFonts w:ascii="Arial" w:hAnsi="Arial" w:cs="Arial"/>
          <w:sz w:val="22"/>
          <w:szCs w:val="22"/>
        </w:rPr>
        <w:t>M Pupkewitz &amp; Sons (Pty) Ltd t/a Pupkewitz Megabuilt v Kurz </w:t>
      </w:r>
      <w:r w:rsidRPr="008B241E">
        <w:rPr>
          <w:rFonts w:ascii="Arial" w:hAnsi="Arial" w:cs="Arial"/>
          <w:sz w:val="22"/>
          <w:szCs w:val="22"/>
        </w:rPr>
        <w:t>2008 (2) NR 775 (SC). See also s 14 of the Supreme Court Act 15 of 1990.</w:t>
      </w:r>
      <w:r w:rsidR="00C71619">
        <w:rPr>
          <w:rFonts w:ascii="Arial" w:hAnsi="Arial" w:cs="Arial"/>
          <w:sz w:val="22"/>
          <w:szCs w:val="22"/>
        </w:rPr>
        <w:t>’</w:t>
      </w:r>
    </w:p>
    <w:p w:rsidR="00483F40" w:rsidRPr="00483F40" w:rsidRDefault="00483F40" w:rsidP="00483F40">
      <w:pPr>
        <w:pStyle w:val="NoSpacing"/>
        <w:spacing w:line="480" w:lineRule="auto"/>
        <w:jc w:val="both"/>
        <w:rPr>
          <w:rFonts w:ascii="Arial" w:hAnsi="Arial" w:cs="Arial"/>
          <w:sz w:val="24"/>
          <w:szCs w:val="24"/>
        </w:rPr>
      </w:pPr>
    </w:p>
    <w:p w:rsidR="00483F40" w:rsidRDefault="00483F40" w:rsidP="008A40B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Section 18(3) i</w:t>
      </w:r>
      <w:r w:rsidR="008E25AA">
        <w:rPr>
          <w:rFonts w:ascii="Arial" w:hAnsi="Arial" w:cs="Arial"/>
          <w:sz w:val="24"/>
          <w:szCs w:val="24"/>
        </w:rPr>
        <w:t>s</w:t>
      </w:r>
      <w:r>
        <w:rPr>
          <w:rFonts w:ascii="Arial" w:hAnsi="Arial" w:cs="Arial"/>
          <w:sz w:val="24"/>
          <w:szCs w:val="24"/>
        </w:rPr>
        <w:t xml:space="preserve"> another instance where that section provides otherwise</w:t>
      </w:r>
      <w:r w:rsidR="00052049">
        <w:rPr>
          <w:rFonts w:ascii="Arial" w:hAnsi="Arial" w:cs="Arial"/>
          <w:sz w:val="24"/>
          <w:szCs w:val="24"/>
        </w:rPr>
        <w:t xml:space="preserve"> – creating another exception to the general principle of the right to an appeal from the High Court in civil proceedings</w:t>
      </w:r>
      <w:r>
        <w:rPr>
          <w:rFonts w:ascii="Arial" w:hAnsi="Arial" w:cs="Arial"/>
          <w:sz w:val="24"/>
          <w:szCs w:val="24"/>
        </w:rPr>
        <w:t xml:space="preserve">. It does </w:t>
      </w:r>
      <w:r w:rsidR="00052049">
        <w:rPr>
          <w:rFonts w:ascii="Arial" w:hAnsi="Arial" w:cs="Arial"/>
          <w:sz w:val="24"/>
          <w:szCs w:val="24"/>
        </w:rPr>
        <w:t xml:space="preserve">so </w:t>
      </w:r>
      <w:r>
        <w:rPr>
          <w:rFonts w:ascii="Arial" w:hAnsi="Arial" w:cs="Arial"/>
          <w:sz w:val="24"/>
          <w:szCs w:val="24"/>
        </w:rPr>
        <w:t>in respect of interlocutory matters. It expressly requires that no judgment o</w:t>
      </w:r>
      <w:r w:rsidR="00754C2C">
        <w:rPr>
          <w:rFonts w:ascii="Arial" w:hAnsi="Arial" w:cs="Arial"/>
          <w:sz w:val="24"/>
          <w:szCs w:val="24"/>
        </w:rPr>
        <w:t>r order of an interlocutory nature is appealable to this court except with leave of the High Court.</w:t>
      </w:r>
      <w:r w:rsidR="00052049">
        <w:rPr>
          <w:rFonts w:ascii="Arial" w:hAnsi="Arial" w:cs="Arial"/>
          <w:sz w:val="24"/>
          <w:szCs w:val="24"/>
        </w:rPr>
        <w:t xml:space="preserve"> Interlocutory orders can thus only be appealed against with leave of the High Court. But interlocutory orders can only be appealed against if they are appealable.</w:t>
      </w:r>
    </w:p>
    <w:p w:rsidR="00C64AD9" w:rsidRDefault="00C64AD9" w:rsidP="00C64AD9">
      <w:pPr>
        <w:pStyle w:val="ListParagraph"/>
        <w:rPr>
          <w:rFonts w:ascii="Arial" w:hAnsi="Arial" w:cs="Arial"/>
          <w:sz w:val="24"/>
          <w:szCs w:val="24"/>
        </w:rPr>
      </w:pPr>
    </w:p>
    <w:p w:rsidR="00C64AD9" w:rsidRDefault="00C64AD9" w:rsidP="008A40B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leading judgment of this court on this issue is that of the Chief Justice in </w:t>
      </w:r>
      <w:r>
        <w:rPr>
          <w:rFonts w:ascii="Arial" w:hAnsi="Arial" w:cs="Arial"/>
          <w:i/>
          <w:sz w:val="24"/>
          <w:szCs w:val="24"/>
        </w:rPr>
        <w:t>Di Savino v Nedbank Namibia Ltd</w:t>
      </w:r>
      <w:r w:rsidRPr="00C64AD9">
        <w:rPr>
          <w:rStyle w:val="FootnoteReference"/>
          <w:rFonts w:ascii="Arial" w:hAnsi="Arial" w:cs="Arial"/>
          <w:sz w:val="24"/>
          <w:szCs w:val="24"/>
        </w:rPr>
        <w:footnoteReference w:id="4"/>
      </w:r>
      <w:r>
        <w:rPr>
          <w:rFonts w:ascii="Arial" w:hAnsi="Arial" w:cs="Arial"/>
          <w:sz w:val="24"/>
          <w:szCs w:val="24"/>
        </w:rPr>
        <w:t xml:space="preserve"> which concluded:</w:t>
      </w:r>
    </w:p>
    <w:p w:rsidR="00C64AD9" w:rsidRDefault="00C64AD9" w:rsidP="00C71619">
      <w:pPr>
        <w:pStyle w:val="ListParagraph"/>
        <w:spacing w:after="0"/>
        <w:rPr>
          <w:rFonts w:ascii="Arial" w:hAnsi="Arial" w:cs="Arial"/>
          <w:sz w:val="24"/>
          <w:szCs w:val="24"/>
        </w:rPr>
      </w:pPr>
    </w:p>
    <w:p w:rsidR="00C64AD9" w:rsidRPr="00C64AD9" w:rsidRDefault="00C64AD9" w:rsidP="008E25AA">
      <w:pPr>
        <w:spacing w:line="360" w:lineRule="auto"/>
        <w:ind w:left="720"/>
        <w:jc w:val="both"/>
        <w:rPr>
          <w:rFonts w:ascii="Arial" w:hAnsi="Arial" w:cs="Arial"/>
        </w:rPr>
      </w:pPr>
      <w:r>
        <w:rPr>
          <w:rFonts w:ascii="Arial" w:hAnsi="Arial" w:cs="Arial"/>
        </w:rPr>
        <w:t>‘</w:t>
      </w:r>
      <w:r w:rsidRPr="00C64AD9">
        <w:rPr>
          <w:rFonts w:ascii="Arial" w:hAnsi="Arial" w:cs="Arial"/>
        </w:rPr>
        <w:t>It would appear to me therefore that the spirit of s 18(3) is that before a party can pursue an appeal against a judgment or order of the High Court, two requirements must be met. Firstly, the judgment or order must be appealable. Secondly, if the judgment or order is interlocutory, leave to appeal against such judgment or order must first be obtained even if the nature of the order or judgment satisfies the first requirement. The test whether a judgment or order satisfies the first requirement is as set out in many judgments of our courts as noted above and it is not necessary to repeat it here.</w:t>
      </w:r>
      <w:r>
        <w:rPr>
          <w:rFonts w:ascii="Arial" w:hAnsi="Arial" w:cs="Arial"/>
        </w:rPr>
        <w:t>’</w:t>
      </w:r>
    </w:p>
    <w:p w:rsidR="00C64AD9" w:rsidRDefault="00C64AD9" w:rsidP="00C71619">
      <w:pPr>
        <w:pStyle w:val="ListParagraph"/>
        <w:spacing w:after="0"/>
        <w:rPr>
          <w:rFonts w:ascii="Arial" w:hAnsi="Arial" w:cs="Arial"/>
          <w:sz w:val="24"/>
          <w:szCs w:val="24"/>
        </w:rPr>
      </w:pPr>
    </w:p>
    <w:p w:rsidR="006912D3" w:rsidRPr="006912D3" w:rsidRDefault="00C64AD9" w:rsidP="006912D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order by the High Court to remove the matter from the roll </w:t>
      </w:r>
      <w:r w:rsidR="006912D3">
        <w:rPr>
          <w:rFonts w:ascii="Arial" w:hAnsi="Arial" w:cs="Arial"/>
          <w:sz w:val="24"/>
          <w:szCs w:val="24"/>
        </w:rPr>
        <w:t>for a lack of service does not meet either requirement. In the first instance</w:t>
      </w:r>
      <w:r w:rsidR="00052049">
        <w:rPr>
          <w:rFonts w:ascii="Arial" w:hAnsi="Arial" w:cs="Arial"/>
          <w:sz w:val="24"/>
          <w:szCs w:val="24"/>
        </w:rPr>
        <w:t>,</w:t>
      </w:r>
      <w:r w:rsidR="006912D3">
        <w:rPr>
          <w:rFonts w:ascii="Arial" w:hAnsi="Arial" w:cs="Arial"/>
          <w:sz w:val="24"/>
          <w:szCs w:val="24"/>
        </w:rPr>
        <w:t xml:space="preserve"> the ruling itself was not appealable because it does not have the attributes of an appealable order. Those were set out in </w:t>
      </w:r>
      <w:r w:rsidR="006912D3">
        <w:rPr>
          <w:rFonts w:ascii="Arial" w:hAnsi="Arial" w:cs="Arial"/>
          <w:i/>
          <w:sz w:val="24"/>
          <w:szCs w:val="24"/>
        </w:rPr>
        <w:t>Zweni v Minister of Law and Order</w:t>
      </w:r>
      <w:r w:rsidR="006912D3" w:rsidRPr="006912D3">
        <w:rPr>
          <w:rStyle w:val="FootnoteReference"/>
          <w:rFonts w:ascii="Arial" w:hAnsi="Arial" w:cs="Arial"/>
          <w:sz w:val="24"/>
          <w:szCs w:val="24"/>
        </w:rPr>
        <w:footnoteReference w:id="5"/>
      </w:r>
      <w:r w:rsidR="006912D3">
        <w:rPr>
          <w:rFonts w:ascii="Arial" w:hAnsi="Arial" w:cs="Arial"/>
          <w:sz w:val="24"/>
          <w:szCs w:val="24"/>
        </w:rPr>
        <w:t xml:space="preserve"> and applied by this court in </w:t>
      </w:r>
      <w:r w:rsidR="006912D3">
        <w:rPr>
          <w:rFonts w:ascii="Arial" w:hAnsi="Arial" w:cs="Arial"/>
          <w:i/>
          <w:sz w:val="24"/>
          <w:szCs w:val="24"/>
        </w:rPr>
        <w:t>Di Savino</w:t>
      </w:r>
      <w:r w:rsidR="006912D3" w:rsidRPr="006912D3">
        <w:rPr>
          <w:rStyle w:val="FootnoteReference"/>
          <w:rFonts w:ascii="Arial" w:hAnsi="Arial" w:cs="Arial"/>
          <w:sz w:val="24"/>
          <w:szCs w:val="24"/>
        </w:rPr>
        <w:footnoteReference w:id="6"/>
      </w:r>
      <w:r w:rsidR="006912D3">
        <w:rPr>
          <w:rFonts w:ascii="Arial" w:hAnsi="Arial" w:cs="Arial"/>
          <w:sz w:val="24"/>
          <w:szCs w:val="24"/>
        </w:rPr>
        <w:t xml:space="preserve"> and are namely (i) the decision must be final in effect and not susceptible to alteration by that court; (ii) it must be definitive of the rights of the parties, ie by granting definite and distinct relief, and (iii) it must have the effect of disposing of at least a substantial portion of the relief claimed in those proceedings.</w:t>
      </w:r>
    </w:p>
    <w:p w:rsidR="00C64AD9" w:rsidRDefault="00C64AD9" w:rsidP="00C64AD9">
      <w:pPr>
        <w:pStyle w:val="ListParagraph"/>
        <w:rPr>
          <w:rFonts w:ascii="Arial" w:hAnsi="Arial" w:cs="Arial"/>
          <w:sz w:val="24"/>
          <w:szCs w:val="24"/>
        </w:rPr>
      </w:pPr>
    </w:p>
    <w:p w:rsidR="00C64AD9" w:rsidRDefault="006912D3" w:rsidP="008A40B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court in </w:t>
      </w:r>
      <w:r>
        <w:rPr>
          <w:rFonts w:ascii="Arial" w:hAnsi="Arial" w:cs="Arial"/>
          <w:i/>
          <w:sz w:val="24"/>
          <w:szCs w:val="24"/>
        </w:rPr>
        <w:t>Di Savino</w:t>
      </w:r>
      <w:r>
        <w:rPr>
          <w:rFonts w:ascii="Arial" w:hAnsi="Arial" w:cs="Arial"/>
          <w:sz w:val="24"/>
          <w:szCs w:val="24"/>
        </w:rPr>
        <w:t xml:space="preserve"> then determined that once it is </w:t>
      </w:r>
      <w:r w:rsidR="00E549C7">
        <w:rPr>
          <w:rFonts w:ascii="Arial" w:hAnsi="Arial" w:cs="Arial"/>
          <w:sz w:val="24"/>
          <w:szCs w:val="24"/>
        </w:rPr>
        <w:t>decided</w:t>
      </w:r>
      <w:r>
        <w:rPr>
          <w:rFonts w:ascii="Arial" w:hAnsi="Arial" w:cs="Arial"/>
          <w:sz w:val="24"/>
          <w:szCs w:val="24"/>
        </w:rPr>
        <w:t xml:space="preserve"> that an order is appealable, then the second requirement is considered – whether or not the order is interlocutory. If so, then leav</w:t>
      </w:r>
      <w:r w:rsidR="00F374C2">
        <w:rPr>
          <w:rFonts w:ascii="Arial" w:hAnsi="Arial" w:cs="Arial"/>
          <w:sz w:val="24"/>
          <w:szCs w:val="24"/>
        </w:rPr>
        <w:t>e of the High Court is required under s 18(3) of the High Court Act.</w:t>
      </w:r>
    </w:p>
    <w:p w:rsidR="00C64AD9" w:rsidRDefault="00C64AD9" w:rsidP="00C64AD9">
      <w:pPr>
        <w:pStyle w:val="ListParagraph"/>
        <w:rPr>
          <w:rFonts w:ascii="Arial" w:hAnsi="Arial" w:cs="Arial"/>
          <w:sz w:val="24"/>
          <w:szCs w:val="24"/>
        </w:rPr>
      </w:pPr>
    </w:p>
    <w:p w:rsidR="00C64AD9" w:rsidRDefault="006912D3" w:rsidP="008A40B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this matter, the High Court found that service on the </w:t>
      </w:r>
      <w:r w:rsidR="00B835D4">
        <w:rPr>
          <w:rFonts w:ascii="Arial" w:hAnsi="Arial" w:cs="Arial"/>
          <w:sz w:val="24"/>
          <w:szCs w:val="24"/>
        </w:rPr>
        <w:t>b</w:t>
      </w:r>
      <w:r>
        <w:rPr>
          <w:rFonts w:ascii="Arial" w:hAnsi="Arial" w:cs="Arial"/>
          <w:sz w:val="24"/>
          <w:szCs w:val="24"/>
        </w:rPr>
        <w:t xml:space="preserve">oard was fatally defective and a nullity </w:t>
      </w:r>
      <w:r w:rsidR="00E549C7">
        <w:rPr>
          <w:rFonts w:ascii="Arial" w:hAnsi="Arial" w:cs="Arial"/>
          <w:sz w:val="24"/>
          <w:szCs w:val="24"/>
        </w:rPr>
        <w:t xml:space="preserve">and </w:t>
      </w:r>
      <w:r>
        <w:rPr>
          <w:rFonts w:ascii="Arial" w:hAnsi="Arial" w:cs="Arial"/>
          <w:sz w:val="24"/>
          <w:szCs w:val="24"/>
        </w:rPr>
        <w:t>for that reason st</w:t>
      </w:r>
      <w:r w:rsidR="004616CD">
        <w:rPr>
          <w:rFonts w:ascii="Arial" w:hAnsi="Arial" w:cs="Arial"/>
          <w:sz w:val="24"/>
          <w:szCs w:val="24"/>
        </w:rPr>
        <w:t>r</w:t>
      </w:r>
      <w:r>
        <w:rPr>
          <w:rFonts w:ascii="Arial" w:hAnsi="Arial" w:cs="Arial"/>
          <w:sz w:val="24"/>
          <w:szCs w:val="24"/>
        </w:rPr>
        <w:t xml:space="preserve">uck the matter from the roll. That order does not meet the requisites already set out for an appealable order. The order lacks the hallmark of finality and is not definitive </w:t>
      </w:r>
      <w:r w:rsidR="00881C9F">
        <w:rPr>
          <w:rFonts w:ascii="Arial" w:hAnsi="Arial" w:cs="Arial"/>
          <w:sz w:val="24"/>
          <w:szCs w:val="24"/>
        </w:rPr>
        <w:t xml:space="preserve">of the rights of the parties and certainly did not have the effect of disposing of any portion of the relief claimed, let alone a substantial portion. Given </w:t>
      </w:r>
      <w:r w:rsidR="00F374C2">
        <w:rPr>
          <w:rFonts w:ascii="Arial" w:hAnsi="Arial" w:cs="Arial"/>
          <w:sz w:val="24"/>
          <w:szCs w:val="24"/>
        </w:rPr>
        <w:t xml:space="preserve">that </w:t>
      </w:r>
      <w:r w:rsidR="00881C9F">
        <w:rPr>
          <w:rFonts w:ascii="Arial" w:hAnsi="Arial" w:cs="Arial"/>
          <w:sz w:val="24"/>
          <w:szCs w:val="24"/>
        </w:rPr>
        <w:t>the order was not appealable, the further question as</w:t>
      </w:r>
      <w:r w:rsidR="008E25AA">
        <w:rPr>
          <w:rFonts w:ascii="Arial" w:hAnsi="Arial" w:cs="Arial"/>
          <w:sz w:val="24"/>
          <w:szCs w:val="24"/>
        </w:rPr>
        <w:t xml:space="preserve"> to</w:t>
      </w:r>
      <w:r w:rsidR="00881C9F">
        <w:rPr>
          <w:rFonts w:ascii="Arial" w:hAnsi="Arial" w:cs="Arial"/>
          <w:sz w:val="24"/>
          <w:szCs w:val="24"/>
        </w:rPr>
        <w:t xml:space="preserve"> </w:t>
      </w:r>
      <w:r w:rsidR="004616CD">
        <w:rPr>
          <w:rFonts w:ascii="Arial" w:hAnsi="Arial" w:cs="Arial"/>
          <w:sz w:val="24"/>
          <w:szCs w:val="24"/>
        </w:rPr>
        <w:t>the requirement of leave to appeal</w:t>
      </w:r>
      <w:r w:rsidR="004616CD">
        <w:rPr>
          <w:rStyle w:val="FootnoteReference"/>
          <w:rFonts w:ascii="Arial" w:hAnsi="Arial" w:cs="Arial"/>
          <w:sz w:val="24"/>
          <w:szCs w:val="24"/>
        </w:rPr>
        <w:footnoteReference w:id="7"/>
      </w:r>
      <w:r w:rsidR="00881C9F">
        <w:rPr>
          <w:rFonts w:ascii="Arial" w:hAnsi="Arial" w:cs="Arial"/>
          <w:sz w:val="24"/>
          <w:szCs w:val="24"/>
        </w:rPr>
        <w:t xml:space="preserve"> does not arise –</w:t>
      </w:r>
      <w:r w:rsidR="004616CD">
        <w:rPr>
          <w:rFonts w:ascii="Arial" w:hAnsi="Arial" w:cs="Arial"/>
          <w:sz w:val="24"/>
          <w:szCs w:val="24"/>
        </w:rPr>
        <w:t xml:space="preserve"> </w:t>
      </w:r>
      <w:r w:rsidR="00881C9F">
        <w:rPr>
          <w:rFonts w:ascii="Arial" w:hAnsi="Arial" w:cs="Arial"/>
          <w:sz w:val="24"/>
          <w:szCs w:val="24"/>
        </w:rPr>
        <w:t>which</w:t>
      </w:r>
      <w:r w:rsidR="004616CD">
        <w:rPr>
          <w:rFonts w:ascii="Arial" w:hAnsi="Arial" w:cs="Arial"/>
          <w:sz w:val="24"/>
          <w:szCs w:val="24"/>
        </w:rPr>
        <w:t xml:space="preserve"> in any</w:t>
      </w:r>
      <w:r w:rsidR="00881C9F">
        <w:rPr>
          <w:rFonts w:ascii="Arial" w:hAnsi="Arial" w:cs="Arial"/>
          <w:sz w:val="24"/>
          <w:szCs w:val="24"/>
        </w:rPr>
        <w:t xml:space="preserve"> event was not sought or granted.</w:t>
      </w:r>
    </w:p>
    <w:p w:rsidR="00C64AD9" w:rsidRDefault="00C64AD9" w:rsidP="00C64AD9">
      <w:pPr>
        <w:pStyle w:val="ListParagraph"/>
        <w:rPr>
          <w:rFonts w:ascii="Arial" w:hAnsi="Arial" w:cs="Arial"/>
          <w:sz w:val="24"/>
          <w:szCs w:val="24"/>
        </w:rPr>
      </w:pPr>
    </w:p>
    <w:p w:rsidR="00754C2C" w:rsidRDefault="00881C9F" w:rsidP="008A40B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w:t>
      </w:r>
      <w:r w:rsidR="00CA79F1">
        <w:rPr>
          <w:rFonts w:ascii="Arial" w:hAnsi="Arial" w:cs="Arial"/>
          <w:sz w:val="24"/>
          <w:szCs w:val="24"/>
        </w:rPr>
        <w:t>order sought to be taken on appeal</w:t>
      </w:r>
      <w:r>
        <w:rPr>
          <w:rFonts w:ascii="Arial" w:hAnsi="Arial" w:cs="Arial"/>
          <w:sz w:val="24"/>
          <w:szCs w:val="24"/>
        </w:rPr>
        <w:t xml:space="preserve"> is accordingly not </w:t>
      </w:r>
      <w:r w:rsidR="004616CD">
        <w:rPr>
          <w:rFonts w:ascii="Arial" w:hAnsi="Arial" w:cs="Arial"/>
          <w:sz w:val="24"/>
          <w:szCs w:val="24"/>
        </w:rPr>
        <w:t xml:space="preserve">an appealable order </w:t>
      </w:r>
      <w:r>
        <w:rPr>
          <w:rFonts w:ascii="Arial" w:hAnsi="Arial" w:cs="Arial"/>
          <w:sz w:val="24"/>
          <w:szCs w:val="24"/>
        </w:rPr>
        <w:t xml:space="preserve">within the ambit of s 18(3) of the </w:t>
      </w:r>
      <w:r w:rsidR="00E549C7">
        <w:rPr>
          <w:rFonts w:ascii="Arial" w:hAnsi="Arial" w:cs="Arial"/>
          <w:sz w:val="24"/>
          <w:szCs w:val="24"/>
        </w:rPr>
        <w:t xml:space="preserve">High Court </w:t>
      </w:r>
      <w:r>
        <w:rPr>
          <w:rFonts w:ascii="Arial" w:hAnsi="Arial" w:cs="Arial"/>
          <w:sz w:val="24"/>
          <w:szCs w:val="24"/>
        </w:rPr>
        <w:t xml:space="preserve">Act </w:t>
      </w:r>
      <w:r w:rsidR="008E25AA">
        <w:rPr>
          <w:rFonts w:ascii="Arial" w:hAnsi="Arial" w:cs="Arial"/>
          <w:sz w:val="24"/>
          <w:szCs w:val="24"/>
        </w:rPr>
        <w:t xml:space="preserve">and the matter </w:t>
      </w:r>
      <w:r>
        <w:rPr>
          <w:rFonts w:ascii="Arial" w:hAnsi="Arial" w:cs="Arial"/>
          <w:sz w:val="24"/>
          <w:szCs w:val="24"/>
        </w:rPr>
        <w:t xml:space="preserve">is bound to be struck from the roll. </w:t>
      </w:r>
      <w:r w:rsidR="00754C2C">
        <w:rPr>
          <w:rFonts w:ascii="Arial" w:hAnsi="Arial" w:cs="Arial"/>
          <w:sz w:val="24"/>
          <w:szCs w:val="24"/>
        </w:rPr>
        <w:t xml:space="preserve">This was also the basis for dismissing the application under </w:t>
      </w:r>
      <w:r w:rsidR="00C470C9">
        <w:rPr>
          <w:rFonts w:ascii="Arial" w:hAnsi="Arial" w:cs="Arial"/>
          <w:sz w:val="24"/>
          <w:szCs w:val="24"/>
        </w:rPr>
        <w:t xml:space="preserve">        </w:t>
      </w:r>
      <w:r w:rsidR="00754C2C">
        <w:rPr>
          <w:rFonts w:ascii="Arial" w:hAnsi="Arial" w:cs="Arial"/>
          <w:sz w:val="24"/>
          <w:szCs w:val="24"/>
        </w:rPr>
        <w:t xml:space="preserve">s 14(7) </w:t>
      </w:r>
      <w:r w:rsidR="00E3707F">
        <w:rPr>
          <w:rFonts w:ascii="Arial" w:hAnsi="Arial" w:cs="Arial"/>
          <w:sz w:val="24"/>
          <w:szCs w:val="24"/>
        </w:rPr>
        <w:t>which did not apply because</w:t>
      </w:r>
      <w:r w:rsidR="00754C2C">
        <w:rPr>
          <w:rFonts w:ascii="Arial" w:hAnsi="Arial" w:cs="Arial"/>
          <w:sz w:val="24"/>
          <w:szCs w:val="24"/>
        </w:rPr>
        <w:t xml:space="preserve"> the order sought to be taken on appeal was not appealable and thus not an appeal for the purpose of s 14(7).</w:t>
      </w:r>
    </w:p>
    <w:p w:rsidR="00754C2C" w:rsidRDefault="00754C2C" w:rsidP="00754C2C">
      <w:pPr>
        <w:pStyle w:val="ListParagraph"/>
        <w:rPr>
          <w:rFonts w:ascii="Arial" w:hAnsi="Arial" w:cs="Arial"/>
          <w:sz w:val="24"/>
          <w:szCs w:val="24"/>
        </w:rPr>
      </w:pPr>
    </w:p>
    <w:p w:rsidR="00C64AD9" w:rsidRDefault="00881C9F" w:rsidP="008A40B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the</w:t>
      </w:r>
      <w:r w:rsidR="00F374C2">
        <w:rPr>
          <w:rFonts w:ascii="Arial" w:hAnsi="Arial" w:cs="Arial"/>
          <w:sz w:val="24"/>
          <w:szCs w:val="24"/>
        </w:rPr>
        <w:t>re is thus no</w:t>
      </w:r>
      <w:r>
        <w:rPr>
          <w:rFonts w:ascii="Arial" w:hAnsi="Arial" w:cs="Arial"/>
          <w:sz w:val="24"/>
          <w:szCs w:val="24"/>
        </w:rPr>
        <w:t xml:space="preserve"> appeal </w:t>
      </w:r>
      <w:r w:rsidR="00F374C2">
        <w:rPr>
          <w:rFonts w:ascii="Arial" w:hAnsi="Arial" w:cs="Arial"/>
          <w:sz w:val="24"/>
          <w:szCs w:val="24"/>
        </w:rPr>
        <w:t xml:space="preserve">properly </w:t>
      </w:r>
      <w:r>
        <w:rPr>
          <w:rFonts w:ascii="Arial" w:hAnsi="Arial" w:cs="Arial"/>
          <w:sz w:val="24"/>
          <w:szCs w:val="24"/>
        </w:rPr>
        <w:t xml:space="preserve">before us, it </w:t>
      </w:r>
      <w:r w:rsidR="004616CD">
        <w:rPr>
          <w:rFonts w:ascii="Arial" w:hAnsi="Arial" w:cs="Arial"/>
          <w:sz w:val="24"/>
          <w:szCs w:val="24"/>
        </w:rPr>
        <w:t xml:space="preserve">is </w:t>
      </w:r>
      <w:r>
        <w:rPr>
          <w:rFonts w:ascii="Arial" w:hAnsi="Arial" w:cs="Arial"/>
          <w:sz w:val="24"/>
          <w:szCs w:val="24"/>
        </w:rPr>
        <w:t>not necessary to decide the issue of service which served before the High Court.</w:t>
      </w:r>
    </w:p>
    <w:p w:rsidR="00754C2C" w:rsidRDefault="00754C2C" w:rsidP="00754C2C">
      <w:pPr>
        <w:pStyle w:val="ListParagraph"/>
        <w:rPr>
          <w:rFonts w:ascii="Arial" w:hAnsi="Arial" w:cs="Arial"/>
          <w:sz w:val="24"/>
          <w:szCs w:val="24"/>
        </w:rPr>
      </w:pPr>
    </w:p>
    <w:p w:rsidR="00754C2C" w:rsidRDefault="00754C2C" w:rsidP="008A40B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for costs, the order in respect of the unsuccessful s 14(7) application was to the effect that the costs of that application would be costs in the appeal</w:t>
      </w:r>
      <w:r w:rsidR="00E3707F">
        <w:rPr>
          <w:rFonts w:ascii="Arial" w:hAnsi="Arial" w:cs="Arial"/>
          <w:sz w:val="24"/>
          <w:szCs w:val="24"/>
        </w:rPr>
        <w:t xml:space="preserve"> and thus depend upon the outcome of the appeal</w:t>
      </w:r>
      <w:r>
        <w:rPr>
          <w:rFonts w:ascii="Arial" w:hAnsi="Arial" w:cs="Arial"/>
          <w:sz w:val="24"/>
          <w:szCs w:val="24"/>
        </w:rPr>
        <w:t xml:space="preserve">. The appeal is unsuccessful as it is </w:t>
      </w:r>
      <w:r w:rsidR="00E3707F">
        <w:rPr>
          <w:rFonts w:ascii="Arial" w:hAnsi="Arial" w:cs="Arial"/>
          <w:sz w:val="24"/>
          <w:szCs w:val="24"/>
        </w:rPr>
        <w:t xml:space="preserve">to be </w:t>
      </w:r>
      <w:r>
        <w:rPr>
          <w:rFonts w:ascii="Arial" w:hAnsi="Arial" w:cs="Arial"/>
          <w:sz w:val="24"/>
          <w:szCs w:val="24"/>
        </w:rPr>
        <w:t>struck from the roll. The respondents who brought that application are accordingly to be awarded their costs. Even though, the respondents were not represented in court whe</w:t>
      </w:r>
      <w:r w:rsidR="000A0116">
        <w:rPr>
          <w:rFonts w:ascii="Arial" w:hAnsi="Arial" w:cs="Arial"/>
          <w:sz w:val="24"/>
          <w:szCs w:val="24"/>
        </w:rPr>
        <w:t>n the matter was argued, they are</w:t>
      </w:r>
      <w:r>
        <w:rPr>
          <w:rFonts w:ascii="Arial" w:hAnsi="Arial" w:cs="Arial"/>
          <w:sz w:val="24"/>
          <w:szCs w:val="24"/>
        </w:rPr>
        <w:t xml:space="preserve"> entitled to the costs incurred for atten</w:t>
      </w:r>
      <w:r w:rsidR="000A0116">
        <w:rPr>
          <w:rFonts w:ascii="Arial" w:hAnsi="Arial" w:cs="Arial"/>
          <w:sz w:val="24"/>
          <w:szCs w:val="24"/>
        </w:rPr>
        <w:t>da</w:t>
      </w:r>
      <w:r>
        <w:rPr>
          <w:rFonts w:ascii="Arial" w:hAnsi="Arial" w:cs="Arial"/>
          <w:sz w:val="24"/>
          <w:szCs w:val="24"/>
        </w:rPr>
        <w:t>nces actually undertaken in opposing the appeal. The extent of those</w:t>
      </w:r>
      <w:r w:rsidR="000A0116">
        <w:rPr>
          <w:rFonts w:ascii="Arial" w:hAnsi="Arial" w:cs="Arial"/>
          <w:sz w:val="24"/>
          <w:szCs w:val="24"/>
        </w:rPr>
        <w:t xml:space="preserve"> </w:t>
      </w:r>
      <w:r w:rsidR="000A0116">
        <w:rPr>
          <w:rFonts w:ascii="Arial" w:hAnsi="Arial" w:cs="Arial"/>
          <w:sz w:val="24"/>
          <w:szCs w:val="24"/>
        </w:rPr>
        <w:lastRenderedPageBreak/>
        <w:t xml:space="preserve">attendances would be a matter for the taxing master </w:t>
      </w:r>
      <w:r w:rsidR="00E3707F">
        <w:rPr>
          <w:rFonts w:ascii="Arial" w:hAnsi="Arial" w:cs="Arial"/>
          <w:sz w:val="24"/>
          <w:szCs w:val="24"/>
        </w:rPr>
        <w:t>but</w:t>
      </w:r>
      <w:r w:rsidR="000A0116">
        <w:rPr>
          <w:rFonts w:ascii="Arial" w:hAnsi="Arial" w:cs="Arial"/>
          <w:sz w:val="24"/>
          <w:szCs w:val="24"/>
        </w:rPr>
        <w:t xml:space="preserve"> would not include any costs relating to the date of hearing, given the absence of any appearance and the </w:t>
      </w:r>
      <w:r w:rsidR="00E3707F">
        <w:rPr>
          <w:rFonts w:ascii="Arial" w:hAnsi="Arial" w:cs="Arial"/>
          <w:sz w:val="24"/>
          <w:szCs w:val="24"/>
        </w:rPr>
        <w:t xml:space="preserve">unexplained </w:t>
      </w:r>
      <w:r w:rsidR="000A0116">
        <w:rPr>
          <w:rFonts w:ascii="Arial" w:hAnsi="Arial" w:cs="Arial"/>
          <w:sz w:val="24"/>
          <w:szCs w:val="24"/>
        </w:rPr>
        <w:t>failure to have filed any notice of withdrawal.</w:t>
      </w:r>
    </w:p>
    <w:p w:rsidR="00C64AD9" w:rsidRDefault="00C64AD9" w:rsidP="00C64AD9">
      <w:pPr>
        <w:pStyle w:val="ListParagraph"/>
        <w:rPr>
          <w:rFonts w:ascii="Arial" w:hAnsi="Arial" w:cs="Arial"/>
          <w:sz w:val="24"/>
          <w:szCs w:val="24"/>
        </w:rPr>
      </w:pPr>
    </w:p>
    <w:p w:rsidR="00C64AD9" w:rsidRDefault="00881C9F" w:rsidP="008A40B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following order is made:</w:t>
      </w:r>
    </w:p>
    <w:p w:rsidR="00881C9F" w:rsidRDefault="00881C9F" w:rsidP="00881C9F">
      <w:pPr>
        <w:pStyle w:val="ListParagraph"/>
        <w:rPr>
          <w:rFonts w:ascii="Arial" w:hAnsi="Arial" w:cs="Arial"/>
          <w:sz w:val="24"/>
          <w:szCs w:val="24"/>
        </w:rPr>
      </w:pPr>
    </w:p>
    <w:p w:rsidR="00881C9F" w:rsidRDefault="00881C9F" w:rsidP="00881C9F">
      <w:pPr>
        <w:pStyle w:val="NoSpacing"/>
        <w:numPr>
          <w:ilvl w:val="0"/>
          <w:numId w:val="35"/>
        </w:numPr>
        <w:spacing w:line="480" w:lineRule="auto"/>
        <w:jc w:val="both"/>
        <w:rPr>
          <w:rFonts w:ascii="Arial" w:hAnsi="Arial" w:cs="Arial"/>
          <w:sz w:val="24"/>
          <w:szCs w:val="24"/>
        </w:rPr>
      </w:pPr>
      <w:r>
        <w:rPr>
          <w:rFonts w:ascii="Arial" w:hAnsi="Arial" w:cs="Arial"/>
          <w:sz w:val="24"/>
          <w:szCs w:val="24"/>
        </w:rPr>
        <w:t>The appeal is struck from the roll with costs</w:t>
      </w:r>
      <w:r w:rsidR="00E549C7">
        <w:rPr>
          <w:rFonts w:ascii="Arial" w:hAnsi="Arial" w:cs="Arial"/>
          <w:sz w:val="24"/>
          <w:szCs w:val="24"/>
        </w:rPr>
        <w:t>, including the costs of the        s 14(7) application</w:t>
      </w:r>
      <w:r>
        <w:rPr>
          <w:rFonts w:ascii="Arial" w:hAnsi="Arial" w:cs="Arial"/>
          <w:sz w:val="24"/>
          <w:szCs w:val="24"/>
        </w:rPr>
        <w:t>.</w:t>
      </w:r>
    </w:p>
    <w:p w:rsidR="004616CD" w:rsidRDefault="004616CD" w:rsidP="004616CD">
      <w:pPr>
        <w:pStyle w:val="NoSpacing"/>
        <w:spacing w:line="480" w:lineRule="auto"/>
        <w:ind w:left="1080"/>
        <w:jc w:val="both"/>
        <w:rPr>
          <w:rFonts w:ascii="Arial" w:hAnsi="Arial" w:cs="Arial"/>
          <w:sz w:val="24"/>
          <w:szCs w:val="24"/>
        </w:rPr>
      </w:pPr>
    </w:p>
    <w:p w:rsidR="00881C9F" w:rsidRDefault="00881C9F" w:rsidP="00881C9F">
      <w:pPr>
        <w:pStyle w:val="NoSpacing"/>
        <w:numPr>
          <w:ilvl w:val="0"/>
          <w:numId w:val="35"/>
        </w:numPr>
        <w:spacing w:line="480" w:lineRule="auto"/>
        <w:jc w:val="both"/>
        <w:rPr>
          <w:rFonts w:ascii="Arial" w:hAnsi="Arial" w:cs="Arial"/>
          <w:sz w:val="24"/>
          <w:szCs w:val="24"/>
        </w:rPr>
      </w:pPr>
      <w:r>
        <w:rPr>
          <w:rFonts w:ascii="Arial" w:hAnsi="Arial" w:cs="Arial"/>
          <w:sz w:val="24"/>
          <w:szCs w:val="24"/>
        </w:rPr>
        <w:t>The matter is referred back to the High Court for further case management consistent with th</w:t>
      </w:r>
      <w:r w:rsidR="00F374C2">
        <w:rPr>
          <w:rFonts w:ascii="Arial" w:hAnsi="Arial" w:cs="Arial"/>
          <w:sz w:val="24"/>
          <w:szCs w:val="24"/>
        </w:rPr>
        <w:t>is</w:t>
      </w:r>
      <w:r>
        <w:rPr>
          <w:rFonts w:ascii="Arial" w:hAnsi="Arial" w:cs="Arial"/>
          <w:sz w:val="24"/>
          <w:szCs w:val="24"/>
        </w:rPr>
        <w:t xml:space="preserve"> judgment.</w:t>
      </w:r>
    </w:p>
    <w:p w:rsidR="00C64AD9" w:rsidRDefault="00C64AD9" w:rsidP="00C64AD9">
      <w:pPr>
        <w:pStyle w:val="ListParagraph"/>
        <w:rPr>
          <w:rFonts w:ascii="Arial" w:hAnsi="Arial" w:cs="Arial"/>
          <w:sz w:val="24"/>
          <w:szCs w:val="24"/>
        </w:rPr>
      </w:pPr>
    </w:p>
    <w:p w:rsidR="002772FF" w:rsidRDefault="002772FF" w:rsidP="00BD55B9">
      <w:pPr>
        <w:pStyle w:val="ListParagraph"/>
        <w:spacing w:after="0"/>
        <w:rPr>
          <w:rFonts w:ascii="Arial" w:hAnsi="Arial" w:cs="Arial"/>
          <w:sz w:val="24"/>
          <w:szCs w:val="24"/>
        </w:rPr>
      </w:pPr>
    </w:p>
    <w:p w:rsidR="000A0116" w:rsidRDefault="000A0116" w:rsidP="00BD55B9">
      <w:pPr>
        <w:pStyle w:val="ListParagraph"/>
        <w:spacing w:after="0"/>
        <w:rPr>
          <w:rFonts w:ascii="Arial" w:hAnsi="Arial" w:cs="Arial"/>
          <w:sz w:val="24"/>
          <w:szCs w:val="24"/>
        </w:rPr>
      </w:pPr>
    </w:p>
    <w:p w:rsidR="00E549C7" w:rsidRDefault="00E549C7" w:rsidP="00BD55B9">
      <w:pPr>
        <w:pStyle w:val="ListParagraph"/>
        <w:spacing w:after="0"/>
        <w:rPr>
          <w:rFonts w:ascii="Arial" w:hAnsi="Arial" w:cs="Arial"/>
          <w:sz w:val="24"/>
          <w:szCs w:val="24"/>
        </w:rPr>
      </w:pPr>
    </w:p>
    <w:p w:rsidR="00030C69" w:rsidRPr="0044790E"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p>
    <w:p w:rsidR="001C2720" w:rsidRPr="0044790E"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SMUTS JA</w:t>
      </w:r>
    </w:p>
    <w:p w:rsidR="00207296" w:rsidRDefault="00207296" w:rsidP="0044790E">
      <w:pPr>
        <w:pStyle w:val="NoSpacing"/>
        <w:spacing w:line="360" w:lineRule="auto"/>
        <w:jc w:val="both"/>
        <w:rPr>
          <w:rFonts w:ascii="Arial" w:hAnsi="Arial" w:cs="Arial"/>
          <w:b/>
          <w:sz w:val="24"/>
          <w:szCs w:val="24"/>
        </w:rPr>
      </w:pPr>
    </w:p>
    <w:p w:rsidR="002772FF" w:rsidRDefault="002772FF" w:rsidP="0044790E">
      <w:pPr>
        <w:pStyle w:val="NoSpacing"/>
        <w:spacing w:line="360" w:lineRule="auto"/>
        <w:jc w:val="both"/>
        <w:rPr>
          <w:rFonts w:ascii="Arial" w:hAnsi="Arial" w:cs="Arial"/>
          <w:b/>
          <w:sz w:val="24"/>
          <w:szCs w:val="24"/>
        </w:rPr>
      </w:pPr>
    </w:p>
    <w:p w:rsidR="00430321" w:rsidRDefault="00430321" w:rsidP="0044790E">
      <w:pPr>
        <w:pStyle w:val="NoSpacing"/>
        <w:spacing w:line="360" w:lineRule="auto"/>
        <w:jc w:val="both"/>
        <w:rPr>
          <w:rFonts w:ascii="Arial" w:hAnsi="Arial" w:cs="Arial"/>
          <w:b/>
          <w:sz w:val="24"/>
          <w:szCs w:val="24"/>
        </w:rPr>
      </w:pPr>
    </w:p>
    <w:p w:rsidR="002E426A" w:rsidRPr="0044790E" w:rsidRDefault="002E426A"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p>
    <w:p w:rsidR="004F7B5B" w:rsidRDefault="0008263C" w:rsidP="0044790E">
      <w:pPr>
        <w:pStyle w:val="NoSpacing"/>
        <w:spacing w:line="360" w:lineRule="auto"/>
        <w:rPr>
          <w:rFonts w:ascii="Arial" w:hAnsi="Arial" w:cs="Arial"/>
          <w:b/>
          <w:sz w:val="24"/>
          <w:szCs w:val="24"/>
        </w:rPr>
      </w:pPr>
      <w:r>
        <w:rPr>
          <w:rFonts w:ascii="Arial" w:hAnsi="Arial" w:cs="Arial"/>
          <w:b/>
          <w:sz w:val="24"/>
          <w:szCs w:val="24"/>
        </w:rPr>
        <w:t>SHIVUTE CJ</w:t>
      </w:r>
    </w:p>
    <w:p w:rsidR="00430321" w:rsidRDefault="00430321" w:rsidP="0044790E">
      <w:pPr>
        <w:pStyle w:val="NoSpacing"/>
        <w:spacing w:line="360" w:lineRule="auto"/>
        <w:rPr>
          <w:rFonts w:ascii="Arial" w:hAnsi="Arial" w:cs="Arial"/>
          <w:b/>
          <w:sz w:val="24"/>
          <w:szCs w:val="24"/>
        </w:rPr>
      </w:pPr>
    </w:p>
    <w:p w:rsidR="001C518C" w:rsidRDefault="001C518C" w:rsidP="0044790E">
      <w:pPr>
        <w:pStyle w:val="NoSpacing"/>
        <w:spacing w:line="360" w:lineRule="auto"/>
        <w:rPr>
          <w:rFonts w:ascii="Arial" w:hAnsi="Arial" w:cs="Arial"/>
          <w:b/>
          <w:sz w:val="24"/>
          <w:szCs w:val="24"/>
        </w:rPr>
      </w:pPr>
    </w:p>
    <w:p w:rsidR="002772FF" w:rsidRPr="0044790E" w:rsidRDefault="002772FF" w:rsidP="0044790E">
      <w:pPr>
        <w:pStyle w:val="NoSpacing"/>
        <w:spacing w:line="360" w:lineRule="auto"/>
        <w:rPr>
          <w:rFonts w:ascii="Arial" w:hAnsi="Arial" w:cs="Arial"/>
          <w:b/>
          <w:sz w:val="24"/>
          <w:szCs w:val="24"/>
        </w:rPr>
      </w:pPr>
    </w:p>
    <w:p w:rsidR="0044790E" w:rsidRPr="0044790E" w:rsidRDefault="0044790E" w:rsidP="0044790E">
      <w:pPr>
        <w:pStyle w:val="NoSpacing"/>
        <w:spacing w:line="360" w:lineRule="auto"/>
        <w:jc w:val="both"/>
        <w:rPr>
          <w:rFonts w:ascii="Arial" w:hAnsi="Arial" w:cs="Arial"/>
          <w:b/>
          <w:sz w:val="24"/>
          <w:szCs w:val="24"/>
        </w:rPr>
      </w:pPr>
      <w:r w:rsidRPr="0044790E">
        <w:rPr>
          <w:rFonts w:ascii="Arial" w:hAnsi="Arial" w:cs="Arial"/>
          <w:b/>
          <w:sz w:val="24"/>
          <w:szCs w:val="24"/>
        </w:rPr>
        <w:t>___________________</w:t>
      </w:r>
    </w:p>
    <w:p w:rsidR="002E426A" w:rsidRPr="001C25CA" w:rsidRDefault="000B1CCA" w:rsidP="000B1CCA">
      <w:pPr>
        <w:pStyle w:val="NoSpacing"/>
        <w:spacing w:line="360" w:lineRule="auto"/>
        <w:rPr>
          <w:rFonts w:ascii="Arial" w:hAnsi="Arial" w:cs="Arial"/>
          <w:sz w:val="24"/>
          <w:szCs w:val="24"/>
        </w:rPr>
      </w:pPr>
      <w:r>
        <w:rPr>
          <w:rFonts w:ascii="Arial" w:hAnsi="Arial" w:cs="Arial"/>
          <w:b/>
          <w:sz w:val="24"/>
          <w:szCs w:val="24"/>
        </w:rPr>
        <w:t>HOFF JA</w:t>
      </w:r>
      <w:r w:rsidR="002E426A" w:rsidRPr="001C25CA">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lastRenderedPageBreak/>
              <w:t>APPEARANCES</w:t>
            </w:r>
          </w:p>
          <w:p w:rsidR="00721889" w:rsidRPr="001C25CA" w:rsidRDefault="00721889" w:rsidP="00503269">
            <w:pPr>
              <w:ind w:right="-146"/>
              <w:rPr>
                <w:rFonts w:ascii="Arial" w:hAnsi="Arial" w:cs="Arial"/>
                <w:sz w:val="24"/>
                <w:szCs w:val="24"/>
              </w:rPr>
            </w:pPr>
          </w:p>
          <w:p w:rsidR="00721889" w:rsidRPr="001C25CA" w:rsidRDefault="00721889" w:rsidP="000B1CCA">
            <w:pPr>
              <w:ind w:left="-108" w:right="-146"/>
              <w:rPr>
                <w:rFonts w:ascii="Arial" w:hAnsi="Arial" w:cs="Arial"/>
                <w:sz w:val="24"/>
                <w:szCs w:val="24"/>
              </w:rPr>
            </w:pPr>
            <w:r w:rsidRPr="001C25CA">
              <w:rPr>
                <w:rFonts w:ascii="Arial" w:hAnsi="Arial" w:cs="Arial"/>
                <w:sz w:val="24"/>
                <w:szCs w:val="24"/>
              </w:rPr>
              <w:t>APPELLANT:</w:t>
            </w:r>
          </w:p>
        </w:tc>
        <w:tc>
          <w:tcPr>
            <w:tcW w:w="4261"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Pr="00013AB7" w:rsidRDefault="005E1AF8" w:rsidP="00503269">
            <w:pPr>
              <w:rPr>
                <w:rFonts w:ascii="Arial" w:hAnsi="Arial" w:cs="Arial"/>
                <w:sz w:val="24"/>
                <w:szCs w:val="24"/>
              </w:rPr>
            </w:pPr>
            <w:r>
              <w:rPr>
                <w:rFonts w:ascii="Arial" w:hAnsi="Arial" w:cs="Arial"/>
                <w:sz w:val="24"/>
                <w:szCs w:val="24"/>
              </w:rPr>
              <w:t>In person</w:t>
            </w:r>
          </w:p>
          <w:p w:rsidR="00644878" w:rsidRPr="001C25CA" w:rsidRDefault="00644878" w:rsidP="00F37388">
            <w:pPr>
              <w:rPr>
                <w:rFonts w:ascii="Arial" w:hAnsi="Arial" w:cs="Arial"/>
                <w:sz w:val="24"/>
                <w:szCs w:val="24"/>
              </w:rPr>
            </w:pPr>
          </w:p>
        </w:tc>
      </w:tr>
      <w:tr w:rsidR="00721889" w:rsidRPr="001C25CA" w:rsidTr="005C0BAB">
        <w:tc>
          <w:tcPr>
            <w:tcW w:w="4386" w:type="dxa"/>
            <w:shd w:val="clear" w:color="auto" w:fill="auto"/>
          </w:tcPr>
          <w:p w:rsidR="00721889" w:rsidRPr="001C25CA" w:rsidRDefault="00721889" w:rsidP="00503269">
            <w:pPr>
              <w:rPr>
                <w:rFonts w:ascii="Arial" w:hAnsi="Arial" w:cs="Arial"/>
                <w:sz w:val="24"/>
                <w:szCs w:val="24"/>
              </w:rPr>
            </w:pPr>
          </w:p>
          <w:p w:rsidR="00721889" w:rsidRPr="001C25CA" w:rsidRDefault="00721889" w:rsidP="007C7E3C">
            <w:pPr>
              <w:ind w:left="-108"/>
              <w:rPr>
                <w:rFonts w:ascii="Arial" w:hAnsi="Arial" w:cs="Arial"/>
                <w:sz w:val="24"/>
                <w:szCs w:val="24"/>
              </w:rPr>
            </w:pPr>
            <w:r w:rsidRPr="001C25CA">
              <w:rPr>
                <w:rFonts w:ascii="Arial" w:hAnsi="Arial" w:cs="Arial"/>
                <w:sz w:val="24"/>
                <w:szCs w:val="24"/>
              </w:rPr>
              <w:t>RESPONDENT</w:t>
            </w:r>
            <w:r w:rsidR="000B1CCA">
              <w:rPr>
                <w:rFonts w:ascii="Arial" w:hAnsi="Arial" w:cs="Arial"/>
                <w:sz w:val="24"/>
                <w:szCs w:val="24"/>
              </w:rPr>
              <w:t>S</w:t>
            </w:r>
            <w:r w:rsidRPr="001C25CA">
              <w:rPr>
                <w:rFonts w:ascii="Arial" w:hAnsi="Arial" w:cs="Arial"/>
                <w:sz w:val="24"/>
                <w:szCs w:val="24"/>
              </w:rPr>
              <w:t>:</w:t>
            </w:r>
          </w:p>
        </w:tc>
        <w:tc>
          <w:tcPr>
            <w:tcW w:w="4261" w:type="dxa"/>
            <w:shd w:val="clear" w:color="auto" w:fill="auto"/>
          </w:tcPr>
          <w:p w:rsidR="00721889" w:rsidRPr="001C25CA" w:rsidRDefault="00721889" w:rsidP="00503269">
            <w:pPr>
              <w:rPr>
                <w:rFonts w:ascii="Arial" w:hAnsi="Arial" w:cs="Arial"/>
                <w:sz w:val="24"/>
                <w:szCs w:val="24"/>
              </w:rPr>
            </w:pPr>
          </w:p>
          <w:p w:rsidR="00C06ED6" w:rsidRPr="001C25CA" w:rsidRDefault="00CB14BE" w:rsidP="00CB14BE">
            <w:pPr>
              <w:rPr>
                <w:rFonts w:ascii="Arial" w:hAnsi="Arial" w:cs="Arial"/>
                <w:sz w:val="24"/>
                <w:szCs w:val="24"/>
              </w:rPr>
            </w:pPr>
            <w:r>
              <w:rPr>
                <w:rFonts w:ascii="Arial" w:hAnsi="Arial" w:cs="Arial"/>
                <w:sz w:val="24"/>
                <w:szCs w:val="24"/>
              </w:rPr>
              <w:t>No appearance</w:t>
            </w:r>
          </w:p>
        </w:tc>
      </w:tr>
      <w:tr w:rsidR="00C06ED6" w:rsidRPr="001C25CA" w:rsidTr="004D6933">
        <w:tc>
          <w:tcPr>
            <w:tcW w:w="4386" w:type="dxa"/>
            <w:shd w:val="clear" w:color="auto" w:fill="auto"/>
          </w:tcPr>
          <w:p w:rsidR="00C06ED6" w:rsidRPr="001C25CA" w:rsidRDefault="00C06ED6" w:rsidP="00C06ED6">
            <w:pPr>
              <w:ind w:left="-108"/>
              <w:rPr>
                <w:rFonts w:ascii="Arial" w:hAnsi="Arial" w:cs="Arial"/>
                <w:sz w:val="24"/>
                <w:szCs w:val="24"/>
              </w:rPr>
            </w:pPr>
          </w:p>
        </w:tc>
        <w:tc>
          <w:tcPr>
            <w:tcW w:w="4261" w:type="dxa"/>
            <w:shd w:val="clear" w:color="auto" w:fill="auto"/>
          </w:tcPr>
          <w:p w:rsidR="00C06ED6" w:rsidRPr="001C25CA" w:rsidRDefault="00C06ED6" w:rsidP="00C06ED6">
            <w:pPr>
              <w:rPr>
                <w:rFonts w:ascii="Arial" w:hAnsi="Arial" w:cs="Arial"/>
                <w:sz w:val="24"/>
                <w:szCs w:val="24"/>
              </w:rPr>
            </w:pPr>
          </w:p>
        </w:tc>
      </w:tr>
    </w:tbl>
    <w:p w:rsidR="00721889" w:rsidRPr="001C25CA" w:rsidRDefault="00721889" w:rsidP="00C06ED6">
      <w:pPr>
        <w:pStyle w:val="NoSpacing"/>
        <w:jc w:val="both"/>
        <w:rPr>
          <w:rFonts w:ascii="Arial" w:hAnsi="Arial" w:cs="Arial"/>
          <w:sz w:val="24"/>
          <w:szCs w:val="24"/>
        </w:rPr>
      </w:pPr>
    </w:p>
    <w:sectPr w:rsidR="00721889" w:rsidRPr="001C25CA" w:rsidSect="00430321">
      <w:headerReference w:type="default" r:id="rId9"/>
      <w:pgSz w:w="11906" w:h="16838"/>
      <w:pgMar w:top="811" w:right="1418"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982" w:rsidRDefault="001E4982" w:rsidP="00B5013F">
      <w:pPr>
        <w:spacing w:after="0" w:line="240" w:lineRule="auto"/>
      </w:pPr>
      <w:r>
        <w:separator/>
      </w:r>
    </w:p>
  </w:endnote>
  <w:endnote w:type="continuationSeparator" w:id="0">
    <w:p w:rsidR="001E4982" w:rsidRDefault="001E4982"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982" w:rsidRDefault="001E4982" w:rsidP="00B5013F">
      <w:pPr>
        <w:spacing w:after="0" w:line="240" w:lineRule="auto"/>
      </w:pPr>
      <w:r>
        <w:separator/>
      </w:r>
    </w:p>
  </w:footnote>
  <w:footnote w:type="continuationSeparator" w:id="0">
    <w:p w:rsidR="001E4982" w:rsidRDefault="001E4982" w:rsidP="00B5013F">
      <w:pPr>
        <w:spacing w:after="0" w:line="240" w:lineRule="auto"/>
      </w:pPr>
      <w:r>
        <w:continuationSeparator/>
      </w:r>
    </w:p>
  </w:footnote>
  <w:footnote w:id="1">
    <w:p w:rsidR="00EC6367" w:rsidRPr="000A0116" w:rsidRDefault="00EC6367">
      <w:pPr>
        <w:pStyle w:val="FootnoteText"/>
        <w:rPr>
          <w:rFonts w:ascii="Arial" w:hAnsi="Arial" w:cs="Arial"/>
        </w:rPr>
      </w:pPr>
      <w:r w:rsidRPr="000A0116">
        <w:rPr>
          <w:rStyle w:val="FootnoteReference"/>
          <w:rFonts w:ascii="Arial" w:hAnsi="Arial" w:cs="Arial"/>
        </w:rPr>
        <w:footnoteRef/>
      </w:r>
      <w:r w:rsidRPr="000A0116">
        <w:rPr>
          <w:rFonts w:ascii="Arial" w:hAnsi="Arial" w:cs="Arial"/>
        </w:rPr>
        <w:t xml:space="preserve"> Act 15 of 1990.</w:t>
      </w:r>
    </w:p>
  </w:footnote>
  <w:footnote w:id="2">
    <w:p w:rsidR="00F374C2" w:rsidRPr="000A0116" w:rsidRDefault="00F374C2">
      <w:pPr>
        <w:pStyle w:val="FootnoteText"/>
        <w:rPr>
          <w:rFonts w:ascii="Arial" w:hAnsi="Arial" w:cs="Arial"/>
        </w:rPr>
      </w:pPr>
      <w:r w:rsidRPr="000A0116">
        <w:rPr>
          <w:rStyle w:val="FootnoteReference"/>
          <w:rFonts w:ascii="Arial" w:hAnsi="Arial" w:cs="Arial"/>
        </w:rPr>
        <w:footnoteRef/>
      </w:r>
      <w:r w:rsidRPr="000A0116">
        <w:rPr>
          <w:rFonts w:ascii="Arial" w:hAnsi="Arial" w:cs="Arial"/>
        </w:rPr>
        <w:t xml:space="preserve"> Act 16 of 1990</w:t>
      </w:r>
      <w:r w:rsidR="000243A1" w:rsidRPr="000A0116">
        <w:rPr>
          <w:rFonts w:ascii="Arial" w:hAnsi="Arial" w:cs="Arial"/>
        </w:rPr>
        <w:t xml:space="preserve"> (the High Court Act)</w:t>
      </w:r>
      <w:r w:rsidRPr="000A0116">
        <w:rPr>
          <w:rFonts w:ascii="Arial" w:hAnsi="Arial" w:cs="Arial"/>
        </w:rPr>
        <w:t>.</w:t>
      </w:r>
    </w:p>
  </w:footnote>
  <w:footnote w:id="3">
    <w:p w:rsidR="00EE5DE4" w:rsidRPr="000A0116" w:rsidRDefault="00EE5DE4">
      <w:pPr>
        <w:pStyle w:val="FootnoteText"/>
        <w:rPr>
          <w:rFonts w:ascii="Arial" w:hAnsi="Arial" w:cs="Arial"/>
        </w:rPr>
      </w:pPr>
      <w:r w:rsidRPr="000A0116">
        <w:rPr>
          <w:rStyle w:val="FootnoteReference"/>
          <w:rFonts w:ascii="Arial" w:hAnsi="Arial" w:cs="Arial"/>
        </w:rPr>
        <w:footnoteRef/>
      </w:r>
      <w:r w:rsidRPr="000A0116">
        <w:rPr>
          <w:rFonts w:ascii="Arial" w:hAnsi="Arial" w:cs="Arial"/>
        </w:rPr>
        <w:t xml:space="preserve"> Case No SA 24/2015</w:t>
      </w:r>
      <w:r w:rsidR="00052049">
        <w:rPr>
          <w:rFonts w:ascii="Arial" w:hAnsi="Arial" w:cs="Arial"/>
        </w:rPr>
        <w:t>, delivered</w:t>
      </w:r>
      <w:r w:rsidRPr="000A0116">
        <w:rPr>
          <w:rFonts w:ascii="Arial" w:hAnsi="Arial" w:cs="Arial"/>
        </w:rPr>
        <w:t xml:space="preserve"> 19 April 2017</w:t>
      </w:r>
      <w:r w:rsidR="00052049">
        <w:rPr>
          <w:rFonts w:ascii="Arial" w:hAnsi="Arial" w:cs="Arial"/>
        </w:rPr>
        <w:t xml:space="preserve"> (</w:t>
      </w:r>
      <w:r w:rsidR="00052049" w:rsidRPr="000A0116">
        <w:rPr>
          <w:rFonts w:ascii="Arial" w:hAnsi="Arial" w:cs="Arial"/>
        </w:rPr>
        <w:t>unreported</w:t>
      </w:r>
      <w:r w:rsidR="00052049">
        <w:rPr>
          <w:rFonts w:ascii="Arial" w:hAnsi="Arial" w:cs="Arial"/>
        </w:rPr>
        <w:t>)</w:t>
      </w:r>
      <w:r w:rsidRPr="000A0116">
        <w:rPr>
          <w:rFonts w:ascii="Arial" w:hAnsi="Arial" w:cs="Arial"/>
        </w:rPr>
        <w:t>.</w:t>
      </w:r>
    </w:p>
  </w:footnote>
  <w:footnote w:id="4">
    <w:p w:rsidR="00C64AD9" w:rsidRPr="000A0116" w:rsidRDefault="00C64AD9" w:rsidP="00881C9F">
      <w:pPr>
        <w:pStyle w:val="FootnoteText"/>
        <w:jc w:val="both"/>
        <w:rPr>
          <w:rFonts w:ascii="Arial" w:hAnsi="Arial" w:cs="Arial"/>
        </w:rPr>
      </w:pPr>
      <w:r w:rsidRPr="000A0116">
        <w:rPr>
          <w:rStyle w:val="FootnoteReference"/>
          <w:rFonts w:ascii="Arial" w:hAnsi="Arial" w:cs="Arial"/>
        </w:rPr>
        <w:footnoteRef/>
      </w:r>
      <w:r w:rsidRPr="000A0116">
        <w:rPr>
          <w:rFonts w:ascii="Arial" w:hAnsi="Arial" w:cs="Arial"/>
        </w:rPr>
        <w:t xml:space="preserve"> 2017</w:t>
      </w:r>
      <w:r w:rsidR="000243A1" w:rsidRPr="000A0116">
        <w:rPr>
          <w:rFonts w:ascii="Arial" w:hAnsi="Arial" w:cs="Arial"/>
        </w:rPr>
        <w:t xml:space="preserve"> </w:t>
      </w:r>
      <w:r w:rsidRPr="000A0116">
        <w:rPr>
          <w:rFonts w:ascii="Arial" w:hAnsi="Arial" w:cs="Arial"/>
        </w:rPr>
        <w:t>(3) N</w:t>
      </w:r>
      <w:r w:rsidR="000243A1" w:rsidRPr="000A0116">
        <w:rPr>
          <w:rFonts w:ascii="Arial" w:hAnsi="Arial" w:cs="Arial"/>
        </w:rPr>
        <w:t>R</w:t>
      </w:r>
      <w:r w:rsidRPr="000A0116">
        <w:rPr>
          <w:rFonts w:ascii="Arial" w:hAnsi="Arial" w:cs="Arial"/>
        </w:rPr>
        <w:t xml:space="preserve"> 880 (SC)</w:t>
      </w:r>
      <w:r w:rsidR="00052049">
        <w:rPr>
          <w:rFonts w:ascii="Arial" w:hAnsi="Arial" w:cs="Arial"/>
        </w:rPr>
        <w:t xml:space="preserve"> para 51</w:t>
      </w:r>
      <w:r w:rsidRPr="000A0116">
        <w:rPr>
          <w:rFonts w:ascii="Arial" w:hAnsi="Arial" w:cs="Arial"/>
        </w:rPr>
        <w:t>.</w:t>
      </w:r>
    </w:p>
  </w:footnote>
  <w:footnote w:id="5">
    <w:p w:rsidR="006912D3" w:rsidRPr="000A0116" w:rsidRDefault="006912D3" w:rsidP="00881C9F">
      <w:pPr>
        <w:pStyle w:val="FootnoteText"/>
        <w:jc w:val="both"/>
        <w:rPr>
          <w:rFonts w:ascii="Arial" w:hAnsi="Arial" w:cs="Arial"/>
        </w:rPr>
      </w:pPr>
      <w:r w:rsidRPr="000A0116">
        <w:rPr>
          <w:rStyle w:val="FootnoteReference"/>
          <w:rFonts w:ascii="Arial" w:hAnsi="Arial" w:cs="Arial"/>
        </w:rPr>
        <w:footnoteRef/>
      </w:r>
      <w:r w:rsidRPr="000A0116">
        <w:rPr>
          <w:rFonts w:ascii="Arial" w:hAnsi="Arial" w:cs="Arial"/>
        </w:rPr>
        <w:t xml:space="preserve"> 1993</w:t>
      </w:r>
      <w:r w:rsidR="000243A1" w:rsidRPr="000A0116">
        <w:rPr>
          <w:rFonts w:ascii="Arial" w:hAnsi="Arial" w:cs="Arial"/>
        </w:rPr>
        <w:t xml:space="preserve"> </w:t>
      </w:r>
      <w:r w:rsidRPr="000A0116">
        <w:rPr>
          <w:rFonts w:ascii="Arial" w:hAnsi="Arial" w:cs="Arial"/>
        </w:rPr>
        <w:t>(1) SA 523 (A).</w:t>
      </w:r>
    </w:p>
  </w:footnote>
  <w:footnote w:id="6">
    <w:p w:rsidR="006912D3" w:rsidRPr="000A0116" w:rsidRDefault="006912D3" w:rsidP="00881C9F">
      <w:pPr>
        <w:pStyle w:val="FootnoteText"/>
        <w:jc w:val="both"/>
        <w:rPr>
          <w:rFonts w:ascii="Arial" w:hAnsi="Arial" w:cs="Arial"/>
        </w:rPr>
      </w:pPr>
      <w:r w:rsidRPr="000A0116">
        <w:rPr>
          <w:rStyle w:val="FootnoteReference"/>
          <w:rFonts w:ascii="Arial" w:hAnsi="Arial" w:cs="Arial"/>
        </w:rPr>
        <w:footnoteRef/>
      </w:r>
      <w:r w:rsidRPr="000A0116">
        <w:rPr>
          <w:rFonts w:ascii="Arial" w:hAnsi="Arial" w:cs="Arial"/>
        </w:rPr>
        <w:t xml:space="preserve"> Para 16 and in </w:t>
      </w:r>
      <w:r w:rsidRPr="000A0116">
        <w:rPr>
          <w:rFonts w:ascii="Arial" w:hAnsi="Arial" w:cs="Arial"/>
          <w:i/>
        </w:rPr>
        <w:t xml:space="preserve">Shetu Trading CC v Chair, Tender Board of Namibia </w:t>
      </w:r>
      <w:r w:rsidR="000243A1" w:rsidRPr="000A0116">
        <w:rPr>
          <w:rFonts w:ascii="Arial" w:hAnsi="Arial" w:cs="Arial"/>
          <w:i/>
        </w:rPr>
        <w:t>&amp;</w:t>
      </w:r>
      <w:r w:rsidRPr="000A0116">
        <w:rPr>
          <w:rFonts w:ascii="Arial" w:hAnsi="Arial" w:cs="Arial"/>
          <w:i/>
        </w:rPr>
        <w:t xml:space="preserve"> others </w:t>
      </w:r>
      <w:r w:rsidRPr="000A0116">
        <w:rPr>
          <w:rFonts w:ascii="Arial" w:hAnsi="Arial" w:cs="Arial"/>
        </w:rPr>
        <w:t>2012</w:t>
      </w:r>
      <w:r w:rsidR="000243A1" w:rsidRPr="000A0116">
        <w:rPr>
          <w:rFonts w:ascii="Arial" w:hAnsi="Arial" w:cs="Arial"/>
        </w:rPr>
        <w:t xml:space="preserve"> </w:t>
      </w:r>
      <w:r w:rsidRPr="000A0116">
        <w:rPr>
          <w:rFonts w:ascii="Arial" w:hAnsi="Arial" w:cs="Arial"/>
        </w:rPr>
        <w:t>(1) NR 162 (SC).</w:t>
      </w:r>
    </w:p>
  </w:footnote>
  <w:footnote w:id="7">
    <w:p w:rsidR="004616CD" w:rsidRPr="000A0116" w:rsidRDefault="004616CD" w:rsidP="004616CD">
      <w:pPr>
        <w:pStyle w:val="FootnoteText"/>
        <w:jc w:val="both"/>
        <w:rPr>
          <w:rFonts w:ascii="Arial" w:hAnsi="Arial" w:cs="Arial"/>
        </w:rPr>
      </w:pPr>
      <w:r w:rsidRPr="000A0116">
        <w:rPr>
          <w:rStyle w:val="FootnoteReference"/>
          <w:rFonts w:ascii="Arial" w:hAnsi="Arial" w:cs="Arial"/>
        </w:rPr>
        <w:footnoteRef/>
      </w:r>
      <w:r w:rsidRPr="000A0116">
        <w:rPr>
          <w:rFonts w:ascii="Arial" w:hAnsi="Arial" w:cs="Arial"/>
        </w:rPr>
        <w:t xml:space="preserve"> In terms of s 18(3) of Act 16 of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20135474"/>
      <w:docPartObj>
        <w:docPartGallery w:val="Page Numbers (Top of Page)"/>
        <w:docPartUnique/>
      </w:docPartObj>
    </w:sdtPr>
    <w:sdtEndPr>
      <w:rPr>
        <w:noProof/>
      </w:rPr>
    </w:sdtEndPr>
    <w:sdtContent>
      <w:p w:rsidR="002F52F9" w:rsidRPr="00111C5B" w:rsidRDefault="002F52F9">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803D4B">
          <w:rPr>
            <w:rFonts w:ascii="Arial" w:hAnsi="Arial" w:cs="Arial"/>
            <w:noProof/>
            <w:sz w:val="24"/>
            <w:szCs w:val="24"/>
          </w:rPr>
          <w:t>2</w:t>
        </w:r>
        <w:r w:rsidRPr="00111C5B">
          <w:rPr>
            <w:rFonts w:ascii="Arial" w:hAnsi="Arial" w:cs="Arial"/>
            <w:noProof/>
            <w:sz w:val="24"/>
            <w:szCs w:val="24"/>
          </w:rPr>
          <w:fldChar w:fldCharType="end"/>
        </w:r>
      </w:p>
    </w:sdtContent>
  </w:sdt>
  <w:p w:rsidR="002F52F9" w:rsidRDefault="002F5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2BB"/>
    <w:multiLevelType w:val="hybridMultilevel"/>
    <w:tmpl w:val="734CB8EE"/>
    <w:lvl w:ilvl="0" w:tplc="121032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2146B6"/>
    <w:multiLevelType w:val="hybridMultilevel"/>
    <w:tmpl w:val="E9F62704"/>
    <w:lvl w:ilvl="0" w:tplc="BF42B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FD79E5"/>
    <w:multiLevelType w:val="hybridMultilevel"/>
    <w:tmpl w:val="FF261B72"/>
    <w:lvl w:ilvl="0" w:tplc="DF30DBA6">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7"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135E6F"/>
    <w:multiLevelType w:val="hybridMultilevel"/>
    <w:tmpl w:val="AAD8D012"/>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1DD24AE7"/>
    <w:multiLevelType w:val="hybridMultilevel"/>
    <w:tmpl w:val="9B72D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D421D3"/>
    <w:multiLevelType w:val="hybridMultilevel"/>
    <w:tmpl w:val="B5F04B00"/>
    <w:lvl w:ilvl="0" w:tplc="04B030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A50F7"/>
    <w:multiLevelType w:val="hybridMultilevel"/>
    <w:tmpl w:val="54024B86"/>
    <w:lvl w:ilvl="0" w:tplc="4FEA56D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3C0F5CE3"/>
    <w:multiLevelType w:val="hybridMultilevel"/>
    <w:tmpl w:val="C61A5962"/>
    <w:lvl w:ilvl="0" w:tplc="D6D675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40FB25B4"/>
    <w:multiLevelType w:val="hybridMultilevel"/>
    <w:tmpl w:val="9DFC34D2"/>
    <w:lvl w:ilvl="0" w:tplc="FEE09EAC">
      <w:start w:val="1"/>
      <w:numFmt w:val="lowerLetter"/>
      <w:lvlText w:val="(%1)"/>
      <w:lvlJc w:val="left"/>
      <w:pPr>
        <w:ind w:left="1080" w:hanging="360"/>
      </w:pPr>
      <w:rPr>
        <w:rFonts w:asciiTheme="minorHAnsi" w:hAnsiTheme="minorHAnsi" w:cstheme="minorBid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45B134E"/>
    <w:multiLevelType w:val="hybridMultilevel"/>
    <w:tmpl w:val="8EAE15B8"/>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4"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29"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27"/>
  </w:num>
  <w:num w:numId="3">
    <w:abstractNumId w:val="34"/>
  </w:num>
  <w:num w:numId="4">
    <w:abstractNumId w:val="22"/>
  </w:num>
  <w:num w:numId="5">
    <w:abstractNumId w:val="28"/>
  </w:num>
  <w:num w:numId="6">
    <w:abstractNumId w:val="2"/>
  </w:num>
  <w:num w:numId="7">
    <w:abstractNumId w:val="31"/>
  </w:num>
  <w:num w:numId="8">
    <w:abstractNumId w:val="12"/>
  </w:num>
  <w:num w:numId="9">
    <w:abstractNumId w:val="32"/>
  </w:num>
  <w:num w:numId="10">
    <w:abstractNumId w:val="20"/>
  </w:num>
  <w:num w:numId="11">
    <w:abstractNumId w:val="9"/>
  </w:num>
  <w:num w:numId="12">
    <w:abstractNumId w:val="6"/>
  </w:num>
  <w:num w:numId="13">
    <w:abstractNumId w:val="16"/>
  </w:num>
  <w:num w:numId="14">
    <w:abstractNumId w:val="23"/>
  </w:num>
  <w:num w:numId="15">
    <w:abstractNumId w:val="18"/>
  </w:num>
  <w:num w:numId="16">
    <w:abstractNumId w:val="17"/>
  </w:num>
  <w:num w:numId="17">
    <w:abstractNumId w:val="29"/>
  </w:num>
  <w:num w:numId="18">
    <w:abstractNumId w:val="33"/>
  </w:num>
  <w:num w:numId="19">
    <w:abstractNumId w:val="24"/>
  </w:num>
  <w:num w:numId="20">
    <w:abstractNumId w:val="30"/>
  </w:num>
  <w:num w:numId="21">
    <w:abstractNumId w:val="26"/>
  </w:num>
  <w:num w:numId="22">
    <w:abstractNumId w:val="7"/>
  </w:num>
  <w:num w:numId="23">
    <w:abstractNumId w:val="15"/>
  </w:num>
  <w:num w:numId="24">
    <w:abstractNumId w:val="4"/>
  </w:num>
  <w:num w:numId="25">
    <w:abstractNumId w:val="5"/>
  </w:num>
  <w:num w:numId="26">
    <w:abstractNumId w:val="25"/>
  </w:num>
  <w:num w:numId="27">
    <w:abstractNumId w:val="0"/>
  </w:num>
  <w:num w:numId="28">
    <w:abstractNumId w:val="3"/>
  </w:num>
  <w:num w:numId="29">
    <w:abstractNumId w:val="8"/>
  </w:num>
  <w:num w:numId="30">
    <w:abstractNumId w:val="21"/>
  </w:num>
  <w:num w:numId="31">
    <w:abstractNumId w:val="11"/>
  </w:num>
  <w:num w:numId="32">
    <w:abstractNumId w:val="1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15F4"/>
    <w:rsid w:val="0000225F"/>
    <w:rsid w:val="00004C4D"/>
    <w:rsid w:val="0000525D"/>
    <w:rsid w:val="00010CA6"/>
    <w:rsid w:val="00011B9E"/>
    <w:rsid w:val="00011EB9"/>
    <w:rsid w:val="00012D59"/>
    <w:rsid w:val="00012FAA"/>
    <w:rsid w:val="00013AB7"/>
    <w:rsid w:val="00016703"/>
    <w:rsid w:val="000177B8"/>
    <w:rsid w:val="00020736"/>
    <w:rsid w:val="00021ECC"/>
    <w:rsid w:val="00022452"/>
    <w:rsid w:val="00022644"/>
    <w:rsid w:val="000231F7"/>
    <w:rsid w:val="000243A1"/>
    <w:rsid w:val="00026DD5"/>
    <w:rsid w:val="0002744F"/>
    <w:rsid w:val="000276F0"/>
    <w:rsid w:val="00030C69"/>
    <w:rsid w:val="00031EBA"/>
    <w:rsid w:val="00033256"/>
    <w:rsid w:val="00034839"/>
    <w:rsid w:val="000400C4"/>
    <w:rsid w:val="00040AC4"/>
    <w:rsid w:val="00042A20"/>
    <w:rsid w:val="00042B3A"/>
    <w:rsid w:val="000433D8"/>
    <w:rsid w:val="00043713"/>
    <w:rsid w:val="00044AD2"/>
    <w:rsid w:val="00045931"/>
    <w:rsid w:val="000478EF"/>
    <w:rsid w:val="00052049"/>
    <w:rsid w:val="00052B8A"/>
    <w:rsid w:val="00055805"/>
    <w:rsid w:val="00057B7B"/>
    <w:rsid w:val="000610A3"/>
    <w:rsid w:val="000626CC"/>
    <w:rsid w:val="000643B5"/>
    <w:rsid w:val="00065459"/>
    <w:rsid w:val="00066723"/>
    <w:rsid w:val="0007080A"/>
    <w:rsid w:val="00071EB4"/>
    <w:rsid w:val="00073046"/>
    <w:rsid w:val="00073FC7"/>
    <w:rsid w:val="00074D92"/>
    <w:rsid w:val="00075ABD"/>
    <w:rsid w:val="00076790"/>
    <w:rsid w:val="00076931"/>
    <w:rsid w:val="00076F53"/>
    <w:rsid w:val="00077B52"/>
    <w:rsid w:val="0008009C"/>
    <w:rsid w:val="00081A0D"/>
    <w:rsid w:val="0008263C"/>
    <w:rsid w:val="000840CA"/>
    <w:rsid w:val="00084121"/>
    <w:rsid w:val="00090B47"/>
    <w:rsid w:val="000918CB"/>
    <w:rsid w:val="00092565"/>
    <w:rsid w:val="00092A31"/>
    <w:rsid w:val="00092D5D"/>
    <w:rsid w:val="00094C79"/>
    <w:rsid w:val="00096467"/>
    <w:rsid w:val="00096D67"/>
    <w:rsid w:val="000A0116"/>
    <w:rsid w:val="000A2F02"/>
    <w:rsid w:val="000A3C68"/>
    <w:rsid w:val="000A3CA0"/>
    <w:rsid w:val="000A3CE5"/>
    <w:rsid w:val="000A3F6B"/>
    <w:rsid w:val="000A4DEC"/>
    <w:rsid w:val="000B06C9"/>
    <w:rsid w:val="000B0A11"/>
    <w:rsid w:val="000B1CCA"/>
    <w:rsid w:val="000B587E"/>
    <w:rsid w:val="000B5B95"/>
    <w:rsid w:val="000B6715"/>
    <w:rsid w:val="000B75AB"/>
    <w:rsid w:val="000C1390"/>
    <w:rsid w:val="000C2A58"/>
    <w:rsid w:val="000C2D19"/>
    <w:rsid w:val="000C4126"/>
    <w:rsid w:val="000C5C13"/>
    <w:rsid w:val="000D1ADC"/>
    <w:rsid w:val="000D1E08"/>
    <w:rsid w:val="000D1F3C"/>
    <w:rsid w:val="000D2762"/>
    <w:rsid w:val="000D3FA5"/>
    <w:rsid w:val="000E008B"/>
    <w:rsid w:val="000E0BFC"/>
    <w:rsid w:val="000E3DF0"/>
    <w:rsid w:val="000E4E76"/>
    <w:rsid w:val="000E5305"/>
    <w:rsid w:val="000E6B27"/>
    <w:rsid w:val="000E6CCD"/>
    <w:rsid w:val="000F1A59"/>
    <w:rsid w:val="000F27F1"/>
    <w:rsid w:val="000F3DA6"/>
    <w:rsid w:val="000F4BBD"/>
    <w:rsid w:val="000F4E2E"/>
    <w:rsid w:val="000F542F"/>
    <w:rsid w:val="000F613E"/>
    <w:rsid w:val="000F61A4"/>
    <w:rsid w:val="000F7D77"/>
    <w:rsid w:val="00101FDB"/>
    <w:rsid w:val="0010254D"/>
    <w:rsid w:val="00104BAD"/>
    <w:rsid w:val="00105960"/>
    <w:rsid w:val="00105AAF"/>
    <w:rsid w:val="00107552"/>
    <w:rsid w:val="00111339"/>
    <w:rsid w:val="00111C5B"/>
    <w:rsid w:val="00112DA2"/>
    <w:rsid w:val="00114682"/>
    <w:rsid w:val="00114929"/>
    <w:rsid w:val="00115687"/>
    <w:rsid w:val="00115A1F"/>
    <w:rsid w:val="00117CE3"/>
    <w:rsid w:val="00120911"/>
    <w:rsid w:val="00120F58"/>
    <w:rsid w:val="00121972"/>
    <w:rsid w:val="001222DE"/>
    <w:rsid w:val="001227DB"/>
    <w:rsid w:val="0012439B"/>
    <w:rsid w:val="00125DEC"/>
    <w:rsid w:val="00126312"/>
    <w:rsid w:val="00126E64"/>
    <w:rsid w:val="00126F0A"/>
    <w:rsid w:val="00127445"/>
    <w:rsid w:val="00130103"/>
    <w:rsid w:val="00132216"/>
    <w:rsid w:val="001327CE"/>
    <w:rsid w:val="0013380E"/>
    <w:rsid w:val="00135038"/>
    <w:rsid w:val="0013608D"/>
    <w:rsid w:val="00136880"/>
    <w:rsid w:val="00140678"/>
    <w:rsid w:val="00140A9D"/>
    <w:rsid w:val="001423E7"/>
    <w:rsid w:val="0014303A"/>
    <w:rsid w:val="0015020C"/>
    <w:rsid w:val="0015083E"/>
    <w:rsid w:val="00151FFA"/>
    <w:rsid w:val="00153F19"/>
    <w:rsid w:val="0015782D"/>
    <w:rsid w:val="001578CD"/>
    <w:rsid w:val="001617C5"/>
    <w:rsid w:val="00161C35"/>
    <w:rsid w:val="001624CF"/>
    <w:rsid w:val="001634AF"/>
    <w:rsid w:val="00163660"/>
    <w:rsid w:val="00167F33"/>
    <w:rsid w:val="0017081A"/>
    <w:rsid w:val="0017115B"/>
    <w:rsid w:val="00173532"/>
    <w:rsid w:val="00180CE0"/>
    <w:rsid w:val="001838C9"/>
    <w:rsid w:val="00184D66"/>
    <w:rsid w:val="00185996"/>
    <w:rsid w:val="00190F70"/>
    <w:rsid w:val="00192135"/>
    <w:rsid w:val="00192C22"/>
    <w:rsid w:val="00193825"/>
    <w:rsid w:val="00194D51"/>
    <w:rsid w:val="001957EE"/>
    <w:rsid w:val="001A0E25"/>
    <w:rsid w:val="001A2B18"/>
    <w:rsid w:val="001A3D9C"/>
    <w:rsid w:val="001A4A99"/>
    <w:rsid w:val="001A582C"/>
    <w:rsid w:val="001A666A"/>
    <w:rsid w:val="001A6B0E"/>
    <w:rsid w:val="001A77B8"/>
    <w:rsid w:val="001A7909"/>
    <w:rsid w:val="001B4200"/>
    <w:rsid w:val="001B4618"/>
    <w:rsid w:val="001B61E6"/>
    <w:rsid w:val="001C1FD2"/>
    <w:rsid w:val="001C25C8"/>
    <w:rsid w:val="001C25CA"/>
    <w:rsid w:val="001C2720"/>
    <w:rsid w:val="001C518C"/>
    <w:rsid w:val="001C558D"/>
    <w:rsid w:val="001C7DF6"/>
    <w:rsid w:val="001D0810"/>
    <w:rsid w:val="001D08D7"/>
    <w:rsid w:val="001D3506"/>
    <w:rsid w:val="001D4398"/>
    <w:rsid w:val="001D4856"/>
    <w:rsid w:val="001D4EB4"/>
    <w:rsid w:val="001D54FB"/>
    <w:rsid w:val="001D58BA"/>
    <w:rsid w:val="001D608A"/>
    <w:rsid w:val="001D636E"/>
    <w:rsid w:val="001E18DF"/>
    <w:rsid w:val="001E299E"/>
    <w:rsid w:val="001E3888"/>
    <w:rsid w:val="001E44D9"/>
    <w:rsid w:val="001E4982"/>
    <w:rsid w:val="001E4C77"/>
    <w:rsid w:val="001F004F"/>
    <w:rsid w:val="001F4CB8"/>
    <w:rsid w:val="001F7942"/>
    <w:rsid w:val="0020220F"/>
    <w:rsid w:val="0020312C"/>
    <w:rsid w:val="0020572A"/>
    <w:rsid w:val="00206744"/>
    <w:rsid w:val="00207296"/>
    <w:rsid w:val="00207960"/>
    <w:rsid w:val="00207D05"/>
    <w:rsid w:val="0021448D"/>
    <w:rsid w:val="00215D8F"/>
    <w:rsid w:val="002212AD"/>
    <w:rsid w:val="002245DA"/>
    <w:rsid w:val="00224757"/>
    <w:rsid w:val="002317A5"/>
    <w:rsid w:val="002337F7"/>
    <w:rsid w:val="00235497"/>
    <w:rsid w:val="00235E57"/>
    <w:rsid w:val="00236C2D"/>
    <w:rsid w:val="0023748C"/>
    <w:rsid w:val="002441F9"/>
    <w:rsid w:val="002444CD"/>
    <w:rsid w:val="00244664"/>
    <w:rsid w:val="002447B6"/>
    <w:rsid w:val="002457A4"/>
    <w:rsid w:val="00251412"/>
    <w:rsid w:val="00262874"/>
    <w:rsid w:val="00262EF8"/>
    <w:rsid w:val="0026340F"/>
    <w:rsid w:val="00263481"/>
    <w:rsid w:val="002658ED"/>
    <w:rsid w:val="002662E3"/>
    <w:rsid w:val="00266E2B"/>
    <w:rsid w:val="00273EE9"/>
    <w:rsid w:val="00274F4E"/>
    <w:rsid w:val="002755A3"/>
    <w:rsid w:val="002772FF"/>
    <w:rsid w:val="002834E8"/>
    <w:rsid w:val="002855CF"/>
    <w:rsid w:val="00285C4B"/>
    <w:rsid w:val="00286029"/>
    <w:rsid w:val="00286F17"/>
    <w:rsid w:val="00290EE3"/>
    <w:rsid w:val="00291956"/>
    <w:rsid w:val="00291B16"/>
    <w:rsid w:val="002933AF"/>
    <w:rsid w:val="00294302"/>
    <w:rsid w:val="002A2B5C"/>
    <w:rsid w:val="002A4C01"/>
    <w:rsid w:val="002B0CAC"/>
    <w:rsid w:val="002B1CE3"/>
    <w:rsid w:val="002B2DA3"/>
    <w:rsid w:val="002B6F2A"/>
    <w:rsid w:val="002C0FC3"/>
    <w:rsid w:val="002C0FF2"/>
    <w:rsid w:val="002C1199"/>
    <w:rsid w:val="002C2CDC"/>
    <w:rsid w:val="002C3E6D"/>
    <w:rsid w:val="002C568C"/>
    <w:rsid w:val="002C758D"/>
    <w:rsid w:val="002D1B71"/>
    <w:rsid w:val="002D1D8D"/>
    <w:rsid w:val="002D1E38"/>
    <w:rsid w:val="002D1F1E"/>
    <w:rsid w:val="002D5D6D"/>
    <w:rsid w:val="002D60C7"/>
    <w:rsid w:val="002E426A"/>
    <w:rsid w:val="002E43C6"/>
    <w:rsid w:val="002E4E6A"/>
    <w:rsid w:val="002E708E"/>
    <w:rsid w:val="002F12B3"/>
    <w:rsid w:val="002F1E29"/>
    <w:rsid w:val="002F27EF"/>
    <w:rsid w:val="002F52F9"/>
    <w:rsid w:val="002F6451"/>
    <w:rsid w:val="002F7D7C"/>
    <w:rsid w:val="0030014D"/>
    <w:rsid w:val="00300CD3"/>
    <w:rsid w:val="003039EF"/>
    <w:rsid w:val="003042AF"/>
    <w:rsid w:val="00305FE9"/>
    <w:rsid w:val="00306CA5"/>
    <w:rsid w:val="0030702B"/>
    <w:rsid w:val="0030737F"/>
    <w:rsid w:val="0030775E"/>
    <w:rsid w:val="00310940"/>
    <w:rsid w:val="00312262"/>
    <w:rsid w:val="00317522"/>
    <w:rsid w:val="003212CE"/>
    <w:rsid w:val="0032135C"/>
    <w:rsid w:val="0032148F"/>
    <w:rsid w:val="00321ED1"/>
    <w:rsid w:val="00324725"/>
    <w:rsid w:val="0032579A"/>
    <w:rsid w:val="003276F9"/>
    <w:rsid w:val="00333E58"/>
    <w:rsid w:val="003346AE"/>
    <w:rsid w:val="0033772A"/>
    <w:rsid w:val="00337BE9"/>
    <w:rsid w:val="00346C25"/>
    <w:rsid w:val="00351E20"/>
    <w:rsid w:val="00352985"/>
    <w:rsid w:val="003551AC"/>
    <w:rsid w:val="00357C85"/>
    <w:rsid w:val="003619CC"/>
    <w:rsid w:val="00361E96"/>
    <w:rsid w:val="00362560"/>
    <w:rsid w:val="00363974"/>
    <w:rsid w:val="00370025"/>
    <w:rsid w:val="003745AA"/>
    <w:rsid w:val="0037609A"/>
    <w:rsid w:val="003801E5"/>
    <w:rsid w:val="00381349"/>
    <w:rsid w:val="003863FC"/>
    <w:rsid w:val="003879E0"/>
    <w:rsid w:val="00387E33"/>
    <w:rsid w:val="00395B99"/>
    <w:rsid w:val="00396B62"/>
    <w:rsid w:val="003A1DAC"/>
    <w:rsid w:val="003A2101"/>
    <w:rsid w:val="003A31DE"/>
    <w:rsid w:val="003A4CE3"/>
    <w:rsid w:val="003A78BA"/>
    <w:rsid w:val="003B0665"/>
    <w:rsid w:val="003B1AAE"/>
    <w:rsid w:val="003B5B36"/>
    <w:rsid w:val="003B72EC"/>
    <w:rsid w:val="003B782C"/>
    <w:rsid w:val="003B7CB7"/>
    <w:rsid w:val="003C231E"/>
    <w:rsid w:val="003C276A"/>
    <w:rsid w:val="003C3011"/>
    <w:rsid w:val="003C4C67"/>
    <w:rsid w:val="003D02CE"/>
    <w:rsid w:val="003D0CE6"/>
    <w:rsid w:val="003D2579"/>
    <w:rsid w:val="003D4A07"/>
    <w:rsid w:val="003D6A9C"/>
    <w:rsid w:val="003D6C13"/>
    <w:rsid w:val="003D7216"/>
    <w:rsid w:val="003E1056"/>
    <w:rsid w:val="003E289D"/>
    <w:rsid w:val="003E2DB6"/>
    <w:rsid w:val="003E322E"/>
    <w:rsid w:val="003E34C8"/>
    <w:rsid w:val="003E46F3"/>
    <w:rsid w:val="003E51AD"/>
    <w:rsid w:val="003E77F5"/>
    <w:rsid w:val="003E7F28"/>
    <w:rsid w:val="003F0E71"/>
    <w:rsid w:val="003F0F43"/>
    <w:rsid w:val="003F1463"/>
    <w:rsid w:val="003F2001"/>
    <w:rsid w:val="003F3800"/>
    <w:rsid w:val="003F5965"/>
    <w:rsid w:val="003F5E62"/>
    <w:rsid w:val="00400FC6"/>
    <w:rsid w:val="004023CC"/>
    <w:rsid w:val="00406D6A"/>
    <w:rsid w:val="00407728"/>
    <w:rsid w:val="004107D3"/>
    <w:rsid w:val="00413FB2"/>
    <w:rsid w:val="00414C3B"/>
    <w:rsid w:val="004154C8"/>
    <w:rsid w:val="0041592B"/>
    <w:rsid w:val="004165C2"/>
    <w:rsid w:val="00416D26"/>
    <w:rsid w:val="00416EF2"/>
    <w:rsid w:val="00417945"/>
    <w:rsid w:val="00417BF1"/>
    <w:rsid w:val="004211CC"/>
    <w:rsid w:val="004215C2"/>
    <w:rsid w:val="00422686"/>
    <w:rsid w:val="00424142"/>
    <w:rsid w:val="00427400"/>
    <w:rsid w:val="00430321"/>
    <w:rsid w:val="00431601"/>
    <w:rsid w:val="00432E79"/>
    <w:rsid w:val="00436AEB"/>
    <w:rsid w:val="00437C60"/>
    <w:rsid w:val="004425FC"/>
    <w:rsid w:val="0044790E"/>
    <w:rsid w:val="00450915"/>
    <w:rsid w:val="00451609"/>
    <w:rsid w:val="00454EC2"/>
    <w:rsid w:val="00456D8B"/>
    <w:rsid w:val="004577FF"/>
    <w:rsid w:val="00457F24"/>
    <w:rsid w:val="004616CD"/>
    <w:rsid w:val="00461B37"/>
    <w:rsid w:val="00464AAA"/>
    <w:rsid w:val="00470864"/>
    <w:rsid w:val="004732FD"/>
    <w:rsid w:val="004738B5"/>
    <w:rsid w:val="00475114"/>
    <w:rsid w:val="00475F4A"/>
    <w:rsid w:val="004774C0"/>
    <w:rsid w:val="00481680"/>
    <w:rsid w:val="00483F40"/>
    <w:rsid w:val="00485805"/>
    <w:rsid w:val="00485BB6"/>
    <w:rsid w:val="004921A4"/>
    <w:rsid w:val="00492B12"/>
    <w:rsid w:val="00493B5A"/>
    <w:rsid w:val="00494F8E"/>
    <w:rsid w:val="00497D6A"/>
    <w:rsid w:val="00497DB0"/>
    <w:rsid w:val="004A2184"/>
    <w:rsid w:val="004A4108"/>
    <w:rsid w:val="004A4875"/>
    <w:rsid w:val="004A4E9A"/>
    <w:rsid w:val="004A5FD0"/>
    <w:rsid w:val="004A60BA"/>
    <w:rsid w:val="004A64D1"/>
    <w:rsid w:val="004B07A4"/>
    <w:rsid w:val="004B1588"/>
    <w:rsid w:val="004B2A80"/>
    <w:rsid w:val="004B31D9"/>
    <w:rsid w:val="004B4AEE"/>
    <w:rsid w:val="004B584B"/>
    <w:rsid w:val="004B6477"/>
    <w:rsid w:val="004B6BA4"/>
    <w:rsid w:val="004C0E0B"/>
    <w:rsid w:val="004C0E72"/>
    <w:rsid w:val="004C4D6B"/>
    <w:rsid w:val="004C50CB"/>
    <w:rsid w:val="004D023F"/>
    <w:rsid w:val="004D1969"/>
    <w:rsid w:val="004D77F2"/>
    <w:rsid w:val="004E0F45"/>
    <w:rsid w:val="004E198A"/>
    <w:rsid w:val="004E21E1"/>
    <w:rsid w:val="004E232B"/>
    <w:rsid w:val="004E2834"/>
    <w:rsid w:val="004E2A24"/>
    <w:rsid w:val="004E34E5"/>
    <w:rsid w:val="004E503B"/>
    <w:rsid w:val="004E6C81"/>
    <w:rsid w:val="004E7000"/>
    <w:rsid w:val="004F0B37"/>
    <w:rsid w:val="004F0C0D"/>
    <w:rsid w:val="004F15DB"/>
    <w:rsid w:val="004F2F0E"/>
    <w:rsid w:val="004F41EF"/>
    <w:rsid w:val="004F44AA"/>
    <w:rsid w:val="004F5128"/>
    <w:rsid w:val="004F5883"/>
    <w:rsid w:val="004F7B5B"/>
    <w:rsid w:val="004F7C7C"/>
    <w:rsid w:val="00501505"/>
    <w:rsid w:val="00503269"/>
    <w:rsid w:val="00510B8B"/>
    <w:rsid w:val="00511905"/>
    <w:rsid w:val="00512CAD"/>
    <w:rsid w:val="00513468"/>
    <w:rsid w:val="005157B4"/>
    <w:rsid w:val="005168D5"/>
    <w:rsid w:val="00516EBB"/>
    <w:rsid w:val="005171C3"/>
    <w:rsid w:val="0051747D"/>
    <w:rsid w:val="00517EF4"/>
    <w:rsid w:val="005221AF"/>
    <w:rsid w:val="00524ED7"/>
    <w:rsid w:val="00525451"/>
    <w:rsid w:val="00525868"/>
    <w:rsid w:val="005301B6"/>
    <w:rsid w:val="0053087E"/>
    <w:rsid w:val="005318B8"/>
    <w:rsid w:val="00532C17"/>
    <w:rsid w:val="00532D93"/>
    <w:rsid w:val="00534547"/>
    <w:rsid w:val="0053623E"/>
    <w:rsid w:val="00536A02"/>
    <w:rsid w:val="0053799E"/>
    <w:rsid w:val="0055044E"/>
    <w:rsid w:val="00550DE2"/>
    <w:rsid w:val="00551CFA"/>
    <w:rsid w:val="0055212E"/>
    <w:rsid w:val="00552F70"/>
    <w:rsid w:val="00553981"/>
    <w:rsid w:val="00554FF4"/>
    <w:rsid w:val="00556075"/>
    <w:rsid w:val="00556D82"/>
    <w:rsid w:val="005617D0"/>
    <w:rsid w:val="00562666"/>
    <w:rsid w:val="00563855"/>
    <w:rsid w:val="005653A5"/>
    <w:rsid w:val="005717E1"/>
    <w:rsid w:val="00571EB3"/>
    <w:rsid w:val="00573289"/>
    <w:rsid w:val="00573E12"/>
    <w:rsid w:val="00576598"/>
    <w:rsid w:val="00581EA3"/>
    <w:rsid w:val="005821BB"/>
    <w:rsid w:val="00582D9F"/>
    <w:rsid w:val="00584213"/>
    <w:rsid w:val="00584D15"/>
    <w:rsid w:val="00587010"/>
    <w:rsid w:val="00592466"/>
    <w:rsid w:val="0059472F"/>
    <w:rsid w:val="00594EA3"/>
    <w:rsid w:val="005A0E6E"/>
    <w:rsid w:val="005A2269"/>
    <w:rsid w:val="005A3F59"/>
    <w:rsid w:val="005A531E"/>
    <w:rsid w:val="005A73A9"/>
    <w:rsid w:val="005B365F"/>
    <w:rsid w:val="005B4417"/>
    <w:rsid w:val="005B483F"/>
    <w:rsid w:val="005B496A"/>
    <w:rsid w:val="005C0BAB"/>
    <w:rsid w:val="005C38CD"/>
    <w:rsid w:val="005C40C0"/>
    <w:rsid w:val="005C577D"/>
    <w:rsid w:val="005C5B26"/>
    <w:rsid w:val="005C6696"/>
    <w:rsid w:val="005D057E"/>
    <w:rsid w:val="005D1CBE"/>
    <w:rsid w:val="005D3137"/>
    <w:rsid w:val="005D54CF"/>
    <w:rsid w:val="005D6CA4"/>
    <w:rsid w:val="005D6E01"/>
    <w:rsid w:val="005E1AF8"/>
    <w:rsid w:val="005E22D2"/>
    <w:rsid w:val="005E3190"/>
    <w:rsid w:val="005E4D0E"/>
    <w:rsid w:val="005F2A59"/>
    <w:rsid w:val="005F2BE5"/>
    <w:rsid w:val="005F68D7"/>
    <w:rsid w:val="005F71EA"/>
    <w:rsid w:val="00603C78"/>
    <w:rsid w:val="00607F6F"/>
    <w:rsid w:val="006105DE"/>
    <w:rsid w:val="0061491A"/>
    <w:rsid w:val="006160AD"/>
    <w:rsid w:val="006166D8"/>
    <w:rsid w:val="006207B6"/>
    <w:rsid w:val="00623F46"/>
    <w:rsid w:val="00624D99"/>
    <w:rsid w:val="00626913"/>
    <w:rsid w:val="00626A9F"/>
    <w:rsid w:val="00630329"/>
    <w:rsid w:val="00633338"/>
    <w:rsid w:val="00634C4D"/>
    <w:rsid w:val="00637546"/>
    <w:rsid w:val="006406F0"/>
    <w:rsid w:val="00642FBC"/>
    <w:rsid w:val="00643C33"/>
    <w:rsid w:val="006445D0"/>
    <w:rsid w:val="00644878"/>
    <w:rsid w:val="00644C54"/>
    <w:rsid w:val="00645F58"/>
    <w:rsid w:val="006515A9"/>
    <w:rsid w:val="00653333"/>
    <w:rsid w:val="00653E17"/>
    <w:rsid w:val="00654FB8"/>
    <w:rsid w:val="006556C0"/>
    <w:rsid w:val="00656CD1"/>
    <w:rsid w:val="00662CAC"/>
    <w:rsid w:val="00662DCC"/>
    <w:rsid w:val="00662F25"/>
    <w:rsid w:val="006673D0"/>
    <w:rsid w:val="00670783"/>
    <w:rsid w:val="00673B76"/>
    <w:rsid w:val="00673E44"/>
    <w:rsid w:val="0067405A"/>
    <w:rsid w:val="00675D54"/>
    <w:rsid w:val="00676179"/>
    <w:rsid w:val="00676260"/>
    <w:rsid w:val="00676451"/>
    <w:rsid w:val="006816E8"/>
    <w:rsid w:val="00682C7E"/>
    <w:rsid w:val="00683671"/>
    <w:rsid w:val="0068387E"/>
    <w:rsid w:val="00684CD4"/>
    <w:rsid w:val="00684F4E"/>
    <w:rsid w:val="00685B56"/>
    <w:rsid w:val="006908E6"/>
    <w:rsid w:val="006912D3"/>
    <w:rsid w:val="00692548"/>
    <w:rsid w:val="0069532C"/>
    <w:rsid w:val="006A06DE"/>
    <w:rsid w:val="006A29CE"/>
    <w:rsid w:val="006A368C"/>
    <w:rsid w:val="006A6418"/>
    <w:rsid w:val="006A660B"/>
    <w:rsid w:val="006A7919"/>
    <w:rsid w:val="006A7F7A"/>
    <w:rsid w:val="006B30C3"/>
    <w:rsid w:val="006B428A"/>
    <w:rsid w:val="006B79FA"/>
    <w:rsid w:val="006C367B"/>
    <w:rsid w:val="006C3C07"/>
    <w:rsid w:val="006C50CB"/>
    <w:rsid w:val="006C7E78"/>
    <w:rsid w:val="006D094B"/>
    <w:rsid w:val="006D47AF"/>
    <w:rsid w:val="006D6DA9"/>
    <w:rsid w:val="006D7412"/>
    <w:rsid w:val="006E2ABB"/>
    <w:rsid w:val="006E5B7E"/>
    <w:rsid w:val="006E698F"/>
    <w:rsid w:val="006F1A08"/>
    <w:rsid w:val="006F4B7D"/>
    <w:rsid w:val="006F6A61"/>
    <w:rsid w:val="00700E33"/>
    <w:rsid w:val="0070158E"/>
    <w:rsid w:val="00701F58"/>
    <w:rsid w:val="00703AD3"/>
    <w:rsid w:val="00707ADB"/>
    <w:rsid w:val="00710062"/>
    <w:rsid w:val="007104EF"/>
    <w:rsid w:val="00711D32"/>
    <w:rsid w:val="00712D3F"/>
    <w:rsid w:val="007138EE"/>
    <w:rsid w:val="00715FFD"/>
    <w:rsid w:val="0071730B"/>
    <w:rsid w:val="0071760F"/>
    <w:rsid w:val="007217AA"/>
    <w:rsid w:val="00721889"/>
    <w:rsid w:val="007233CE"/>
    <w:rsid w:val="00725ABD"/>
    <w:rsid w:val="00726AAE"/>
    <w:rsid w:val="00730A27"/>
    <w:rsid w:val="00730DB7"/>
    <w:rsid w:val="0073324C"/>
    <w:rsid w:val="00735106"/>
    <w:rsid w:val="00736B0D"/>
    <w:rsid w:val="007402BF"/>
    <w:rsid w:val="00742201"/>
    <w:rsid w:val="00742AE8"/>
    <w:rsid w:val="00742D5B"/>
    <w:rsid w:val="00744D03"/>
    <w:rsid w:val="00745BF5"/>
    <w:rsid w:val="00747138"/>
    <w:rsid w:val="00747300"/>
    <w:rsid w:val="00751F49"/>
    <w:rsid w:val="007531D6"/>
    <w:rsid w:val="007545D2"/>
    <w:rsid w:val="00754C2C"/>
    <w:rsid w:val="00765464"/>
    <w:rsid w:val="0076561C"/>
    <w:rsid w:val="00766963"/>
    <w:rsid w:val="00770A11"/>
    <w:rsid w:val="00770A4B"/>
    <w:rsid w:val="00771515"/>
    <w:rsid w:val="00771623"/>
    <w:rsid w:val="0077206A"/>
    <w:rsid w:val="00773E32"/>
    <w:rsid w:val="007740F6"/>
    <w:rsid w:val="007767BD"/>
    <w:rsid w:val="007807B5"/>
    <w:rsid w:val="00782A80"/>
    <w:rsid w:val="007841FA"/>
    <w:rsid w:val="0078589B"/>
    <w:rsid w:val="00786153"/>
    <w:rsid w:val="00786211"/>
    <w:rsid w:val="007867BC"/>
    <w:rsid w:val="00786DD2"/>
    <w:rsid w:val="00786DEA"/>
    <w:rsid w:val="00787313"/>
    <w:rsid w:val="00797315"/>
    <w:rsid w:val="007973FE"/>
    <w:rsid w:val="007A0174"/>
    <w:rsid w:val="007A073F"/>
    <w:rsid w:val="007A1203"/>
    <w:rsid w:val="007A6033"/>
    <w:rsid w:val="007B02CA"/>
    <w:rsid w:val="007B1DA5"/>
    <w:rsid w:val="007B28AB"/>
    <w:rsid w:val="007B3A5B"/>
    <w:rsid w:val="007B42C4"/>
    <w:rsid w:val="007B5B9E"/>
    <w:rsid w:val="007B65BB"/>
    <w:rsid w:val="007B6930"/>
    <w:rsid w:val="007B728B"/>
    <w:rsid w:val="007C094C"/>
    <w:rsid w:val="007C19D8"/>
    <w:rsid w:val="007C3931"/>
    <w:rsid w:val="007C66D9"/>
    <w:rsid w:val="007C732D"/>
    <w:rsid w:val="007C7E3C"/>
    <w:rsid w:val="007D0D4C"/>
    <w:rsid w:val="007D43B8"/>
    <w:rsid w:val="007D5428"/>
    <w:rsid w:val="007D6B6E"/>
    <w:rsid w:val="007E349A"/>
    <w:rsid w:val="007E4BD8"/>
    <w:rsid w:val="007E5807"/>
    <w:rsid w:val="007E5D66"/>
    <w:rsid w:val="007E667C"/>
    <w:rsid w:val="007E7563"/>
    <w:rsid w:val="007F18E3"/>
    <w:rsid w:val="007F2117"/>
    <w:rsid w:val="007F3458"/>
    <w:rsid w:val="007F632F"/>
    <w:rsid w:val="007F6CEC"/>
    <w:rsid w:val="007F7003"/>
    <w:rsid w:val="007F76A6"/>
    <w:rsid w:val="007F7AA0"/>
    <w:rsid w:val="008005BF"/>
    <w:rsid w:val="00803D4B"/>
    <w:rsid w:val="00804852"/>
    <w:rsid w:val="008059C3"/>
    <w:rsid w:val="008077D6"/>
    <w:rsid w:val="008111C7"/>
    <w:rsid w:val="00811FDA"/>
    <w:rsid w:val="008150CF"/>
    <w:rsid w:val="00817BE0"/>
    <w:rsid w:val="008217EC"/>
    <w:rsid w:val="008251AD"/>
    <w:rsid w:val="0082655F"/>
    <w:rsid w:val="00826CA7"/>
    <w:rsid w:val="008278FB"/>
    <w:rsid w:val="008301A4"/>
    <w:rsid w:val="00832B89"/>
    <w:rsid w:val="00837450"/>
    <w:rsid w:val="0084133D"/>
    <w:rsid w:val="00844974"/>
    <w:rsid w:val="00844A3F"/>
    <w:rsid w:val="00852FF1"/>
    <w:rsid w:val="00853E8A"/>
    <w:rsid w:val="008545FD"/>
    <w:rsid w:val="008547AD"/>
    <w:rsid w:val="00854DD1"/>
    <w:rsid w:val="00856376"/>
    <w:rsid w:val="0086095A"/>
    <w:rsid w:val="00860CDF"/>
    <w:rsid w:val="00860DA9"/>
    <w:rsid w:val="008641FA"/>
    <w:rsid w:val="00864712"/>
    <w:rsid w:val="0086653F"/>
    <w:rsid w:val="00866B3A"/>
    <w:rsid w:val="0087241B"/>
    <w:rsid w:val="00872FFE"/>
    <w:rsid w:val="008730E4"/>
    <w:rsid w:val="00874C97"/>
    <w:rsid w:val="0088149D"/>
    <w:rsid w:val="00881C9F"/>
    <w:rsid w:val="00887D83"/>
    <w:rsid w:val="0089243C"/>
    <w:rsid w:val="008948B8"/>
    <w:rsid w:val="00894EF0"/>
    <w:rsid w:val="008950C6"/>
    <w:rsid w:val="008A1028"/>
    <w:rsid w:val="008A1B3F"/>
    <w:rsid w:val="008A3ADD"/>
    <w:rsid w:val="008A40BA"/>
    <w:rsid w:val="008A470A"/>
    <w:rsid w:val="008A55C8"/>
    <w:rsid w:val="008A5BE0"/>
    <w:rsid w:val="008A6323"/>
    <w:rsid w:val="008A76A0"/>
    <w:rsid w:val="008B14FB"/>
    <w:rsid w:val="008B241E"/>
    <w:rsid w:val="008B2795"/>
    <w:rsid w:val="008B65FB"/>
    <w:rsid w:val="008C024E"/>
    <w:rsid w:val="008C1A41"/>
    <w:rsid w:val="008C3367"/>
    <w:rsid w:val="008C3CCB"/>
    <w:rsid w:val="008D13E9"/>
    <w:rsid w:val="008D2384"/>
    <w:rsid w:val="008D259D"/>
    <w:rsid w:val="008D28F6"/>
    <w:rsid w:val="008D4E59"/>
    <w:rsid w:val="008E0763"/>
    <w:rsid w:val="008E25AA"/>
    <w:rsid w:val="008E3D60"/>
    <w:rsid w:val="008E6FF0"/>
    <w:rsid w:val="008E7A2B"/>
    <w:rsid w:val="008F0180"/>
    <w:rsid w:val="008F3E78"/>
    <w:rsid w:val="008F45CA"/>
    <w:rsid w:val="008F5849"/>
    <w:rsid w:val="00900E0B"/>
    <w:rsid w:val="009019E9"/>
    <w:rsid w:val="009021BA"/>
    <w:rsid w:val="0090388B"/>
    <w:rsid w:val="00906CCA"/>
    <w:rsid w:val="00912521"/>
    <w:rsid w:val="00913D27"/>
    <w:rsid w:val="00914143"/>
    <w:rsid w:val="00915E6F"/>
    <w:rsid w:val="00917F9A"/>
    <w:rsid w:val="0092134E"/>
    <w:rsid w:val="00922881"/>
    <w:rsid w:val="00923375"/>
    <w:rsid w:val="00924775"/>
    <w:rsid w:val="00934B73"/>
    <w:rsid w:val="00934E1D"/>
    <w:rsid w:val="009408BB"/>
    <w:rsid w:val="00942DC9"/>
    <w:rsid w:val="009435D3"/>
    <w:rsid w:val="00945FA9"/>
    <w:rsid w:val="009509F3"/>
    <w:rsid w:val="009510CB"/>
    <w:rsid w:val="00951A76"/>
    <w:rsid w:val="00953906"/>
    <w:rsid w:val="00957243"/>
    <w:rsid w:val="00957589"/>
    <w:rsid w:val="00960030"/>
    <w:rsid w:val="009602DC"/>
    <w:rsid w:val="00960DA5"/>
    <w:rsid w:val="00962918"/>
    <w:rsid w:val="009637EC"/>
    <w:rsid w:val="00963EDF"/>
    <w:rsid w:val="009659C2"/>
    <w:rsid w:val="009667A6"/>
    <w:rsid w:val="009678DB"/>
    <w:rsid w:val="00971638"/>
    <w:rsid w:val="00975830"/>
    <w:rsid w:val="00975FA0"/>
    <w:rsid w:val="00980095"/>
    <w:rsid w:val="009845A3"/>
    <w:rsid w:val="00985510"/>
    <w:rsid w:val="00985768"/>
    <w:rsid w:val="00986AA9"/>
    <w:rsid w:val="0098715F"/>
    <w:rsid w:val="00990236"/>
    <w:rsid w:val="0099048E"/>
    <w:rsid w:val="00991227"/>
    <w:rsid w:val="009914CB"/>
    <w:rsid w:val="00991642"/>
    <w:rsid w:val="00991729"/>
    <w:rsid w:val="00992B07"/>
    <w:rsid w:val="00997979"/>
    <w:rsid w:val="009A394A"/>
    <w:rsid w:val="009A41F4"/>
    <w:rsid w:val="009A543F"/>
    <w:rsid w:val="009A5DA5"/>
    <w:rsid w:val="009A655A"/>
    <w:rsid w:val="009B1CB6"/>
    <w:rsid w:val="009B3D7F"/>
    <w:rsid w:val="009B657B"/>
    <w:rsid w:val="009B6CF2"/>
    <w:rsid w:val="009B712C"/>
    <w:rsid w:val="009C07C9"/>
    <w:rsid w:val="009C0964"/>
    <w:rsid w:val="009C51C5"/>
    <w:rsid w:val="009C6F69"/>
    <w:rsid w:val="009C70E6"/>
    <w:rsid w:val="009D0357"/>
    <w:rsid w:val="009D0604"/>
    <w:rsid w:val="009D117E"/>
    <w:rsid w:val="009E035A"/>
    <w:rsid w:val="009E7CF0"/>
    <w:rsid w:val="009F02EB"/>
    <w:rsid w:val="009F1C11"/>
    <w:rsid w:val="009F7D37"/>
    <w:rsid w:val="00A001B5"/>
    <w:rsid w:val="00A00E4E"/>
    <w:rsid w:val="00A02C21"/>
    <w:rsid w:val="00A040EA"/>
    <w:rsid w:val="00A057D6"/>
    <w:rsid w:val="00A066DB"/>
    <w:rsid w:val="00A06886"/>
    <w:rsid w:val="00A07047"/>
    <w:rsid w:val="00A07A5C"/>
    <w:rsid w:val="00A106B4"/>
    <w:rsid w:val="00A1240B"/>
    <w:rsid w:val="00A12E19"/>
    <w:rsid w:val="00A14789"/>
    <w:rsid w:val="00A17C0E"/>
    <w:rsid w:val="00A17CF2"/>
    <w:rsid w:val="00A20498"/>
    <w:rsid w:val="00A22B94"/>
    <w:rsid w:val="00A23540"/>
    <w:rsid w:val="00A2465D"/>
    <w:rsid w:val="00A25AFC"/>
    <w:rsid w:val="00A26B21"/>
    <w:rsid w:val="00A34E98"/>
    <w:rsid w:val="00A356B9"/>
    <w:rsid w:val="00A36DC1"/>
    <w:rsid w:val="00A44318"/>
    <w:rsid w:val="00A44FA1"/>
    <w:rsid w:val="00A4522B"/>
    <w:rsid w:val="00A45FF9"/>
    <w:rsid w:val="00A47669"/>
    <w:rsid w:val="00A501D5"/>
    <w:rsid w:val="00A528F9"/>
    <w:rsid w:val="00A52E70"/>
    <w:rsid w:val="00A54F78"/>
    <w:rsid w:val="00A567BA"/>
    <w:rsid w:val="00A5797F"/>
    <w:rsid w:val="00A63522"/>
    <w:rsid w:val="00A64B26"/>
    <w:rsid w:val="00A64F96"/>
    <w:rsid w:val="00A6519D"/>
    <w:rsid w:val="00A66719"/>
    <w:rsid w:val="00A67B61"/>
    <w:rsid w:val="00A8275B"/>
    <w:rsid w:val="00A82ACF"/>
    <w:rsid w:val="00A82D85"/>
    <w:rsid w:val="00A8322C"/>
    <w:rsid w:val="00A8499D"/>
    <w:rsid w:val="00A92144"/>
    <w:rsid w:val="00A932C8"/>
    <w:rsid w:val="00A94967"/>
    <w:rsid w:val="00A97558"/>
    <w:rsid w:val="00A979D0"/>
    <w:rsid w:val="00AA0F94"/>
    <w:rsid w:val="00AA341C"/>
    <w:rsid w:val="00AA4F7E"/>
    <w:rsid w:val="00AA5D68"/>
    <w:rsid w:val="00AA7AAB"/>
    <w:rsid w:val="00AA7B0A"/>
    <w:rsid w:val="00AA7FA0"/>
    <w:rsid w:val="00AB05EF"/>
    <w:rsid w:val="00AB06FA"/>
    <w:rsid w:val="00AB1CEF"/>
    <w:rsid w:val="00AB3F69"/>
    <w:rsid w:val="00AB4D39"/>
    <w:rsid w:val="00AB58A9"/>
    <w:rsid w:val="00AC0134"/>
    <w:rsid w:val="00AC11CF"/>
    <w:rsid w:val="00AC1872"/>
    <w:rsid w:val="00AC668A"/>
    <w:rsid w:val="00AD1804"/>
    <w:rsid w:val="00AD3A9E"/>
    <w:rsid w:val="00AD6D9C"/>
    <w:rsid w:val="00AD7F23"/>
    <w:rsid w:val="00AE0C13"/>
    <w:rsid w:val="00AE140F"/>
    <w:rsid w:val="00AE15C1"/>
    <w:rsid w:val="00AE369C"/>
    <w:rsid w:val="00AE3877"/>
    <w:rsid w:val="00AE4FE7"/>
    <w:rsid w:val="00AE6161"/>
    <w:rsid w:val="00AE78DB"/>
    <w:rsid w:val="00AF0A60"/>
    <w:rsid w:val="00AF16D0"/>
    <w:rsid w:val="00AF1B4D"/>
    <w:rsid w:val="00AF2889"/>
    <w:rsid w:val="00AF3229"/>
    <w:rsid w:val="00AF326F"/>
    <w:rsid w:val="00AF34C2"/>
    <w:rsid w:val="00AF7042"/>
    <w:rsid w:val="00AF7B6D"/>
    <w:rsid w:val="00B02B85"/>
    <w:rsid w:val="00B02CAE"/>
    <w:rsid w:val="00B032CF"/>
    <w:rsid w:val="00B040F4"/>
    <w:rsid w:val="00B06B54"/>
    <w:rsid w:val="00B06BAE"/>
    <w:rsid w:val="00B07140"/>
    <w:rsid w:val="00B075A2"/>
    <w:rsid w:val="00B13A45"/>
    <w:rsid w:val="00B13B3A"/>
    <w:rsid w:val="00B1473F"/>
    <w:rsid w:val="00B231CE"/>
    <w:rsid w:val="00B23B40"/>
    <w:rsid w:val="00B23DF3"/>
    <w:rsid w:val="00B25242"/>
    <w:rsid w:val="00B26C68"/>
    <w:rsid w:val="00B27122"/>
    <w:rsid w:val="00B27C54"/>
    <w:rsid w:val="00B30010"/>
    <w:rsid w:val="00B30288"/>
    <w:rsid w:val="00B31C7E"/>
    <w:rsid w:val="00B321E9"/>
    <w:rsid w:val="00B32436"/>
    <w:rsid w:val="00B337A2"/>
    <w:rsid w:val="00B37F89"/>
    <w:rsid w:val="00B4005A"/>
    <w:rsid w:val="00B40CD3"/>
    <w:rsid w:val="00B41390"/>
    <w:rsid w:val="00B443B2"/>
    <w:rsid w:val="00B44617"/>
    <w:rsid w:val="00B45E78"/>
    <w:rsid w:val="00B45FBC"/>
    <w:rsid w:val="00B46062"/>
    <w:rsid w:val="00B5013F"/>
    <w:rsid w:val="00B501DF"/>
    <w:rsid w:val="00B51071"/>
    <w:rsid w:val="00B539E3"/>
    <w:rsid w:val="00B53ED8"/>
    <w:rsid w:val="00B551E3"/>
    <w:rsid w:val="00B558A2"/>
    <w:rsid w:val="00B55A60"/>
    <w:rsid w:val="00B56701"/>
    <w:rsid w:val="00B56B94"/>
    <w:rsid w:val="00B56F30"/>
    <w:rsid w:val="00B57A5E"/>
    <w:rsid w:val="00B62F28"/>
    <w:rsid w:val="00B63FA5"/>
    <w:rsid w:val="00B65AAF"/>
    <w:rsid w:val="00B65D05"/>
    <w:rsid w:val="00B665DC"/>
    <w:rsid w:val="00B673DD"/>
    <w:rsid w:val="00B6750B"/>
    <w:rsid w:val="00B756B8"/>
    <w:rsid w:val="00B76AE2"/>
    <w:rsid w:val="00B82DFC"/>
    <w:rsid w:val="00B835D4"/>
    <w:rsid w:val="00B83B9F"/>
    <w:rsid w:val="00B85752"/>
    <w:rsid w:val="00B863A6"/>
    <w:rsid w:val="00B9404B"/>
    <w:rsid w:val="00B94BF9"/>
    <w:rsid w:val="00B94C64"/>
    <w:rsid w:val="00B95E84"/>
    <w:rsid w:val="00B95F70"/>
    <w:rsid w:val="00BA07C6"/>
    <w:rsid w:val="00BA084B"/>
    <w:rsid w:val="00BA09F8"/>
    <w:rsid w:val="00BA2181"/>
    <w:rsid w:val="00BA2888"/>
    <w:rsid w:val="00BA42CC"/>
    <w:rsid w:val="00BA5821"/>
    <w:rsid w:val="00BA6518"/>
    <w:rsid w:val="00BA6DC9"/>
    <w:rsid w:val="00BB108F"/>
    <w:rsid w:val="00BB6962"/>
    <w:rsid w:val="00BC05AF"/>
    <w:rsid w:val="00BC27C7"/>
    <w:rsid w:val="00BC2B32"/>
    <w:rsid w:val="00BC5201"/>
    <w:rsid w:val="00BC5BFA"/>
    <w:rsid w:val="00BD0CB3"/>
    <w:rsid w:val="00BD0D29"/>
    <w:rsid w:val="00BD1121"/>
    <w:rsid w:val="00BD1685"/>
    <w:rsid w:val="00BD2FC0"/>
    <w:rsid w:val="00BD516C"/>
    <w:rsid w:val="00BD55B9"/>
    <w:rsid w:val="00BE009E"/>
    <w:rsid w:val="00BE0BE7"/>
    <w:rsid w:val="00BE3075"/>
    <w:rsid w:val="00BE3CC2"/>
    <w:rsid w:val="00BF0146"/>
    <w:rsid w:val="00BF036C"/>
    <w:rsid w:val="00BF17E1"/>
    <w:rsid w:val="00BF2CB2"/>
    <w:rsid w:val="00BF3B10"/>
    <w:rsid w:val="00BF42DD"/>
    <w:rsid w:val="00BF4406"/>
    <w:rsid w:val="00BF5DE1"/>
    <w:rsid w:val="00C01777"/>
    <w:rsid w:val="00C017E7"/>
    <w:rsid w:val="00C031FD"/>
    <w:rsid w:val="00C03DC2"/>
    <w:rsid w:val="00C04C67"/>
    <w:rsid w:val="00C06ED6"/>
    <w:rsid w:val="00C15776"/>
    <w:rsid w:val="00C17055"/>
    <w:rsid w:val="00C17592"/>
    <w:rsid w:val="00C17EAE"/>
    <w:rsid w:val="00C21162"/>
    <w:rsid w:val="00C21C41"/>
    <w:rsid w:val="00C22523"/>
    <w:rsid w:val="00C24B1F"/>
    <w:rsid w:val="00C25ACC"/>
    <w:rsid w:val="00C27B12"/>
    <w:rsid w:val="00C31EDE"/>
    <w:rsid w:val="00C3277B"/>
    <w:rsid w:val="00C40889"/>
    <w:rsid w:val="00C40904"/>
    <w:rsid w:val="00C40FE2"/>
    <w:rsid w:val="00C452F5"/>
    <w:rsid w:val="00C45C12"/>
    <w:rsid w:val="00C47094"/>
    <w:rsid w:val="00C470C9"/>
    <w:rsid w:val="00C50740"/>
    <w:rsid w:val="00C51AC0"/>
    <w:rsid w:val="00C522BA"/>
    <w:rsid w:val="00C53D6F"/>
    <w:rsid w:val="00C543B6"/>
    <w:rsid w:val="00C54BFE"/>
    <w:rsid w:val="00C5513A"/>
    <w:rsid w:val="00C55F13"/>
    <w:rsid w:val="00C5715F"/>
    <w:rsid w:val="00C57BF0"/>
    <w:rsid w:val="00C64AD9"/>
    <w:rsid w:val="00C65A0E"/>
    <w:rsid w:val="00C6761E"/>
    <w:rsid w:val="00C70ECA"/>
    <w:rsid w:val="00C71369"/>
    <w:rsid w:val="00C71619"/>
    <w:rsid w:val="00C720A8"/>
    <w:rsid w:val="00C726FE"/>
    <w:rsid w:val="00C76FB3"/>
    <w:rsid w:val="00C7748D"/>
    <w:rsid w:val="00C8032B"/>
    <w:rsid w:val="00C82509"/>
    <w:rsid w:val="00C83CF6"/>
    <w:rsid w:val="00C85199"/>
    <w:rsid w:val="00C8542E"/>
    <w:rsid w:val="00C86EDB"/>
    <w:rsid w:val="00C87343"/>
    <w:rsid w:val="00C91DFD"/>
    <w:rsid w:val="00C971C0"/>
    <w:rsid w:val="00CA0D2D"/>
    <w:rsid w:val="00CA1800"/>
    <w:rsid w:val="00CA3D0A"/>
    <w:rsid w:val="00CA7917"/>
    <w:rsid w:val="00CA79F1"/>
    <w:rsid w:val="00CB10DF"/>
    <w:rsid w:val="00CB14BE"/>
    <w:rsid w:val="00CB32A7"/>
    <w:rsid w:val="00CB3B91"/>
    <w:rsid w:val="00CB3D41"/>
    <w:rsid w:val="00CB4C75"/>
    <w:rsid w:val="00CB754A"/>
    <w:rsid w:val="00CC108A"/>
    <w:rsid w:val="00CC7A02"/>
    <w:rsid w:val="00CD0281"/>
    <w:rsid w:val="00CD0B62"/>
    <w:rsid w:val="00CD1D09"/>
    <w:rsid w:val="00CD4E07"/>
    <w:rsid w:val="00CD765F"/>
    <w:rsid w:val="00CE2AC5"/>
    <w:rsid w:val="00CE2F39"/>
    <w:rsid w:val="00CE3A02"/>
    <w:rsid w:val="00CE6404"/>
    <w:rsid w:val="00CE6ABC"/>
    <w:rsid w:val="00CF11C4"/>
    <w:rsid w:val="00CF12F5"/>
    <w:rsid w:val="00CF6154"/>
    <w:rsid w:val="00CF649F"/>
    <w:rsid w:val="00D019CC"/>
    <w:rsid w:val="00D01CF5"/>
    <w:rsid w:val="00D03039"/>
    <w:rsid w:val="00D05662"/>
    <w:rsid w:val="00D05BB6"/>
    <w:rsid w:val="00D05E6A"/>
    <w:rsid w:val="00D07A51"/>
    <w:rsid w:val="00D11E3A"/>
    <w:rsid w:val="00D15527"/>
    <w:rsid w:val="00D16C3A"/>
    <w:rsid w:val="00D16EC4"/>
    <w:rsid w:val="00D20E1D"/>
    <w:rsid w:val="00D27B21"/>
    <w:rsid w:val="00D27B24"/>
    <w:rsid w:val="00D27E99"/>
    <w:rsid w:val="00D301B6"/>
    <w:rsid w:val="00D33DC9"/>
    <w:rsid w:val="00D3451B"/>
    <w:rsid w:val="00D36DE1"/>
    <w:rsid w:val="00D475ED"/>
    <w:rsid w:val="00D479D5"/>
    <w:rsid w:val="00D61686"/>
    <w:rsid w:val="00D644FB"/>
    <w:rsid w:val="00D648D1"/>
    <w:rsid w:val="00D65D0E"/>
    <w:rsid w:val="00D66580"/>
    <w:rsid w:val="00D7278C"/>
    <w:rsid w:val="00D72D29"/>
    <w:rsid w:val="00D76EC6"/>
    <w:rsid w:val="00D8490D"/>
    <w:rsid w:val="00D84BAC"/>
    <w:rsid w:val="00D85432"/>
    <w:rsid w:val="00D864C0"/>
    <w:rsid w:val="00D86844"/>
    <w:rsid w:val="00D86876"/>
    <w:rsid w:val="00D87798"/>
    <w:rsid w:val="00D916AA"/>
    <w:rsid w:val="00D931C1"/>
    <w:rsid w:val="00D94F14"/>
    <w:rsid w:val="00D95C1E"/>
    <w:rsid w:val="00DA3A3B"/>
    <w:rsid w:val="00DA3E01"/>
    <w:rsid w:val="00DA42B7"/>
    <w:rsid w:val="00DA4FA9"/>
    <w:rsid w:val="00DA5C08"/>
    <w:rsid w:val="00DA7694"/>
    <w:rsid w:val="00DB1956"/>
    <w:rsid w:val="00DB1FA6"/>
    <w:rsid w:val="00DB39B3"/>
    <w:rsid w:val="00DB5741"/>
    <w:rsid w:val="00DB6B70"/>
    <w:rsid w:val="00DB77E5"/>
    <w:rsid w:val="00DC0068"/>
    <w:rsid w:val="00DC016F"/>
    <w:rsid w:val="00DC594F"/>
    <w:rsid w:val="00DC5D28"/>
    <w:rsid w:val="00DC681C"/>
    <w:rsid w:val="00DD165B"/>
    <w:rsid w:val="00DD2C02"/>
    <w:rsid w:val="00DD3B6E"/>
    <w:rsid w:val="00DD7541"/>
    <w:rsid w:val="00DD756E"/>
    <w:rsid w:val="00DE039D"/>
    <w:rsid w:val="00DE1A54"/>
    <w:rsid w:val="00DE4719"/>
    <w:rsid w:val="00DE6231"/>
    <w:rsid w:val="00DE7014"/>
    <w:rsid w:val="00DE7BC4"/>
    <w:rsid w:val="00DF1F9C"/>
    <w:rsid w:val="00DF2594"/>
    <w:rsid w:val="00DF374C"/>
    <w:rsid w:val="00E02EDF"/>
    <w:rsid w:val="00E059A9"/>
    <w:rsid w:val="00E0755A"/>
    <w:rsid w:val="00E10EEA"/>
    <w:rsid w:val="00E141BF"/>
    <w:rsid w:val="00E16776"/>
    <w:rsid w:val="00E1692E"/>
    <w:rsid w:val="00E1729A"/>
    <w:rsid w:val="00E174AB"/>
    <w:rsid w:val="00E17E65"/>
    <w:rsid w:val="00E2050D"/>
    <w:rsid w:val="00E22919"/>
    <w:rsid w:val="00E31947"/>
    <w:rsid w:val="00E3218C"/>
    <w:rsid w:val="00E34535"/>
    <w:rsid w:val="00E350CD"/>
    <w:rsid w:val="00E36848"/>
    <w:rsid w:val="00E3707F"/>
    <w:rsid w:val="00E42454"/>
    <w:rsid w:val="00E43FB9"/>
    <w:rsid w:val="00E4534A"/>
    <w:rsid w:val="00E45487"/>
    <w:rsid w:val="00E454C2"/>
    <w:rsid w:val="00E46EBC"/>
    <w:rsid w:val="00E5011B"/>
    <w:rsid w:val="00E50E95"/>
    <w:rsid w:val="00E52942"/>
    <w:rsid w:val="00E54957"/>
    <w:rsid w:val="00E549C7"/>
    <w:rsid w:val="00E5737F"/>
    <w:rsid w:val="00E57BCA"/>
    <w:rsid w:val="00E62AEF"/>
    <w:rsid w:val="00E63D3D"/>
    <w:rsid w:val="00E65443"/>
    <w:rsid w:val="00E66801"/>
    <w:rsid w:val="00E71546"/>
    <w:rsid w:val="00E71CBA"/>
    <w:rsid w:val="00E72932"/>
    <w:rsid w:val="00E7527A"/>
    <w:rsid w:val="00E75B15"/>
    <w:rsid w:val="00E76268"/>
    <w:rsid w:val="00E76B62"/>
    <w:rsid w:val="00E76EE1"/>
    <w:rsid w:val="00E770D7"/>
    <w:rsid w:val="00E81F72"/>
    <w:rsid w:val="00E84B55"/>
    <w:rsid w:val="00E85EBC"/>
    <w:rsid w:val="00E870EB"/>
    <w:rsid w:val="00E87B9A"/>
    <w:rsid w:val="00E90AFE"/>
    <w:rsid w:val="00E933E3"/>
    <w:rsid w:val="00E950C2"/>
    <w:rsid w:val="00E96067"/>
    <w:rsid w:val="00EA0987"/>
    <w:rsid w:val="00EA1012"/>
    <w:rsid w:val="00EA3097"/>
    <w:rsid w:val="00EA444A"/>
    <w:rsid w:val="00EA5644"/>
    <w:rsid w:val="00EA6B24"/>
    <w:rsid w:val="00EB0CBE"/>
    <w:rsid w:val="00EB403B"/>
    <w:rsid w:val="00EB4AB3"/>
    <w:rsid w:val="00EB6C94"/>
    <w:rsid w:val="00EC0E8C"/>
    <w:rsid w:val="00EC48CC"/>
    <w:rsid w:val="00EC52A5"/>
    <w:rsid w:val="00EC5C7D"/>
    <w:rsid w:val="00EC6367"/>
    <w:rsid w:val="00EC7850"/>
    <w:rsid w:val="00ED04F8"/>
    <w:rsid w:val="00ED0730"/>
    <w:rsid w:val="00ED252F"/>
    <w:rsid w:val="00ED46B6"/>
    <w:rsid w:val="00EE021A"/>
    <w:rsid w:val="00EE372C"/>
    <w:rsid w:val="00EE5DE4"/>
    <w:rsid w:val="00EE644B"/>
    <w:rsid w:val="00EE7401"/>
    <w:rsid w:val="00EF4407"/>
    <w:rsid w:val="00EF4C4C"/>
    <w:rsid w:val="00EF4E74"/>
    <w:rsid w:val="00EF68AC"/>
    <w:rsid w:val="00EF6EF1"/>
    <w:rsid w:val="00F009A4"/>
    <w:rsid w:val="00F00E47"/>
    <w:rsid w:val="00F01D36"/>
    <w:rsid w:val="00F02AE5"/>
    <w:rsid w:val="00F03ABF"/>
    <w:rsid w:val="00F12B14"/>
    <w:rsid w:val="00F12EF4"/>
    <w:rsid w:val="00F1564F"/>
    <w:rsid w:val="00F221DC"/>
    <w:rsid w:val="00F255FF"/>
    <w:rsid w:val="00F25A0A"/>
    <w:rsid w:val="00F2608D"/>
    <w:rsid w:val="00F35ACA"/>
    <w:rsid w:val="00F362EB"/>
    <w:rsid w:val="00F36521"/>
    <w:rsid w:val="00F36C83"/>
    <w:rsid w:val="00F37388"/>
    <w:rsid w:val="00F374C2"/>
    <w:rsid w:val="00F41D83"/>
    <w:rsid w:val="00F437EB"/>
    <w:rsid w:val="00F45878"/>
    <w:rsid w:val="00F468F2"/>
    <w:rsid w:val="00F47291"/>
    <w:rsid w:val="00F50379"/>
    <w:rsid w:val="00F507DB"/>
    <w:rsid w:val="00F54752"/>
    <w:rsid w:val="00F5582B"/>
    <w:rsid w:val="00F55C3C"/>
    <w:rsid w:val="00F560A6"/>
    <w:rsid w:val="00F626FB"/>
    <w:rsid w:val="00F653DE"/>
    <w:rsid w:val="00F6759A"/>
    <w:rsid w:val="00F7039E"/>
    <w:rsid w:val="00F7134F"/>
    <w:rsid w:val="00F71373"/>
    <w:rsid w:val="00F713EC"/>
    <w:rsid w:val="00F71C20"/>
    <w:rsid w:val="00F732B8"/>
    <w:rsid w:val="00F73889"/>
    <w:rsid w:val="00F741A7"/>
    <w:rsid w:val="00F7451B"/>
    <w:rsid w:val="00F7494F"/>
    <w:rsid w:val="00F84318"/>
    <w:rsid w:val="00F92A4A"/>
    <w:rsid w:val="00F933AE"/>
    <w:rsid w:val="00F93B9C"/>
    <w:rsid w:val="00F94D1E"/>
    <w:rsid w:val="00F95BDB"/>
    <w:rsid w:val="00F9698D"/>
    <w:rsid w:val="00F96BC1"/>
    <w:rsid w:val="00F96E59"/>
    <w:rsid w:val="00FA0DDF"/>
    <w:rsid w:val="00FA147E"/>
    <w:rsid w:val="00FA2A00"/>
    <w:rsid w:val="00FA4B55"/>
    <w:rsid w:val="00FA61FB"/>
    <w:rsid w:val="00FB1479"/>
    <w:rsid w:val="00FB1B6F"/>
    <w:rsid w:val="00FB1DB0"/>
    <w:rsid w:val="00FB31DF"/>
    <w:rsid w:val="00FB4A17"/>
    <w:rsid w:val="00FB53EE"/>
    <w:rsid w:val="00FB5BE0"/>
    <w:rsid w:val="00FC02A9"/>
    <w:rsid w:val="00FC060D"/>
    <w:rsid w:val="00FC1EA5"/>
    <w:rsid w:val="00FC4AEE"/>
    <w:rsid w:val="00FC4E87"/>
    <w:rsid w:val="00FC5809"/>
    <w:rsid w:val="00FC672E"/>
    <w:rsid w:val="00FC6CE4"/>
    <w:rsid w:val="00FC7A6B"/>
    <w:rsid w:val="00FD1E6B"/>
    <w:rsid w:val="00FD247C"/>
    <w:rsid w:val="00FD2C12"/>
    <w:rsid w:val="00FD2E1C"/>
    <w:rsid w:val="00FD5B72"/>
    <w:rsid w:val="00FD5F42"/>
    <w:rsid w:val="00FD6FB2"/>
    <w:rsid w:val="00FE16D3"/>
    <w:rsid w:val="00FE4CB0"/>
    <w:rsid w:val="00FE5677"/>
    <w:rsid w:val="00FE5E27"/>
    <w:rsid w:val="00FE5E3B"/>
    <w:rsid w:val="00FE7278"/>
    <w:rsid w:val="00FF198B"/>
    <w:rsid w:val="00FF37E6"/>
    <w:rsid w:val="00FF3ADC"/>
    <w:rsid w:val="00FF41DA"/>
    <w:rsid w:val="00FF4533"/>
    <w:rsid w:val="00FF6170"/>
    <w:rsid w:val="00FF6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semiHidden/>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2021-03-28T18:30:00+00:00</Judgment_x0020_Date>
    <Year xmlns="63bdd487-88aa-4c54-b893-ddaa81ed2e7c">2021</Year>
  </documentManagement>
</p:properties>
</file>

<file path=customXml/itemProps1.xml><?xml version="1.0" encoding="utf-8"?>
<ds:datastoreItem xmlns:ds="http://schemas.openxmlformats.org/officeDocument/2006/customXml" ds:itemID="{8DD41E80-6813-4857-A0E8-C57E2B33917F}"/>
</file>

<file path=customXml/itemProps2.xml><?xml version="1.0" encoding="utf-8"?>
<ds:datastoreItem xmlns:ds="http://schemas.openxmlformats.org/officeDocument/2006/customXml" ds:itemID="{B12E6869-DCC8-44BB-ACCA-CE027EC6CA64}"/>
</file>

<file path=customXml/itemProps3.xml><?xml version="1.0" encoding="utf-8"?>
<ds:datastoreItem xmlns:ds="http://schemas.openxmlformats.org/officeDocument/2006/customXml" ds:itemID="{00B369A4-8632-4AF8-BF89-9C4FDE56DE7B}"/>
</file>

<file path=customXml/itemProps4.xml><?xml version="1.0" encoding="utf-8"?>
<ds:datastoreItem xmlns:ds="http://schemas.openxmlformats.org/officeDocument/2006/customXml" ds:itemID="{D7ABF095-2A53-42C0-A339-E06E72B5C474}"/>
</file>

<file path=docProps/app.xml><?xml version="1.0" encoding="utf-8"?>
<Properties xmlns="http://schemas.openxmlformats.org/officeDocument/2006/extended-properties" xmlns:vt="http://schemas.openxmlformats.org/officeDocument/2006/docPropsVTypes">
  <Template>Normal</Template>
  <TotalTime>0</TotalTime>
  <Pages>1</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Kamwi v Minister of Land and Resettlement</dc:title>
  <dc:creator>David</dc:creator>
  <cp:lastModifiedBy>Nicole Januarie</cp:lastModifiedBy>
  <cp:revision>3</cp:revision>
  <cp:lastPrinted>2021-03-16T10:34:00Z</cp:lastPrinted>
  <dcterms:created xsi:type="dcterms:W3CDTF">2021-03-30T06:33:00Z</dcterms:created>
  <dcterms:modified xsi:type="dcterms:W3CDTF">2021-03-30T06:33:00Z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