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29260" w14:textId="50FD3C1A" w:rsidR="0061432A" w:rsidRDefault="0061432A" w:rsidP="00356543">
      <w:pPr>
        <w:jc w:val="right"/>
        <w:rPr>
          <w:rFonts w:ascii="Arial" w:hAnsi="Arial"/>
          <w:b/>
        </w:rPr>
      </w:pPr>
      <w:bookmarkStart w:id="0" w:name="_GoBack"/>
      <w:bookmarkEnd w:id="0"/>
      <w:r w:rsidRPr="00742222">
        <w:rPr>
          <w:noProof/>
          <w:lang w:val="en-ZA" w:eastAsia="en-ZA"/>
        </w:rPr>
        <w:drawing>
          <wp:anchor distT="0" distB="0" distL="114300" distR="114300" simplePos="0" relativeHeight="251659264" behindDoc="0" locked="0" layoutInCell="1" allowOverlap="1" wp14:anchorId="1DF79CE5" wp14:editId="47F41337">
            <wp:simplePos x="0" y="0"/>
            <wp:positionH relativeFrom="page">
              <wp:align>center</wp:align>
            </wp:positionH>
            <wp:positionV relativeFrom="margin">
              <wp:posOffset>-609600</wp:posOffset>
            </wp:positionV>
            <wp:extent cx="1428750" cy="1485900"/>
            <wp:effectExtent l="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14:paraId="13C65B3F" w14:textId="77777777" w:rsidR="0061432A" w:rsidRDefault="0061432A" w:rsidP="00356543">
      <w:pPr>
        <w:jc w:val="right"/>
        <w:rPr>
          <w:rFonts w:ascii="Arial" w:hAnsi="Arial"/>
          <w:b/>
        </w:rPr>
      </w:pPr>
    </w:p>
    <w:p w14:paraId="3BA748CB" w14:textId="77777777" w:rsidR="0061432A" w:rsidRDefault="0061432A" w:rsidP="00356543">
      <w:pPr>
        <w:jc w:val="right"/>
        <w:rPr>
          <w:rFonts w:ascii="Arial" w:hAnsi="Arial"/>
          <w:b/>
        </w:rPr>
      </w:pPr>
    </w:p>
    <w:p w14:paraId="79920BEE" w14:textId="77777777" w:rsidR="0061432A" w:rsidRDefault="0061432A" w:rsidP="00356543">
      <w:pPr>
        <w:jc w:val="right"/>
        <w:rPr>
          <w:rFonts w:ascii="Arial" w:hAnsi="Arial"/>
          <w:b/>
        </w:rPr>
      </w:pPr>
    </w:p>
    <w:p w14:paraId="72E09953" w14:textId="77777777" w:rsidR="0061432A" w:rsidRDefault="0061432A" w:rsidP="00356543">
      <w:pPr>
        <w:jc w:val="right"/>
        <w:rPr>
          <w:rFonts w:ascii="Arial" w:hAnsi="Arial"/>
          <w:b/>
        </w:rPr>
      </w:pPr>
    </w:p>
    <w:p w14:paraId="2D670CB3" w14:textId="77777777" w:rsidR="0061432A" w:rsidRDefault="0061432A" w:rsidP="00356543">
      <w:pPr>
        <w:jc w:val="right"/>
        <w:rPr>
          <w:rFonts w:ascii="Arial" w:hAnsi="Arial"/>
          <w:b/>
        </w:rPr>
      </w:pPr>
    </w:p>
    <w:p w14:paraId="22B7CB71" w14:textId="77777777" w:rsidR="00A24CAD" w:rsidRDefault="00A24CAD" w:rsidP="00356543">
      <w:pPr>
        <w:jc w:val="right"/>
        <w:rPr>
          <w:rFonts w:ascii="Arial" w:hAnsi="Arial"/>
          <w:b/>
        </w:rPr>
      </w:pPr>
      <w:r>
        <w:rPr>
          <w:rFonts w:ascii="Arial" w:hAnsi="Arial"/>
          <w:b/>
        </w:rPr>
        <w:t>REPORTABLE</w:t>
      </w:r>
    </w:p>
    <w:p w14:paraId="00047D8E" w14:textId="77777777" w:rsidR="00A24CAD" w:rsidRPr="00681B8B" w:rsidRDefault="00A24CAD" w:rsidP="00356543">
      <w:pPr>
        <w:jc w:val="right"/>
        <w:rPr>
          <w:rFonts w:ascii="Arial" w:hAnsi="Arial"/>
          <w:b/>
        </w:rPr>
      </w:pPr>
    </w:p>
    <w:p w14:paraId="47515959" w14:textId="1C0B5A51" w:rsidR="00A24CAD" w:rsidRDefault="00A24CAD" w:rsidP="00356543">
      <w:pPr>
        <w:jc w:val="right"/>
        <w:rPr>
          <w:rFonts w:ascii="Arial" w:hAnsi="Arial"/>
        </w:rPr>
      </w:pPr>
      <w:r>
        <w:rPr>
          <w:rFonts w:ascii="Arial" w:hAnsi="Arial"/>
        </w:rPr>
        <w:t xml:space="preserve">CASE NO: SA </w:t>
      </w:r>
      <w:r w:rsidR="007E5EF7">
        <w:rPr>
          <w:rFonts w:ascii="Arial" w:hAnsi="Arial"/>
        </w:rPr>
        <w:t>92</w:t>
      </w:r>
      <w:r>
        <w:rPr>
          <w:rFonts w:ascii="Arial" w:hAnsi="Arial"/>
        </w:rPr>
        <w:t>/20</w:t>
      </w:r>
      <w:r w:rsidR="007E5EF7">
        <w:rPr>
          <w:rFonts w:ascii="Arial" w:hAnsi="Arial"/>
        </w:rPr>
        <w:t>20</w:t>
      </w:r>
    </w:p>
    <w:p w14:paraId="16DD7DFB" w14:textId="77777777" w:rsidR="00A24CAD" w:rsidRDefault="00A24CAD" w:rsidP="00356543">
      <w:pPr>
        <w:jc w:val="right"/>
        <w:rPr>
          <w:rFonts w:ascii="Arial" w:hAnsi="Arial"/>
        </w:rPr>
      </w:pPr>
    </w:p>
    <w:p w14:paraId="4A36D4EF" w14:textId="77777777" w:rsidR="00A24CAD" w:rsidRDefault="00A24CAD" w:rsidP="00356543">
      <w:pPr>
        <w:jc w:val="right"/>
        <w:rPr>
          <w:rFonts w:ascii="Arial" w:hAnsi="Arial"/>
        </w:rPr>
      </w:pPr>
    </w:p>
    <w:p w14:paraId="3493AAFE" w14:textId="77777777" w:rsidR="00A24CAD" w:rsidRDefault="00A24CAD" w:rsidP="00356543">
      <w:pPr>
        <w:rPr>
          <w:rFonts w:ascii="Arial" w:hAnsi="Arial"/>
          <w:b/>
        </w:rPr>
      </w:pPr>
      <w:r>
        <w:rPr>
          <w:rFonts w:ascii="Arial" w:hAnsi="Arial"/>
          <w:b/>
        </w:rPr>
        <w:t>IN THE SUPREME COURT OF NAMIBIA</w:t>
      </w:r>
    </w:p>
    <w:p w14:paraId="2013A7C5" w14:textId="77777777" w:rsidR="00A24CAD" w:rsidRDefault="00A24CAD" w:rsidP="00356543">
      <w:pPr>
        <w:rPr>
          <w:rFonts w:ascii="Arial" w:hAnsi="Arial"/>
          <w:b/>
        </w:rPr>
      </w:pPr>
    </w:p>
    <w:p w14:paraId="2D17EDB6" w14:textId="77777777" w:rsidR="00A24CAD" w:rsidRDefault="00A24CAD" w:rsidP="00356543">
      <w:pPr>
        <w:rPr>
          <w:rFonts w:ascii="Arial" w:hAnsi="Arial"/>
          <w:b/>
        </w:rPr>
      </w:pPr>
    </w:p>
    <w:p w14:paraId="0A071AFD" w14:textId="77777777" w:rsidR="00A24CAD" w:rsidRDefault="00A24CAD" w:rsidP="00356543">
      <w:pPr>
        <w:rPr>
          <w:rFonts w:ascii="Arial" w:hAnsi="Arial"/>
        </w:rPr>
      </w:pPr>
      <w:r>
        <w:rPr>
          <w:rFonts w:ascii="Arial" w:hAnsi="Arial"/>
        </w:rPr>
        <w:t>In the matter between</w:t>
      </w:r>
      <w:r w:rsidR="00216EBF">
        <w:rPr>
          <w:rFonts w:ascii="Arial" w:hAnsi="Arial"/>
        </w:rPr>
        <w:t>:</w:t>
      </w:r>
    </w:p>
    <w:p w14:paraId="4DA31468" w14:textId="77777777" w:rsidR="00A24CAD" w:rsidRDefault="00A24CAD" w:rsidP="00356543">
      <w:pPr>
        <w:rPr>
          <w:rFonts w:ascii="Arial" w:hAnsi="Arial"/>
        </w:rPr>
      </w:pPr>
    </w:p>
    <w:p w14:paraId="0452B1FA" w14:textId="77777777" w:rsidR="00A24CAD" w:rsidRDefault="00A24CAD" w:rsidP="00356543">
      <w:pP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2"/>
        <w:gridCol w:w="2609"/>
      </w:tblGrid>
      <w:tr w:rsidR="00A24CAD" w14:paraId="3F9D1152" w14:textId="77777777" w:rsidTr="00121F0B">
        <w:tc>
          <w:tcPr>
            <w:tcW w:w="6345" w:type="dxa"/>
          </w:tcPr>
          <w:p w14:paraId="73826F47" w14:textId="5BDD42F7" w:rsidR="00A24CAD" w:rsidRPr="007E5EF7" w:rsidRDefault="000923E6" w:rsidP="00356543">
            <w:pPr>
              <w:spacing w:line="276" w:lineRule="auto"/>
              <w:ind w:hanging="108"/>
              <w:rPr>
                <w:rFonts w:ascii="Arial" w:hAnsi="Arial"/>
                <w:b/>
              </w:rPr>
            </w:pPr>
            <w:r>
              <w:rPr>
                <w:rFonts w:ascii="Arial" w:hAnsi="Arial"/>
                <w:b/>
              </w:rPr>
              <w:t>MARMORWERKE KARIBIB (PROPRIETARY</w:t>
            </w:r>
            <w:r w:rsidR="00207917">
              <w:rPr>
                <w:rFonts w:ascii="Arial" w:hAnsi="Arial"/>
                <w:b/>
              </w:rPr>
              <w:t>) LIMITED</w:t>
            </w:r>
          </w:p>
        </w:tc>
        <w:tc>
          <w:tcPr>
            <w:tcW w:w="2652" w:type="dxa"/>
          </w:tcPr>
          <w:p w14:paraId="6DF3DE1E" w14:textId="77777777" w:rsidR="00A24CAD" w:rsidRPr="00DE17E7" w:rsidRDefault="00A24CAD" w:rsidP="00356543">
            <w:pPr>
              <w:spacing w:line="276" w:lineRule="auto"/>
              <w:jc w:val="right"/>
              <w:rPr>
                <w:rFonts w:ascii="Arial" w:hAnsi="Arial"/>
                <w:b/>
              </w:rPr>
            </w:pPr>
            <w:r w:rsidRPr="00DE17E7">
              <w:rPr>
                <w:rFonts w:ascii="Arial" w:hAnsi="Arial"/>
                <w:b/>
              </w:rPr>
              <w:t>Appellant</w:t>
            </w:r>
          </w:p>
        </w:tc>
      </w:tr>
      <w:tr w:rsidR="00A24CAD" w14:paraId="2D3CF978" w14:textId="77777777" w:rsidTr="00121F0B">
        <w:tc>
          <w:tcPr>
            <w:tcW w:w="6345" w:type="dxa"/>
          </w:tcPr>
          <w:p w14:paraId="07AE4A56" w14:textId="77777777" w:rsidR="00A24CAD" w:rsidRPr="00835AA9" w:rsidRDefault="00A24CAD" w:rsidP="00356543">
            <w:pPr>
              <w:spacing w:line="276" w:lineRule="auto"/>
              <w:ind w:hanging="108"/>
              <w:rPr>
                <w:rFonts w:ascii="Arial" w:hAnsi="Arial"/>
              </w:rPr>
            </w:pPr>
          </w:p>
        </w:tc>
        <w:tc>
          <w:tcPr>
            <w:tcW w:w="2652" w:type="dxa"/>
          </w:tcPr>
          <w:p w14:paraId="44668D06" w14:textId="77777777" w:rsidR="00A24CAD" w:rsidRPr="00DE17E7" w:rsidRDefault="00A24CAD" w:rsidP="00356543">
            <w:pPr>
              <w:spacing w:line="276" w:lineRule="auto"/>
              <w:jc w:val="right"/>
              <w:rPr>
                <w:rFonts w:ascii="Arial" w:hAnsi="Arial"/>
                <w:b/>
              </w:rPr>
            </w:pPr>
          </w:p>
        </w:tc>
      </w:tr>
      <w:tr w:rsidR="00A24CAD" w14:paraId="69D2E1EA" w14:textId="77777777" w:rsidTr="00121F0B">
        <w:tc>
          <w:tcPr>
            <w:tcW w:w="6345" w:type="dxa"/>
          </w:tcPr>
          <w:p w14:paraId="20795086" w14:textId="77777777" w:rsidR="00356543" w:rsidRDefault="00356543" w:rsidP="00356543">
            <w:pPr>
              <w:spacing w:line="276" w:lineRule="auto"/>
              <w:ind w:hanging="108"/>
              <w:rPr>
                <w:rFonts w:ascii="Arial" w:hAnsi="Arial"/>
              </w:rPr>
            </w:pPr>
          </w:p>
          <w:p w14:paraId="173B45B7" w14:textId="7F34388B" w:rsidR="00A24CAD" w:rsidRPr="00835AA9" w:rsidRDefault="00207917" w:rsidP="00356543">
            <w:pPr>
              <w:spacing w:line="276" w:lineRule="auto"/>
              <w:ind w:hanging="108"/>
              <w:rPr>
                <w:rFonts w:ascii="Arial" w:hAnsi="Arial"/>
              </w:rPr>
            </w:pPr>
            <w:r>
              <w:rPr>
                <w:rFonts w:ascii="Arial" w:hAnsi="Arial"/>
              </w:rPr>
              <w:t>a</w:t>
            </w:r>
            <w:r w:rsidR="00A24CAD" w:rsidRPr="00835AA9">
              <w:rPr>
                <w:rFonts w:ascii="Arial" w:hAnsi="Arial"/>
              </w:rPr>
              <w:t>nd</w:t>
            </w:r>
          </w:p>
        </w:tc>
        <w:tc>
          <w:tcPr>
            <w:tcW w:w="2652" w:type="dxa"/>
          </w:tcPr>
          <w:p w14:paraId="57EE3E24" w14:textId="77777777" w:rsidR="00A24CAD" w:rsidRPr="00DE17E7" w:rsidRDefault="00A24CAD" w:rsidP="00356543">
            <w:pPr>
              <w:spacing w:line="276" w:lineRule="auto"/>
              <w:jc w:val="right"/>
              <w:rPr>
                <w:rFonts w:ascii="Arial" w:hAnsi="Arial"/>
                <w:b/>
              </w:rPr>
            </w:pPr>
          </w:p>
        </w:tc>
      </w:tr>
      <w:tr w:rsidR="00A24CAD" w14:paraId="5F30EAA9" w14:textId="77777777" w:rsidTr="00121F0B">
        <w:tc>
          <w:tcPr>
            <w:tcW w:w="6345" w:type="dxa"/>
          </w:tcPr>
          <w:p w14:paraId="5A31AAFE" w14:textId="77777777" w:rsidR="00A24CAD" w:rsidRPr="00835AA9" w:rsidRDefault="00A24CAD" w:rsidP="00356543">
            <w:pPr>
              <w:spacing w:line="276" w:lineRule="auto"/>
              <w:ind w:hanging="108"/>
              <w:rPr>
                <w:rFonts w:ascii="Arial" w:hAnsi="Arial"/>
              </w:rPr>
            </w:pPr>
          </w:p>
        </w:tc>
        <w:tc>
          <w:tcPr>
            <w:tcW w:w="2652" w:type="dxa"/>
          </w:tcPr>
          <w:p w14:paraId="3E79BC13" w14:textId="77777777" w:rsidR="00A24CAD" w:rsidRPr="00DE17E7" w:rsidRDefault="00A24CAD" w:rsidP="00356543">
            <w:pPr>
              <w:spacing w:line="276" w:lineRule="auto"/>
              <w:jc w:val="right"/>
              <w:rPr>
                <w:rFonts w:ascii="Arial" w:hAnsi="Arial"/>
                <w:b/>
              </w:rPr>
            </w:pPr>
          </w:p>
        </w:tc>
      </w:tr>
      <w:tr w:rsidR="00A24CAD" w14:paraId="243422CC" w14:textId="77777777" w:rsidTr="00121F0B">
        <w:tc>
          <w:tcPr>
            <w:tcW w:w="6345" w:type="dxa"/>
          </w:tcPr>
          <w:p w14:paraId="033B996B" w14:textId="77777777" w:rsidR="00356543" w:rsidRDefault="00356543" w:rsidP="00356543">
            <w:pPr>
              <w:spacing w:line="276" w:lineRule="auto"/>
              <w:ind w:hanging="108"/>
              <w:rPr>
                <w:rFonts w:ascii="Arial" w:hAnsi="Arial"/>
                <w:b/>
              </w:rPr>
            </w:pPr>
          </w:p>
          <w:p w14:paraId="72A7335A" w14:textId="6A80C115" w:rsidR="00A24CAD" w:rsidRDefault="00207917" w:rsidP="00356543">
            <w:pPr>
              <w:spacing w:line="276" w:lineRule="auto"/>
              <w:ind w:hanging="108"/>
              <w:rPr>
                <w:rFonts w:ascii="Arial" w:hAnsi="Arial"/>
              </w:rPr>
            </w:pPr>
            <w:r>
              <w:rPr>
                <w:rFonts w:ascii="Arial" w:hAnsi="Arial"/>
                <w:b/>
              </w:rPr>
              <w:t>TRANSNAMIB HOLDINGS LIMITED</w:t>
            </w:r>
            <w:r w:rsidR="007E5EF7">
              <w:rPr>
                <w:rFonts w:ascii="Arial" w:hAnsi="Arial"/>
                <w:b/>
              </w:rPr>
              <w:t xml:space="preserve"> </w:t>
            </w:r>
          </w:p>
        </w:tc>
        <w:tc>
          <w:tcPr>
            <w:tcW w:w="2652" w:type="dxa"/>
          </w:tcPr>
          <w:p w14:paraId="1369FB5C" w14:textId="77777777" w:rsidR="00A24CAD" w:rsidRPr="00DE17E7" w:rsidRDefault="00A24CAD" w:rsidP="00356543">
            <w:pPr>
              <w:spacing w:line="276" w:lineRule="auto"/>
              <w:jc w:val="right"/>
              <w:rPr>
                <w:rFonts w:ascii="Arial" w:hAnsi="Arial"/>
                <w:b/>
              </w:rPr>
            </w:pPr>
            <w:r w:rsidRPr="00DE17E7">
              <w:rPr>
                <w:rFonts w:ascii="Arial" w:hAnsi="Arial"/>
                <w:b/>
              </w:rPr>
              <w:t>Respondent</w:t>
            </w:r>
          </w:p>
          <w:p w14:paraId="63DCAF0B" w14:textId="77777777" w:rsidR="00A24CAD" w:rsidRPr="00DE17E7" w:rsidRDefault="00A24CAD" w:rsidP="00356543">
            <w:pPr>
              <w:spacing w:line="276" w:lineRule="auto"/>
              <w:jc w:val="right"/>
              <w:rPr>
                <w:rFonts w:ascii="Arial" w:hAnsi="Arial"/>
                <w:b/>
              </w:rPr>
            </w:pPr>
          </w:p>
        </w:tc>
      </w:tr>
    </w:tbl>
    <w:p w14:paraId="7F27B1DD" w14:textId="77777777" w:rsidR="00A24CAD" w:rsidRDefault="00A24CAD" w:rsidP="00356543">
      <w:pPr>
        <w:rPr>
          <w:rFonts w:ascii="Arial" w:hAnsi="Arial"/>
        </w:rPr>
      </w:pPr>
    </w:p>
    <w:p w14:paraId="30DF6F9C" w14:textId="77777777" w:rsidR="00A24CAD" w:rsidRDefault="00A24CAD" w:rsidP="00356543">
      <w:pPr>
        <w:rPr>
          <w:rFonts w:ascii="Arial" w:hAnsi="Arial"/>
        </w:rPr>
      </w:pPr>
    </w:p>
    <w:p w14:paraId="06C9851F" w14:textId="77777777" w:rsidR="00A24CAD" w:rsidRDefault="00A24CAD" w:rsidP="00356543">
      <w:pPr>
        <w:rPr>
          <w:rFonts w:ascii="Arial" w:hAnsi="Arial"/>
        </w:rPr>
      </w:pPr>
      <w:r>
        <w:rPr>
          <w:rFonts w:ascii="Arial" w:hAnsi="Arial"/>
          <w:b/>
        </w:rPr>
        <w:t xml:space="preserve">CORAM: </w:t>
      </w:r>
      <w:r>
        <w:rPr>
          <w:rFonts w:ascii="Arial" w:hAnsi="Arial"/>
          <w:b/>
        </w:rPr>
        <w:tab/>
      </w:r>
      <w:r>
        <w:rPr>
          <w:rFonts w:ascii="Arial" w:hAnsi="Arial"/>
          <w:b/>
        </w:rPr>
        <w:tab/>
      </w:r>
      <w:r>
        <w:rPr>
          <w:rFonts w:ascii="Arial" w:hAnsi="Arial"/>
        </w:rPr>
        <w:t xml:space="preserve">SHIVUTE CJ, </w:t>
      </w:r>
      <w:r w:rsidR="007E5EF7">
        <w:rPr>
          <w:rFonts w:ascii="Arial" w:hAnsi="Arial"/>
        </w:rPr>
        <w:t xml:space="preserve">SMUTS </w:t>
      </w:r>
      <w:r>
        <w:rPr>
          <w:rFonts w:ascii="Arial" w:hAnsi="Arial"/>
        </w:rPr>
        <w:t>JA and AN</w:t>
      </w:r>
      <w:r w:rsidR="007E5EF7">
        <w:rPr>
          <w:rFonts w:ascii="Arial" w:hAnsi="Arial"/>
        </w:rPr>
        <w:t>GULA</w:t>
      </w:r>
      <w:r>
        <w:rPr>
          <w:rFonts w:ascii="Arial" w:hAnsi="Arial"/>
        </w:rPr>
        <w:t xml:space="preserve"> AJA</w:t>
      </w:r>
    </w:p>
    <w:p w14:paraId="7C04BABE" w14:textId="77777777" w:rsidR="00A24CAD" w:rsidRDefault="00A24CAD" w:rsidP="00356543">
      <w:pPr>
        <w:tabs>
          <w:tab w:val="left" w:pos="4920"/>
        </w:tabs>
        <w:rPr>
          <w:rFonts w:ascii="Arial" w:hAnsi="Arial"/>
        </w:rPr>
      </w:pPr>
      <w:r>
        <w:rPr>
          <w:rFonts w:ascii="Arial" w:hAnsi="Arial"/>
        </w:rPr>
        <w:tab/>
      </w:r>
    </w:p>
    <w:p w14:paraId="0F607A2C" w14:textId="77777777" w:rsidR="00356543" w:rsidRDefault="00356543" w:rsidP="00356543">
      <w:pPr>
        <w:rPr>
          <w:rFonts w:ascii="Arial" w:hAnsi="Arial"/>
          <w:b/>
        </w:rPr>
      </w:pPr>
    </w:p>
    <w:p w14:paraId="5C7D0BF9" w14:textId="77777777" w:rsidR="00A24CAD" w:rsidRDefault="00A24CAD" w:rsidP="00356543">
      <w:pPr>
        <w:rPr>
          <w:rFonts w:ascii="Arial" w:hAnsi="Arial"/>
        </w:rPr>
      </w:pPr>
      <w:r>
        <w:rPr>
          <w:rFonts w:ascii="Arial" w:hAnsi="Arial"/>
          <w:b/>
        </w:rPr>
        <w:t>Heard on:</w:t>
      </w:r>
      <w:r>
        <w:rPr>
          <w:rFonts w:ascii="Arial" w:hAnsi="Arial"/>
          <w:b/>
        </w:rPr>
        <w:tab/>
      </w:r>
      <w:r>
        <w:rPr>
          <w:rFonts w:ascii="Arial" w:hAnsi="Arial"/>
          <w:b/>
        </w:rPr>
        <w:tab/>
        <w:t xml:space="preserve">7 </w:t>
      </w:r>
      <w:r w:rsidR="007E5EF7">
        <w:rPr>
          <w:rFonts w:ascii="Arial" w:hAnsi="Arial"/>
          <w:b/>
        </w:rPr>
        <w:t>April</w:t>
      </w:r>
      <w:r>
        <w:rPr>
          <w:rFonts w:ascii="Arial" w:hAnsi="Arial"/>
          <w:b/>
        </w:rPr>
        <w:t xml:space="preserve"> 20</w:t>
      </w:r>
      <w:r w:rsidR="007E5EF7">
        <w:rPr>
          <w:rFonts w:ascii="Arial" w:hAnsi="Arial"/>
          <w:b/>
        </w:rPr>
        <w:t>22</w:t>
      </w:r>
    </w:p>
    <w:p w14:paraId="44414086" w14:textId="77777777" w:rsidR="00A24CAD" w:rsidRDefault="00A24CAD" w:rsidP="00356543">
      <w:pPr>
        <w:rPr>
          <w:rFonts w:ascii="Arial" w:hAnsi="Arial"/>
        </w:rPr>
      </w:pPr>
    </w:p>
    <w:p w14:paraId="5D734FA6" w14:textId="027D53AB" w:rsidR="00A24CAD" w:rsidRDefault="00A24CAD" w:rsidP="00356543">
      <w:pPr>
        <w:rPr>
          <w:rFonts w:ascii="Arial" w:hAnsi="Arial"/>
          <w:b/>
        </w:rPr>
      </w:pPr>
      <w:r>
        <w:rPr>
          <w:rFonts w:ascii="Arial" w:hAnsi="Arial"/>
          <w:b/>
        </w:rPr>
        <w:t>Delivered on:</w:t>
      </w:r>
      <w:r>
        <w:rPr>
          <w:rFonts w:ascii="Arial" w:hAnsi="Arial"/>
          <w:b/>
        </w:rPr>
        <w:tab/>
      </w:r>
      <w:r w:rsidR="00F226DA">
        <w:rPr>
          <w:rFonts w:ascii="Arial" w:hAnsi="Arial"/>
          <w:b/>
        </w:rPr>
        <w:t>27</w:t>
      </w:r>
      <w:r w:rsidR="009C7132">
        <w:rPr>
          <w:rFonts w:ascii="Arial" w:hAnsi="Arial"/>
          <w:b/>
        </w:rPr>
        <w:t xml:space="preserve"> May 2022</w:t>
      </w:r>
    </w:p>
    <w:p w14:paraId="54E776A0" w14:textId="77777777" w:rsidR="00B039AF" w:rsidRPr="00216EBF" w:rsidRDefault="00B039AF" w:rsidP="00356543">
      <w:pPr>
        <w:rPr>
          <w:rFonts w:ascii="Arial" w:hAnsi="Arial"/>
        </w:rPr>
      </w:pPr>
    </w:p>
    <w:p w14:paraId="3947B7BC" w14:textId="77777777" w:rsidR="00356543" w:rsidRDefault="00356543" w:rsidP="00356543">
      <w:pPr>
        <w:spacing w:line="360" w:lineRule="auto"/>
        <w:jc w:val="both"/>
        <w:rPr>
          <w:rFonts w:ascii="Arial" w:hAnsi="Arial"/>
          <w:b/>
        </w:rPr>
      </w:pPr>
    </w:p>
    <w:p w14:paraId="0A2A771E" w14:textId="2F99D0AD" w:rsidR="00A24CAD" w:rsidRDefault="00D072F4" w:rsidP="00356543">
      <w:pPr>
        <w:spacing w:line="360" w:lineRule="auto"/>
        <w:jc w:val="both"/>
        <w:rPr>
          <w:rFonts w:ascii="Arial" w:hAnsi="Arial"/>
        </w:rPr>
      </w:pPr>
      <w:r>
        <w:rPr>
          <w:rFonts w:ascii="Arial" w:hAnsi="Arial"/>
          <w:b/>
        </w:rPr>
        <w:t>Summary:</w:t>
      </w:r>
      <w:r w:rsidR="0061432A">
        <w:rPr>
          <w:rFonts w:ascii="Arial" w:hAnsi="Arial"/>
          <w:b/>
        </w:rPr>
        <w:t xml:space="preserve"> </w:t>
      </w:r>
      <w:r w:rsidRPr="00D072F4">
        <w:rPr>
          <w:rFonts w:ascii="Arial" w:hAnsi="Arial"/>
        </w:rPr>
        <w:t xml:space="preserve">The appellant </w:t>
      </w:r>
      <w:r w:rsidR="00F45E6B">
        <w:rPr>
          <w:rFonts w:ascii="Arial" w:hAnsi="Arial" w:cs="Arial"/>
        </w:rPr>
        <w:t>–</w:t>
      </w:r>
      <w:r w:rsidR="00F45E6B">
        <w:rPr>
          <w:rFonts w:ascii="Arial" w:hAnsi="Arial"/>
        </w:rPr>
        <w:t xml:space="preserve"> </w:t>
      </w:r>
      <w:r w:rsidRPr="00D072F4">
        <w:rPr>
          <w:rFonts w:ascii="Arial" w:hAnsi="Arial"/>
        </w:rPr>
        <w:t>as plaintiff</w:t>
      </w:r>
      <w:r w:rsidR="00F45E6B">
        <w:rPr>
          <w:rFonts w:ascii="Arial" w:hAnsi="Arial"/>
        </w:rPr>
        <w:t xml:space="preserve"> </w:t>
      </w:r>
      <w:r w:rsidR="00F45E6B">
        <w:rPr>
          <w:rFonts w:ascii="Arial" w:hAnsi="Arial" w:cs="Arial"/>
        </w:rPr>
        <w:t>–</w:t>
      </w:r>
      <w:r w:rsidR="00F45E6B">
        <w:rPr>
          <w:rFonts w:ascii="Arial" w:hAnsi="Arial"/>
        </w:rPr>
        <w:t xml:space="preserve"> </w:t>
      </w:r>
      <w:r w:rsidRPr="00D072F4">
        <w:rPr>
          <w:rFonts w:ascii="Arial" w:hAnsi="Arial"/>
        </w:rPr>
        <w:t>filed a notice to amend its replication</w:t>
      </w:r>
      <w:r w:rsidR="00216EBF">
        <w:rPr>
          <w:rFonts w:ascii="Arial" w:hAnsi="Arial"/>
        </w:rPr>
        <w:t xml:space="preserve"> to the respondent’s plea</w:t>
      </w:r>
      <w:r w:rsidR="002D776D">
        <w:rPr>
          <w:rFonts w:ascii="Arial" w:hAnsi="Arial"/>
        </w:rPr>
        <w:t xml:space="preserve"> </w:t>
      </w:r>
      <w:r w:rsidR="0046486E">
        <w:rPr>
          <w:rFonts w:ascii="Arial" w:hAnsi="Arial"/>
        </w:rPr>
        <w:t>in terms of rule 52 of the Rules of the High Court</w:t>
      </w:r>
      <w:r w:rsidR="00F226DA">
        <w:rPr>
          <w:rFonts w:ascii="Arial" w:hAnsi="Arial"/>
        </w:rPr>
        <w:t xml:space="preserve"> (the Rules)</w:t>
      </w:r>
      <w:r w:rsidR="00216EBF">
        <w:rPr>
          <w:rFonts w:ascii="Arial" w:hAnsi="Arial"/>
        </w:rPr>
        <w:t>.</w:t>
      </w:r>
      <w:r>
        <w:rPr>
          <w:rFonts w:ascii="Arial" w:hAnsi="Arial"/>
        </w:rPr>
        <w:t xml:space="preserve"> The notice stated that unless objection in writing to the proposed amendment was made within 10 days, the plaintiff would amend its replication. No objection to the proposed amendment was made within the time period stated in the notice. </w:t>
      </w:r>
      <w:r w:rsidR="002D776D">
        <w:rPr>
          <w:rFonts w:ascii="Arial" w:hAnsi="Arial"/>
        </w:rPr>
        <w:t>Instead, the respondent</w:t>
      </w:r>
      <w:r w:rsidR="00252E74">
        <w:rPr>
          <w:rFonts w:ascii="Arial" w:hAnsi="Arial"/>
        </w:rPr>
        <w:t xml:space="preserve">’s legal practitioners </w:t>
      </w:r>
      <w:r w:rsidR="002D776D">
        <w:rPr>
          <w:rFonts w:ascii="Arial" w:hAnsi="Arial"/>
        </w:rPr>
        <w:t xml:space="preserve">addressed a letter to the appellant’s legal practitioners informing them that the </w:t>
      </w:r>
      <w:r w:rsidR="006631FF">
        <w:rPr>
          <w:rFonts w:ascii="Arial" w:hAnsi="Arial"/>
        </w:rPr>
        <w:t>notice to</w:t>
      </w:r>
      <w:r w:rsidR="002D776D">
        <w:rPr>
          <w:rFonts w:ascii="Arial" w:hAnsi="Arial"/>
        </w:rPr>
        <w:t xml:space="preserve"> amend was an interlocutory application and that it </w:t>
      </w:r>
      <w:r w:rsidR="007C2AED">
        <w:rPr>
          <w:rFonts w:ascii="Arial" w:hAnsi="Arial"/>
        </w:rPr>
        <w:t>w</w:t>
      </w:r>
      <w:r w:rsidR="005B1C40">
        <w:rPr>
          <w:rFonts w:ascii="Arial" w:hAnsi="Arial"/>
        </w:rPr>
        <w:t>ould</w:t>
      </w:r>
      <w:r w:rsidR="007C2AED">
        <w:rPr>
          <w:rFonts w:ascii="Arial" w:hAnsi="Arial"/>
        </w:rPr>
        <w:t xml:space="preserve"> be opposed as it failed to comply </w:t>
      </w:r>
      <w:r w:rsidR="002D776D">
        <w:rPr>
          <w:rFonts w:ascii="Arial" w:hAnsi="Arial"/>
        </w:rPr>
        <w:t>with rule 32(9) and (10) of the Rules</w:t>
      </w:r>
      <w:r w:rsidR="005624A6">
        <w:rPr>
          <w:rFonts w:ascii="Arial" w:hAnsi="Arial"/>
        </w:rPr>
        <w:t>.</w:t>
      </w:r>
      <w:r w:rsidR="002D776D">
        <w:rPr>
          <w:rFonts w:ascii="Arial" w:hAnsi="Arial"/>
        </w:rPr>
        <w:t xml:space="preserve"> </w:t>
      </w:r>
      <w:r w:rsidR="007C2AED">
        <w:rPr>
          <w:rFonts w:ascii="Arial" w:hAnsi="Arial"/>
        </w:rPr>
        <w:t xml:space="preserve">The letter set out two bases for the objection. A notice of intention </w:t>
      </w:r>
      <w:r w:rsidR="007C2AED">
        <w:rPr>
          <w:rFonts w:ascii="Arial" w:hAnsi="Arial"/>
        </w:rPr>
        <w:lastRenderedPageBreak/>
        <w:t xml:space="preserve">to oppose the proposed amendment was </w:t>
      </w:r>
      <w:r w:rsidR="006A1504">
        <w:rPr>
          <w:rFonts w:ascii="Arial" w:hAnsi="Arial"/>
        </w:rPr>
        <w:t xml:space="preserve">later </w:t>
      </w:r>
      <w:r w:rsidR="007C2AED">
        <w:rPr>
          <w:rFonts w:ascii="Arial" w:hAnsi="Arial"/>
        </w:rPr>
        <w:t>filed</w:t>
      </w:r>
      <w:r w:rsidR="006A1504">
        <w:rPr>
          <w:rFonts w:ascii="Arial" w:hAnsi="Arial"/>
        </w:rPr>
        <w:t>;</w:t>
      </w:r>
      <w:r w:rsidR="007C2AED">
        <w:rPr>
          <w:rFonts w:ascii="Arial" w:hAnsi="Arial"/>
        </w:rPr>
        <w:t xml:space="preserve"> out of time. </w:t>
      </w:r>
      <w:r w:rsidR="001F7669">
        <w:rPr>
          <w:rFonts w:ascii="Arial" w:hAnsi="Arial"/>
        </w:rPr>
        <w:t>The appellant subsequently filed its replication</w:t>
      </w:r>
      <w:r w:rsidR="006631FF">
        <w:rPr>
          <w:rFonts w:ascii="Arial" w:hAnsi="Arial"/>
        </w:rPr>
        <w:t xml:space="preserve">. The parties expressed differing views on the question whether the notice to amend and the amendment were rule-compliant </w:t>
      </w:r>
      <w:r w:rsidR="00216EBF">
        <w:rPr>
          <w:rFonts w:ascii="Arial" w:hAnsi="Arial"/>
        </w:rPr>
        <w:t xml:space="preserve">proceedings </w:t>
      </w:r>
      <w:r w:rsidR="006631FF">
        <w:rPr>
          <w:rFonts w:ascii="Arial" w:hAnsi="Arial"/>
        </w:rPr>
        <w:t>or not. They requested the High Court to give directions on the dispute.</w:t>
      </w:r>
    </w:p>
    <w:p w14:paraId="1A287F0F" w14:textId="77777777" w:rsidR="006631FF" w:rsidRDefault="006631FF" w:rsidP="00356543">
      <w:pPr>
        <w:spacing w:line="360" w:lineRule="auto"/>
        <w:jc w:val="both"/>
        <w:rPr>
          <w:rFonts w:ascii="Arial" w:hAnsi="Arial"/>
        </w:rPr>
      </w:pPr>
    </w:p>
    <w:p w14:paraId="1E9F2F07" w14:textId="4C8E8637" w:rsidR="00BF2637" w:rsidRDefault="006631FF" w:rsidP="00356543">
      <w:pPr>
        <w:spacing w:line="360" w:lineRule="auto"/>
        <w:jc w:val="both"/>
        <w:rPr>
          <w:rFonts w:ascii="Arial" w:hAnsi="Arial"/>
        </w:rPr>
      </w:pPr>
      <w:r>
        <w:rPr>
          <w:rFonts w:ascii="Arial" w:hAnsi="Arial"/>
        </w:rPr>
        <w:t xml:space="preserve">The court </w:t>
      </w:r>
      <w:r w:rsidRPr="006631FF">
        <w:rPr>
          <w:rFonts w:ascii="Arial" w:hAnsi="Arial"/>
          <w:i/>
        </w:rPr>
        <w:t>a quo</w:t>
      </w:r>
      <w:r>
        <w:rPr>
          <w:rFonts w:ascii="Arial" w:hAnsi="Arial"/>
        </w:rPr>
        <w:t xml:space="preserve"> </w:t>
      </w:r>
      <w:r w:rsidRPr="00356543">
        <w:rPr>
          <w:rFonts w:ascii="Arial" w:hAnsi="Arial"/>
          <w:i/>
        </w:rPr>
        <w:t>held</w:t>
      </w:r>
      <w:r>
        <w:rPr>
          <w:rFonts w:ascii="Arial" w:hAnsi="Arial"/>
        </w:rPr>
        <w:t xml:space="preserve"> that the notice to amend and the amendment were improperly before court and struck them </w:t>
      </w:r>
      <w:r w:rsidR="00216EBF">
        <w:rPr>
          <w:rFonts w:ascii="Arial" w:hAnsi="Arial"/>
        </w:rPr>
        <w:t>o</w:t>
      </w:r>
      <w:r w:rsidR="0055423B">
        <w:rPr>
          <w:rFonts w:ascii="Arial" w:hAnsi="Arial"/>
        </w:rPr>
        <w:t>ut</w:t>
      </w:r>
      <w:r>
        <w:rPr>
          <w:rFonts w:ascii="Arial" w:hAnsi="Arial"/>
        </w:rPr>
        <w:t xml:space="preserve"> with costs. The High Court reasoned that an amendment to a pleading was an interlocutory matter</w:t>
      </w:r>
      <w:r w:rsidR="00BF2637">
        <w:rPr>
          <w:rFonts w:ascii="Arial" w:hAnsi="Arial"/>
        </w:rPr>
        <w:t xml:space="preserve">. Therefore, a party intending to amend a pleading must first apply for directions in terms of rule 32(1) and (4) of the Rules. </w:t>
      </w:r>
      <w:r w:rsidR="0046486E">
        <w:rPr>
          <w:rFonts w:ascii="Arial" w:hAnsi="Arial"/>
        </w:rPr>
        <w:t>The court held further that s</w:t>
      </w:r>
      <w:r w:rsidR="00BF2637">
        <w:rPr>
          <w:rFonts w:ascii="Arial" w:hAnsi="Arial"/>
        </w:rPr>
        <w:t xml:space="preserve">uch party must </w:t>
      </w:r>
      <w:r w:rsidR="0046486E">
        <w:rPr>
          <w:rFonts w:ascii="Arial" w:hAnsi="Arial"/>
        </w:rPr>
        <w:t xml:space="preserve">first </w:t>
      </w:r>
      <w:r w:rsidR="00BF2637">
        <w:rPr>
          <w:rFonts w:ascii="Arial" w:hAnsi="Arial"/>
        </w:rPr>
        <w:t>comply with rule 32(9) and (10) of the Rules before launching the proceeding contemplated under rule 52(1).</w:t>
      </w:r>
    </w:p>
    <w:p w14:paraId="5BDBEB72" w14:textId="77777777" w:rsidR="00216EBF" w:rsidRDefault="00216EBF" w:rsidP="00356543">
      <w:pPr>
        <w:spacing w:line="360" w:lineRule="auto"/>
        <w:jc w:val="both"/>
        <w:rPr>
          <w:rFonts w:ascii="Arial" w:hAnsi="Arial"/>
        </w:rPr>
      </w:pPr>
    </w:p>
    <w:p w14:paraId="1EE44E55" w14:textId="77777777" w:rsidR="00961EB4" w:rsidRPr="006631FF" w:rsidRDefault="00BF2637" w:rsidP="00356543">
      <w:pPr>
        <w:spacing w:line="360" w:lineRule="auto"/>
        <w:jc w:val="both"/>
        <w:rPr>
          <w:rFonts w:ascii="Arial" w:hAnsi="Arial"/>
        </w:rPr>
      </w:pPr>
      <w:r>
        <w:rPr>
          <w:rFonts w:ascii="Arial" w:hAnsi="Arial"/>
        </w:rPr>
        <w:t xml:space="preserve">On appeal, </w:t>
      </w:r>
      <w:r w:rsidRPr="00356543">
        <w:rPr>
          <w:rFonts w:ascii="Arial" w:hAnsi="Arial"/>
          <w:i/>
        </w:rPr>
        <w:t>held</w:t>
      </w:r>
      <w:r>
        <w:rPr>
          <w:rFonts w:ascii="Arial" w:hAnsi="Arial"/>
        </w:rPr>
        <w:t xml:space="preserve"> that </w:t>
      </w:r>
      <w:r w:rsidR="0046486E">
        <w:rPr>
          <w:rFonts w:ascii="Arial" w:hAnsi="Arial"/>
        </w:rPr>
        <w:t xml:space="preserve">rule 52 sets out the </w:t>
      </w:r>
      <w:r w:rsidR="00353ADF">
        <w:rPr>
          <w:rFonts w:ascii="Arial" w:hAnsi="Arial"/>
        </w:rPr>
        <w:t xml:space="preserve">self-contained </w:t>
      </w:r>
      <w:r w:rsidR="0046486E">
        <w:rPr>
          <w:rFonts w:ascii="Arial" w:hAnsi="Arial"/>
        </w:rPr>
        <w:t>procedure for amendment of pleadings</w:t>
      </w:r>
      <w:r w:rsidR="00353ADF">
        <w:rPr>
          <w:rFonts w:ascii="Arial" w:hAnsi="Arial"/>
        </w:rPr>
        <w:t xml:space="preserve"> in this way:</w:t>
      </w:r>
      <w:r w:rsidR="0046486E">
        <w:rPr>
          <w:rFonts w:ascii="Arial" w:hAnsi="Arial"/>
        </w:rPr>
        <w:t xml:space="preserve"> A party </w:t>
      </w:r>
      <w:r w:rsidR="00961EB4">
        <w:rPr>
          <w:rFonts w:ascii="Arial" w:hAnsi="Arial"/>
        </w:rPr>
        <w:t xml:space="preserve">desiring to amend a pleading or document filed in respect of a proceeding must give notice of the intention </w:t>
      </w:r>
      <w:r w:rsidR="00353ADF">
        <w:rPr>
          <w:rFonts w:ascii="Arial" w:hAnsi="Arial"/>
        </w:rPr>
        <w:t xml:space="preserve">to </w:t>
      </w:r>
      <w:r w:rsidR="00961EB4">
        <w:rPr>
          <w:rFonts w:ascii="Arial" w:hAnsi="Arial"/>
        </w:rPr>
        <w:t>amend to all affected parties and the managing judge; the notice must state that unless objection in writing to the proposed amendment is made within 10 days, an amendment will be made</w:t>
      </w:r>
      <w:r w:rsidR="00252E74">
        <w:rPr>
          <w:rFonts w:ascii="Arial" w:hAnsi="Arial"/>
        </w:rPr>
        <w:t>. I</w:t>
      </w:r>
      <w:r w:rsidR="00961EB4">
        <w:rPr>
          <w:rFonts w:ascii="Arial" w:hAnsi="Arial"/>
        </w:rPr>
        <w:t xml:space="preserve">f no objection in writing is made, a party receiving the notice is deemed to have agreed to the amendment; </w:t>
      </w:r>
    </w:p>
    <w:p w14:paraId="5CA4DB12" w14:textId="77777777" w:rsidR="00147C38" w:rsidRDefault="00147C38" w:rsidP="00356543">
      <w:pPr>
        <w:spacing w:line="360" w:lineRule="auto"/>
        <w:jc w:val="both"/>
        <w:rPr>
          <w:rFonts w:ascii="Arial" w:hAnsi="Arial"/>
        </w:rPr>
      </w:pPr>
    </w:p>
    <w:p w14:paraId="3B753022" w14:textId="0E33AA97" w:rsidR="00147C38" w:rsidRDefault="00147C38" w:rsidP="00356543">
      <w:pPr>
        <w:spacing w:line="360" w:lineRule="auto"/>
        <w:jc w:val="both"/>
        <w:rPr>
          <w:rFonts w:ascii="Arial" w:hAnsi="Arial"/>
        </w:rPr>
      </w:pPr>
      <w:r w:rsidRPr="00356543">
        <w:rPr>
          <w:rFonts w:ascii="Arial" w:hAnsi="Arial"/>
          <w:i/>
        </w:rPr>
        <w:t>Held</w:t>
      </w:r>
      <w:r>
        <w:rPr>
          <w:rFonts w:ascii="Arial" w:hAnsi="Arial"/>
        </w:rPr>
        <w:t xml:space="preserve">, that as no </w:t>
      </w:r>
      <w:r w:rsidR="007C2AED">
        <w:rPr>
          <w:rFonts w:ascii="Arial" w:hAnsi="Arial"/>
        </w:rPr>
        <w:t xml:space="preserve">valid </w:t>
      </w:r>
      <w:r>
        <w:rPr>
          <w:rFonts w:ascii="Arial" w:hAnsi="Arial"/>
        </w:rPr>
        <w:t>objection was made to the intended amendment</w:t>
      </w:r>
      <w:r w:rsidR="001B578D">
        <w:rPr>
          <w:rFonts w:ascii="Arial" w:hAnsi="Arial"/>
        </w:rPr>
        <w:t xml:space="preserve"> within the period set out in rule 52(2)</w:t>
      </w:r>
      <w:r>
        <w:rPr>
          <w:rFonts w:ascii="Arial" w:hAnsi="Arial"/>
        </w:rPr>
        <w:t xml:space="preserve">, the </w:t>
      </w:r>
      <w:r w:rsidR="00216EBF">
        <w:rPr>
          <w:rFonts w:ascii="Arial" w:hAnsi="Arial"/>
        </w:rPr>
        <w:t xml:space="preserve">replication could be amended </w:t>
      </w:r>
      <w:r>
        <w:rPr>
          <w:rFonts w:ascii="Arial" w:hAnsi="Arial"/>
        </w:rPr>
        <w:t>as of right</w:t>
      </w:r>
      <w:r w:rsidR="00CD31C5">
        <w:rPr>
          <w:rFonts w:ascii="Arial" w:hAnsi="Arial"/>
        </w:rPr>
        <w:t xml:space="preserve">. A direction from the managing judge would arise only if there was a </w:t>
      </w:r>
      <w:r w:rsidR="00085A93">
        <w:rPr>
          <w:rFonts w:ascii="Arial" w:hAnsi="Arial"/>
        </w:rPr>
        <w:t xml:space="preserve">grounded </w:t>
      </w:r>
      <w:r w:rsidR="00CD31C5">
        <w:rPr>
          <w:rFonts w:ascii="Arial" w:hAnsi="Arial"/>
        </w:rPr>
        <w:t>objection</w:t>
      </w:r>
      <w:r>
        <w:rPr>
          <w:rFonts w:ascii="Arial" w:hAnsi="Arial"/>
        </w:rPr>
        <w:t>;</w:t>
      </w:r>
    </w:p>
    <w:p w14:paraId="1B569BC6" w14:textId="77777777" w:rsidR="00085A93" w:rsidRDefault="00085A93" w:rsidP="00356543">
      <w:pPr>
        <w:spacing w:line="360" w:lineRule="auto"/>
        <w:jc w:val="both"/>
        <w:rPr>
          <w:rFonts w:ascii="Arial" w:hAnsi="Arial"/>
        </w:rPr>
      </w:pPr>
    </w:p>
    <w:p w14:paraId="19C46617" w14:textId="597C946A" w:rsidR="00147C38" w:rsidRDefault="00085A93" w:rsidP="00356543">
      <w:pPr>
        <w:spacing w:line="360" w:lineRule="auto"/>
        <w:jc w:val="both"/>
        <w:rPr>
          <w:rFonts w:ascii="Arial" w:hAnsi="Arial"/>
        </w:rPr>
      </w:pPr>
      <w:r w:rsidRPr="00356543">
        <w:rPr>
          <w:rFonts w:ascii="Arial" w:hAnsi="Arial"/>
          <w:i/>
        </w:rPr>
        <w:t>Held</w:t>
      </w:r>
      <w:r>
        <w:rPr>
          <w:rFonts w:ascii="Arial" w:hAnsi="Arial"/>
        </w:rPr>
        <w:t>, only in an instance where a valid objection is made in writing within the period of 10 days, is the party desiring to pursue the amendment required to apply, within 10 days after receipt of the objection, to the managing judge for leave to amend;</w:t>
      </w:r>
    </w:p>
    <w:p w14:paraId="4DFDADDB" w14:textId="77777777" w:rsidR="00085A93" w:rsidRDefault="00085A93" w:rsidP="00356543">
      <w:pPr>
        <w:spacing w:line="360" w:lineRule="auto"/>
        <w:jc w:val="both"/>
        <w:rPr>
          <w:rFonts w:ascii="Arial" w:hAnsi="Arial"/>
        </w:rPr>
      </w:pPr>
    </w:p>
    <w:p w14:paraId="1E8D3CC0" w14:textId="0A3A1B54" w:rsidR="00147C38" w:rsidRDefault="00147C38" w:rsidP="00356543">
      <w:pPr>
        <w:spacing w:line="360" w:lineRule="auto"/>
        <w:jc w:val="both"/>
        <w:rPr>
          <w:rFonts w:ascii="Arial" w:hAnsi="Arial"/>
        </w:rPr>
      </w:pPr>
      <w:r w:rsidRPr="00356543">
        <w:rPr>
          <w:rFonts w:ascii="Arial" w:hAnsi="Arial"/>
          <w:i/>
        </w:rPr>
        <w:t>Held</w:t>
      </w:r>
      <w:r>
        <w:rPr>
          <w:rFonts w:ascii="Arial" w:hAnsi="Arial"/>
        </w:rPr>
        <w:t xml:space="preserve">, that there is no requirement in rule 52 that leave to amend should first be sought </w:t>
      </w:r>
      <w:r w:rsidR="007C2AED">
        <w:rPr>
          <w:rFonts w:ascii="Arial" w:hAnsi="Arial"/>
        </w:rPr>
        <w:t xml:space="preserve">and obtained </w:t>
      </w:r>
      <w:r w:rsidR="001B578D">
        <w:rPr>
          <w:rFonts w:ascii="Arial" w:hAnsi="Arial"/>
        </w:rPr>
        <w:t>in circumstances where no</w:t>
      </w:r>
      <w:r>
        <w:rPr>
          <w:rFonts w:ascii="Arial" w:hAnsi="Arial"/>
        </w:rPr>
        <w:t xml:space="preserve"> </w:t>
      </w:r>
      <w:r w:rsidR="00252E74">
        <w:rPr>
          <w:rFonts w:ascii="Arial" w:hAnsi="Arial"/>
        </w:rPr>
        <w:t xml:space="preserve">valid </w:t>
      </w:r>
      <w:r>
        <w:rPr>
          <w:rFonts w:ascii="Arial" w:hAnsi="Arial"/>
        </w:rPr>
        <w:t>objection to the intended amendment is made;</w:t>
      </w:r>
    </w:p>
    <w:p w14:paraId="299CB91A" w14:textId="0AFA26C2" w:rsidR="00DF167D" w:rsidRDefault="00147C38" w:rsidP="00356543">
      <w:pPr>
        <w:spacing w:line="360" w:lineRule="auto"/>
        <w:jc w:val="both"/>
        <w:rPr>
          <w:rFonts w:ascii="Arial" w:hAnsi="Arial"/>
        </w:rPr>
      </w:pPr>
      <w:r w:rsidRPr="00356543">
        <w:rPr>
          <w:rFonts w:ascii="Arial" w:hAnsi="Arial"/>
          <w:i/>
        </w:rPr>
        <w:lastRenderedPageBreak/>
        <w:t>Held</w:t>
      </w:r>
      <w:r>
        <w:rPr>
          <w:rFonts w:ascii="Arial" w:hAnsi="Arial"/>
        </w:rPr>
        <w:t xml:space="preserve">, that the requirement that directions must be sought from the managing judge after a properly motivated </w:t>
      </w:r>
      <w:r w:rsidR="00CD31C5">
        <w:rPr>
          <w:rFonts w:ascii="Arial" w:hAnsi="Arial"/>
        </w:rPr>
        <w:t xml:space="preserve">or grounded </w:t>
      </w:r>
      <w:r>
        <w:rPr>
          <w:rFonts w:ascii="Arial" w:hAnsi="Arial"/>
        </w:rPr>
        <w:t xml:space="preserve">objection to the </w:t>
      </w:r>
      <w:r w:rsidR="00F64137">
        <w:rPr>
          <w:rFonts w:ascii="Arial" w:hAnsi="Arial"/>
        </w:rPr>
        <w:t>proposed amendment serves the overall objective of case management</w:t>
      </w:r>
      <w:r w:rsidR="00353ADF">
        <w:rPr>
          <w:rFonts w:ascii="Arial" w:hAnsi="Arial"/>
        </w:rPr>
        <w:t xml:space="preserve"> just as rule 32 seeks to do</w:t>
      </w:r>
      <w:r w:rsidR="00F64137">
        <w:rPr>
          <w:rFonts w:ascii="Arial" w:hAnsi="Arial"/>
        </w:rPr>
        <w:t xml:space="preserve">. As such, it is not necessary to resort to rule 32 </w:t>
      </w:r>
      <w:r w:rsidR="00CD31C5">
        <w:rPr>
          <w:rFonts w:ascii="Arial" w:hAnsi="Arial"/>
        </w:rPr>
        <w:t>prior to filing the notice of intention to amend a pleading</w:t>
      </w:r>
      <w:r w:rsidR="00F64137">
        <w:rPr>
          <w:rFonts w:ascii="Arial" w:hAnsi="Arial"/>
        </w:rPr>
        <w:t>;</w:t>
      </w:r>
    </w:p>
    <w:p w14:paraId="7C75EEE3" w14:textId="77777777" w:rsidR="00DF167D" w:rsidRDefault="00DF167D" w:rsidP="00356543">
      <w:pPr>
        <w:spacing w:line="360" w:lineRule="auto"/>
        <w:jc w:val="both"/>
        <w:rPr>
          <w:rFonts w:ascii="Arial" w:hAnsi="Arial"/>
        </w:rPr>
      </w:pPr>
    </w:p>
    <w:p w14:paraId="535A6F81" w14:textId="1589A332" w:rsidR="00961EB4" w:rsidRDefault="00DF167D" w:rsidP="00356543">
      <w:pPr>
        <w:spacing w:line="360" w:lineRule="auto"/>
        <w:jc w:val="both"/>
        <w:rPr>
          <w:rFonts w:ascii="Arial" w:hAnsi="Arial"/>
        </w:rPr>
      </w:pPr>
      <w:r w:rsidRPr="00356543">
        <w:rPr>
          <w:rFonts w:ascii="Arial" w:hAnsi="Arial"/>
          <w:i/>
        </w:rPr>
        <w:t>Held</w:t>
      </w:r>
      <w:r>
        <w:rPr>
          <w:rFonts w:ascii="Arial" w:hAnsi="Arial"/>
        </w:rPr>
        <w:t xml:space="preserve">, that </w:t>
      </w:r>
      <w:r w:rsidR="00252E74">
        <w:rPr>
          <w:rFonts w:ascii="Arial" w:hAnsi="Arial"/>
        </w:rPr>
        <w:t xml:space="preserve">the </w:t>
      </w:r>
      <w:r>
        <w:rPr>
          <w:rFonts w:ascii="Arial" w:hAnsi="Arial"/>
        </w:rPr>
        <w:t xml:space="preserve">delivery of </w:t>
      </w:r>
      <w:r w:rsidR="00C976F5">
        <w:rPr>
          <w:rFonts w:ascii="Arial" w:hAnsi="Arial"/>
        </w:rPr>
        <w:t xml:space="preserve">the </w:t>
      </w:r>
      <w:r w:rsidR="00252E74">
        <w:rPr>
          <w:rFonts w:ascii="Arial" w:hAnsi="Arial"/>
        </w:rPr>
        <w:t>appellant’s notice of intention to amend and the amendment of its replication were</w:t>
      </w:r>
      <w:r>
        <w:rPr>
          <w:rFonts w:ascii="Arial" w:hAnsi="Arial"/>
        </w:rPr>
        <w:t xml:space="preserve"> </w:t>
      </w:r>
      <w:r w:rsidR="00252E74">
        <w:rPr>
          <w:rFonts w:ascii="Arial" w:hAnsi="Arial"/>
        </w:rPr>
        <w:t>proper and rule compliant. The appeal was</w:t>
      </w:r>
      <w:r w:rsidR="00CD31C5">
        <w:rPr>
          <w:rFonts w:ascii="Arial" w:hAnsi="Arial"/>
        </w:rPr>
        <w:t xml:space="preserve"> </w:t>
      </w:r>
      <w:r w:rsidR="005B1C40">
        <w:rPr>
          <w:rFonts w:ascii="Arial" w:hAnsi="Arial"/>
        </w:rPr>
        <w:t xml:space="preserve">accordingly </w:t>
      </w:r>
      <w:r w:rsidR="00252E74">
        <w:rPr>
          <w:rFonts w:ascii="Arial" w:hAnsi="Arial"/>
        </w:rPr>
        <w:t>upheld with costs.</w:t>
      </w:r>
      <w:r w:rsidR="00F64137">
        <w:rPr>
          <w:rFonts w:ascii="Arial" w:hAnsi="Arial"/>
        </w:rPr>
        <w:t xml:space="preserve"> </w:t>
      </w:r>
    </w:p>
    <w:p w14:paraId="4F747736" w14:textId="77777777" w:rsidR="00252E74" w:rsidRDefault="00252E74" w:rsidP="00356543">
      <w:pPr>
        <w:rPr>
          <w:rFonts w:ascii="Arial" w:hAnsi="Arial"/>
        </w:rPr>
      </w:pPr>
    </w:p>
    <w:p w14:paraId="48849B10" w14:textId="77777777" w:rsidR="0061432A" w:rsidRDefault="0061432A" w:rsidP="00356543">
      <w:pPr>
        <w:pBdr>
          <w:bottom w:val="single" w:sz="12" w:space="1" w:color="auto"/>
        </w:pBdr>
        <w:rPr>
          <w:rFonts w:ascii="Arial" w:hAnsi="Arial"/>
          <w:b/>
        </w:rPr>
      </w:pPr>
    </w:p>
    <w:p w14:paraId="223D7F25" w14:textId="77777777" w:rsidR="0061432A" w:rsidRDefault="0061432A" w:rsidP="00356543">
      <w:pPr>
        <w:jc w:val="center"/>
        <w:rPr>
          <w:rFonts w:ascii="Arial" w:hAnsi="Arial"/>
          <w:b/>
        </w:rPr>
      </w:pPr>
    </w:p>
    <w:p w14:paraId="2C43691D" w14:textId="77777777" w:rsidR="0061432A" w:rsidRDefault="0061432A" w:rsidP="00356543">
      <w:pPr>
        <w:jc w:val="center"/>
        <w:rPr>
          <w:rFonts w:ascii="Arial" w:hAnsi="Arial"/>
          <w:b/>
        </w:rPr>
      </w:pPr>
      <w:r>
        <w:rPr>
          <w:rFonts w:ascii="Arial" w:hAnsi="Arial"/>
          <w:b/>
        </w:rPr>
        <w:t xml:space="preserve">APPEAL JUDGMENT </w:t>
      </w:r>
    </w:p>
    <w:p w14:paraId="312439A1" w14:textId="77777777" w:rsidR="0061432A" w:rsidRDefault="0061432A" w:rsidP="00356543">
      <w:pPr>
        <w:pBdr>
          <w:bottom w:val="single" w:sz="12" w:space="1" w:color="auto"/>
        </w:pBdr>
        <w:jc w:val="center"/>
        <w:rPr>
          <w:rFonts w:ascii="Arial" w:hAnsi="Arial"/>
          <w:b/>
        </w:rPr>
      </w:pPr>
    </w:p>
    <w:p w14:paraId="55C3A2E3" w14:textId="77777777" w:rsidR="0061432A" w:rsidRDefault="0061432A" w:rsidP="00356543">
      <w:pPr>
        <w:jc w:val="both"/>
        <w:rPr>
          <w:rFonts w:ascii="Arial" w:hAnsi="Arial"/>
          <w:b/>
        </w:rPr>
      </w:pPr>
    </w:p>
    <w:p w14:paraId="36DA5E83" w14:textId="1E674B62" w:rsidR="00A24CAD" w:rsidRPr="00783C30" w:rsidRDefault="0061432A" w:rsidP="00356543">
      <w:pPr>
        <w:spacing w:line="480" w:lineRule="auto"/>
        <w:rPr>
          <w:rFonts w:ascii="Arial" w:hAnsi="Arial"/>
        </w:rPr>
      </w:pPr>
      <w:r w:rsidRPr="00356543">
        <w:rPr>
          <w:rFonts w:ascii="Arial" w:hAnsi="Arial"/>
        </w:rPr>
        <w:t xml:space="preserve">SHIVUTE CJ (SMUTS JA </w:t>
      </w:r>
      <w:r w:rsidR="0052336F">
        <w:rPr>
          <w:rFonts w:ascii="Arial" w:hAnsi="Arial"/>
        </w:rPr>
        <w:t>and</w:t>
      </w:r>
      <w:r w:rsidRPr="00356543">
        <w:rPr>
          <w:rFonts w:ascii="Arial" w:hAnsi="Arial"/>
        </w:rPr>
        <w:t xml:space="preserve"> ANGULA AJA</w:t>
      </w:r>
      <w:r w:rsidR="00A24CAD" w:rsidRPr="00356543">
        <w:rPr>
          <w:rFonts w:ascii="Arial" w:hAnsi="Arial"/>
        </w:rPr>
        <w:t xml:space="preserve"> </w:t>
      </w:r>
      <w:r w:rsidR="007E5EF7" w:rsidRPr="00356543">
        <w:rPr>
          <w:rFonts w:ascii="Arial" w:hAnsi="Arial"/>
        </w:rPr>
        <w:t>concurring</w:t>
      </w:r>
      <w:r w:rsidR="00A24CAD" w:rsidRPr="00356543">
        <w:rPr>
          <w:rFonts w:ascii="Arial" w:hAnsi="Arial"/>
        </w:rPr>
        <w:t>)</w:t>
      </w:r>
      <w:r w:rsidR="00A24CAD">
        <w:rPr>
          <w:rFonts w:ascii="Arial" w:hAnsi="Arial"/>
        </w:rPr>
        <w:t>:</w:t>
      </w:r>
    </w:p>
    <w:p w14:paraId="2F2BD6FE" w14:textId="77777777" w:rsidR="00A24CAD" w:rsidRPr="00356543" w:rsidRDefault="00012093" w:rsidP="00356543">
      <w:pPr>
        <w:pStyle w:val="ListParagraph"/>
        <w:spacing w:line="480" w:lineRule="auto"/>
        <w:ind w:left="0"/>
        <w:rPr>
          <w:rFonts w:ascii="Arial" w:hAnsi="Arial"/>
          <w:u w:val="single"/>
        </w:rPr>
      </w:pPr>
      <w:r w:rsidRPr="00356543">
        <w:rPr>
          <w:rFonts w:ascii="Arial" w:hAnsi="Arial"/>
          <w:u w:val="single"/>
        </w:rPr>
        <w:t>Introduction</w:t>
      </w:r>
    </w:p>
    <w:p w14:paraId="3FE3A1D2" w14:textId="5D20800C" w:rsidR="00353ADF" w:rsidRDefault="00A24CAD" w:rsidP="00356543">
      <w:pPr>
        <w:pStyle w:val="ListParagraph"/>
        <w:numPr>
          <w:ilvl w:val="0"/>
          <w:numId w:val="1"/>
        </w:numPr>
        <w:spacing w:line="480" w:lineRule="auto"/>
        <w:contextualSpacing w:val="0"/>
        <w:jc w:val="both"/>
        <w:rPr>
          <w:rFonts w:ascii="Arial" w:hAnsi="Arial"/>
        </w:rPr>
      </w:pPr>
      <w:r w:rsidRPr="00252E74">
        <w:rPr>
          <w:rFonts w:ascii="Arial" w:hAnsi="Arial"/>
        </w:rPr>
        <w:t xml:space="preserve">The </w:t>
      </w:r>
      <w:r w:rsidR="00012093" w:rsidRPr="00252E74">
        <w:rPr>
          <w:rFonts w:ascii="Arial" w:hAnsi="Arial"/>
        </w:rPr>
        <w:t>c</w:t>
      </w:r>
      <w:r w:rsidR="005B1C40">
        <w:rPr>
          <w:rFonts w:ascii="Arial" w:hAnsi="Arial"/>
        </w:rPr>
        <w:t xml:space="preserve">onfined </w:t>
      </w:r>
      <w:r w:rsidR="00CD31C5">
        <w:rPr>
          <w:rFonts w:ascii="Arial" w:hAnsi="Arial"/>
        </w:rPr>
        <w:t xml:space="preserve">question </w:t>
      </w:r>
      <w:r w:rsidR="00012093" w:rsidRPr="00252E74">
        <w:rPr>
          <w:rFonts w:ascii="Arial" w:hAnsi="Arial"/>
        </w:rPr>
        <w:t xml:space="preserve">raised in this appeal is whether a plaintiff who files a notice of intention to amend a replication </w:t>
      </w:r>
      <w:r w:rsidR="00353ADF">
        <w:rPr>
          <w:rFonts w:ascii="Arial" w:hAnsi="Arial"/>
        </w:rPr>
        <w:t xml:space="preserve">to a defendant’s plea </w:t>
      </w:r>
      <w:r w:rsidR="00B63623" w:rsidRPr="00252E74">
        <w:rPr>
          <w:rFonts w:ascii="Arial" w:hAnsi="Arial"/>
        </w:rPr>
        <w:t>in terms of rule 52 of the Rules of the High Court</w:t>
      </w:r>
      <w:r w:rsidR="00B63623">
        <w:rPr>
          <w:rFonts w:ascii="Arial" w:hAnsi="Arial"/>
        </w:rPr>
        <w:t xml:space="preserve"> </w:t>
      </w:r>
      <w:r w:rsidR="00E27F24">
        <w:rPr>
          <w:rFonts w:ascii="Arial" w:hAnsi="Arial"/>
        </w:rPr>
        <w:t xml:space="preserve">(the </w:t>
      </w:r>
      <w:r w:rsidR="004F1738">
        <w:rPr>
          <w:rFonts w:ascii="Arial" w:hAnsi="Arial"/>
        </w:rPr>
        <w:t>R</w:t>
      </w:r>
      <w:r w:rsidR="00E27F24">
        <w:rPr>
          <w:rFonts w:ascii="Arial" w:hAnsi="Arial"/>
        </w:rPr>
        <w:t xml:space="preserve">ules) </w:t>
      </w:r>
      <w:r w:rsidR="00012093" w:rsidRPr="00252E74">
        <w:rPr>
          <w:rFonts w:ascii="Arial" w:hAnsi="Arial"/>
        </w:rPr>
        <w:t xml:space="preserve">after the close of pleadings is required to seek directions from the managing judge pursuant to </w:t>
      </w:r>
      <w:r w:rsidR="00CD31C5">
        <w:rPr>
          <w:rFonts w:ascii="Arial" w:hAnsi="Arial"/>
        </w:rPr>
        <w:t xml:space="preserve">sub-rules </w:t>
      </w:r>
      <w:r w:rsidR="00E27F24">
        <w:rPr>
          <w:rFonts w:ascii="Arial" w:hAnsi="Arial"/>
        </w:rPr>
        <w:t xml:space="preserve">(1) </w:t>
      </w:r>
      <w:r w:rsidR="00012093" w:rsidRPr="00252E74">
        <w:rPr>
          <w:rFonts w:ascii="Arial" w:hAnsi="Arial"/>
        </w:rPr>
        <w:t xml:space="preserve">and </w:t>
      </w:r>
      <w:r w:rsidR="00E27F24">
        <w:rPr>
          <w:rFonts w:ascii="Arial" w:hAnsi="Arial"/>
        </w:rPr>
        <w:t xml:space="preserve">(4) of rule 32 of the </w:t>
      </w:r>
      <w:r w:rsidR="004F1738">
        <w:rPr>
          <w:rFonts w:ascii="Arial" w:hAnsi="Arial"/>
        </w:rPr>
        <w:t>R</w:t>
      </w:r>
      <w:r w:rsidR="00E27F24">
        <w:rPr>
          <w:rFonts w:ascii="Arial" w:hAnsi="Arial"/>
        </w:rPr>
        <w:t>ules and must furthermore comply with sub-rules (9) and (10) of that rule</w:t>
      </w:r>
      <w:r w:rsidR="00D072F4" w:rsidRPr="00252E74">
        <w:rPr>
          <w:rFonts w:ascii="Arial" w:hAnsi="Arial"/>
        </w:rPr>
        <w:t xml:space="preserve"> </w:t>
      </w:r>
      <w:r w:rsidR="006961DB">
        <w:rPr>
          <w:rFonts w:ascii="Arial" w:hAnsi="Arial"/>
        </w:rPr>
        <w:t>in the absence of a timeous</w:t>
      </w:r>
      <w:r w:rsidR="00072C23">
        <w:rPr>
          <w:rFonts w:ascii="Arial" w:hAnsi="Arial"/>
        </w:rPr>
        <w:t xml:space="preserve"> objection </w:t>
      </w:r>
      <w:r w:rsidR="006961DB">
        <w:rPr>
          <w:rFonts w:ascii="Arial" w:hAnsi="Arial"/>
        </w:rPr>
        <w:t>to the proposed amendment.</w:t>
      </w:r>
    </w:p>
    <w:p w14:paraId="1AC3BD13" w14:textId="77777777" w:rsidR="00353ADF" w:rsidRDefault="00353ADF" w:rsidP="00356543">
      <w:pPr>
        <w:spacing w:line="480" w:lineRule="auto"/>
        <w:jc w:val="both"/>
        <w:rPr>
          <w:rFonts w:ascii="Arial" w:hAnsi="Arial"/>
          <w:u w:val="single"/>
        </w:rPr>
      </w:pPr>
    </w:p>
    <w:p w14:paraId="623935D3" w14:textId="77777777" w:rsidR="00A24CAD" w:rsidRPr="00356543" w:rsidRDefault="00353ADF" w:rsidP="00356543">
      <w:pPr>
        <w:spacing w:line="480" w:lineRule="auto"/>
        <w:jc w:val="both"/>
        <w:rPr>
          <w:rFonts w:ascii="Arial" w:hAnsi="Arial"/>
          <w:u w:val="single"/>
        </w:rPr>
      </w:pPr>
      <w:r w:rsidRPr="00356543">
        <w:rPr>
          <w:rFonts w:ascii="Arial" w:hAnsi="Arial"/>
          <w:u w:val="single"/>
        </w:rPr>
        <w:t>Background</w:t>
      </w:r>
      <w:r w:rsidR="00012093" w:rsidRPr="00356543">
        <w:rPr>
          <w:rFonts w:ascii="Arial" w:hAnsi="Arial"/>
          <w:u w:val="single"/>
        </w:rPr>
        <w:t xml:space="preserve"> </w:t>
      </w:r>
    </w:p>
    <w:p w14:paraId="67235F68" w14:textId="7347883A" w:rsidR="00CA610A" w:rsidRDefault="00A24CAD" w:rsidP="00356543">
      <w:pPr>
        <w:pStyle w:val="ListParagraph"/>
        <w:numPr>
          <w:ilvl w:val="0"/>
          <w:numId w:val="1"/>
        </w:numPr>
        <w:spacing w:line="480" w:lineRule="auto"/>
        <w:contextualSpacing w:val="0"/>
        <w:jc w:val="both"/>
        <w:rPr>
          <w:rFonts w:ascii="Arial" w:hAnsi="Arial"/>
        </w:rPr>
      </w:pPr>
      <w:r w:rsidRPr="00613E47">
        <w:rPr>
          <w:rFonts w:ascii="Arial" w:hAnsi="Arial"/>
        </w:rPr>
        <w:t xml:space="preserve">The </w:t>
      </w:r>
      <w:r w:rsidR="00353ADF">
        <w:rPr>
          <w:rFonts w:ascii="Arial" w:hAnsi="Arial"/>
        </w:rPr>
        <w:t>background to the matter</w:t>
      </w:r>
      <w:r w:rsidR="005E7D8F">
        <w:rPr>
          <w:rFonts w:ascii="Arial" w:hAnsi="Arial"/>
        </w:rPr>
        <w:t xml:space="preserve"> may be summari</w:t>
      </w:r>
      <w:r w:rsidR="0052336F">
        <w:rPr>
          <w:rFonts w:ascii="Arial" w:hAnsi="Arial"/>
        </w:rPr>
        <w:t>s</w:t>
      </w:r>
      <w:r w:rsidR="005E7D8F">
        <w:rPr>
          <w:rFonts w:ascii="Arial" w:hAnsi="Arial"/>
        </w:rPr>
        <w:t xml:space="preserve">ed </w:t>
      </w:r>
      <w:r w:rsidR="00353ADF">
        <w:rPr>
          <w:rFonts w:ascii="Arial" w:hAnsi="Arial"/>
        </w:rPr>
        <w:t>as follows:</w:t>
      </w:r>
      <w:r w:rsidR="00B63623">
        <w:rPr>
          <w:rFonts w:ascii="Arial" w:hAnsi="Arial"/>
        </w:rPr>
        <w:t xml:space="preserve"> </w:t>
      </w:r>
      <w:r w:rsidR="0052336F">
        <w:rPr>
          <w:rFonts w:ascii="Arial" w:hAnsi="Arial"/>
        </w:rPr>
        <w:t xml:space="preserve">As </w:t>
      </w:r>
      <w:r w:rsidR="00B63623">
        <w:rPr>
          <w:rFonts w:ascii="Arial" w:hAnsi="Arial"/>
        </w:rPr>
        <w:t>plaintiff</w:t>
      </w:r>
      <w:r w:rsidR="0052336F">
        <w:rPr>
          <w:rFonts w:ascii="Arial" w:hAnsi="Arial"/>
        </w:rPr>
        <w:t xml:space="preserve">, the appellant </w:t>
      </w:r>
      <w:r w:rsidR="00DB665D">
        <w:rPr>
          <w:rFonts w:ascii="Arial" w:hAnsi="Arial"/>
        </w:rPr>
        <w:t xml:space="preserve">instituted an </w:t>
      </w:r>
      <w:r w:rsidR="00B63623">
        <w:rPr>
          <w:rFonts w:ascii="Arial" w:hAnsi="Arial"/>
        </w:rPr>
        <w:t xml:space="preserve">action against the </w:t>
      </w:r>
      <w:r w:rsidR="00DA5775">
        <w:rPr>
          <w:rFonts w:ascii="Arial" w:hAnsi="Arial"/>
        </w:rPr>
        <w:t>respondent</w:t>
      </w:r>
      <w:r w:rsidR="00072C23">
        <w:rPr>
          <w:rFonts w:ascii="Arial" w:hAnsi="Arial"/>
        </w:rPr>
        <w:t>,</w:t>
      </w:r>
      <w:r w:rsidR="00DA5775">
        <w:rPr>
          <w:rFonts w:ascii="Arial" w:hAnsi="Arial"/>
        </w:rPr>
        <w:t xml:space="preserve"> the</w:t>
      </w:r>
      <w:r w:rsidR="0052336F">
        <w:rPr>
          <w:rFonts w:ascii="Arial" w:hAnsi="Arial"/>
        </w:rPr>
        <w:t xml:space="preserve"> then defendant</w:t>
      </w:r>
      <w:r w:rsidR="005E7D8F">
        <w:rPr>
          <w:rFonts w:ascii="Arial" w:hAnsi="Arial"/>
        </w:rPr>
        <w:t>.</w:t>
      </w:r>
      <w:r w:rsidR="00B63623">
        <w:rPr>
          <w:rFonts w:ascii="Arial" w:hAnsi="Arial"/>
        </w:rPr>
        <w:t xml:space="preserve"> </w:t>
      </w:r>
      <w:r w:rsidR="005E7D8F">
        <w:rPr>
          <w:rFonts w:ascii="Arial" w:hAnsi="Arial"/>
        </w:rPr>
        <w:t xml:space="preserve">The particulars of claim </w:t>
      </w:r>
      <w:r w:rsidR="001759D7">
        <w:rPr>
          <w:rFonts w:ascii="Arial" w:hAnsi="Arial"/>
        </w:rPr>
        <w:t xml:space="preserve">alleged </w:t>
      </w:r>
      <w:r w:rsidR="00B63623">
        <w:rPr>
          <w:rFonts w:ascii="Arial" w:hAnsi="Arial"/>
        </w:rPr>
        <w:t>that the parties had entered into a written agreement duri</w:t>
      </w:r>
      <w:r w:rsidR="00342519">
        <w:rPr>
          <w:rFonts w:ascii="Arial" w:hAnsi="Arial"/>
        </w:rPr>
        <w:t>ng</w:t>
      </w:r>
      <w:r w:rsidR="00B63623">
        <w:rPr>
          <w:rFonts w:ascii="Arial" w:hAnsi="Arial"/>
        </w:rPr>
        <w:t xml:space="preserve"> 19</w:t>
      </w:r>
      <w:r w:rsidR="00342519">
        <w:rPr>
          <w:rFonts w:ascii="Arial" w:hAnsi="Arial"/>
        </w:rPr>
        <w:t>92 o</w:t>
      </w:r>
      <w:r w:rsidR="00B63623">
        <w:rPr>
          <w:rFonts w:ascii="Arial" w:hAnsi="Arial"/>
        </w:rPr>
        <w:t>r</w:t>
      </w:r>
      <w:r w:rsidR="00342519">
        <w:rPr>
          <w:rFonts w:ascii="Arial" w:hAnsi="Arial"/>
        </w:rPr>
        <w:t xml:space="preserve"> </w:t>
      </w:r>
      <w:r w:rsidR="00B63623">
        <w:rPr>
          <w:rFonts w:ascii="Arial" w:hAnsi="Arial"/>
        </w:rPr>
        <w:t xml:space="preserve">1993, in terms of which the defendant sold to the plaintiff </w:t>
      </w:r>
      <w:r w:rsidR="00941926">
        <w:rPr>
          <w:rFonts w:ascii="Arial" w:hAnsi="Arial"/>
        </w:rPr>
        <w:t xml:space="preserve">a </w:t>
      </w:r>
      <w:r w:rsidR="00B63623">
        <w:rPr>
          <w:rFonts w:ascii="Arial" w:hAnsi="Arial"/>
        </w:rPr>
        <w:t>certain immovable property for</w:t>
      </w:r>
      <w:r w:rsidR="00342519">
        <w:rPr>
          <w:rFonts w:ascii="Arial" w:hAnsi="Arial"/>
        </w:rPr>
        <w:t xml:space="preserve"> a p</w:t>
      </w:r>
      <w:r w:rsidR="00B63623">
        <w:rPr>
          <w:rFonts w:ascii="Arial" w:hAnsi="Arial"/>
        </w:rPr>
        <w:t>urchase price of N</w:t>
      </w:r>
      <w:r w:rsidR="00342519">
        <w:rPr>
          <w:rFonts w:ascii="Arial" w:hAnsi="Arial"/>
        </w:rPr>
        <w:t>$</w:t>
      </w:r>
      <w:r w:rsidR="00B63623">
        <w:rPr>
          <w:rFonts w:ascii="Arial" w:hAnsi="Arial"/>
        </w:rPr>
        <w:t xml:space="preserve">3000, payable on registration of </w:t>
      </w:r>
      <w:r w:rsidR="00B63623">
        <w:rPr>
          <w:rFonts w:ascii="Arial" w:hAnsi="Arial"/>
        </w:rPr>
        <w:lastRenderedPageBreak/>
        <w:t xml:space="preserve">transfer. </w:t>
      </w:r>
      <w:r w:rsidR="00342519">
        <w:rPr>
          <w:rFonts w:ascii="Arial" w:hAnsi="Arial"/>
        </w:rPr>
        <w:t>It was further</w:t>
      </w:r>
      <w:r w:rsidR="00B63623">
        <w:rPr>
          <w:rFonts w:ascii="Arial" w:hAnsi="Arial"/>
        </w:rPr>
        <w:t xml:space="preserve"> </w:t>
      </w:r>
      <w:r w:rsidR="00CA610A">
        <w:rPr>
          <w:rFonts w:ascii="Arial" w:hAnsi="Arial"/>
        </w:rPr>
        <w:t xml:space="preserve">pleaded </w:t>
      </w:r>
      <w:r w:rsidR="00B63623">
        <w:rPr>
          <w:rFonts w:ascii="Arial" w:hAnsi="Arial"/>
        </w:rPr>
        <w:t xml:space="preserve">that </w:t>
      </w:r>
      <w:r w:rsidR="00342519">
        <w:rPr>
          <w:rFonts w:ascii="Arial" w:hAnsi="Arial"/>
        </w:rPr>
        <w:t xml:space="preserve">the appellant </w:t>
      </w:r>
      <w:r w:rsidR="00B63623">
        <w:rPr>
          <w:rFonts w:ascii="Arial" w:hAnsi="Arial"/>
        </w:rPr>
        <w:t>compl</w:t>
      </w:r>
      <w:r w:rsidR="00342519">
        <w:rPr>
          <w:rFonts w:ascii="Arial" w:hAnsi="Arial"/>
        </w:rPr>
        <w:t>i</w:t>
      </w:r>
      <w:r w:rsidR="00B63623">
        <w:rPr>
          <w:rFonts w:ascii="Arial" w:hAnsi="Arial"/>
        </w:rPr>
        <w:t>ed with its obligations and tender</w:t>
      </w:r>
      <w:r w:rsidR="00342519">
        <w:rPr>
          <w:rFonts w:ascii="Arial" w:hAnsi="Arial"/>
        </w:rPr>
        <w:t>ed</w:t>
      </w:r>
      <w:r w:rsidR="00B63623">
        <w:rPr>
          <w:rFonts w:ascii="Arial" w:hAnsi="Arial"/>
        </w:rPr>
        <w:t xml:space="preserve"> to perform its further obligations as </w:t>
      </w:r>
      <w:r w:rsidR="00342519">
        <w:rPr>
          <w:rFonts w:ascii="Arial" w:hAnsi="Arial"/>
        </w:rPr>
        <w:t xml:space="preserve">they </w:t>
      </w:r>
      <w:r w:rsidR="00B63623">
        <w:rPr>
          <w:rFonts w:ascii="Arial" w:hAnsi="Arial"/>
        </w:rPr>
        <w:t>may become due</w:t>
      </w:r>
      <w:r w:rsidR="00CA610A">
        <w:rPr>
          <w:rFonts w:ascii="Arial" w:hAnsi="Arial"/>
        </w:rPr>
        <w:t xml:space="preserve">, but that the </w:t>
      </w:r>
      <w:r w:rsidR="00342519">
        <w:rPr>
          <w:rFonts w:ascii="Arial" w:hAnsi="Arial"/>
        </w:rPr>
        <w:t xml:space="preserve">respondent </w:t>
      </w:r>
      <w:r w:rsidR="00B63623">
        <w:rPr>
          <w:rFonts w:ascii="Arial" w:hAnsi="Arial"/>
        </w:rPr>
        <w:t xml:space="preserve">failed to transfer the property into the </w:t>
      </w:r>
      <w:r w:rsidR="00342519">
        <w:rPr>
          <w:rFonts w:ascii="Arial" w:hAnsi="Arial"/>
        </w:rPr>
        <w:t>appellant’</w:t>
      </w:r>
      <w:r w:rsidR="00B63623">
        <w:rPr>
          <w:rFonts w:ascii="Arial" w:hAnsi="Arial"/>
        </w:rPr>
        <w:t xml:space="preserve">s </w:t>
      </w:r>
      <w:r w:rsidR="00342519">
        <w:rPr>
          <w:rFonts w:ascii="Arial" w:hAnsi="Arial"/>
        </w:rPr>
        <w:t>name.</w:t>
      </w:r>
      <w:r w:rsidR="00B63623">
        <w:rPr>
          <w:rFonts w:ascii="Arial" w:hAnsi="Arial"/>
        </w:rPr>
        <w:t xml:space="preserve"> </w:t>
      </w:r>
      <w:r w:rsidR="00342519">
        <w:rPr>
          <w:rFonts w:ascii="Arial" w:hAnsi="Arial"/>
        </w:rPr>
        <w:t>T</w:t>
      </w:r>
      <w:r w:rsidR="00B63623">
        <w:rPr>
          <w:rFonts w:ascii="Arial" w:hAnsi="Arial"/>
        </w:rPr>
        <w:t xml:space="preserve">herefore, </w:t>
      </w:r>
      <w:r w:rsidR="007C2AED">
        <w:rPr>
          <w:rFonts w:ascii="Arial" w:hAnsi="Arial"/>
        </w:rPr>
        <w:t xml:space="preserve">the </w:t>
      </w:r>
      <w:r w:rsidR="00342519">
        <w:rPr>
          <w:rFonts w:ascii="Arial" w:hAnsi="Arial"/>
        </w:rPr>
        <w:t xml:space="preserve">appellant </w:t>
      </w:r>
      <w:r w:rsidR="00B63623">
        <w:rPr>
          <w:rFonts w:ascii="Arial" w:hAnsi="Arial"/>
        </w:rPr>
        <w:t>pray</w:t>
      </w:r>
      <w:r w:rsidR="00342519">
        <w:rPr>
          <w:rFonts w:ascii="Arial" w:hAnsi="Arial"/>
        </w:rPr>
        <w:t>ed</w:t>
      </w:r>
      <w:r w:rsidR="00B63623">
        <w:rPr>
          <w:rFonts w:ascii="Arial" w:hAnsi="Arial"/>
        </w:rPr>
        <w:t xml:space="preserve"> f</w:t>
      </w:r>
      <w:r w:rsidR="00342519">
        <w:rPr>
          <w:rFonts w:ascii="Arial" w:hAnsi="Arial"/>
        </w:rPr>
        <w:t>o</w:t>
      </w:r>
      <w:r w:rsidR="00B63623">
        <w:rPr>
          <w:rFonts w:ascii="Arial" w:hAnsi="Arial"/>
        </w:rPr>
        <w:t>r an o</w:t>
      </w:r>
      <w:r w:rsidR="00342519">
        <w:rPr>
          <w:rFonts w:ascii="Arial" w:hAnsi="Arial"/>
        </w:rPr>
        <w:t>r</w:t>
      </w:r>
      <w:r w:rsidR="00B63623">
        <w:rPr>
          <w:rFonts w:ascii="Arial" w:hAnsi="Arial"/>
        </w:rPr>
        <w:t>der directing the</w:t>
      </w:r>
      <w:r w:rsidR="00342519">
        <w:rPr>
          <w:rFonts w:ascii="Arial" w:hAnsi="Arial"/>
        </w:rPr>
        <w:t xml:space="preserve"> respondent t</w:t>
      </w:r>
      <w:r w:rsidR="00B63623">
        <w:rPr>
          <w:rFonts w:ascii="Arial" w:hAnsi="Arial"/>
        </w:rPr>
        <w:t xml:space="preserve">o take </w:t>
      </w:r>
      <w:r w:rsidR="00342519">
        <w:rPr>
          <w:rFonts w:ascii="Arial" w:hAnsi="Arial"/>
        </w:rPr>
        <w:t xml:space="preserve">the </w:t>
      </w:r>
      <w:r w:rsidR="00B63623">
        <w:rPr>
          <w:rFonts w:ascii="Arial" w:hAnsi="Arial"/>
        </w:rPr>
        <w:t>necessary steps to compl</w:t>
      </w:r>
      <w:r w:rsidR="00342519">
        <w:rPr>
          <w:rFonts w:ascii="Arial" w:hAnsi="Arial"/>
        </w:rPr>
        <w:t>y</w:t>
      </w:r>
      <w:r w:rsidR="00B63623">
        <w:rPr>
          <w:rFonts w:ascii="Arial" w:hAnsi="Arial"/>
        </w:rPr>
        <w:t xml:space="preserve"> with its obligations </w:t>
      </w:r>
      <w:r w:rsidR="005E7D8F">
        <w:rPr>
          <w:rFonts w:ascii="Arial" w:hAnsi="Arial"/>
        </w:rPr>
        <w:t>as set out in</w:t>
      </w:r>
      <w:r w:rsidR="00B63623">
        <w:rPr>
          <w:rFonts w:ascii="Arial" w:hAnsi="Arial"/>
        </w:rPr>
        <w:t xml:space="preserve"> the agreement. </w:t>
      </w:r>
    </w:p>
    <w:p w14:paraId="2AACB7F4" w14:textId="77777777" w:rsidR="00CA610A" w:rsidRPr="00CA610A" w:rsidRDefault="00CA610A" w:rsidP="00356543">
      <w:pPr>
        <w:spacing w:line="480" w:lineRule="auto"/>
        <w:jc w:val="both"/>
        <w:rPr>
          <w:rFonts w:ascii="Arial" w:hAnsi="Arial"/>
        </w:rPr>
      </w:pPr>
    </w:p>
    <w:p w14:paraId="562643E2" w14:textId="255F465C" w:rsidR="004B51CC" w:rsidRPr="001C1498" w:rsidRDefault="00EB6724" w:rsidP="00356543">
      <w:pPr>
        <w:pStyle w:val="ListParagraph"/>
        <w:numPr>
          <w:ilvl w:val="0"/>
          <w:numId w:val="1"/>
        </w:numPr>
        <w:spacing w:line="480" w:lineRule="auto"/>
        <w:contextualSpacing w:val="0"/>
        <w:jc w:val="both"/>
        <w:rPr>
          <w:rFonts w:ascii="Arial" w:hAnsi="Arial"/>
        </w:rPr>
      </w:pPr>
      <w:r>
        <w:rPr>
          <w:rFonts w:ascii="Arial" w:hAnsi="Arial"/>
        </w:rPr>
        <w:t>T</w:t>
      </w:r>
      <w:r w:rsidR="00B63623">
        <w:rPr>
          <w:rFonts w:ascii="Arial" w:hAnsi="Arial"/>
        </w:rPr>
        <w:t xml:space="preserve">he </w:t>
      </w:r>
      <w:r w:rsidR="00CA610A">
        <w:rPr>
          <w:rFonts w:ascii="Arial" w:hAnsi="Arial"/>
        </w:rPr>
        <w:t xml:space="preserve">respondent as </w:t>
      </w:r>
      <w:r w:rsidR="00B63623">
        <w:rPr>
          <w:rFonts w:ascii="Arial" w:hAnsi="Arial"/>
        </w:rPr>
        <w:t>defendant</w:t>
      </w:r>
      <w:r>
        <w:rPr>
          <w:rFonts w:ascii="Arial" w:hAnsi="Arial"/>
        </w:rPr>
        <w:t xml:space="preserve">, </w:t>
      </w:r>
      <w:r w:rsidR="00B63623">
        <w:rPr>
          <w:rFonts w:ascii="Arial" w:hAnsi="Arial"/>
        </w:rPr>
        <w:t xml:space="preserve">raised </w:t>
      </w:r>
      <w:r w:rsidR="00577FD9">
        <w:rPr>
          <w:rFonts w:ascii="Arial" w:hAnsi="Arial"/>
        </w:rPr>
        <w:t xml:space="preserve">three </w:t>
      </w:r>
      <w:r w:rsidR="00B63623">
        <w:rPr>
          <w:rFonts w:ascii="Arial" w:hAnsi="Arial"/>
        </w:rPr>
        <w:t>special pleas</w:t>
      </w:r>
      <w:r>
        <w:rPr>
          <w:rFonts w:ascii="Arial" w:hAnsi="Arial"/>
        </w:rPr>
        <w:t xml:space="preserve"> </w:t>
      </w:r>
      <w:r w:rsidR="00CA610A">
        <w:rPr>
          <w:rFonts w:ascii="Arial" w:hAnsi="Arial"/>
        </w:rPr>
        <w:t xml:space="preserve">of </w:t>
      </w:r>
      <w:r w:rsidR="00B63623">
        <w:rPr>
          <w:rFonts w:ascii="Arial" w:hAnsi="Arial"/>
        </w:rPr>
        <w:t>(a) prescription, (b) non-compliance with s</w:t>
      </w:r>
      <w:r w:rsidR="007C2AED">
        <w:rPr>
          <w:rFonts w:ascii="Arial" w:hAnsi="Arial"/>
        </w:rPr>
        <w:t xml:space="preserve"> </w:t>
      </w:r>
      <w:r w:rsidR="00B63623">
        <w:rPr>
          <w:rFonts w:ascii="Arial" w:hAnsi="Arial"/>
        </w:rPr>
        <w:t xml:space="preserve">1(1) of the Formalities </w:t>
      </w:r>
      <w:r>
        <w:rPr>
          <w:rFonts w:ascii="Arial" w:hAnsi="Arial"/>
        </w:rPr>
        <w:t>i</w:t>
      </w:r>
      <w:r w:rsidR="00B63623">
        <w:rPr>
          <w:rFonts w:ascii="Arial" w:hAnsi="Arial"/>
        </w:rPr>
        <w:t xml:space="preserve">n </w:t>
      </w:r>
      <w:r w:rsidR="00A571F8">
        <w:rPr>
          <w:rFonts w:ascii="Arial" w:hAnsi="Arial"/>
        </w:rPr>
        <w:t>r</w:t>
      </w:r>
      <w:r w:rsidR="00B63623">
        <w:rPr>
          <w:rFonts w:ascii="Arial" w:hAnsi="Arial"/>
        </w:rPr>
        <w:t>es</w:t>
      </w:r>
      <w:r>
        <w:rPr>
          <w:rFonts w:ascii="Arial" w:hAnsi="Arial"/>
        </w:rPr>
        <w:t>p</w:t>
      </w:r>
      <w:r w:rsidR="00B63623">
        <w:rPr>
          <w:rFonts w:ascii="Arial" w:hAnsi="Arial"/>
        </w:rPr>
        <w:t xml:space="preserve">ect of </w:t>
      </w:r>
      <w:r w:rsidR="004D01FA">
        <w:rPr>
          <w:rFonts w:ascii="Arial" w:hAnsi="Arial"/>
        </w:rPr>
        <w:t>Contracts of S</w:t>
      </w:r>
      <w:r>
        <w:rPr>
          <w:rFonts w:ascii="Arial" w:hAnsi="Arial"/>
        </w:rPr>
        <w:t xml:space="preserve">ale </w:t>
      </w:r>
      <w:r w:rsidR="00B63623">
        <w:rPr>
          <w:rFonts w:ascii="Arial" w:hAnsi="Arial"/>
        </w:rPr>
        <w:t xml:space="preserve">of </w:t>
      </w:r>
      <w:r w:rsidR="004D01FA">
        <w:rPr>
          <w:rFonts w:ascii="Arial" w:hAnsi="Arial"/>
        </w:rPr>
        <w:t>L</w:t>
      </w:r>
      <w:r w:rsidR="00B63623">
        <w:rPr>
          <w:rFonts w:ascii="Arial" w:hAnsi="Arial"/>
        </w:rPr>
        <w:t>and Act 71</w:t>
      </w:r>
      <w:r>
        <w:rPr>
          <w:rFonts w:ascii="Arial" w:hAnsi="Arial"/>
        </w:rPr>
        <w:t xml:space="preserve"> </w:t>
      </w:r>
      <w:r w:rsidR="00B63623">
        <w:rPr>
          <w:rFonts w:ascii="Arial" w:hAnsi="Arial"/>
        </w:rPr>
        <w:t>of 1969</w:t>
      </w:r>
      <w:r w:rsidR="004D01FA">
        <w:rPr>
          <w:rFonts w:ascii="Arial" w:hAnsi="Arial"/>
        </w:rPr>
        <w:t xml:space="preserve"> (RSA)</w:t>
      </w:r>
      <w:r w:rsidR="004D01FA">
        <w:rPr>
          <w:rStyle w:val="FootnoteReference"/>
          <w:rFonts w:ascii="Arial" w:hAnsi="Arial"/>
        </w:rPr>
        <w:footnoteReference w:id="1"/>
      </w:r>
      <w:r w:rsidR="00166B5C">
        <w:rPr>
          <w:rFonts w:ascii="Arial" w:hAnsi="Arial"/>
        </w:rPr>
        <w:t>,</w:t>
      </w:r>
      <w:r w:rsidR="00B63623">
        <w:rPr>
          <w:rFonts w:ascii="Arial" w:hAnsi="Arial"/>
        </w:rPr>
        <w:t xml:space="preserve"> and (c) </w:t>
      </w:r>
      <w:r w:rsidR="00CA610A">
        <w:rPr>
          <w:rFonts w:ascii="Arial" w:hAnsi="Arial"/>
        </w:rPr>
        <w:t xml:space="preserve">the </w:t>
      </w:r>
      <w:r w:rsidR="00B63623">
        <w:rPr>
          <w:rFonts w:ascii="Arial" w:hAnsi="Arial"/>
        </w:rPr>
        <w:t>lack of ministerial approval</w:t>
      </w:r>
      <w:r w:rsidR="00CA610A">
        <w:rPr>
          <w:rFonts w:ascii="Arial" w:hAnsi="Arial"/>
        </w:rPr>
        <w:t xml:space="preserve"> of the </w:t>
      </w:r>
      <w:r w:rsidR="00577FD9">
        <w:rPr>
          <w:rFonts w:ascii="Arial" w:hAnsi="Arial"/>
        </w:rPr>
        <w:t>transaction</w:t>
      </w:r>
      <w:r w:rsidR="00B63623">
        <w:rPr>
          <w:rFonts w:ascii="Arial" w:hAnsi="Arial"/>
        </w:rPr>
        <w:t>.</w:t>
      </w:r>
      <w:r w:rsidR="00D40F54">
        <w:rPr>
          <w:rFonts w:ascii="Arial" w:hAnsi="Arial"/>
        </w:rPr>
        <w:t xml:space="preserve"> </w:t>
      </w:r>
      <w:r>
        <w:rPr>
          <w:rFonts w:ascii="Arial" w:hAnsi="Arial"/>
        </w:rPr>
        <w:t>The court d</w:t>
      </w:r>
      <w:r w:rsidR="00577FD9">
        <w:rPr>
          <w:rFonts w:ascii="Arial" w:hAnsi="Arial"/>
        </w:rPr>
        <w:t>ir</w:t>
      </w:r>
      <w:r>
        <w:rPr>
          <w:rFonts w:ascii="Arial" w:hAnsi="Arial"/>
        </w:rPr>
        <w:t>e</w:t>
      </w:r>
      <w:r w:rsidR="00577FD9">
        <w:rPr>
          <w:rFonts w:ascii="Arial" w:hAnsi="Arial"/>
        </w:rPr>
        <w:t>ct</w:t>
      </w:r>
      <w:r>
        <w:rPr>
          <w:rFonts w:ascii="Arial" w:hAnsi="Arial"/>
        </w:rPr>
        <w:t xml:space="preserve">ed that the special pleas be heard and decided first. According to the court </w:t>
      </w:r>
      <w:r w:rsidRPr="00CA610A">
        <w:rPr>
          <w:rFonts w:ascii="Arial" w:hAnsi="Arial"/>
          <w:i/>
        </w:rPr>
        <w:t>a quo</w:t>
      </w:r>
      <w:r w:rsidR="00CA610A">
        <w:rPr>
          <w:rFonts w:ascii="Arial" w:hAnsi="Arial"/>
        </w:rPr>
        <w:t>,</w:t>
      </w:r>
      <w:r>
        <w:rPr>
          <w:rFonts w:ascii="Arial" w:hAnsi="Arial"/>
        </w:rPr>
        <w:t xml:space="preserve"> this direction ha</w:t>
      </w:r>
      <w:r w:rsidR="00CA610A">
        <w:rPr>
          <w:rFonts w:ascii="Arial" w:hAnsi="Arial"/>
        </w:rPr>
        <w:t xml:space="preserve">d the effect of </w:t>
      </w:r>
      <w:r>
        <w:rPr>
          <w:rFonts w:ascii="Arial" w:hAnsi="Arial"/>
        </w:rPr>
        <w:t>s</w:t>
      </w:r>
      <w:r w:rsidR="00CA610A">
        <w:rPr>
          <w:rFonts w:ascii="Arial" w:hAnsi="Arial"/>
        </w:rPr>
        <w:t xml:space="preserve">taying </w:t>
      </w:r>
      <w:r>
        <w:rPr>
          <w:rFonts w:ascii="Arial" w:hAnsi="Arial"/>
        </w:rPr>
        <w:t xml:space="preserve">all further proceedings </w:t>
      </w:r>
      <w:r w:rsidR="00CA610A">
        <w:rPr>
          <w:rFonts w:ascii="Arial" w:hAnsi="Arial"/>
        </w:rPr>
        <w:t xml:space="preserve">in the action pending the determination of </w:t>
      </w:r>
      <w:r>
        <w:rPr>
          <w:rFonts w:ascii="Arial" w:hAnsi="Arial"/>
        </w:rPr>
        <w:t>the special pleas.</w:t>
      </w:r>
      <w:r w:rsidR="00CA610A">
        <w:rPr>
          <w:rFonts w:ascii="Arial" w:hAnsi="Arial"/>
        </w:rPr>
        <w:t xml:space="preserve"> The parties subsequently filed their witness statements in respect of the special pleas. A pre-trial order was made and the matter postponed to 31 January 202</w:t>
      </w:r>
      <w:r w:rsidR="0052336F">
        <w:rPr>
          <w:rFonts w:ascii="Arial" w:hAnsi="Arial"/>
        </w:rPr>
        <w:t>0</w:t>
      </w:r>
      <w:r w:rsidR="00CA610A">
        <w:rPr>
          <w:rFonts w:ascii="Arial" w:hAnsi="Arial"/>
        </w:rPr>
        <w:t xml:space="preserve"> for the allocation of trial dates.</w:t>
      </w:r>
    </w:p>
    <w:p w14:paraId="521D744E" w14:textId="77777777" w:rsidR="001C1498" w:rsidRPr="008305A6" w:rsidRDefault="001C1498" w:rsidP="00356543">
      <w:pPr>
        <w:spacing w:line="480" w:lineRule="auto"/>
        <w:rPr>
          <w:rFonts w:ascii="Arial" w:hAnsi="Arial"/>
        </w:rPr>
      </w:pPr>
    </w:p>
    <w:p w14:paraId="17C35914" w14:textId="6A312D77" w:rsidR="0083089C" w:rsidRDefault="004B51CC" w:rsidP="00356543">
      <w:pPr>
        <w:pStyle w:val="ListParagraph"/>
        <w:numPr>
          <w:ilvl w:val="0"/>
          <w:numId w:val="1"/>
        </w:numPr>
        <w:spacing w:line="480" w:lineRule="auto"/>
        <w:contextualSpacing w:val="0"/>
        <w:jc w:val="both"/>
        <w:rPr>
          <w:rFonts w:ascii="Arial" w:hAnsi="Arial"/>
        </w:rPr>
      </w:pPr>
      <w:r>
        <w:rPr>
          <w:rFonts w:ascii="Arial" w:hAnsi="Arial"/>
        </w:rPr>
        <w:t xml:space="preserve">On 25 November 2019 the appellant filed a notice of intention to amend its replication. It followed the </w:t>
      </w:r>
      <w:r w:rsidR="005B1C40">
        <w:rPr>
          <w:rFonts w:ascii="Arial" w:hAnsi="Arial"/>
        </w:rPr>
        <w:t xml:space="preserve">wording </w:t>
      </w:r>
      <w:r>
        <w:rPr>
          <w:rFonts w:ascii="Arial" w:hAnsi="Arial"/>
        </w:rPr>
        <w:t>of rule 52</w:t>
      </w:r>
      <w:r w:rsidR="005E7D8F">
        <w:rPr>
          <w:rFonts w:ascii="Arial" w:hAnsi="Arial"/>
        </w:rPr>
        <w:t>(2)</w:t>
      </w:r>
      <w:r>
        <w:rPr>
          <w:rFonts w:ascii="Arial" w:hAnsi="Arial"/>
        </w:rPr>
        <w:t xml:space="preserve"> in that t</w:t>
      </w:r>
      <w:r w:rsidR="00CA34C2">
        <w:rPr>
          <w:rFonts w:ascii="Arial" w:hAnsi="Arial"/>
        </w:rPr>
        <w:t>he notice</w:t>
      </w:r>
      <w:r>
        <w:rPr>
          <w:rFonts w:ascii="Arial" w:hAnsi="Arial"/>
        </w:rPr>
        <w:t xml:space="preserve"> stated that unless objection in writing to the proposed amendment was made within 10 days, the </w:t>
      </w:r>
      <w:r w:rsidR="00CA34C2">
        <w:rPr>
          <w:rFonts w:ascii="Arial" w:hAnsi="Arial"/>
        </w:rPr>
        <w:t>appellant</w:t>
      </w:r>
      <w:r>
        <w:rPr>
          <w:rFonts w:ascii="Arial" w:hAnsi="Arial"/>
        </w:rPr>
        <w:t xml:space="preserve"> would amend the replication accordingly. The </w:t>
      </w:r>
      <w:r w:rsidR="00524904">
        <w:rPr>
          <w:rFonts w:ascii="Arial" w:hAnsi="Arial"/>
        </w:rPr>
        <w:t xml:space="preserve">period of </w:t>
      </w:r>
      <w:r>
        <w:rPr>
          <w:rFonts w:ascii="Arial" w:hAnsi="Arial"/>
        </w:rPr>
        <w:t>1</w:t>
      </w:r>
      <w:r w:rsidR="00524904">
        <w:rPr>
          <w:rFonts w:ascii="Arial" w:hAnsi="Arial"/>
        </w:rPr>
        <w:t>0</w:t>
      </w:r>
      <w:r>
        <w:rPr>
          <w:rFonts w:ascii="Arial" w:hAnsi="Arial"/>
        </w:rPr>
        <w:t xml:space="preserve"> </w:t>
      </w:r>
      <w:r w:rsidR="00524904">
        <w:rPr>
          <w:rFonts w:ascii="Arial" w:hAnsi="Arial"/>
        </w:rPr>
        <w:t>days referred to in the notice e</w:t>
      </w:r>
      <w:r w:rsidR="005E7D8F">
        <w:rPr>
          <w:rFonts w:ascii="Arial" w:hAnsi="Arial"/>
        </w:rPr>
        <w:t>nded</w:t>
      </w:r>
      <w:r>
        <w:rPr>
          <w:rFonts w:ascii="Arial" w:hAnsi="Arial"/>
        </w:rPr>
        <w:t xml:space="preserve"> on 11</w:t>
      </w:r>
      <w:r w:rsidR="00524904">
        <w:rPr>
          <w:rFonts w:ascii="Arial" w:hAnsi="Arial"/>
        </w:rPr>
        <w:t xml:space="preserve"> </w:t>
      </w:r>
      <w:r>
        <w:rPr>
          <w:rFonts w:ascii="Arial" w:hAnsi="Arial"/>
        </w:rPr>
        <w:t xml:space="preserve">December 2019. </w:t>
      </w:r>
      <w:r w:rsidR="00524904">
        <w:rPr>
          <w:rFonts w:ascii="Arial" w:hAnsi="Arial"/>
        </w:rPr>
        <w:t>Two days later</w:t>
      </w:r>
      <w:r w:rsidR="0052336F">
        <w:rPr>
          <w:rFonts w:ascii="Arial" w:hAnsi="Arial"/>
        </w:rPr>
        <w:t xml:space="preserve"> on 13 December 2019</w:t>
      </w:r>
      <w:r w:rsidR="00524904">
        <w:rPr>
          <w:rFonts w:ascii="Arial" w:hAnsi="Arial"/>
        </w:rPr>
        <w:t>,</w:t>
      </w:r>
      <w:r>
        <w:rPr>
          <w:rFonts w:ascii="Arial" w:hAnsi="Arial"/>
        </w:rPr>
        <w:t xml:space="preserve"> the </w:t>
      </w:r>
      <w:r w:rsidR="00524904">
        <w:rPr>
          <w:rFonts w:ascii="Arial" w:hAnsi="Arial"/>
        </w:rPr>
        <w:t>respondent</w:t>
      </w:r>
      <w:r>
        <w:rPr>
          <w:rFonts w:ascii="Arial" w:hAnsi="Arial"/>
        </w:rPr>
        <w:t>’s l</w:t>
      </w:r>
      <w:r w:rsidR="00524904">
        <w:rPr>
          <w:rFonts w:ascii="Arial" w:hAnsi="Arial"/>
        </w:rPr>
        <w:t xml:space="preserve">egal practitioners </w:t>
      </w:r>
      <w:r>
        <w:rPr>
          <w:rFonts w:ascii="Arial" w:hAnsi="Arial"/>
        </w:rPr>
        <w:t xml:space="preserve">filed a </w:t>
      </w:r>
      <w:r w:rsidR="00524904">
        <w:rPr>
          <w:rFonts w:ascii="Arial" w:hAnsi="Arial"/>
        </w:rPr>
        <w:t xml:space="preserve">letter </w:t>
      </w:r>
      <w:r>
        <w:rPr>
          <w:rFonts w:ascii="Arial" w:hAnsi="Arial"/>
        </w:rPr>
        <w:t xml:space="preserve">dated 9 December 2019, addressed to the </w:t>
      </w:r>
      <w:r w:rsidR="00524904">
        <w:rPr>
          <w:rFonts w:ascii="Arial" w:hAnsi="Arial"/>
        </w:rPr>
        <w:t>appellant</w:t>
      </w:r>
      <w:r>
        <w:rPr>
          <w:rFonts w:ascii="Arial" w:hAnsi="Arial"/>
        </w:rPr>
        <w:t>’s l</w:t>
      </w:r>
      <w:r w:rsidR="00524904">
        <w:rPr>
          <w:rFonts w:ascii="Arial" w:hAnsi="Arial"/>
        </w:rPr>
        <w:t>egal practitioners</w:t>
      </w:r>
      <w:r w:rsidR="00EC13E0">
        <w:rPr>
          <w:rFonts w:ascii="Arial" w:hAnsi="Arial"/>
        </w:rPr>
        <w:t>. It was</w:t>
      </w:r>
      <w:r w:rsidR="00524904">
        <w:rPr>
          <w:rFonts w:ascii="Arial" w:hAnsi="Arial"/>
        </w:rPr>
        <w:t xml:space="preserve"> </w:t>
      </w:r>
      <w:r w:rsidR="00CA34C2">
        <w:rPr>
          <w:rFonts w:ascii="Arial" w:hAnsi="Arial"/>
        </w:rPr>
        <w:t>contend</w:t>
      </w:r>
      <w:r w:rsidR="00EC13E0">
        <w:rPr>
          <w:rFonts w:ascii="Arial" w:hAnsi="Arial"/>
        </w:rPr>
        <w:t xml:space="preserve">ed in the letter </w:t>
      </w:r>
      <w:r w:rsidR="00CA34C2">
        <w:rPr>
          <w:rFonts w:ascii="Arial" w:hAnsi="Arial"/>
        </w:rPr>
        <w:t xml:space="preserve">that the </w:t>
      </w:r>
      <w:r w:rsidR="00123A28">
        <w:rPr>
          <w:rFonts w:ascii="Arial" w:hAnsi="Arial"/>
        </w:rPr>
        <w:lastRenderedPageBreak/>
        <w:t xml:space="preserve">appellant’s </w:t>
      </w:r>
      <w:r w:rsidR="00CA34C2">
        <w:rPr>
          <w:rFonts w:ascii="Arial" w:hAnsi="Arial"/>
        </w:rPr>
        <w:t xml:space="preserve">intended </w:t>
      </w:r>
      <w:r w:rsidR="00123A28">
        <w:rPr>
          <w:rFonts w:ascii="Arial" w:hAnsi="Arial"/>
        </w:rPr>
        <w:t xml:space="preserve">amendment </w:t>
      </w:r>
      <w:r w:rsidR="00CA34C2">
        <w:rPr>
          <w:rFonts w:ascii="Arial" w:hAnsi="Arial"/>
        </w:rPr>
        <w:t>was an interlocutory application, which should therefore comply with sub-rules (9) and (10) of rule 32. The letter</w:t>
      </w:r>
      <w:r w:rsidR="006D6793">
        <w:rPr>
          <w:rFonts w:ascii="Arial" w:hAnsi="Arial"/>
        </w:rPr>
        <w:t xml:space="preserve"> </w:t>
      </w:r>
      <w:r w:rsidR="00123A28">
        <w:rPr>
          <w:rFonts w:ascii="Arial" w:hAnsi="Arial"/>
        </w:rPr>
        <w:t xml:space="preserve">further </w:t>
      </w:r>
      <w:r w:rsidR="006D6793">
        <w:rPr>
          <w:rFonts w:ascii="Arial" w:hAnsi="Arial"/>
        </w:rPr>
        <w:t xml:space="preserve">informed the appellant’s legal practitioners that the respondent would oppose the intended amendment and set out two bases </w:t>
      </w:r>
      <w:r w:rsidR="00577FD9">
        <w:rPr>
          <w:rFonts w:ascii="Arial" w:hAnsi="Arial"/>
        </w:rPr>
        <w:t xml:space="preserve">for the </w:t>
      </w:r>
      <w:r>
        <w:rPr>
          <w:rFonts w:ascii="Arial" w:hAnsi="Arial"/>
        </w:rPr>
        <w:t>objecti</w:t>
      </w:r>
      <w:r w:rsidR="006D6793">
        <w:rPr>
          <w:rFonts w:ascii="Arial" w:hAnsi="Arial"/>
        </w:rPr>
        <w:t>o</w:t>
      </w:r>
      <w:r>
        <w:rPr>
          <w:rFonts w:ascii="Arial" w:hAnsi="Arial"/>
        </w:rPr>
        <w:t>n</w:t>
      </w:r>
      <w:r w:rsidR="006D6793">
        <w:rPr>
          <w:rFonts w:ascii="Arial" w:hAnsi="Arial"/>
        </w:rPr>
        <w:t>.</w:t>
      </w:r>
      <w:r>
        <w:rPr>
          <w:rFonts w:ascii="Arial" w:hAnsi="Arial"/>
        </w:rPr>
        <w:t xml:space="preserve"> </w:t>
      </w:r>
      <w:r w:rsidR="006A1504">
        <w:rPr>
          <w:rFonts w:ascii="Arial" w:hAnsi="Arial"/>
        </w:rPr>
        <w:t>I</w:t>
      </w:r>
      <w:r w:rsidR="006D6793">
        <w:rPr>
          <w:rFonts w:ascii="Arial" w:hAnsi="Arial"/>
        </w:rPr>
        <w:t xml:space="preserve">n the first place, </w:t>
      </w:r>
      <w:r w:rsidR="006A1504">
        <w:rPr>
          <w:rFonts w:ascii="Arial" w:hAnsi="Arial"/>
        </w:rPr>
        <w:t xml:space="preserve">it was contended </w:t>
      </w:r>
      <w:r w:rsidR="006D6793">
        <w:rPr>
          <w:rFonts w:ascii="Arial" w:hAnsi="Arial"/>
        </w:rPr>
        <w:t xml:space="preserve">that the action had reached </w:t>
      </w:r>
      <w:r w:rsidR="006D6793" w:rsidRPr="00727BEB">
        <w:rPr>
          <w:rFonts w:ascii="Arial" w:hAnsi="Arial"/>
          <w:i/>
        </w:rPr>
        <w:t xml:space="preserve">litis </w:t>
      </w:r>
      <w:r w:rsidR="006A1504">
        <w:rPr>
          <w:rFonts w:ascii="Arial" w:hAnsi="Arial"/>
          <w:i/>
        </w:rPr>
        <w:t>contestatio</w:t>
      </w:r>
      <w:r w:rsidR="006A1504">
        <w:rPr>
          <w:rFonts w:ascii="Arial" w:hAnsi="Arial"/>
        </w:rPr>
        <w:t>.</w:t>
      </w:r>
      <w:r w:rsidR="006D6793">
        <w:rPr>
          <w:rFonts w:ascii="Arial" w:hAnsi="Arial"/>
        </w:rPr>
        <w:t xml:space="preserve"> </w:t>
      </w:r>
      <w:r w:rsidR="006A1504">
        <w:rPr>
          <w:rFonts w:ascii="Arial" w:hAnsi="Arial"/>
        </w:rPr>
        <w:t>T</w:t>
      </w:r>
      <w:r w:rsidR="00577FD9">
        <w:rPr>
          <w:rFonts w:ascii="Arial" w:hAnsi="Arial"/>
        </w:rPr>
        <w:t>herefore</w:t>
      </w:r>
      <w:r w:rsidR="006A1504">
        <w:rPr>
          <w:rFonts w:ascii="Arial" w:hAnsi="Arial"/>
        </w:rPr>
        <w:t>,</w:t>
      </w:r>
      <w:r w:rsidR="00577FD9">
        <w:rPr>
          <w:rFonts w:ascii="Arial" w:hAnsi="Arial"/>
        </w:rPr>
        <w:t xml:space="preserve"> </w:t>
      </w:r>
      <w:r w:rsidR="006D6793">
        <w:rPr>
          <w:rFonts w:ascii="Arial" w:hAnsi="Arial"/>
        </w:rPr>
        <w:t xml:space="preserve">any filing of further pleadings could occur only once the party intending to file the pleading had sought and obtained leave </w:t>
      </w:r>
      <w:r w:rsidR="00123A28">
        <w:rPr>
          <w:rFonts w:ascii="Arial" w:hAnsi="Arial"/>
        </w:rPr>
        <w:t>o</w:t>
      </w:r>
      <w:r w:rsidR="006D6793">
        <w:rPr>
          <w:rFonts w:ascii="Arial" w:hAnsi="Arial"/>
        </w:rPr>
        <w:t>f</w:t>
      </w:r>
      <w:r w:rsidR="00123A28">
        <w:rPr>
          <w:rFonts w:ascii="Arial" w:hAnsi="Arial"/>
        </w:rPr>
        <w:t xml:space="preserve"> </w:t>
      </w:r>
      <w:r w:rsidR="006D6793">
        <w:rPr>
          <w:rFonts w:ascii="Arial" w:hAnsi="Arial"/>
        </w:rPr>
        <w:t xml:space="preserve">the managing judge. </w:t>
      </w:r>
      <w:r w:rsidR="006A1504">
        <w:rPr>
          <w:rFonts w:ascii="Arial" w:hAnsi="Arial"/>
        </w:rPr>
        <w:t>S</w:t>
      </w:r>
      <w:r w:rsidR="006D6793">
        <w:rPr>
          <w:rFonts w:ascii="Arial" w:hAnsi="Arial"/>
        </w:rPr>
        <w:t>econd</w:t>
      </w:r>
      <w:r w:rsidR="006A1504">
        <w:rPr>
          <w:rFonts w:ascii="Arial" w:hAnsi="Arial"/>
        </w:rPr>
        <w:t>ly, it</w:t>
      </w:r>
      <w:r w:rsidR="006D6793">
        <w:rPr>
          <w:rFonts w:ascii="Arial" w:hAnsi="Arial"/>
        </w:rPr>
        <w:t xml:space="preserve"> was </w:t>
      </w:r>
      <w:r w:rsidR="006A1504">
        <w:rPr>
          <w:rFonts w:ascii="Arial" w:hAnsi="Arial"/>
        </w:rPr>
        <w:t xml:space="preserve">argued </w:t>
      </w:r>
      <w:r w:rsidR="006D6793">
        <w:rPr>
          <w:rFonts w:ascii="Arial" w:hAnsi="Arial"/>
        </w:rPr>
        <w:t xml:space="preserve">that the intended amendment failed to comply with rule 47 read with rule 45 </w:t>
      </w:r>
      <w:r w:rsidR="00123A28">
        <w:rPr>
          <w:rFonts w:ascii="Arial" w:hAnsi="Arial"/>
        </w:rPr>
        <w:t xml:space="preserve">of the Rules </w:t>
      </w:r>
      <w:r w:rsidR="006D6793">
        <w:rPr>
          <w:rFonts w:ascii="Arial" w:hAnsi="Arial"/>
        </w:rPr>
        <w:t xml:space="preserve">and </w:t>
      </w:r>
      <w:r w:rsidR="00727BEB">
        <w:rPr>
          <w:rFonts w:ascii="Arial" w:hAnsi="Arial"/>
        </w:rPr>
        <w:t xml:space="preserve">that </w:t>
      </w:r>
      <w:r w:rsidR="006D6793">
        <w:rPr>
          <w:rFonts w:ascii="Arial" w:hAnsi="Arial"/>
        </w:rPr>
        <w:t>as such it was expiable</w:t>
      </w:r>
      <w:r w:rsidR="00727BEB">
        <w:rPr>
          <w:rFonts w:ascii="Arial" w:hAnsi="Arial"/>
        </w:rPr>
        <w:t>.</w:t>
      </w:r>
      <w:r w:rsidR="00123A28">
        <w:rPr>
          <w:rFonts w:ascii="Arial" w:hAnsi="Arial"/>
        </w:rPr>
        <w:t xml:space="preserve"> The letter proposed that directions </w:t>
      </w:r>
      <w:r w:rsidR="001E528D">
        <w:rPr>
          <w:rFonts w:ascii="Arial" w:hAnsi="Arial"/>
        </w:rPr>
        <w:t>should be obtained from</w:t>
      </w:r>
      <w:r w:rsidR="00123A28">
        <w:rPr>
          <w:rFonts w:ascii="Arial" w:hAnsi="Arial"/>
        </w:rPr>
        <w:t xml:space="preserve"> the managing judge first before proceeding </w:t>
      </w:r>
      <w:r w:rsidR="001E528D">
        <w:rPr>
          <w:rFonts w:ascii="Arial" w:hAnsi="Arial"/>
        </w:rPr>
        <w:t>with the matter</w:t>
      </w:r>
      <w:r w:rsidR="00123A28">
        <w:rPr>
          <w:rFonts w:ascii="Arial" w:hAnsi="Arial"/>
        </w:rPr>
        <w:t>.</w:t>
      </w:r>
      <w:r w:rsidR="00727BEB">
        <w:rPr>
          <w:rFonts w:ascii="Arial" w:hAnsi="Arial"/>
        </w:rPr>
        <w:t xml:space="preserve"> </w:t>
      </w:r>
    </w:p>
    <w:p w14:paraId="2D5CFF48" w14:textId="77777777" w:rsidR="0083089C" w:rsidRPr="0083089C" w:rsidRDefault="0083089C" w:rsidP="00356543">
      <w:pPr>
        <w:spacing w:line="480" w:lineRule="auto"/>
        <w:jc w:val="both"/>
        <w:rPr>
          <w:rFonts w:ascii="Arial" w:hAnsi="Arial"/>
        </w:rPr>
      </w:pPr>
    </w:p>
    <w:p w14:paraId="2769E709" w14:textId="531B0678" w:rsidR="00DE0025" w:rsidRDefault="00727BEB" w:rsidP="00356543">
      <w:pPr>
        <w:pStyle w:val="ListParagraph"/>
        <w:numPr>
          <w:ilvl w:val="0"/>
          <w:numId w:val="1"/>
        </w:numPr>
        <w:spacing w:line="480" w:lineRule="auto"/>
        <w:contextualSpacing w:val="0"/>
        <w:jc w:val="both"/>
        <w:rPr>
          <w:rFonts w:ascii="Arial" w:hAnsi="Arial"/>
        </w:rPr>
      </w:pPr>
      <w:r>
        <w:rPr>
          <w:rFonts w:ascii="Arial" w:hAnsi="Arial"/>
        </w:rPr>
        <w:t xml:space="preserve">I </w:t>
      </w:r>
      <w:r w:rsidR="008B12B2">
        <w:rPr>
          <w:rFonts w:ascii="Arial" w:hAnsi="Arial"/>
        </w:rPr>
        <w:t xml:space="preserve">digress </w:t>
      </w:r>
      <w:r w:rsidR="006D6793">
        <w:rPr>
          <w:rFonts w:ascii="Arial" w:hAnsi="Arial"/>
        </w:rPr>
        <w:t xml:space="preserve">to </w:t>
      </w:r>
      <w:r w:rsidR="001E528D">
        <w:rPr>
          <w:rFonts w:ascii="Arial" w:hAnsi="Arial"/>
        </w:rPr>
        <w:t>note</w:t>
      </w:r>
      <w:r w:rsidR="006D6793">
        <w:rPr>
          <w:rFonts w:ascii="Arial" w:hAnsi="Arial"/>
        </w:rPr>
        <w:t xml:space="preserve"> that the letter itself d</w:t>
      </w:r>
      <w:r>
        <w:rPr>
          <w:rFonts w:ascii="Arial" w:hAnsi="Arial"/>
        </w:rPr>
        <w:t xml:space="preserve">id </w:t>
      </w:r>
      <w:r w:rsidR="006D6793">
        <w:rPr>
          <w:rFonts w:ascii="Arial" w:hAnsi="Arial"/>
        </w:rPr>
        <w:t xml:space="preserve">not purport </w:t>
      </w:r>
      <w:r w:rsidR="004B51CC">
        <w:rPr>
          <w:rFonts w:ascii="Arial" w:hAnsi="Arial"/>
        </w:rPr>
        <w:t xml:space="preserve">to </w:t>
      </w:r>
      <w:r w:rsidR="001E528D">
        <w:rPr>
          <w:rFonts w:ascii="Arial" w:hAnsi="Arial"/>
        </w:rPr>
        <w:t xml:space="preserve">be </w:t>
      </w:r>
      <w:r w:rsidR="00805BD3">
        <w:rPr>
          <w:rFonts w:ascii="Arial" w:hAnsi="Arial"/>
        </w:rPr>
        <w:t xml:space="preserve">an </w:t>
      </w:r>
      <w:r w:rsidR="006D6793">
        <w:rPr>
          <w:rFonts w:ascii="Arial" w:hAnsi="Arial"/>
        </w:rPr>
        <w:t>objection to the notice of the intention to amend</w:t>
      </w:r>
      <w:r>
        <w:rPr>
          <w:rFonts w:ascii="Arial" w:hAnsi="Arial"/>
        </w:rPr>
        <w:t xml:space="preserve">. On </w:t>
      </w:r>
      <w:r w:rsidR="004B51CC">
        <w:rPr>
          <w:rFonts w:ascii="Arial" w:hAnsi="Arial"/>
        </w:rPr>
        <w:t xml:space="preserve">the </w:t>
      </w:r>
      <w:r>
        <w:rPr>
          <w:rFonts w:ascii="Arial" w:hAnsi="Arial"/>
        </w:rPr>
        <w:t>contrary, it appear</w:t>
      </w:r>
      <w:r w:rsidR="00805BD3">
        <w:rPr>
          <w:rFonts w:ascii="Arial" w:hAnsi="Arial"/>
        </w:rPr>
        <w:t>s</w:t>
      </w:r>
      <w:r>
        <w:rPr>
          <w:rFonts w:ascii="Arial" w:hAnsi="Arial"/>
        </w:rPr>
        <w:t xml:space="preserve"> to have bee</w:t>
      </w:r>
      <w:r w:rsidR="00DE0025">
        <w:rPr>
          <w:rFonts w:ascii="Arial" w:hAnsi="Arial"/>
        </w:rPr>
        <w:t>n</w:t>
      </w:r>
      <w:r>
        <w:rPr>
          <w:rFonts w:ascii="Arial" w:hAnsi="Arial"/>
        </w:rPr>
        <w:t xml:space="preserve"> </w:t>
      </w:r>
      <w:r w:rsidR="00805BD3">
        <w:rPr>
          <w:rFonts w:ascii="Arial" w:hAnsi="Arial"/>
        </w:rPr>
        <w:t xml:space="preserve">intended to </w:t>
      </w:r>
      <w:r>
        <w:rPr>
          <w:rFonts w:ascii="Arial" w:hAnsi="Arial"/>
        </w:rPr>
        <w:t xml:space="preserve">forewarn the appellant of the pending </w:t>
      </w:r>
      <w:r w:rsidR="0083089C">
        <w:rPr>
          <w:rFonts w:ascii="Arial" w:hAnsi="Arial"/>
        </w:rPr>
        <w:t xml:space="preserve">opposition or </w:t>
      </w:r>
      <w:r>
        <w:rPr>
          <w:rFonts w:ascii="Arial" w:hAnsi="Arial"/>
        </w:rPr>
        <w:t xml:space="preserve">objection to its </w:t>
      </w:r>
      <w:r w:rsidR="004B51CC">
        <w:rPr>
          <w:rFonts w:ascii="Arial" w:hAnsi="Arial"/>
        </w:rPr>
        <w:t>notice and the i</w:t>
      </w:r>
      <w:r w:rsidR="00CA34C2">
        <w:rPr>
          <w:rFonts w:ascii="Arial" w:hAnsi="Arial"/>
        </w:rPr>
        <w:t>n</w:t>
      </w:r>
      <w:r w:rsidR="004B51CC">
        <w:rPr>
          <w:rFonts w:ascii="Arial" w:hAnsi="Arial"/>
        </w:rPr>
        <w:t>tended amendment</w:t>
      </w:r>
      <w:r w:rsidR="00CA34C2">
        <w:rPr>
          <w:rFonts w:ascii="Arial" w:hAnsi="Arial"/>
        </w:rPr>
        <w:t xml:space="preserve">. </w:t>
      </w:r>
      <w:r>
        <w:rPr>
          <w:rFonts w:ascii="Arial" w:hAnsi="Arial"/>
        </w:rPr>
        <w:t xml:space="preserve">I say so for reasons </w:t>
      </w:r>
      <w:r w:rsidR="00DE0025">
        <w:rPr>
          <w:rFonts w:ascii="Arial" w:hAnsi="Arial"/>
        </w:rPr>
        <w:t xml:space="preserve">that </w:t>
      </w:r>
      <w:r>
        <w:rPr>
          <w:rFonts w:ascii="Arial" w:hAnsi="Arial"/>
        </w:rPr>
        <w:t>the letter informed the appellant</w:t>
      </w:r>
      <w:r w:rsidR="006A1504">
        <w:rPr>
          <w:rFonts w:ascii="Arial" w:hAnsi="Arial"/>
        </w:rPr>
        <w:t>, first</w:t>
      </w:r>
      <w:r>
        <w:rPr>
          <w:rFonts w:ascii="Arial" w:hAnsi="Arial"/>
        </w:rPr>
        <w:t xml:space="preserve"> that the respondent</w:t>
      </w:r>
      <w:r w:rsidR="00DE0025">
        <w:rPr>
          <w:rFonts w:ascii="Arial" w:hAnsi="Arial"/>
        </w:rPr>
        <w:t xml:space="preserve"> ‘will oppose your intended amendment . . .’</w:t>
      </w:r>
      <w:r w:rsidR="001E528D">
        <w:rPr>
          <w:rFonts w:ascii="Arial" w:hAnsi="Arial"/>
        </w:rPr>
        <w:t>, meaning that it was not opposing it in terms of the letter</w:t>
      </w:r>
      <w:r w:rsidR="00DE0025">
        <w:rPr>
          <w:rFonts w:ascii="Arial" w:hAnsi="Arial"/>
        </w:rPr>
        <w:t xml:space="preserve"> and </w:t>
      </w:r>
      <w:r w:rsidR="00D5531C">
        <w:rPr>
          <w:rFonts w:ascii="Arial" w:hAnsi="Arial"/>
        </w:rPr>
        <w:t xml:space="preserve">secondly </w:t>
      </w:r>
      <w:r w:rsidR="00DE0025">
        <w:rPr>
          <w:rFonts w:ascii="Arial" w:hAnsi="Arial"/>
        </w:rPr>
        <w:t xml:space="preserve">that </w:t>
      </w:r>
      <w:r w:rsidR="00123A28">
        <w:rPr>
          <w:rFonts w:ascii="Arial" w:hAnsi="Arial"/>
        </w:rPr>
        <w:t>the appellant’s legal practitioner</w:t>
      </w:r>
      <w:r w:rsidR="00DE0025">
        <w:rPr>
          <w:rFonts w:ascii="Arial" w:hAnsi="Arial"/>
        </w:rPr>
        <w:t xml:space="preserve"> </w:t>
      </w:r>
      <w:r>
        <w:rPr>
          <w:rFonts w:ascii="Arial" w:hAnsi="Arial"/>
        </w:rPr>
        <w:t xml:space="preserve">had briefed </w:t>
      </w:r>
      <w:r w:rsidR="00DE0025">
        <w:rPr>
          <w:rFonts w:ascii="Arial" w:hAnsi="Arial"/>
        </w:rPr>
        <w:t>‘</w:t>
      </w:r>
      <w:r>
        <w:rPr>
          <w:rFonts w:ascii="Arial" w:hAnsi="Arial"/>
        </w:rPr>
        <w:t>our instructed counsel to prepare the notice of opposition but due to his unavailability, same could not be filed on even date’</w:t>
      </w:r>
      <w:r w:rsidR="0052336F">
        <w:rPr>
          <w:rFonts w:ascii="Arial" w:hAnsi="Arial"/>
        </w:rPr>
        <w:t>.</w:t>
      </w:r>
      <w:r>
        <w:rPr>
          <w:rFonts w:ascii="Arial" w:hAnsi="Arial"/>
        </w:rPr>
        <w:t xml:space="preserve"> </w:t>
      </w:r>
      <w:r w:rsidR="00DE0025">
        <w:rPr>
          <w:rFonts w:ascii="Arial" w:hAnsi="Arial"/>
        </w:rPr>
        <w:t xml:space="preserve">This digressional observation </w:t>
      </w:r>
      <w:r w:rsidR="00123A28">
        <w:rPr>
          <w:rFonts w:ascii="Arial" w:hAnsi="Arial"/>
        </w:rPr>
        <w:t>was</w:t>
      </w:r>
      <w:r w:rsidR="00DE0025">
        <w:rPr>
          <w:rFonts w:ascii="Arial" w:hAnsi="Arial"/>
        </w:rPr>
        <w:t xml:space="preserve"> necess</w:t>
      </w:r>
      <w:r w:rsidR="00123A28">
        <w:rPr>
          <w:rFonts w:ascii="Arial" w:hAnsi="Arial"/>
        </w:rPr>
        <w:t>itated by the</w:t>
      </w:r>
      <w:r w:rsidR="00DE0025">
        <w:rPr>
          <w:rFonts w:ascii="Arial" w:hAnsi="Arial"/>
        </w:rPr>
        <w:t xml:space="preserve"> categorical</w:t>
      </w:r>
      <w:r w:rsidR="00123A28">
        <w:rPr>
          <w:rFonts w:ascii="Arial" w:hAnsi="Arial"/>
        </w:rPr>
        <w:t xml:space="preserve"> assertion</w:t>
      </w:r>
      <w:r w:rsidR="00805BD3">
        <w:rPr>
          <w:rFonts w:ascii="Arial" w:hAnsi="Arial"/>
        </w:rPr>
        <w:t xml:space="preserve"> advanced</w:t>
      </w:r>
      <w:r w:rsidR="00123A28">
        <w:rPr>
          <w:rFonts w:ascii="Arial" w:hAnsi="Arial"/>
        </w:rPr>
        <w:t xml:space="preserve"> </w:t>
      </w:r>
      <w:r w:rsidR="008B12B2">
        <w:rPr>
          <w:rFonts w:ascii="Arial" w:hAnsi="Arial"/>
        </w:rPr>
        <w:t xml:space="preserve">on behalf of the respondent </w:t>
      </w:r>
      <w:r w:rsidR="00805BD3">
        <w:rPr>
          <w:rFonts w:ascii="Arial" w:hAnsi="Arial"/>
        </w:rPr>
        <w:t xml:space="preserve">for the first time </w:t>
      </w:r>
      <w:r w:rsidR="001E528D">
        <w:rPr>
          <w:rFonts w:ascii="Arial" w:hAnsi="Arial"/>
        </w:rPr>
        <w:t>in oral argument</w:t>
      </w:r>
      <w:r w:rsidR="00A571F8">
        <w:rPr>
          <w:rFonts w:ascii="Arial" w:hAnsi="Arial"/>
        </w:rPr>
        <w:t>s</w:t>
      </w:r>
      <w:r w:rsidR="001E528D">
        <w:rPr>
          <w:rFonts w:ascii="Arial" w:hAnsi="Arial"/>
        </w:rPr>
        <w:t xml:space="preserve"> </w:t>
      </w:r>
      <w:r w:rsidR="00DE0025">
        <w:rPr>
          <w:rFonts w:ascii="Arial" w:hAnsi="Arial"/>
        </w:rPr>
        <w:t>that the letter of 9 December 2019 constitute</w:t>
      </w:r>
      <w:r w:rsidR="008305A6">
        <w:rPr>
          <w:rFonts w:ascii="Arial" w:hAnsi="Arial"/>
        </w:rPr>
        <w:t>d</w:t>
      </w:r>
      <w:r w:rsidR="00DE0025">
        <w:rPr>
          <w:rFonts w:ascii="Arial" w:hAnsi="Arial"/>
        </w:rPr>
        <w:t xml:space="preserve"> a </w:t>
      </w:r>
      <w:r w:rsidR="00D5531C">
        <w:rPr>
          <w:rFonts w:ascii="Arial" w:hAnsi="Arial"/>
        </w:rPr>
        <w:t xml:space="preserve">substantive </w:t>
      </w:r>
      <w:r w:rsidR="00DE0025">
        <w:rPr>
          <w:rFonts w:ascii="Arial" w:hAnsi="Arial"/>
        </w:rPr>
        <w:t>objection to the notice of intention to amend.</w:t>
      </w:r>
      <w:r w:rsidR="006515F7">
        <w:rPr>
          <w:rFonts w:ascii="Arial" w:hAnsi="Arial"/>
        </w:rPr>
        <w:t xml:space="preserve"> </w:t>
      </w:r>
      <w:r w:rsidR="008B12B2">
        <w:rPr>
          <w:rFonts w:ascii="Arial" w:hAnsi="Arial"/>
        </w:rPr>
        <w:t xml:space="preserve">It must be observed that this submission flies in the face of the clear terms of the letter and </w:t>
      </w:r>
      <w:r w:rsidR="0083089C">
        <w:rPr>
          <w:rFonts w:ascii="Arial" w:hAnsi="Arial"/>
        </w:rPr>
        <w:t xml:space="preserve">is so untenable that it </w:t>
      </w:r>
      <w:r w:rsidR="008B12B2">
        <w:rPr>
          <w:rFonts w:ascii="Arial" w:hAnsi="Arial"/>
        </w:rPr>
        <w:t>stands to be rejected a</w:t>
      </w:r>
      <w:r w:rsidR="0083089C">
        <w:rPr>
          <w:rFonts w:ascii="Arial" w:hAnsi="Arial"/>
        </w:rPr>
        <w:t>t the outset</w:t>
      </w:r>
      <w:r w:rsidR="008B12B2">
        <w:rPr>
          <w:rFonts w:ascii="Arial" w:hAnsi="Arial"/>
        </w:rPr>
        <w:t xml:space="preserve">. </w:t>
      </w:r>
    </w:p>
    <w:p w14:paraId="02C82904" w14:textId="77777777" w:rsidR="00DE0025" w:rsidRDefault="00DE0025" w:rsidP="00356543">
      <w:pPr>
        <w:pStyle w:val="ListParagraph"/>
        <w:spacing w:line="480" w:lineRule="auto"/>
        <w:ind w:left="0"/>
        <w:contextualSpacing w:val="0"/>
        <w:jc w:val="both"/>
        <w:rPr>
          <w:rFonts w:ascii="Arial" w:hAnsi="Arial"/>
        </w:rPr>
      </w:pPr>
    </w:p>
    <w:p w14:paraId="2AB6B387" w14:textId="4ED41BA2" w:rsidR="0083089C" w:rsidRDefault="00A3045D" w:rsidP="00356543">
      <w:pPr>
        <w:pStyle w:val="ListParagraph"/>
        <w:numPr>
          <w:ilvl w:val="0"/>
          <w:numId w:val="1"/>
        </w:numPr>
        <w:spacing w:line="480" w:lineRule="auto"/>
        <w:contextualSpacing w:val="0"/>
        <w:jc w:val="both"/>
        <w:rPr>
          <w:rFonts w:ascii="Arial" w:hAnsi="Arial"/>
        </w:rPr>
      </w:pPr>
      <w:r>
        <w:rPr>
          <w:rFonts w:ascii="Arial" w:hAnsi="Arial"/>
        </w:rPr>
        <w:lastRenderedPageBreak/>
        <w:t>Re</w:t>
      </w:r>
      <w:r w:rsidR="00153966">
        <w:rPr>
          <w:rFonts w:ascii="Arial" w:hAnsi="Arial"/>
        </w:rPr>
        <w:t>vert</w:t>
      </w:r>
      <w:r>
        <w:rPr>
          <w:rFonts w:ascii="Arial" w:hAnsi="Arial"/>
        </w:rPr>
        <w:t xml:space="preserve">ing to </w:t>
      </w:r>
      <w:r w:rsidR="006515F7">
        <w:rPr>
          <w:rFonts w:ascii="Arial" w:hAnsi="Arial"/>
        </w:rPr>
        <w:t xml:space="preserve">the background </w:t>
      </w:r>
      <w:r w:rsidR="008241D1">
        <w:rPr>
          <w:rFonts w:ascii="Arial" w:hAnsi="Arial"/>
        </w:rPr>
        <w:t>t</w:t>
      </w:r>
      <w:r w:rsidR="006515F7">
        <w:rPr>
          <w:rFonts w:ascii="Arial" w:hAnsi="Arial"/>
        </w:rPr>
        <w:t>o the matter, it also so happens that</w:t>
      </w:r>
      <w:r w:rsidR="004B51CC">
        <w:rPr>
          <w:rFonts w:ascii="Arial" w:hAnsi="Arial"/>
        </w:rPr>
        <w:t xml:space="preserve"> on 13 December 2019</w:t>
      </w:r>
      <w:r w:rsidR="001E528D">
        <w:rPr>
          <w:rFonts w:ascii="Arial" w:hAnsi="Arial"/>
        </w:rPr>
        <w:t>,</w:t>
      </w:r>
      <w:r w:rsidR="004B51CC">
        <w:rPr>
          <w:rFonts w:ascii="Arial" w:hAnsi="Arial"/>
        </w:rPr>
        <w:t xml:space="preserve"> the defendant filed a notice to oppose the </w:t>
      </w:r>
      <w:r w:rsidR="006515F7">
        <w:rPr>
          <w:rFonts w:ascii="Arial" w:hAnsi="Arial"/>
        </w:rPr>
        <w:t xml:space="preserve">appellant’s </w:t>
      </w:r>
      <w:r w:rsidR="00805BD3">
        <w:rPr>
          <w:rFonts w:ascii="Arial" w:hAnsi="Arial"/>
        </w:rPr>
        <w:t xml:space="preserve">proposed </w:t>
      </w:r>
      <w:r w:rsidR="004B51CC">
        <w:rPr>
          <w:rFonts w:ascii="Arial" w:hAnsi="Arial"/>
        </w:rPr>
        <w:t>amend</w:t>
      </w:r>
      <w:r w:rsidR="00805BD3">
        <w:rPr>
          <w:rFonts w:ascii="Arial" w:hAnsi="Arial"/>
        </w:rPr>
        <w:t>ment</w:t>
      </w:r>
      <w:r w:rsidR="004B51CC">
        <w:rPr>
          <w:rFonts w:ascii="Arial" w:hAnsi="Arial"/>
        </w:rPr>
        <w:t xml:space="preserve">. </w:t>
      </w:r>
      <w:r w:rsidR="008305A6">
        <w:rPr>
          <w:rFonts w:ascii="Arial" w:hAnsi="Arial"/>
        </w:rPr>
        <w:t xml:space="preserve">Undeterred by these </w:t>
      </w:r>
      <w:r w:rsidR="001E528D">
        <w:rPr>
          <w:rFonts w:ascii="Arial" w:hAnsi="Arial"/>
        </w:rPr>
        <w:t xml:space="preserve">obviously </w:t>
      </w:r>
      <w:r w:rsidR="008305A6">
        <w:rPr>
          <w:rFonts w:ascii="Arial" w:hAnsi="Arial"/>
        </w:rPr>
        <w:t xml:space="preserve">ineffectual </w:t>
      </w:r>
      <w:r w:rsidR="00C4352D">
        <w:rPr>
          <w:rFonts w:ascii="Arial" w:hAnsi="Arial"/>
        </w:rPr>
        <w:t>steps</w:t>
      </w:r>
      <w:r w:rsidR="008305A6">
        <w:rPr>
          <w:rFonts w:ascii="Arial" w:hAnsi="Arial"/>
        </w:rPr>
        <w:t xml:space="preserve">, </w:t>
      </w:r>
      <w:r w:rsidR="004B51CC">
        <w:rPr>
          <w:rFonts w:ascii="Arial" w:hAnsi="Arial"/>
        </w:rPr>
        <w:t xml:space="preserve">the </w:t>
      </w:r>
      <w:r w:rsidR="006515F7">
        <w:rPr>
          <w:rFonts w:ascii="Arial" w:hAnsi="Arial"/>
        </w:rPr>
        <w:t xml:space="preserve">appellant filed its </w:t>
      </w:r>
      <w:r w:rsidR="004B51CC">
        <w:rPr>
          <w:rFonts w:ascii="Arial" w:hAnsi="Arial"/>
        </w:rPr>
        <w:t>amen</w:t>
      </w:r>
      <w:r w:rsidR="006515F7">
        <w:rPr>
          <w:rFonts w:ascii="Arial" w:hAnsi="Arial"/>
        </w:rPr>
        <w:t>d</w:t>
      </w:r>
      <w:r w:rsidR="004B51CC">
        <w:rPr>
          <w:rFonts w:ascii="Arial" w:hAnsi="Arial"/>
        </w:rPr>
        <w:t>e</w:t>
      </w:r>
      <w:r w:rsidR="006515F7">
        <w:rPr>
          <w:rFonts w:ascii="Arial" w:hAnsi="Arial"/>
        </w:rPr>
        <w:t>d</w:t>
      </w:r>
      <w:r w:rsidR="004B51CC">
        <w:rPr>
          <w:rFonts w:ascii="Arial" w:hAnsi="Arial"/>
        </w:rPr>
        <w:t xml:space="preserve"> replication</w:t>
      </w:r>
      <w:r w:rsidR="008305A6">
        <w:rPr>
          <w:rFonts w:ascii="Arial" w:hAnsi="Arial"/>
        </w:rPr>
        <w:t xml:space="preserve"> on 16 December 2019</w:t>
      </w:r>
      <w:r w:rsidR="004B51CC">
        <w:rPr>
          <w:rFonts w:ascii="Arial" w:hAnsi="Arial"/>
        </w:rPr>
        <w:t xml:space="preserve">. </w:t>
      </w:r>
      <w:r w:rsidR="006515F7">
        <w:rPr>
          <w:rFonts w:ascii="Arial" w:hAnsi="Arial"/>
        </w:rPr>
        <w:t xml:space="preserve">The court </w:t>
      </w:r>
      <w:r w:rsidR="006515F7" w:rsidRPr="008305A6">
        <w:rPr>
          <w:rFonts w:ascii="Arial" w:hAnsi="Arial"/>
          <w:i/>
        </w:rPr>
        <w:t>a quo</w:t>
      </w:r>
      <w:r w:rsidR="006515F7">
        <w:rPr>
          <w:rFonts w:ascii="Arial" w:hAnsi="Arial"/>
        </w:rPr>
        <w:t xml:space="preserve"> observed in its </w:t>
      </w:r>
      <w:r w:rsidR="001E528D">
        <w:rPr>
          <w:rFonts w:ascii="Arial" w:hAnsi="Arial"/>
        </w:rPr>
        <w:t>ruling</w:t>
      </w:r>
      <w:r w:rsidR="006515F7">
        <w:rPr>
          <w:rFonts w:ascii="Arial" w:hAnsi="Arial"/>
        </w:rPr>
        <w:t xml:space="preserve"> that as the pa</w:t>
      </w:r>
      <w:r w:rsidR="004B51CC">
        <w:rPr>
          <w:rFonts w:ascii="Arial" w:hAnsi="Arial"/>
        </w:rPr>
        <w:t xml:space="preserve">rties </w:t>
      </w:r>
      <w:r w:rsidR="006515F7">
        <w:rPr>
          <w:rFonts w:ascii="Arial" w:hAnsi="Arial"/>
        </w:rPr>
        <w:t xml:space="preserve">had </w:t>
      </w:r>
      <w:r w:rsidR="004B51CC">
        <w:rPr>
          <w:rFonts w:ascii="Arial" w:hAnsi="Arial"/>
        </w:rPr>
        <w:t xml:space="preserve">expressed divergent views on the propriety </w:t>
      </w:r>
      <w:r w:rsidR="00343586">
        <w:rPr>
          <w:rFonts w:ascii="Arial" w:hAnsi="Arial"/>
        </w:rPr>
        <w:t xml:space="preserve">or </w:t>
      </w:r>
      <w:r w:rsidR="004B51CC">
        <w:rPr>
          <w:rFonts w:ascii="Arial" w:hAnsi="Arial"/>
        </w:rPr>
        <w:t xml:space="preserve">legality of the notice </w:t>
      </w:r>
      <w:r w:rsidR="006515F7">
        <w:rPr>
          <w:rFonts w:ascii="Arial" w:hAnsi="Arial"/>
        </w:rPr>
        <w:t xml:space="preserve">of </w:t>
      </w:r>
      <w:r w:rsidR="004B51CC">
        <w:rPr>
          <w:rFonts w:ascii="Arial" w:hAnsi="Arial"/>
        </w:rPr>
        <w:t>intention to amend and the subsequent amended replication</w:t>
      </w:r>
      <w:r w:rsidR="006515F7">
        <w:rPr>
          <w:rFonts w:ascii="Arial" w:hAnsi="Arial"/>
        </w:rPr>
        <w:t xml:space="preserve">, ‘they </w:t>
      </w:r>
      <w:r w:rsidR="004B51CC">
        <w:rPr>
          <w:rFonts w:ascii="Arial" w:hAnsi="Arial"/>
        </w:rPr>
        <w:t>requested the</w:t>
      </w:r>
      <w:r w:rsidR="006515F7">
        <w:rPr>
          <w:rFonts w:ascii="Arial" w:hAnsi="Arial"/>
        </w:rPr>
        <w:t xml:space="preserve"> court</w:t>
      </w:r>
      <w:r w:rsidR="004B51CC">
        <w:rPr>
          <w:rFonts w:ascii="Arial" w:hAnsi="Arial"/>
        </w:rPr>
        <w:t>, among other things</w:t>
      </w:r>
      <w:r w:rsidR="006515F7">
        <w:rPr>
          <w:rFonts w:ascii="Arial" w:hAnsi="Arial"/>
        </w:rPr>
        <w:t>, to give directions on the dispute’</w:t>
      </w:r>
      <w:r w:rsidR="0052336F">
        <w:rPr>
          <w:rFonts w:ascii="Arial" w:hAnsi="Arial"/>
        </w:rPr>
        <w:t>.</w:t>
      </w:r>
      <w:r w:rsidR="004B51CC">
        <w:rPr>
          <w:rFonts w:ascii="Arial" w:hAnsi="Arial"/>
        </w:rPr>
        <w:t xml:space="preserve"> </w:t>
      </w:r>
    </w:p>
    <w:p w14:paraId="3E121E94" w14:textId="77777777" w:rsidR="0083089C" w:rsidRPr="0083089C" w:rsidRDefault="0083089C" w:rsidP="00356543">
      <w:pPr>
        <w:spacing w:line="480" w:lineRule="auto"/>
        <w:rPr>
          <w:rFonts w:ascii="Arial" w:hAnsi="Arial"/>
        </w:rPr>
      </w:pPr>
    </w:p>
    <w:p w14:paraId="07F82814" w14:textId="19612FAA" w:rsidR="004B51CC" w:rsidRDefault="008305A6" w:rsidP="00356543">
      <w:pPr>
        <w:pStyle w:val="ListParagraph"/>
        <w:numPr>
          <w:ilvl w:val="0"/>
          <w:numId w:val="1"/>
        </w:numPr>
        <w:spacing w:line="480" w:lineRule="auto"/>
        <w:contextualSpacing w:val="0"/>
        <w:jc w:val="both"/>
        <w:rPr>
          <w:rFonts w:ascii="Arial" w:hAnsi="Arial"/>
        </w:rPr>
      </w:pPr>
      <w:r>
        <w:rPr>
          <w:rFonts w:ascii="Arial" w:hAnsi="Arial"/>
        </w:rPr>
        <w:t>The proce</w:t>
      </w:r>
      <w:r w:rsidR="00343586">
        <w:rPr>
          <w:rFonts w:ascii="Arial" w:hAnsi="Arial"/>
        </w:rPr>
        <w:t xml:space="preserve">edings </w:t>
      </w:r>
      <w:r w:rsidR="001E528D">
        <w:rPr>
          <w:rFonts w:ascii="Arial" w:hAnsi="Arial"/>
        </w:rPr>
        <w:t>in</w:t>
      </w:r>
      <w:r w:rsidR="00343586">
        <w:rPr>
          <w:rFonts w:ascii="Arial" w:hAnsi="Arial"/>
        </w:rPr>
        <w:t xml:space="preserve"> </w:t>
      </w:r>
      <w:r>
        <w:rPr>
          <w:rFonts w:ascii="Arial" w:hAnsi="Arial"/>
        </w:rPr>
        <w:t xml:space="preserve">which the court </w:t>
      </w:r>
      <w:r w:rsidR="001E528D">
        <w:rPr>
          <w:rFonts w:ascii="Arial" w:hAnsi="Arial"/>
        </w:rPr>
        <w:t xml:space="preserve">made the </w:t>
      </w:r>
      <w:r w:rsidR="00A571F8">
        <w:rPr>
          <w:rFonts w:ascii="Arial" w:hAnsi="Arial"/>
        </w:rPr>
        <w:t xml:space="preserve">decision </w:t>
      </w:r>
      <w:r w:rsidR="001E528D">
        <w:rPr>
          <w:rFonts w:ascii="Arial" w:hAnsi="Arial"/>
        </w:rPr>
        <w:t xml:space="preserve">appealed against </w:t>
      </w:r>
      <w:r>
        <w:rPr>
          <w:rFonts w:ascii="Arial" w:hAnsi="Arial"/>
        </w:rPr>
        <w:t>w</w:t>
      </w:r>
      <w:r w:rsidR="001E528D">
        <w:rPr>
          <w:rFonts w:ascii="Arial" w:hAnsi="Arial"/>
        </w:rPr>
        <w:t>ere</w:t>
      </w:r>
      <w:r>
        <w:rPr>
          <w:rFonts w:ascii="Arial" w:hAnsi="Arial"/>
        </w:rPr>
        <w:t xml:space="preserve"> therefore not a </w:t>
      </w:r>
      <w:r w:rsidR="00343586">
        <w:rPr>
          <w:rFonts w:ascii="Arial" w:hAnsi="Arial"/>
        </w:rPr>
        <w:t xml:space="preserve">substantive </w:t>
      </w:r>
      <w:r>
        <w:rPr>
          <w:rFonts w:ascii="Arial" w:hAnsi="Arial"/>
        </w:rPr>
        <w:t xml:space="preserve">application but a request for directions. </w:t>
      </w:r>
      <w:r w:rsidR="006515F7">
        <w:rPr>
          <w:rFonts w:ascii="Arial" w:hAnsi="Arial"/>
        </w:rPr>
        <w:t xml:space="preserve">On 31 </w:t>
      </w:r>
      <w:r w:rsidR="004B51CC">
        <w:rPr>
          <w:rFonts w:ascii="Arial" w:hAnsi="Arial"/>
        </w:rPr>
        <w:t>January 2020</w:t>
      </w:r>
      <w:r w:rsidR="006515F7">
        <w:rPr>
          <w:rFonts w:ascii="Arial" w:hAnsi="Arial"/>
        </w:rPr>
        <w:t>,</w:t>
      </w:r>
      <w:r w:rsidR="004B51CC">
        <w:rPr>
          <w:rFonts w:ascii="Arial" w:hAnsi="Arial"/>
        </w:rPr>
        <w:t xml:space="preserve"> the court </w:t>
      </w:r>
      <w:r w:rsidR="006515F7">
        <w:rPr>
          <w:rFonts w:ascii="Arial" w:hAnsi="Arial"/>
        </w:rPr>
        <w:t xml:space="preserve">identified the issue in dispute and directed </w:t>
      </w:r>
      <w:r w:rsidR="004B51CC">
        <w:rPr>
          <w:rFonts w:ascii="Arial" w:hAnsi="Arial"/>
        </w:rPr>
        <w:t xml:space="preserve">the parties to file </w:t>
      </w:r>
      <w:r>
        <w:rPr>
          <w:rFonts w:ascii="Arial" w:hAnsi="Arial"/>
        </w:rPr>
        <w:t xml:space="preserve">written </w:t>
      </w:r>
      <w:r w:rsidR="004B51CC">
        <w:rPr>
          <w:rFonts w:ascii="Arial" w:hAnsi="Arial"/>
        </w:rPr>
        <w:t xml:space="preserve">heads of argument </w:t>
      </w:r>
      <w:r w:rsidR="006515F7">
        <w:rPr>
          <w:rFonts w:ascii="Arial" w:hAnsi="Arial"/>
        </w:rPr>
        <w:t>to assist it to decide t</w:t>
      </w:r>
      <w:r w:rsidR="001E528D">
        <w:rPr>
          <w:rFonts w:ascii="Arial" w:hAnsi="Arial"/>
        </w:rPr>
        <w:t>he matter</w:t>
      </w:r>
      <w:r w:rsidR="006515F7">
        <w:rPr>
          <w:rFonts w:ascii="Arial" w:hAnsi="Arial"/>
        </w:rPr>
        <w:t>.</w:t>
      </w:r>
      <w:r w:rsidR="004B51CC">
        <w:rPr>
          <w:rFonts w:ascii="Arial" w:hAnsi="Arial"/>
        </w:rPr>
        <w:t xml:space="preserve"> </w:t>
      </w:r>
      <w:r>
        <w:rPr>
          <w:rFonts w:ascii="Arial" w:hAnsi="Arial"/>
        </w:rPr>
        <w:t>The p</w:t>
      </w:r>
      <w:r w:rsidR="004B51CC">
        <w:rPr>
          <w:rFonts w:ascii="Arial" w:hAnsi="Arial"/>
        </w:rPr>
        <w:t xml:space="preserve">arties </w:t>
      </w:r>
      <w:r w:rsidR="001E528D">
        <w:rPr>
          <w:rFonts w:ascii="Arial" w:hAnsi="Arial"/>
        </w:rPr>
        <w:t xml:space="preserve">subsequently </w:t>
      </w:r>
      <w:r w:rsidR="004B51CC">
        <w:rPr>
          <w:rFonts w:ascii="Arial" w:hAnsi="Arial"/>
        </w:rPr>
        <w:t xml:space="preserve">filed </w:t>
      </w:r>
      <w:r>
        <w:rPr>
          <w:rFonts w:ascii="Arial" w:hAnsi="Arial"/>
        </w:rPr>
        <w:t xml:space="preserve">their respective </w:t>
      </w:r>
      <w:r w:rsidR="004B51CC">
        <w:rPr>
          <w:rFonts w:ascii="Arial" w:hAnsi="Arial"/>
        </w:rPr>
        <w:t xml:space="preserve">heads of argument, and </w:t>
      </w:r>
      <w:r w:rsidR="006515F7">
        <w:rPr>
          <w:rFonts w:ascii="Arial" w:hAnsi="Arial"/>
        </w:rPr>
        <w:t>o</w:t>
      </w:r>
      <w:r w:rsidR="004B51CC">
        <w:rPr>
          <w:rFonts w:ascii="Arial" w:hAnsi="Arial"/>
        </w:rPr>
        <w:t>n 6 May 2020, the</w:t>
      </w:r>
      <w:r w:rsidR="006515F7">
        <w:rPr>
          <w:rFonts w:ascii="Arial" w:hAnsi="Arial"/>
        </w:rPr>
        <w:t>y</w:t>
      </w:r>
      <w:r w:rsidR="004B51CC">
        <w:rPr>
          <w:rFonts w:ascii="Arial" w:hAnsi="Arial"/>
        </w:rPr>
        <w:t xml:space="preserve"> filed a written agreement</w:t>
      </w:r>
      <w:r w:rsidR="00345D7A">
        <w:rPr>
          <w:rFonts w:ascii="Arial" w:hAnsi="Arial"/>
        </w:rPr>
        <w:t xml:space="preserve"> </w:t>
      </w:r>
      <w:r w:rsidR="005E7D8F">
        <w:rPr>
          <w:rFonts w:ascii="Arial" w:hAnsi="Arial" w:cs="Arial"/>
        </w:rPr>
        <w:t>–</w:t>
      </w:r>
      <w:r w:rsidR="005E7D8F">
        <w:rPr>
          <w:rFonts w:ascii="Arial" w:hAnsi="Arial"/>
        </w:rPr>
        <w:t xml:space="preserve"> </w:t>
      </w:r>
      <w:r>
        <w:rPr>
          <w:rFonts w:ascii="Arial" w:hAnsi="Arial" w:cs="Arial"/>
        </w:rPr>
        <w:t xml:space="preserve">in terms </w:t>
      </w:r>
      <w:r w:rsidR="005E7D8F">
        <w:rPr>
          <w:rFonts w:ascii="Arial" w:hAnsi="Arial" w:cs="Arial"/>
        </w:rPr>
        <w:t xml:space="preserve">of </w:t>
      </w:r>
      <w:r w:rsidR="00345D7A">
        <w:rPr>
          <w:rFonts w:ascii="Arial" w:hAnsi="Arial"/>
        </w:rPr>
        <w:t xml:space="preserve">a Practice Direction issued by the Judge-President </w:t>
      </w:r>
      <w:r w:rsidR="001E528D">
        <w:rPr>
          <w:rFonts w:ascii="Arial" w:hAnsi="Arial"/>
        </w:rPr>
        <w:t xml:space="preserve">following </w:t>
      </w:r>
      <w:r w:rsidR="00345D7A">
        <w:rPr>
          <w:rFonts w:ascii="Arial" w:hAnsi="Arial"/>
        </w:rPr>
        <w:t xml:space="preserve">the COVID-19 </w:t>
      </w:r>
      <w:r w:rsidR="0083089C">
        <w:rPr>
          <w:rFonts w:ascii="Arial" w:hAnsi="Arial"/>
        </w:rPr>
        <w:t xml:space="preserve">outbreak </w:t>
      </w:r>
      <w:r w:rsidR="005E7D8F">
        <w:rPr>
          <w:rFonts w:ascii="Arial" w:hAnsi="Arial" w:cs="Arial"/>
        </w:rPr>
        <w:t>–</w:t>
      </w:r>
      <w:r w:rsidR="004B51CC">
        <w:rPr>
          <w:rFonts w:ascii="Arial" w:hAnsi="Arial"/>
        </w:rPr>
        <w:t xml:space="preserve"> </w:t>
      </w:r>
      <w:r w:rsidR="005E7D8F">
        <w:rPr>
          <w:rFonts w:ascii="Arial" w:hAnsi="Arial"/>
        </w:rPr>
        <w:t>to have the matter decided without the benefit of oral arguments.</w:t>
      </w:r>
    </w:p>
    <w:p w14:paraId="22320939" w14:textId="77777777" w:rsidR="00345D7A" w:rsidRDefault="00345D7A" w:rsidP="00356543">
      <w:pPr>
        <w:pStyle w:val="ListParagraph"/>
        <w:spacing w:line="480" w:lineRule="auto"/>
        <w:ind w:left="0"/>
        <w:contextualSpacing w:val="0"/>
        <w:jc w:val="both"/>
        <w:rPr>
          <w:rFonts w:ascii="Arial" w:hAnsi="Arial"/>
          <w:u w:val="single"/>
        </w:rPr>
      </w:pPr>
    </w:p>
    <w:p w14:paraId="657C5800" w14:textId="2D4098C8" w:rsidR="00A24CAD" w:rsidRPr="00356543" w:rsidRDefault="00345D7A" w:rsidP="00356543">
      <w:pPr>
        <w:pStyle w:val="ListParagraph"/>
        <w:spacing w:line="480" w:lineRule="auto"/>
        <w:ind w:left="0"/>
        <w:contextualSpacing w:val="0"/>
        <w:jc w:val="both"/>
        <w:rPr>
          <w:rFonts w:ascii="Arial" w:hAnsi="Arial"/>
          <w:u w:val="single"/>
        </w:rPr>
      </w:pPr>
      <w:r w:rsidRPr="00356543">
        <w:rPr>
          <w:rFonts w:ascii="Arial" w:hAnsi="Arial"/>
          <w:u w:val="single"/>
        </w:rPr>
        <w:t>The High Court’s approach</w:t>
      </w:r>
      <w:r w:rsidR="00A24CAD" w:rsidRPr="00356543">
        <w:rPr>
          <w:rFonts w:ascii="Arial" w:hAnsi="Arial"/>
          <w:u w:val="single"/>
        </w:rPr>
        <w:t xml:space="preserve">  </w:t>
      </w:r>
    </w:p>
    <w:p w14:paraId="7BB95F68" w14:textId="533FCA29" w:rsidR="00106714" w:rsidRDefault="00345D7A" w:rsidP="00356543">
      <w:pPr>
        <w:pStyle w:val="ListParagraph"/>
        <w:numPr>
          <w:ilvl w:val="0"/>
          <w:numId w:val="1"/>
        </w:numPr>
        <w:spacing w:line="480" w:lineRule="auto"/>
        <w:contextualSpacing w:val="0"/>
        <w:jc w:val="both"/>
        <w:rPr>
          <w:rFonts w:ascii="Arial" w:hAnsi="Arial"/>
        </w:rPr>
      </w:pPr>
      <w:r>
        <w:rPr>
          <w:rFonts w:ascii="Arial" w:hAnsi="Arial"/>
        </w:rPr>
        <w:t>Having considered the respective parties</w:t>
      </w:r>
      <w:r w:rsidR="00C11A60">
        <w:rPr>
          <w:rFonts w:ascii="Arial" w:hAnsi="Arial"/>
        </w:rPr>
        <w:t>’</w:t>
      </w:r>
      <w:r>
        <w:rPr>
          <w:rFonts w:ascii="Arial" w:hAnsi="Arial"/>
        </w:rPr>
        <w:t xml:space="preserve"> arguments</w:t>
      </w:r>
      <w:r w:rsidR="001E528D">
        <w:rPr>
          <w:rFonts w:ascii="Arial" w:hAnsi="Arial"/>
        </w:rPr>
        <w:t xml:space="preserve"> and </w:t>
      </w:r>
      <w:r>
        <w:rPr>
          <w:rFonts w:ascii="Arial" w:hAnsi="Arial"/>
        </w:rPr>
        <w:t>the relevant rules of the Rules</w:t>
      </w:r>
      <w:r w:rsidR="00343586">
        <w:rPr>
          <w:rFonts w:ascii="Arial" w:hAnsi="Arial"/>
        </w:rPr>
        <w:t xml:space="preserve"> a</w:t>
      </w:r>
      <w:r w:rsidR="001E528D">
        <w:rPr>
          <w:rFonts w:ascii="Arial" w:hAnsi="Arial"/>
        </w:rPr>
        <w:t xml:space="preserve">s well as </w:t>
      </w:r>
      <w:r w:rsidR="00343586">
        <w:rPr>
          <w:rFonts w:ascii="Arial" w:hAnsi="Arial"/>
        </w:rPr>
        <w:t>the principles relating to judicial case management</w:t>
      </w:r>
      <w:r>
        <w:rPr>
          <w:rFonts w:ascii="Arial" w:hAnsi="Arial"/>
        </w:rPr>
        <w:t xml:space="preserve">, the High Court </w:t>
      </w:r>
      <w:r w:rsidR="00A3045D" w:rsidRPr="00A3045D">
        <w:rPr>
          <w:rFonts w:ascii="Arial" w:hAnsi="Arial"/>
        </w:rPr>
        <w:t>found</w:t>
      </w:r>
      <w:r w:rsidR="00343586">
        <w:rPr>
          <w:rFonts w:ascii="Arial" w:hAnsi="Arial"/>
        </w:rPr>
        <w:t>, in the first place</w:t>
      </w:r>
      <w:r>
        <w:rPr>
          <w:rFonts w:ascii="Arial" w:hAnsi="Arial"/>
        </w:rPr>
        <w:t xml:space="preserve"> that </w:t>
      </w:r>
      <w:r w:rsidR="00343586">
        <w:rPr>
          <w:rFonts w:ascii="Arial" w:hAnsi="Arial"/>
        </w:rPr>
        <w:t xml:space="preserve">an amendment to a pleading contemplated in rule 52(1) </w:t>
      </w:r>
      <w:r w:rsidR="00106714">
        <w:rPr>
          <w:rFonts w:ascii="Arial" w:hAnsi="Arial"/>
        </w:rPr>
        <w:t xml:space="preserve">was an interlocutory matter in the context of sub-rules (1), (4), (9) and (10) of rule 32. Therefore, a party wishing to amend a pleading must first apply for directions in terms of rule 32(1) and (4) in respect of the proceeding the party seeks to institute. </w:t>
      </w:r>
      <w:r w:rsidR="00106714">
        <w:rPr>
          <w:rFonts w:ascii="Arial" w:hAnsi="Arial"/>
        </w:rPr>
        <w:lastRenderedPageBreak/>
        <w:t xml:space="preserve">Secondly, the court </w:t>
      </w:r>
      <w:r w:rsidR="00106714" w:rsidRPr="00A3045D">
        <w:rPr>
          <w:rFonts w:ascii="Arial" w:hAnsi="Arial"/>
        </w:rPr>
        <w:t>held</w:t>
      </w:r>
      <w:r w:rsidR="00106714">
        <w:rPr>
          <w:rFonts w:ascii="Arial" w:hAnsi="Arial"/>
        </w:rPr>
        <w:t xml:space="preserve"> that before launching the interlocutory proceeding in question, the party was required to comply with rule 32(9) and (10).</w:t>
      </w:r>
    </w:p>
    <w:p w14:paraId="6393DE04" w14:textId="77777777" w:rsidR="00B237A8" w:rsidRPr="00B237A8" w:rsidRDefault="00B237A8" w:rsidP="00356543">
      <w:pPr>
        <w:spacing w:line="480" w:lineRule="auto"/>
        <w:jc w:val="both"/>
        <w:rPr>
          <w:rFonts w:ascii="Arial" w:hAnsi="Arial"/>
        </w:rPr>
      </w:pPr>
    </w:p>
    <w:p w14:paraId="0F583D89" w14:textId="778698FD" w:rsidR="0090347F" w:rsidRDefault="001759D7" w:rsidP="00356543">
      <w:pPr>
        <w:pStyle w:val="ListParagraph"/>
        <w:numPr>
          <w:ilvl w:val="0"/>
          <w:numId w:val="1"/>
        </w:numPr>
        <w:spacing w:line="480" w:lineRule="auto"/>
        <w:contextualSpacing w:val="0"/>
        <w:jc w:val="both"/>
        <w:rPr>
          <w:rFonts w:ascii="Arial" w:hAnsi="Arial"/>
        </w:rPr>
      </w:pPr>
      <w:r>
        <w:rPr>
          <w:rFonts w:ascii="Arial" w:hAnsi="Arial"/>
        </w:rPr>
        <w:t xml:space="preserve">On the issue of </w:t>
      </w:r>
      <w:r w:rsidRPr="001759D7">
        <w:rPr>
          <w:rFonts w:ascii="Arial" w:hAnsi="Arial"/>
          <w:i/>
        </w:rPr>
        <w:t xml:space="preserve">litis </w:t>
      </w:r>
      <w:r>
        <w:rPr>
          <w:rFonts w:ascii="Arial" w:hAnsi="Arial"/>
          <w:i/>
        </w:rPr>
        <w:t xml:space="preserve">contestatio </w:t>
      </w:r>
      <w:r>
        <w:rPr>
          <w:rFonts w:ascii="Arial" w:hAnsi="Arial"/>
        </w:rPr>
        <w:t xml:space="preserve">or close of pleadings, the court </w:t>
      </w:r>
      <w:r w:rsidR="00A3045D">
        <w:rPr>
          <w:rFonts w:ascii="Arial" w:hAnsi="Arial"/>
        </w:rPr>
        <w:t xml:space="preserve">reasoned </w:t>
      </w:r>
      <w:r>
        <w:rPr>
          <w:rFonts w:ascii="Arial" w:hAnsi="Arial"/>
        </w:rPr>
        <w:t xml:space="preserve">that the pleadings closed on 13 February 2018 when the parties filed the joint case management report in which </w:t>
      </w:r>
      <w:r w:rsidR="00330A99">
        <w:rPr>
          <w:rFonts w:ascii="Arial" w:hAnsi="Arial"/>
        </w:rPr>
        <w:t xml:space="preserve">it was </w:t>
      </w:r>
      <w:r>
        <w:rPr>
          <w:rFonts w:ascii="Arial" w:hAnsi="Arial"/>
        </w:rPr>
        <w:t>confirmed that no further pleadings or amendment to pleadings were envisaged.</w:t>
      </w:r>
      <w:r w:rsidR="00106714">
        <w:rPr>
          <w:rFonts w:ascii="Arial" w:hAnsi="Arial"/>
        </w:rPr>
        <w:t xml:space="preserve"> </w:t>
      </w:r>
      <w:r w:rsidR="00B237A8">
        <w:rPr>
          <w:rFonts w:ascii="Arial" w:hAnsi="Arial"/>
        </w:rPr>
        <w:t xml:space="preserve">The court </w:t>
      </w:r>
      <w:r w:rsidR="00B237A8" w:rsidRPr="00A3045D">
        <w:rPr>
          <w:rFonts w:ascii="Arial" w:hAnsi="Arial"/>
        </w:rPr>
        <w:t>held</w:t>
      </w:r>
      <w:r w:rsidR="00B237A8">
        <w:rPr>
          <w:rFonts w:ascii="Arial" w:hAnsi="Arial"/>
        </w:rPr>
        <w:t xml:space="preserve"> that after the close of pleadings, a party no longer </w:t>
      </w:r>
      <w:r w:rsidR="00817FBE">
        <w:rPr>
          <w:rFonts w:ascii="Arial" w:hAnsi="Arial"/>
        </w:rPr>
        <w:t xml:space="preserve">had </w:t>
      </w:r>
      <w:r w:rsidR="00B237A8">
        <w:rPr>
          <w:rFonts w:ascii="Arial" w:hAnsi="Arial"/>
        </w:rPr>
        <w:t xml:space="preserve">a procedural right to amend its pleading. Should </w:t>
      </w:r>
      <w:r w:rsidR="00817FBE">
        <w:rPr>
          <w:rFonts w:ascii="Arial" w:hAnsi="Arial"/>
        </w:rPr>
        <w:t xml:space="preserve">such </w:t>
      </w:r>
      <w:r w:rsidR="00B237A8">
        <w:rPr>
          <w:rFonts w:ascii="Arial" w:hAnsi="Arial"/>
        </w:rPr>
        <w:t xml:space="preserve">party desire to amend a pleading after the close of pleadings, </w:t>
      </w:r>
      <w:r w:rsidR="00817FBE">
        <w:rPr>
          <w:rFonts w:ascii="Arial" w:hAnsi="Arial"/>
        </w:rPr>
        <w:t xml:space="preserve">it </w:t>
      </w:r>
      <w:r w:rsidR="00B237A8">
        <w:rPr>
          <w:rFonts w:ascii="Arial" w:hAnsi="Arial"/>
        </w:rPr>
        <w:t>must first obtain leave of court</w:t>
      </w:r>
      <w:r w:rsidR="00817FBE">
        <w:rPr>
          <w:rFonts w:ascii="Arial" w:hAnsi="Arial"/>
        </w:rPr>
        <w:t xml:space="preserve"> to do so</w:t>
      </w:r>
      <w:r w:rsidR="00B237A8">
        <w:rPr>
          <w:rFonts w:ascii="Arial" w:hAnsi="Arial"/>
        </w:rPr>
        <w:t xml:space="preserve">. The court reasoned that its </w:t>
      </w:r>
      <w:r w:rsidR="00CC6E1F">
        <w:rPr>
          <w:rFonts w:ascii="Arial" w:hAnsi="Arial"/>
        </w:rPr>
        <w:t xml:space="preserve">approach to </w:t>
      </w:r>
      <w:r w:rsidR="00B237A8">
        <w:rPr>
          <w:rFonts w:ascii="Arial" w:hAnsi="Arial"/>
        </w:rPr>
        <w:t xml:space="preserve">the issue in dispute was </w:t>
      </w:r>
      <w:r w:rsidR="00817FBE">
        <w:rPr>
          <w:rFonts w:ascii="Arial" w:hAnsi="Arial"/>
        </w:rPr>
        <w:t xml:space="preserve">supported by </w:t>
      </w:r>
      <w:r w:rsidR="00B237A8">
        <w:rPr>
          <w:rFonts w:ascii="Arial" w:hAnsi="Arial"/>
        </w:rPr>
        <w:t xml:space="preserve">the provisions of rule 3(1), 17(2) and 21(1) which place </w:t>
      </w:r>
      <w:r w:rsidR="00062079">
        <w:rPr>
          <w:rFonts w:ascii="Arial" w:hAnsi="Arial"/>
        </w:rPr>
        <w:t>case management powers firm</w:t>
      </w:r>
      <w:r w:rsidR="00817FBE">
        <w:rPr>
          <w:rFonts w:ascii="Arial" w:hAnsi="Arial"/>
        </w:rPr>
        <w:t>ly</w:t>
      </w:r>
      <w:r w:rsidR="00B237A8">
        <w:rPr>
          <w:rFonts w:ascii="Arial" w:hAnsi="Arial"/>
        </w:rPr>
        <w:t xml:space="preserve"> in the hands of the court</w:t>
      </w:r>
      <w:r w:rsidR="0090347F">
        <w:rPr>
          <w:rFonts w:ascii="Arial" w:hAnsi="Arial"/>
        </w:rPr>
        <w:t xml:space="preserve"> and not of the parties</w:t>
      </w:r>
      <w:r w:rsidR="00CC6E1F">
        <w:rPr>
          <w:rFonts w:ascii="Arial" w:hAnsi="Arial"/>
        </w:rPr>
        <w:t xml:space="preserve"> or their legal practitioners</w:t>
      </w:r>
      <w:r w:rsidR="00B237A8">
        <w:rPr>
          <w:rFonts w:ascii="Arial" w:hAnsi="Arial"/>
        </w:rPr>
        <w:t>.</w:t>
      </w:r>
      <w:r w:rsidR="0090347F">
        <w:rPr>
          <w:rFonts w:ascii="Arial" w:hAnsi="Arial"/>
        </w:rPr>
        <w:t xml:space="preserve"> </w:t>
      </w:r>
      <w:r w:rsidR="0090347F" w:rsidRPr="0090347F">
        <w:rPr>
          <w:rFonts w:ascii="Arial" w:hAnsi="Arial"/>
        </w:rPr>
        <w:t>The court concluded that the appellant’s notice of intention to amend and its amended replication were not properly before court. They were accordingly struck out.</w:t>
      </w:r>
      <w:r w:rsidR="00C92DE4">
        <w:rPr>
          <w:rFonts w:ascii="Arial" w:hAnsi="Arial"/>
        </w:rPr>
        <w:t xml:space="preserve"> The appeal is before this court with leave of the High Court.</w:t>
      </w:r>
    </w:p>
    <w:p w14:paraId="3203783D" w14:textId="77777777" w:rsidR="00817FBE" w:rsidRDefault="00817FBE" w:rsidP="00356543">
      <w:pPr>
        <w:spacing w:line="480" w:lineRule="auto"/>
        <w:rPr>
          <w:rFonts w:ascii="Arial" w:hAnsi="Arial"/>
          <w:u w:val="single"/>
        </w:rPr>
      </w:pPr>
    </w:p>
    <w:p w14:paraId="7283FBF8" w14:textId="6A46B024" w:rsidR="00817FBE" w:rsidRPr="00356543" w:rsidRDefault="00817FBE" w:rsidP="00356543">
      <w:pPr>
        <w:spacing w:line="480" w:lineRule="auto"/>
        <w:rPr>
          <w:rFonts w:ascii="Arial" w:hAnsi="Arial"/>
          <w:u w:val="single"/>
        </w:rPr>
      </w:pPr>
      <w:r w:rsidRPr="00356543">
        <w:rPr>
          <w:rFonts w:ascii="Arial" w:hAnsi="Arial"/>
          <w:u w:val="single"/>
        </w:rPr>
        <w:t xml:space="preserve">The parties’ </w:t>
      </w:r>
      <w:r w:rsidR="004F1738" w:rsidRPr="00356543">
        <w:rPr>
          <w:rFonts w:ascii="Arial" w:hAnsi="Arial"/>
          <w:u w:val="single"/>
        </w:rPr>
        <w:t>contestations</w:t>
      </w:r>
    </w:p>
    <w:p w14:paraId="418A5179" w14:textId="77777777" w:rsidR="008D581E" w:rsidRDefault="00DE22A6" w:rsidP="00356543">
      <w:pPr>
        <w:pStyle w:val="ListParagraph"/>
        <w:numPr>
          <w:ilvl w:val="0"/>
          <w:numId w:val="1"/>
        </w:numPr>
        <w:spacing w:line="480" w:lineRule="auto"/>
        <w:contextualSpacing w:val="0"/>
        <w:jc w:val="both"/>
        <w:rPr>
          <w:rFonts w:ascii="Arial" w:hAnsi="Arial"/>
        </w:rPr>
      </w:pPr>
      <w:r>
        <w:rPr>
          <w:rFonts w:ascii="Arial" w:hAnsi="Arial"/>
        </w:rPr>
        <w:t>T</w:t>
      </w:r>
      <w:r w:rsidR="000D102F">
        <w:rPr>
          <w:rFonts w:ascii="Arial" w:hAnsi="Arial"/>
        </w:rPr>
        <w:t xml:space="preserve">he appealability of the </w:t>
      </w:r>
      <w:r w:rsidR="001D352E">
        <w:rPr>
          <w:rFonts w:ascii="Arial" w:hAnsi="Arial"/>
        </w:rPr>
        <w:t xml:space="preserve">decision </w:t>
      </w:r>
      <w:r w:rsidR="000D102F">
        <w:rPr>
          <w:rFonts w:ascii="Arial" w:hAnsi="Arial"/>
        </w:rPr>
        <w:t xml:space="preserve">of the High Court </w:t>
      </w:r>
      <w:r w:rsidR="008D581E">
        <w:rPr>
          <w:rFonts w:ascii="Arial" w:hAnsi="Arial"/>
        </w:rPr>
        <w:t xml:space="preserve">striking out the appellant’s notice of intention to amend and its amended replication </w:t>
      </w:r>
      <w:r w:rsidR="000D102F">
        <w:rPr>
          <w:rFonts w:ascii="Arial" w:hAnsi="Arial"/>
        </w:rPr>
        <w:t>has become a</w:t>
      </w:r>
      <w:r w:rsidR="00485A62">
        <w:rPr>
          <w:rFonts w:ascii="Arial" w:hAnsi="Arial"/>
        </w:rPr>
        <w:t xml:space="preserve"> conte</w:t>
      </w:r>
      <w:r w:rsidR="000D102F">
        <w:rPr>
          <w:rFonts w:ascii="Arial" w:hAnsi="Arial"/>
        </w:rPr>
        <w:t>n</w:t>
      </w:r>
      <w:r w:rsidR="00485A62">
        <w:rPr>
          <w:rFonts w:ascii="Arial" w:hAnsi="Arial"/>
        </w:rPr>
        <w:t>tious</w:t>
      </w:r>
      <w:r w:rsidR="000D102F">
        <w:rPr>
          <w:rFonts w:ascii="Arial" w:hAnsi="Arial"/>
        </w:rPr>
        <w:t xml:space="preserve"> issue</w:t>
      </w:r>
      <w:r>
        <w:rPr>
          <w:rFonts w:ascii="Arial" w:hAnsi="Arial"/>
        </w:rPr>
        <w:t xml:space="preserve"> on appeal</w:t>
      </w:r>
      <w:r w:rsidR="000D102F">
        <w:rPr>
          <w:rFonts w:ascii="Arial" w:hAnsi="Arial"/>
        </w:rPr>
        <w:t xml:space="preserve">. As such it is convenient to start </w:t>
      </w:r>
      <w:r w:rsidR="00485A62">
        <w:rPr>
          <w:rFonts w:ascii="Arial" w:hAnsi="Arial"/>
        </w:rPr>
        <w:t xml:space="preserve">first </w:t>
      </w:r>
      <w:r w:rsidR="000D102F">
        <w:rPr>
          <w:rFonts w:ascii="Arial" w:hAnsi="Arial"/>
        </w:rPr>
        <w:t xml:space="preserve">with submissions made on behalf of the respondent </w:t>
      </w:r>
      <w:r w:rsidR="00CC6E1F">
        <w:rPr>
          <w:rFonts w:ascii="Arial" w:hAnsi="Arial"/>
        </w:rPr>
        <w:t>on that issue a</w:t>
      </w:r>
      <w:r w:rsidR="004F1738">
        <w:rPr>
          <w:rFonts w:ascii="Arial" w:hAnsi="Arial"/>
        </w:rPr>
        <w:t xml:space="preserve">s well as on </w:t>
      </w:r>
      <w:r w:rsidR="00CC6E1F">
        <w:rPr>
          <w:rFonts w:ascii="Arial" w:hAnsi="Arial"/>
        </w:rPr>
        <w:t>the merits</w:t>
      </w:r>
      <w:r w:rsidR="000D102F">
        <w:rPr>
          <w:rFonts w:ascii="Arial" w:hAnsi="Arial"/>
        </w:rPr>
        <w:t>. Th</w:t>
      </w:r>
      <w:r w:rsidR="00BF6539">
        <w:rPr>
          <w:rFonts w:ascii="Arial" w:hAnsi="Arial"/>
        </w:rPr>
        <w:t>is</w:t>
      </w:r>
      <w:r w:rsidR="000D102F">
        <w:rPr>
          <w:rFonts w:ascii="Arial" w:hAnsi="Arial"/>
        </w:rPr>
        <w:t xml:space="preserve"> unusual way of considering </w:t>
      </w:r>
      <w:r w:rsidR="009F6542">
        <w:rPr>
          <w:rFonts w:ascii="Arial" w:hAnsi="Arial"/>
        </w:rPr>
        <w:t xml:space="preserve">the submissions of the parties is necessitated by the fact that despite leave having been granted by the court </w:t>
      </w:r>
      <w:r w:rsidR="009F6542" w:rsidRPr="00BF6539">
        <w:rPr>
          <w:rFonts w:ascii="Arial" w:hAnsi="Arial"/>
          <w:i/>
        </w:rPr>
        <w:t>a quo</w:t>
      </w:r>
      <w:r w:rsidR="009F6542">
        <w:rPr>
          <w:rFonts w:ascii="Arial" w:hAnsi="Arial"/>
        </w:rPr>
        <w:t xml:space="preserve">, the respondent </w:t>
      </w:r>
      <w:r w:rsidR="00CC6E1F">
        <w:rPr>
          <w:rFonts w:ascii="Arial" w:hAnsi="Arial"/>
        </w:rPr>
        <w:t>persists</w:t>
      </w:r>
      <w:r w:rsidR="008D581E">
        <w:rPr>
          <w:rFonts w:ascii="Arial" w:hAnsi="Arial"/>
        </w:rPr>
        <w:t>, as it is entitled to do,</w:t>
      </w:r>
      <w:r w:rsidR="00CC6E1F">
        <w:rPr>
          <w:rFonts w:ascii="Arial" w:hAnsi="Arial"/>
        </w:rPr>
        <w:t xml:space="preserve"> in its </w:t>
      </w:r>
      <w:r w:rsidR="009F6542">
        <w:rPr>
          <w:rFonts w:ascii="Arial" w:hAnsi="Arial"/>
        </w:rPr>
        <w:t>conten</w:t>
      </w:r>
      <w:r w:rsidR="00CC6E1F">
        <w:rPr>
          <w:rFonts w:ascii="Arial" w:hAnsi="Arial"/>
        </w:rPr>
        <w:t xml:space="preserve">tion </w:t>
      </w:r>
      <w:r w:rsidR="009F6542">
        <w:rPr>
          <w:rFonts w:ascii="Arial" w:hAnsi="Arial"/>
        </w:rPr>
        <w:t>that the matter is not appealable.</w:t>
      </w:r>
    </w:p>
    <w:p w14:paraId="128DA009" w14:textId="77777777" w:rsidR="0061432A" w:rsidRDefault="0061432A" w:rsidP="00356543">
      <w:pPr>
        <w:pStyle w:val="ListParagraph"/>
        <w:spacing w:line="480" w:lineRule="auto"/>
        <w:ind w:left="0"/>
        <w:contextualSpacing w:val="0"/>
        <w:jc w:val="both"/>
        <w:rPr>
          <w:rFonts w:ascii="Arial" w:hAnsi="Arial"/>
        </w:rPr>
      </w:pPr>
    </w:p>
    <w:p w14:paraId="08553A7D" w14:textId="7AF24FEE" w:rsidR="009F6542" w:rsidRDefault="000039F9" w:rsidP="00356543">
      <w:pPr>
        <w:pStyle w:val="ListParagraph"/>
        <w:numPr>
          <w:ilvl w:val="0"/>
          <w:numId w:val="1"/>
        </w:numPr>
        <w:spacing w:line="480" w:lineRule="auto"/>
        <w:contextualSpacing w:val="0"/>
        <w:jc w:val="both"/>
        <w:rPr>
          <w:rFonts w:ascii="Arial" w:hAnsi="Arial"/>
        </w:rPr>
      </w:pPr>
      <w:r>
        <w:rPr>
          <w:rFonts w:ascii="Arial" w:hAnsi="Arial"/>
        </w:rPr>
        <w:lastRenderedPageBreak/>
        <w:t xml:space="preserve">The respondent’s arguments </w:t>
      </w:r>
      <w:r w:rsidR="00E57A22">
        <w:rPr>
          <w:rFonts w:ascii="Arial" w:hAnsi="Arial"/>
        </w:rPr>
        <w:t xml:space="preserve">on the appealability or otherwise of the </w:t>
      </w:r>
      <w:r w:rsidR="00A571F8">
        <w:rPr>
          <w:rFonts w:ascii="Arial" w:hAnsi="Arial"/>
        </w:rPr>
        <w:t>decision</w:t>
      </w:r>
      <w:r w:rsidR="00E57A22">
        <w:rPr>
          <w:rFonts w:ascii="Arial" w:hAnsi="Arial"/>
        </w:rPr>
        <w:t xml:space="preserve"> may </w:t>
      </w:r>
      <w:r>
        <w:rPr>
          <w:rFonts w:ascii="Arial" w:hAnsi="Arial"/>
        </w:rPr>
        <w:t>be summarised as follows: It</w:t>
      </w:r>
      <w:r w:rsidR="00C92DE4">
        <w:rPr>
          <w:rFonts w:ascii="Arial" w:hAnsi="Arial"/>
        </w:rPr>
        <w:t xml:space="preserve"> </w:t>
      </w:r>
      <w:r w:rsidR="00CC6E1F">
        <w:rPr>
          <w:rFonts w:ascii="Arial" w:hAnsi="Arial"/>
        </w:rPr>
        <w:t>argue</w:t>
      </w:r>
      <w:r w:rsidR="00BF6539">
        <w:rPr>
          <w:rFonts w:ascii="Arial" w:hAnsi="Arial"/>
        </w:rPr>
        <w:t>s</w:t>
      </w:r>
      <w:r w:rsidR="00CC6E1F">
        <w:rPr>
          <w:rFonts w:ascii="Arial" w:hAnsi="Arial"/>
        </w:rPr>
        <w:t>,</w:t>
      </w:r>
      <w:r w:rsidR="00C92DE4">
        <w:rPr>
          <w:rFonts w:ascii="Arial" w:hAnsi="Arial"/>
        </w:rPr>
        <w:t xml:space="preserve"> as it did in the High Court</w:t>
      </w:r>
      <w:r w:rsidR="00CC6E1F">
        <w:rPr>
          <w:rFonts w:ascii="Arial" w:hAnsi="Arial"/>
        </w:rPr>
        <w:t>,</w:t>
      </w:r>
      <w:r w:rsidR="00C92DE4">
        <w:rPr>
          <w:rFonts w:ascii="Arial" w:hAnsi="Arial"/>
        </w:rPr>
        <w:t xml:space="preserve"> that the </w:t>
      </w:r>
      <w:r w:rsidR="009F6542">
        <w:rPr>
          <w:rFonts w:ascii="Arial" w:hAnsi="Arial"/>
        </w:rPr>
        <w:t>decision by th</w:t>
      </w:r>
      <w:r w:rsidR="00CC6E1F">
        <w:rPr>
          <w:rFonts w:ascii="Arial" w:hAnsi="Arial"/>
        </w:rPr>
        <w:t>at</w:t>
      </w:r>
      <w:r w:rsidR="009F6542">
        <w:rPr>
          <w:rFonts w:ascii="Arial" w:hAnsi="Arial"/>
        </w:rPr>
        <w:t xml:space="preserve"> </w:t>
      </w:r>
      <w:r w:rsidR="00CC6E1F">
        <w:rPr>
          <w:rFonts w:ascii="Arial" w:hAnsi="Arial"/>
        </w:rPr>
        <w:t>c</w:t>
      </w:r>
      <w:r w:rsidR="009F6542">
        <w:rPr>
          <w:rFonts w:ascii="Arial" w:hAnsi="Arial"/>
        </w:rPr>
        <w:t xml:space="preserve">ourt </w:t>
      </w:r>
      <w:r w:rsidR="00C92DE4">
        <w:rPr>
          <w:rFonts w:ascii="Arial" w:hAnsi="Arial"/>
        </w:rPr>
        <w:t>d</w:t>
      </w:r>
      <w:r w:rsidR="00E57A22">
        <w:rPr>
          <w:rFonts w:ascii="Arial" w:hAnsi="Arial"/>
        </w:rPr>
        <w:t>id</w:t>
      </w:r>
      <w:r w:rsidR="00C92DE4">
        <w:rPr>
          <w:rFonts w:ascii="Arial" w:hAnsi="Arial"/>
        </w:rPr>
        <w:t xml:space="preserve"> not possess the attributes of an appealable judgment or order</w:t>
      </w:r>
      <w:r w:rsidR="000D102F">
        <w:rPr>
          <w:rFonts w:ascii="Arial" w:hAnsi="Arial"/>
        </w:rPr>
        <w:t xml:space="preserve"> as it </w:t>
      </w:r>
      <w:r w:rsidR="00E57A22">
        <w:rPr>
          <w:rFonts w:ascii="Arial" w:hAnsi="Arial"/>
        </w:rPr>
        <w:t>wa</w:t>
      </w:r>
      <w:r w:rsidR="000D102F">
        <w:rPr>
          <w:rFonts w:ascii="Arial" w:hAnsi="Arial"/>
        </w:rPr>
        <w:t>s a mere ruling on a matter of procedure</w:t>
      </w:r>
      <w:r w:rsidR="00BF6539">
        <w:rPr>
          <w:rFonts w:ascii="Arial" w:hAnsi="Arial"/>
        </w:rPr>
        <w:t>; unrelated to the merits</w:t>
      </w:r>
      <w:r w:rsidR="00C92DE4">
        <w:rPr>
          <w:rFonts w:ascii="Arial" w:hAnsi="Arial"/>
        </w:rPr>
        <w:t>.</w:t>
      </w:r>
      <w:r w:rsidR="000D102F">
        <w:rPr>
          <w:rFonts w:ascii="Arial" w:hAnsi="Arial"/>
        </w:rPr>
        <w:t xml:space="preserve"> </w:t>
      </w:r>
      <w:r>
        <w:rPr>
          <w:rFonts w:ascii="Arial" w:hAnsi="Arial"/>
        </w:rPr>
        <w:t>A</w:t>
      </w:r>
      <w:r w:rsidR="000D102F">
        <w:rPr>
          <w:rFonts w:ascii="Arial" w:hAnsi="Arial"/>
        </w:rPr>
        <w:t>ll that was required of t</w:t>
      </w:r>
      <w:r>
        <w:rPr>
          <w:rFonts w:ascii="Arial" w:hAnsi="Arial"/>
        </w:rPr>
        <w:t>he</w:t>
      </w:r>
      <w:r w:rsidR="000D102F">
        <w:rPr>
          <w:rFonts w:ascii="Arial" w:hAnsi="Arial"/>
        </w:rPr>
        <w:t xml:space="preserve"> </w:t>
      </w:r>
      <w:r>
        <w:rPr>
          <w:rFonts w:ascii="Arial" w:hAnsi="Arial"/>
        </w:rPr>
        <w:t xml:space="preserve">appellant </w:t>
      </w:r>
      <w:r w:rsidR="00BF6539">
        <w:rPr>
          <w:rFonts w:ascii="Arial" w:hAnsi="Arial"/>
        </w:rPr>
        <w:t xml:space="preserve">to have </w:t>
      </w:r>
      <w:r>
        <w:rPr>
          <w:rFonts w:ascii="Arial" w:hAnsi="Arial"/>
        </w:rPr>
        <w:t>i</w:t>
      </w:r>
      <w:r w:rsidR="00BF6539">
        <w:rPr>
          <w:rFonts w:ascii="Arial" w:hAnsi="Arial"/>
        </w:rPr>
        <w:t>t</w:t>
      </w:r>
      <w:r>
        <w:rPr>
          <w:rFonts w:ascii="Arial" w:hAnsi="Arial"/>
        </w:rPr>
        <w:t>s</w:t>
      </w:r>
      <w:r w:rsidR="00BF6539">
        <w:rPr>
          <w:rFonts w:ascii="Arial" w:hAnsi="Arial"/>
        </w:rPr>
        <w:t xml:space="preserve"> replication amended </w:t>
      </w:r>
      <w:r w:rsidR="00CC6E1F">
        <w:rPr>
          <w:rFonts w:ascii="Arial" w:hAnsi="Arial"/>
        </w:rPr>
        <w:t>wa</w:t>
      </w:r>
      <w:r w:rsidR="00BF6539">
        <w:rPr>
          <w:rFonts w:ascii="Arial" w:hAnsi="Arial"/>
        </w:rPr>
        <w:t xml:space="preserve">s </w:t>
      </w:r>
      <w:r>
        <w:rPr>
          <w:rFonts w:ascii="Arial" w:hAnsi="Arial"/>
        </w:rPr>
        <w:t xml:space="preserve">for it to have </w:t>
      </w:r>
      <w:r w:rsidR="000D102F">
        <w:rPr>
          <w:rFonts w:ascii="Arial" w:hAnsi="Arial"/>
        </w:rPr>
        <w:t>compl</w:t>
      </w:r>
      <w:r>
        <w:rPr>
          <w:rFonts w:ascii="Arial" w:hAnsi="Arial"/>
        </w:rPr>
        <w:t>ied</w:t>
      </w:r>
      <w:r w:rsidR="000D102F">
        <w:rPr>
          <w:rFonts w:ascii="Arial" w:hAnsi="Arial"/>
        </w:rPr>
        <w:t xml:space="preserve"> with </w:t>
      </w:r>
      <w:r w:rsidR="00BF6539">
        <w:rPr>
          <w:rFonts w:ascii="Arial" w:hAnsi="Arial"/>
        </w:rPr>
        <w:t>the provision</w:t>
      </w:r>
      <w:r w:rsidR="00CC6E1F">
        <w:rPr>
          <w:rFonts w:ascii="Arial" w:hAnsi="Arial"/>
        </w:rPr>
        <w:t>s</w:t>
      </w:r>
      <w:r w:rsidR="00BF6539">
        <w:rPr>
          <w:rFonts w:ascii="Arial" w:hAnsi="Arial"/>
        </w:rPr>
        <w:t xml:space="preserve"> of </w:t>
      </w:r>
      <w:r w:rsidR="000D102F">
        <w:rPr>
          <w:rFonts w:ascii="Arial" w:hAnsi="Arial"/>
        </w:rPr>
        <w:t xml:space="preserve">rule 32. The High Court was not </w:t>
      </w:r>
      <w:r w:rsidR="000D102F" w:rsidRPr="00547560">
        <w:rPr>
          <w:rFonts w:ascii="Arial" w:hAnsi="Arial"/>
          <w:i/>
        </w:rPr>
        <w:t>functus officio</w:t>
      </w:r>
      <w:r w:rsidR="000D102F">
        <w:rPr>
          <w:rFonts w:ascii="Arial" w:hAnsi="Arial"/>
        </w:rPr>
        <w:t xml:space="preserve"> and could always change its order striking out the appellant’s notice of intention to amend</w:t>
      </w:r>
      <w:r w:rsidR="00C92DE4">
        <w:rPr>
          <w:rFonts w:ascii="Arial" w:hAnsi="Arial"/>
        </w:rPr>
        <w:t xml:space="preserve"> </w:t>
      </w:r>
      <w:r w:rsidR="000D102F">
        <w:rPr>
          <w:rFonts w:ascii="Arial" w:hAnsi="Arial"/>
        </w:rPr>
        <w:t>and its amended replication. Moreover, as the order made by the court below is not erroneous, the ruling is not appealable</w:t>
      </w:r>
      <w:r w:rsidR="009F6542">
        <w:rPr>
          <w:rFonts w:ascii="Arial" w:hAnsi="Arial"/>
        </w:rPr>
        <w:t xml:space="preserve"> at all</w:t>
      </w:r>
      <w:r w:rsidR="000D102F">
        <w:rPr>
          <w:rFonts w:ascii="Arial" w:hAnsi="Arial"/>
        </w:rPr>
        <w:t xml:space="preserve">. </w:t>
      </w:r>
    </w:p>
    <w:p w14:paraId="5C90774D" w14:textId="77777777" w:rsidR="009F6542" w:rsidRPr="009F6542" w:rsidRDefault="009F6542" w:rsidP="00356543">
      <w:pPr>
        <w:spacing w:line="480" w:lineRule="auto"/>
        <w:jc w:val="both"/>
        <w:rPr>
          <w:rFonts w:ascii="Arial" w:hAnsi="Arial"/>
        </w:rPr>
      </w:pPr>
    </w:p>
    <w:p w14:paraId="119C45B5" w14:textId="77777777" w:rsidR="008D581E" w:rsidRDefault="000D102F" w:rsidP="00356543">
      <w:pPr>
        <w:pStyle w:val="ListParagraph"/>
        <w:numPr>
          <w:ilvl w:val="0"/>
          <w:numId w:val="1"/>
        </w:numPr>
        <w:spacing w:line="480" w:lineRule="auto"/>
        <w:contextualSpacing w:val="0"/>
        <w:jc w:val="both"/>
        <w:rPr>
          <w:rFonts w:ascii="Arial" w:hAnsi="Arial"/>
        </w:rPr>
      </w:pPr>
      <w:r>
        <w:rPr>
          <w:rFonts w:ascii="Arial" w:hAnsi="Arial"/>
        </w:rPr>
        <w:t>On the merits of the appeal, the respond</w:t>
      </w:r>
      <w:r w:rsidR="009F6542">
        <w:rPr>
          <w:rFonts w:ascii="Arial" w:hAnsi="Arial"/>
        </w:rPr>
        <w:t>ent</w:t>
      </w:r>
      <w:r>
        <w:rPr>
          <w:rFonts w:ascii="Arial" w:hAnsi="Arial"/>
        </w:rPr>
        <w:t xml:space="preserve"> </w:t>
      </w:r>
      <w:r w:rsidR="00E57A22">
        <w:rPr>
          <w:rFonts w:ascii="Arial" w:hAnsi="Arial"/>
        </w:rPr>
        <w:t xml:space="preserve">in essence </w:t>
      </w:r>
      <w:r w:rsidR="00547560">
        <w:rPr>
          <w:rFonts w:ascii="Arial" w:hAnsi="Arial"/>
        </w:rPr>
        <w:t xml:space="preserve">supports the judgment and order of the court below on the ground that the order was competent and in line with the judicial case management ethos </w:t>
      </w:r>
      <w:r w:rsidR="00F71789">
        <w:rPr>
          <w:rFonts w:ascii="Arial" w:hAnsi="Arial"/>
        </w:rPr>
        <w:t xml:space="preserve">expressed in the Rules </w:t>
      </w:r>
      <w:r w:rsidR="00547560">
        <w:rPr>
          <w:rFonts w:ascii="Arial" w:hAnsi="Arial"/>
        </w:rPr>
        <w:t xml:space="preserve">which place the control </w:t>
      </w:r>
      <w:r w:rsidR="00F71789">
        <w:rPr>
          <w:rFonts w:ascii="Arial" w:hAnsi="Arial"/>
        </w:rPr>
        <w:t xml:space="preserve">and management </w:t>
      </w:r>
      <w:r w:rsidR="00547560">
        <w:rPr>
          <w:rFonts w:ascii="Arial" w:hAnsi="Arial"/>
        </w:rPr>
        <w:t xml:space="preserve">of cases firmly in the </w:t>
      </w:r>
      <w:r w:rsidR="00CC6E1F">
        <w:rPr>
          <w:rFonts w:ascii="Arial" w:hAnsi="Arial"/>
        </w:rPr>
        <w:t xml:space="preserve">hands of the </w:t>
      </w:r>
      <w:r w:rsidR="00547560">
        <w:rPr>
          <w:rFonts w:ascii="Arial" w:hAnsi="Arial"/>
        </w:rPr>
        <w:t>court. To adopt the inte</w:t>
      </w:r>
      <w:r w:rsidR="00F71789">
        <w:rPr>
          <w:rFonts w:ascii="Arial" w:hAnsi="Arial"/>
        </w:rPr>
        <w:t>r</w:t>
      </w:r>
      <w:r w:rsidR="00547560">
        <w:rPr>
          <w:rFonts w:ascii="Arial" w:hAnsi="Arial"/>
        </w:rPr>
        <w:t>pretation contend</w:t>
      </w:r>
      <w:r w:rsidR="00F71789">
        <w:rPr>
          <w:rFonts w:ascii="Arial" w:hAnsi="Arial"/>
        </w:rPr>
        <w:t>ed</w:t>
      </w:r>
      <w:r w:rsidR="00547560">
        <w:rPr>
          <w:rFonts w:ascii="Arial" w:hAnsi="Arial"/>
        </w:rPr>
        <w:t xml:space="preserve"> for by the appellant regarding the amendment of pleadings, so t</w:t>
      </w:r>
      <w:r w:rsidR="00485A62">
        <w:rPr>
          <w:rFonts w:ascii="Arial" w:hAnsi="Arial"/>
        </w:rPr>
        <w:t>he</w:t>
      </w:r>
      <w:r w:rsidR="00547560">
        <w:rPr>
          <w:rFonts w:ascii="Arial" w:hAnsi="Arial"/>
        </w:rPr>
        <w:t xml:space="preserve"> </w:t>
      </w:r>
      <w:r w:rsidR="00485A62">
        <w:rPr>
          <w:rFonts w:ascii="Arial" w:hAnsi="Arial"/>
        </w:rPr>
        <w:t>respondent contends</w:t>
      </w:r>
      <w:r w:rsidR="00547560">
        <w:rPr>
          <w:rFonts w:ascii="Arial" w:hAnsi="Arial"/>
        </w:rPr>
        <w:t>, would und</w:t>
      </w:r>
      <w:r w:rsidR="00F71789">
        <w:rPr>
          <w:rFonts w:ascii="Arial" w:hAnsi="Arial"/>
        </w:rPr>
        <w:t xml:space="preserve">ermine </w:t>
      </w:r>
      <w:r w:rsidR="00547560">
        <w:rPr>
          <w:rFonts w:ascii="Arial" w:hAnsi="Arial"/>
        </w:rPr>
        <w:t xml:space="preserve">the </w:t>
      </w:r>
      <w:r w:rsidR="00BF6539">
        <w:rPr>
          <w:rFonts w:ascii="Arial" w:hAnsi="Arial"/>
        </w:rPr>
        <w:t xml:space="preserve">overriding objective of </w:t>
      </w:r>
      <w:r w:rsidR="00547560">
        <w:rPr>
          <w:rFonts w:ascii="Arial" w:hAnsi="Arial"/>
        </w:rPr>
        <w:t>judicial case management in that it would place the management of cases back in the hands of the parties</w:t>
      </w:r>
      <w:r w:rsidR="00F71789">
        <w:rPr>
          <w:rFonts w:ascii="Arial" w:hAnsi="Arial"/>
        </w:rPr>
        <w:t xml:space="preserve"> or their legal practitioners</w:t>
      </w:r>
      <w:r w:rsidR="00547560">
        <w:rPr>
          <w:rFonts w:ascii="Arial" w:hAnsi="Arial"/>
        </w:rPr>
        <w:t xml:space="preserve">. </w:t>
      </w:r>
    </w:p>
    <w:p w14:paraId="332AE1FC" w14:textId="77777777" w:rsidR="008D581E" w:rsidRPr="008D581E" w:rsidRDefault="008D581E" w:rsidP="00356543">
      <w:pPr>
        <w:pStyle w:val="ListParagraph"/>
        <w:spacing w:line="480" w:lineRule="auto"/>
        <w:rPr>
          <w:rFonts w:ascii="Arial" w:hAnsi="Arial"/>
        </w:rPr>
      </w:pPr>
    </w:p>
    <w:p w14:paraId="43175E28" w14:textId="168CAF9E" w:rsidR="00817FBE" w:rsidRDefault="00F71789" w:rsidP="00356543">
      <w:pPr>
        <w:pStyle w:val="ListParagraph"/>
        <w:numPr>
          <w:ilvl w:val="0"/>
          <w:numId w:val="1"/>
        </w:numPr>
        <w:spacing w:line="480" w:lineRule="auto"/>
        <w:contextualSpacing w:val="0"/>
        <w:jc w:val="both"/>
        <w:rPr>
          <w:rFonts w:ascii="Arial" w:hAnsi="Arial"/>
        </w:rPr>
      </w:pPr>
      <w:r>
        <w:rPr>
          <w:rFonts w:ascii="Arial" w:hAnsi="Arial"/>
        </w:rPr>
        <w:t xml:space="preserve">The </w:t>
      </w:r>
      <w:r w:rsidR="006B7F27">
        <w:rPr>
          <w:rFonts w:ascii="Arial" w:hAnsi="Arial"/>
        </w:rPr>
        <w:t>respondent forcefully argue</w:t>
      </w:r>
      <w:r w:rsidR="00485A62">
        <w:rPr>
          <w:rFonts w:ascii="Arial" w:hAnsi="Arial"/>
        </w:rPr>
        <w:t>s</w:t>
      </w:r>
      <w:r w:rsidR="006B7F27">
        <w:rPr>
          <w:rFonts w:ascii="Arial" w:hAnsi="Arial"/>
        </w:rPr>
        <w:t xml:space="preserve"> that an amendment to pleadings, whether by giving notice or bringing a substantive application, is an interlocutory proceeding which is governed by sub-rules (1), (4), (9) and (10) of rule 32. </w:t>
      </w:r>
      <w:r w:rsidR="00485A62">
        <w:rPr>
          <w:rFonts w:ascii="Arial" w:hAnsi="Arial"/>
        </w:rPr>
        <w:t>It is t</w:t>
      </w:r>
      <w:r w:rsidR="00BF6539">
        <w:rPr>
          <w:rFonts w:ascii="Arial" w:hAnsi="Arial"/>
        </w:rPr>
        <w:t xml:space="preserve">he </w:t>
      </w:r>
      <w:r w:rsidR="00E07F5A">
        <w:rPr>
          <w:rFonts w:ascii="Arial" w:hAnsi="Arial"/>
        </w:rPr>
        <w:t>respondent</w:t>
      </w:r>
      <w:r w:rsidR="00485A62">
        <w:rPr>
          <w:rFonts w:ascii="Arial" w:hAnsi="Arial"/>
        </w:rPr>
        <w:t xml:space="preserve">’s further contention </w:t>
      </w:r>
      <w:r w:rsidR="00E07F5A">
        <w:rPr>
          <w:rFonts w:ascii="Arial" w:hAnsi="Arial"/>
        </w:rPr>
        <w:t xml:space="preserve">that the appellant had been made aware </w:t>
      </w:r>
      <w:r w:rsidR="00485A62">
        <w:rPr>
          <w:rFonts w:ascii="Arial" w:hAnsi="Arial"/>
        </w:rPr>
        <w:t xml:space="preserve">of the objection to </w:t>
      </w:r>
      <w:r w:rsidR="00E07F5A">
        <w:rPr>
          <w:rFonts w:ascii="Arial" w:hAnsi="Arial"/>
        </w:rPr>
        <w:t xml:space="preserve">its notice to amend </w:t>
      </w:r>
      <w:r w:rsidR="00FC0102">
        <w:rPr>
          <w:rFonts w:ascii="Arial" w:hAnsi="Arial"/>
        </w:rPr>
        <w:t xml:space="preserve">the </w:t>
      </w:r>
      <w:r w:rsidR="00E07F5A">
        <w:rPr>
          <w:rFonts w:ascii="Arial" w:hAnsi="Arial"/>
        </w:rPr>
        <w:t xml:space="preserve">replication. Once it </w:t>
      </w:r>
      <w:r w:rsidR="00A571F8">
        <w:rPr>
          <w:rFonts w:ascii="Arial" w:hAnsi="Arial"/>
        </w:rPr>
        <w:t>wa</w:t>
      </w:r>
      <w:r w:rsidR="00BE4C31">
        <w:rPr>
          <w:rFonts w:ascii="Arial" w:hAnsi="Arial"/>
        </w:rPr>
        <w:t xml:space="preserve">s </w:t>
      </w:r>
      <w:r w:rsidR="00E07F5A">
        <w:rPr>
          <w:rFonts w:ascii="Arial" w:hAnsi="Arial"/>
        </w:rPr>
        <w:t xml:space="preserve">so made aware, </w:t>
      </w:r>
      <w:r w:rsidR="00BE4C31">
        <w:rPr>
          <w:rFonts w:ascii="Arial" w:hAnsi="Arial"/>
        </w:rPr>
        <w:t>so t</w:t>
      </w:r>
      <w:r w:rsidR="00CC6E1F">
        <w:rPr>
          <w:rFonts w:ascii="Arial" w:hAnsi="Arial"/>
        </w:rPr>
        <w:t>he respondent</w:t>
      </w:r>
      <w:r w:rsidR="00BE4C31">
        <w:rPr>
          <w:rFonts w:ascii="Arial" w:hAnsi="Arial"/>
        </w:rPr>
        <w:t xml:space="preserve"> contend</w:t>
      </w:r>
      <w:r w:rsidR="00CC6E1F">
        <w:rPr>
          <w:rFonts w:ascii="Arial" w:hAnsi="Arial"/>
        </w:rPr>
        <w:t>s</w:t>
      </w:r>
      <w:r w:rsidR="00BE4C31">
        <w:rPr>
          <w:rFonts w:ascii="Arial" w:hAnsi="Arial"/>
        </w:rPr>
        <w:t xml:space="preserve">, </w:t>
      </w:r>
      <w:r w:rsidR="00E07F5A">
        <w:rPr>
          <w:rFonts w:ascii="Arial" w:hAnsi="Arial"/>
        </w:rPr>
        <w:t>the appellant was under an obligation to seek directions fr</w:t>
      </w:r>
      <w:r w:rsidR="00BE4C31">
        <w:rPr>
          <w:rFonts w:ascii="Arial" w:hAnsi="Arial"/>
        </w:rPr>
        <w:t>o</w:t>
      </w:r>
      <w:r w:rsidR="00E07F5A">
        <w:rPr>
          <w:rFonts w:ascii="Arial" w:hAnsi="Arial"/>
        </w:rPr>
        <w:t xml:space="preserve">m the </w:t>
      </w:r>
      <w:r w:rsidR="00E07F5A">
        <w:rPr>
          <w:rFonts w:ascii="Arial" w:hAnsi="Arial"/>
        </w:rPr>
        <w:lastRenderedPageBreak/>
        <w:t xml:space="preserve">managing judge in terms of rule 52(4) or to engage the respondent’s legal practitioners to seek an amicable resolution </w:t>
      </w:r>
      <w:r w:rsidR="00E57A22">
        <w:rPr>
          <w:rFonts w:ascii="Arial" w:hAnsi="Arial"/>
        </w:rPr>
        <w:t>to</w:t>
      </w:r>
      <w:r w:rsidR="00BE4C31">
        <w:rPr>
          <w:rFonts w:ascii="Arial" w:hAnsi="Arial"/>
        </w:rPr>
        <w:t xml:space="preserve"> </w:t>
      </w:r>
      <w:r w:rsidR="00FC0102">
        <w:rPr>
          <w:rFonts w:ascii="Arial" w:hAnsi="Arial"/>
        </w:rPr>
        <w:t xml:space="preserve">the </w:t>
      </w:r>
      <w:r w:rsidR="00E57A22">
        <w:rPr>
          <w:rFonts w:ascii="Arial" w:hAnsi="Arial"/>
        </w:rPr>
        <w:t xml:space="preserve">opposition or </w:t>
      </w:r>
      <w:r w:rsidR="00FC0102">
        <w:rPr>
          <w:rFonts w:ascii="Arial" w:hAnsi="Arial"/>
        </w:rPr>
        <w:t xml:space="preserve">objection </w:t>
      </w:r>
      <w:r w:rsidR="00E57A22">
        <w:rPr>
          <w:rFonts w:ascii="Arial" w:hAnsi="Arial"/>
        </w:rPr>
        <w:t xml:space="preserve">to the intended amendment </w:t>
      </w:r>
      <w:r w:rsidR="00E07F5A">
        <w:rPr>
          <w:rFonts w:ascii="Arial" w:hAnsi="Arial"/>
        </w:rPr>
        <w:t>in terms of rule 32(9)</w:t>
      </w:r>
      <w:r w:rsidR="0052336F">
        <w:rPr>
          <w:rFonts w:ascii="Arial" w:hAnsi="Arial"/>
        </w:rPr>
        <w:t xml:space="preserve"> and (10)</w:t>
      </w:r>
      <w:r w:rsidR="00E07F5A">
        <w:rPr>
          <w:rFonts w:ascii="Arial" w:hAnsi="Arial"/>
        </w:rPr>
        <w:t>.</w:t>
      </w:r>
    </w:p>
    <w:p w14:paraId="6D3A7635" w14:textId="77777777" w:rsidR="00CC6E1F" w:rsidRPr="00CC6E1F" w:rsidRDefault="00CC6E1F" w:rsidP="00356543">
      <w:pPr>
        <w:spacing w:line="480" w:lineRule="auto"/>
        <w:jc w:val="both"/>
        <w:rPr>
          <w:rFonts w:ascii="Arial" w:hAnsi="Arial"/>
        </w:rPr>
      </w:pPr>
    </w:p>
    <w:p w14:paraId="5A494F13" w14:textId="1108CCAD" w:rsidR="00397B9A" w:rsidRPr="001C1498" w:rsidRDefault="00E57A22" w:rsidP="00356543">
      <w:pPr>
        <w:pStyle w:val="ListParagraph"/>
        <w:numPr>
          <w:ilvl w:val="0"/>
          <w:numId w:val="1"/>
        </w:numPr>
        <w:spacing w:line="480" w:lineRule="auto"/>
        <w:contextualSpacing w:val="0"/>
        <w:jc w:val="both"/>
        <w:rPr>
          <w:rFonts w:ascii="Arial" w:hAnsi="Arial"/>
        </w:rPr>
      </w:pPr>
      <w:r>
        <w:rPr>
          <w:rFonts w:ascii="Arial" w:hAnsi="Arial"/>
        </w:rPr>
        <w:t>The appellant on the other hand argues, amongst others, a</w:t>
      </w:r>
      <w:r w:rsidR="00FC0102">
        <w:rPr>
          <w:rFonts w:ascii="Arial" w:hAnsi="Arial"/>
        </w:rPr>
        <w:t>s to t</w:t>
      </w:r>
      <w:r w:rsidR="00B06B8F">
        <w:rPr>
          <w:rFonts w:ascii="Arial" w:hAnsi="Arial"/>
        </w:rPr>
        <w:t xml:space="preserve">he </w:t>
      </w:r>
      <w:r w:rsidR="00FC0102">
        <w:rPr>
          <w:rFonts w:ascii="Arial" w:hAnsi="Arial"/>
        </w:rPr>
        <w:t>appealability of the ruling</w:t>
      </w:r>
      <w:r w:rsidR="000039F9">
        <w:rPr>
          <w:rFonts w:ascii="Arial" w:hAnsi="Arial"/>
        </w:rPr>
        <w:t xml:space="preserve"> </w:t>
      </w:r>
      <w:r w:rsidR="00BE4C31">
        <w:rPr>
          <w:rFonts w:ascii="Arial" w:hAnsi="Arial"/>
        </w:rPr>
        <w:t xml:space="preserve">that </w:t>
      </w:r>
      <w:r w:rsidR="006F3BD7">
        <w:rPr>
          <w:rFonts w:ascii="Arial" w:hAnsi="Arial"/>
        </w:rPr>
        <w:t>t</w:t>
      </w:r>
      <w:r w:rsidR="00BF0A2C">
        <w:rPr>
          <w:rFonts w:ascii="Arial" w:hAnsi="Arial"/>
        </w:rPr>
        <w:t xml:space="preserve">he </w:t>
      </w:r>
      <w:r w:rsidR="00017DD0">
        <w:rPr>
          <w:rFonts w:ascii="Arial" w:hAnsi="Arial"/>
        </w:rPr>
        <w:t xml:space="preserve">court </w:t>
      </w:r>
      <w:r w:rsidR="00017DD0" w:rsidRPr="00017DD0">
        <w:rPr>
          <w:rFonts w:ascii="Arial" w:hAnsi="Arial"/>
          <w:i/>
        </w:rPr>
        <w:t>a quo</w:t>
      </w:r>
      <w:r w:rsidR="00017DD0">
        <w:rPr>
          <w:rFonts w:ascii="Arial" w:hAnsi="Arial"/>
        </w:rPr>
        <w:t xml:space="preserve">’s </w:t>
      </w:r>
      <w:r w:rsidR="00BF0A2C">
        <w:rPr>
          <w:rFonts w:ascii="Arial" w:hAnsi="Arial"/>
        </w:rPr>
        <w:t xml:space="preserve">decision </w:t>
      </w:r>
      <w:r w:rsidR="007059C0">
        <w:rPr>
          <w:rFonts w:ascii="Arial" w:hAnsi="Arial"/>
        </w:rPr>
        <w:t xml:space="preserve">on the point </w:t>
      </w:r>
      <w:r>
        <w:rPr>
          <w:rFonts w:ascii="Arial" w:hAnsi="Arial"/>
        </w:rPr>
        <w:t>wa</w:t>
      </w:r>
      <w:r w:rsidR="00BF0A2C">
        <w:rPr>
          <w:rFonts w:ascii="Arial" w:hAnsi="Arial"/>
        </w:rPr>
        <w:t xml:space="preserve">s final in effect and not susceptible to alteration </w:t>
      </w:r>
      <w:r w:rsidR="006F3BD7">
        <w:rPr>
          <w:rFonts w:ascii="Arial" w:hAnsi="Arial"/>
        </w:rPr>
        <w:t>b</w:t>
      </w:r>
      <w:r w:rsidR="00BF0A2C">
        <w:rPr>
          <w:rFonts w:ascii="Arial" w:hAnsi="Arial"/>
        </w:rPr>
        <w:t xml:space="preserve">y </w:t>
      </w:r>
      <w:r w:rsidR="00017DD0">
        <w:rPr>
          <w:rFonts w:ascii="Arial" w:hAnsi="Arial"/>
        </w:rPr>
        <w:t>i</w:t>
      </w:r>
      <w:r w:rsidR="00BF0A2C">
        <w:rPr>
          <w:rFonts w:ascii="Arial" w:hAnsi="Arial"/>
        </w:rPr>
        <w:t>t</w:t>
      </w:r>
      <w:r w:rsidR="00017DD0">
        <w:rPr>
          <w:rFonts w:ascii="Arial" w:hAnsi="Arial"/>
        </w:rPr>
        <w:t>.</w:t>
      </w:r>
      <w:r w:rsidR="00BF0A2C">
        <w:rPr>
          <w:rFonts w:ascii="Arial" w:hAnsi="Arial"/>
        </w:rPr>
        <w:t xml:space="preserve"> </w:t>
      </w:r>
      <w:r w:rsidR="00017DD0">
        <w:rPr>
          <w:rFonts w:ascii="Arial" w:hAnsi="Arial"/>
        </w:rPr>
        <w:t xml:space="preserve">The decision </w:t>
      </w:r>
      <w:r>
        <w:rPr>
          <w:rFonts w:ascii="Arial" w:hAnsi="Arial"/>
        </w:rPr>
        <w:t>wa</w:t>
      </w:r>
      <w:r w:rsidR="00BF0A2C">
        <w:rPr>
          <w:rFonts w:ascii="Arial" w:hAnsi="Arial"/>
        </w:rPr>
        <w:t xml:space="preserve">s </w:t>
      </w:r>
      <w:r w:rsidR="00017DD0">
        <w:rPr>
          <w:rFonts w:ascii="Arial" w:hAnsi="Arial"/>
        </w:rPr>
        <w:t xml:space="preserve">also </w:t>
      </w:r>
      <w:r w:rsidR="00BF0A2C">
        <w:rPr>
          <w:rFonts w:ascii="Arial" w:hAnsi="Arial"/>
        </w:rPr>
        <w:t>definitive of the rights of the parties</w:t>
      </w:r>
      <w:r w:rsidR="004F1738">
        <w:rPr>
          <w:rFonts w:ascii="Arial" w:hAnsi="Arial"/>
        </w:rPr>
        <w:t xml:space="preserve"> on that issue</w:t>
      </w:r>
      <w:r w:rsidR="00BF0A2C">
        <w:rPr>
          <w:rFonts w:ascii="Arial" w:hAnsi="Arial"/>
        </w:rPr>
        <w:t xml:space="preserve">. The </w:t>
      </w:r>
      <w:r w:rsidR="00017DD0">
        <w:rPr>
          <w:rFonts w:ascii="Arial" w:hAnsi="Arial"/>
        </w:rPr>
        <w:t xml:space="preserve">appellant maintains that, in any event the </w:t>
      </w:r>
      <w:r w:rsidR="00BF0A2C">
        <w:rPr>
          <w:rFonts w:ascii="Arial" w:hAnsi="Arial"/>
        </w:rPr>
        <w:t>co</w:t>
      </w:r>
      <w:r w:rsidR="006F3BD7">
        <w:rPr>
          <w:rFonts w:ascii="Arial" w:hAnsi="Arial"/>
        </w:rPr>
        <w:t>u</w:t>
      </w:r>
      <w:r w:rsidR="00BF0A2C">
        <w:rPr>
          <w:rFonts w:ascii="Arial" w:hAnsi="Arial"/>
        </w:rPr>
        <w:t>rt</w:t>
      </w:r>
      <w:r w:rsidR="006F3BD7">
        <w:rPr>
          <w:rFonts w:ascii="Arial" w:hAnsi="Arial"/>
        </w:rPr>
        <w:t xml:space="preserve"> </w:t>
      </w:r>
      <w:r w:rsidR="00BF0A2C" w:rsidRPr="006F3BD7">
        <w:rPr>
          <w:rFonts w:ascii="Arial" w:hAnsi="Arial"/>
          <w:i/>
        </w:rPr>
        <w:t>a quo</w:t>
      </w:r>
      <w:r w:rsidR="00A3045D" w:rsidRPr="00A3045D">
        <w:rPr>
          <w:rFonts w:ascii="Arial" w:hAnsi="Arial"/>
        </w:rPr>
        <w:t>’s</w:t>
      </w:r>
      <w:r w:rsidR="00BF0A2C">
        <w:rPr>
          <w:rFonts w:ascii="Arial" w:hAnsi="Arial"/>
        </w:rPr>
        <w:t xml:space="preserve"> </w:t>
      </w:r>
      <w:r w:rsidR="00A3045D">
        <w:rPr>
          <w:rFonts w:ascii="Arial" w:hAnsi="Arial"/>
        </w:rPr>
        <w:t xml:space="preserve">interpretation of the rules and its </w:t>
      </w:r>
      <w:r w:rsidR="00BF0A2C">
        <w:rPr>
          <w:rFonts w:ascii="Arial" w:hAnsi="Arial"/>
        </w:rPr>
        <w:t>conclusion</w:t>
      </w:r>
      <w:r w:rsidR="00A3045D">
        <w:rPr>
          <w:rFonts w:ascii="Arial" w:hAnsi="Arial"/>
        </w:rPr>
        <w:t xml:space="preserve"> thereon </w:t>
      </w:r>
      <w:r>
        <w:rPr>
          <w:rFonts w:ascii="Arial" w:hAnsi="Arial"/>
        </w:rPr>
        <w:t>were</w:t>
      </w:r>
      <w:r w:rsidR="00BF0A2C">
        <w:rPr>
          <w:rFonts w:ascii="Arial" w:hAnsi="Arial"/>
        </w:rPr>
        <w:t xml:space="preserve"> </w:t>
      </w:r>
      <w:r w:rsidR="00017DD0">
        <w:rPr>
          <w:rFonts w:ascii="Arial" w:hAnsi="Arial"/>
        </w:rPr>
        <w:t>wrong</w:t>
      </w:r>
      <w:r w:rsidR="00BF0A2C">
        <w:rPr>
          <w:rFonts w:ascii="Arial" w:hAnsi="Arial"/>
        </w:rPr>
        <w:t xml:space="preserve">. </w:t>
      </w:r>
      <w:r w:rsidR="00A3045D">
        <w:rPr>
          <w:rFonts w:ascii="Arial" w:hAnsi="Arial"/>
        </w:rPr>
        <w:t>Th</w:t>
      </w:r>
      <w:r w:rsidR="00017DD0">
        <w:rPr>
          <w:rFonts w:ascii="Arial" w:hAnsi="Arial"/>
        </w:rPr>
        <w:t xml:space="preserve">e </w:t>
      </w:r>
      <w:r w:rsidR="00A3045D">
        <w:rPr>
          <w:rFonts w:ascii="Arial" w:hAnsi="Arial"/>
        </w:rPr>
        <w:t xml:space="preserve">order made </w:t>
      </w:r>
      <w:r w:rsidR="00017DD0">
        <w:rPr>
          <w:rFonts w:ascii="Arial" w:hAnsi="Arial"/>
        </w:rPr>
        <w:t xml:space="preserve">by it </w:t>
      </w:r>
      <w:r w:rsidR="00BF0A2C">
        <w:rPr>
          <w:rFonts w:ascii="Arial" w:hAnsi="Arial"/>
        </w:rPr>
        <w:t xml:space="preserve">is incompetent, </w:t>
      </w:r>
      <w:r w:rsidR="00A3045D">
        <w:rPr>
          <w:rFonts w:ascii="Arial" w:hAnsi="Arial"/>
        </w:rPr>
        <w:t xml:space="preserve">and </w:t>
      </w:r>
      <w:r w:rsidR="00017DD0">
        <w:rPr>
          <w:rFonts w:ascii="Arial" w:hAnsi="Arial"/>
        </w:rPr>
        <w:t xml:space="preserve">therefore </w:t>
      </w:r>
      <w:r w:rsidR="00BF0A2C">
        <w:rPr>
          <w:rFonts w:ascii="Arial" w:hAnsi="Arial"/>
        </w:rPr>
        <w:t>appealable even if</w:t>
      </w:r>
      <w:r w:rsidR="008D581E">
        <w:rPr>
          <w:rFonts w:ascii="Arial" w:hAnsi="Arial"/>
        </w:rPr>
        <w:t xml:space="preserve"> it is</w:t>
      </w:r>
      <w:r w:rsidR="00BF0A2C">
        <w:rPr>
          <w:rFonts w:ascii="Arial" w:hAnsi="Arial"/>
        </w:rPr>
        <w:t xml:space="preserve"> interlocutory. </w:t>
      </w:r>
      <w:r w:rsidR="00637A67">
        <w:rPr>
          <w:rFonts w:ascii="Arial" w:hAnsi="Arial"/>
        </w:rPr>
        <w:t>On the merits, the appellant argues</w:t>
      </w:r>
      <w:r>
        <w:rPr>
          <w:rFonts w:ascii="Arial" w:hAnsi="Arial"/>
        </w:rPr>
        <w:t>,</w:t>
      </w:r>
      <w:r w:rsidR="00637A67">
        <w:rPr>
          <w:rFonts w:ascii="Arial" w:hAnsi="Arial"/>
        </w:rPr>
        <w:t xml:space="preserve"> </w:t>
      </w:r>
      <w:r w:rsidR="000039F9">
        <w:rPr>
          <w:rFonts w:ascii="Arial" w:hAnsi="Arial"/>
        </w:rPr>
        <w:t xml:space="preserve">amongst others, </w:t>
      </w:r>
      <w:r w:rsidR="00637A67">
        <w:rPr>
          <w:rFonts w:ascii="Arial" w:hAnsi="Arial"/>
        </w:rPr>
        <w:t>that its</w:t>
      </w:r>
      <w:r w:rsidR="00A02928">
        <w:rPr>
          <w:rFonts w:ascii="Arial" w:hAnsi="Arial"/>
        </w:rPr>
        <w:t xml:space="preserve"> </w:t>
      </w:r>
      <w:r w:rsidR="00A3045D">
        <w:rPr>
          <w:rFonts w:ascii="Arial" w:hAnsi="Arial"/>
        </w:rPr>
        <w:t>right</w:t>
      </w:r>
      <w:r w:rsidR="00A02928">
        <w:rPr>
          <w:rFonts w:ascii="Arial" w:hAnsi="Arial"/>
        </w:rPr>
        <w:t xml:space="preserve"> to amend its replication had been expressly reserved and a process put in place in the pre-trial </w:t>
      </w:r>
      <w:r w:rsidR="000039F9">
        <w:rPr>
          <w:rFonts w:ascii="Arial" w:hAnsi="Arial"/>
        </w:rPr>
        <w:t xml:space="preserve">draft order </w:t>
      </w:r>
      <w:r w:rsidR="00A02928">
        <w:rPr>
          <w:rFonts w:ascii="Arial" w:hAnsi="Arial"/>
        </w:rPr>
        <w:t xml:space="preserve">to address that eventuality. </w:t>
      </w:r>
      <w:r w:rsidR="000039F9">
        <w:rPr>
          <w:rFonts w:ascii="Arial" w:hAnsi="Arial"/>
        </w:rPr>
        <w:t>It is also the appellant’s contention that t</w:t>
      </w:r>
      <w:r w:rsidR="00A02928">
        <w:rPr>
          <w:rFonts w:ascii="Arial" w:hAnsi="Arial"/>
        </w:rPr>
        <w:t>he respondent</w:t>
      </w:r>
      <w:r w:rsidR="00017DD0">
        <w:rPr>
          <w:rFonts w:ascii="Arial" w:hAnsi="Arial"/>
        </w:rPr>
        <w:t>’s</w:t>
      </w:r>
      <w:r w:rsidR="00A02928">
        <w:rPr>
          <w:rFonts w:ascii="Arial" w:hAnsi="Arial"/>
        </w:rPr>
        <w:t xml:space="preserve"> objection to the notice of intention to amend </w:t>
      </w:r>
      <w:r w:rsidR="00017DD0">
        <w:rPr>
          <w:rFonts w:ascii="Arial" w:hAnsi="Arial"/>
        </w:rPr>
        <w:t xml:space="preserve">was not delivered </w:t>
      </w:r>
      <w:r w:rsidR="00A02928" w:rsidRPr="00017DD0">
        <w:rPr>
          <w:rFonts w:ascii="Arial" w:hAnsi="Arial"/>
        </w:rPr>
        <w:t>within the period provided for in rule 52(2)</w:t>
      </w:r>
      <w:r w:rsidR="00017DD0">
        <w:rPr>
          <w:rFonts w:ascii="Arial" w:hAnsi="Arial"/>
        </w:rPr>
        <w:t xml:space="preserve"> and n</w:t>
      </w:r>
      <w:r w:rsidR="00A02928" w:rsidRPr="00017DD0">
        <w:rPr>
          <w:rFonts w:ascii="Arial" w:hAnsi="Arial"/>
        </w:rPr>
        <w:t xml:space="preserve">o condonation </w:t>
      </w:r>
      <w:r w:rsidR="00017DD0">
        <w:rPr>
          <w:rFonts w:ascii="Arial" w:hAnsi="Arial"/>
        </w:rPr>
        <w:t xml:space="preserve">for the late delivery </w:t>
      </w:r>
      <w:r w:rsidR="00A02928" w:rsidRPr="00017DD0">
        <w:rPr>
          <w:rFonts w:ascii="Arial" w:hAnsi="Arial"/>
        </w:rPr>
        <w:t xml:space="preserve">was sought or obtained. </w:t>
      </w:r>
      <w:r w:rsidR="000039F9">
        <w:rPr>
          <w:rFonts w:ascii="Arial" w:hAnsi="Arial"/>
        </w:rPr>
        <w:t xml:space="preserve">As </w:t>
      </w:r>
      <w:r w:rsidR="00A02928" w:rsidRPr="00017DD0">
        <w:rPr>
          <w:rFonts w:ascii="Arial" w:hAnsi="Arial"/>
        </w:rPr>
        <w:t xml:space="preserve">it was filed late, </w:t>
      </w:r>
      <w:r w:rsidR="000039F9">
        <w:rPr>
          <w:rFonts w:ascii="Arial" w:hAnsi="Arial"/>
        </w:rPr>
        <w:t xml:space="preserve">so the argument runs, </w:t>
      </w:r>
      <w:r w:rsidR="00A02928" w:rsidRPr="00017DD0">
        <w:rPr>
          <w:rFonts w:ascii="Arial" w:hAnsi="Arial"/>
        </w:rPr>
        <w:t xml:space="preserve">the further process envisaged in rule 52(4) was not triggered and </w:t>
      </w:r>
      <w:r w:rsidR="00017DD0">
        <w:rPr>
          <w:rFonts w:ascii="Arial" w:hAnsi="Arial"/>
        </w:rPr>
        <w:t xml:space="preserve">thus </w:t>
      </w:r>
      <w:r w:rsidR="00A02928" w:rsidRPr="00017DD0">
        <w:rPr>
          <w:rFonts w:ascii="Arial" w:hAnsi="Arial"/>
        </w:rPr>
        <w:t xml:space="preserve">nothing precluded the delivery of the amended replication. In any event, </w:t>
      </w:r>
      <w:r w:rsidR="00017DD0">
        <w:rPr>
          <w:rFonts w:ascii="Arial" w:hAnsi="Arial"/>
        </w:rPr>
        <w:t xml:space="preserve">so </w:t>
      </w:r>
      <w:r w:rsidR="00A02928" w:rsidRPr="00017DD0">
        <w:rPr>
          <w:rFonts w:ascii="Arial" w:hAnsi="Arial"/>
        </w:rPr>
        <w:t xml:space="preserve">the </w:t>
      </w:r>
      <w:r w:rsidR="00017DD0">
        <w:rPr>
          <w:rFonts w:ascii="Arial" w:hAnsi="Arial"/>
        </w:rPr>
        <w:t xml:space="preserve">appellant </w:t>
      </w:r>
      <w:r w:rsidR="000039F9">
        <w:rPr>
          <w:rFonts w:ascii="Arial" w:hAnsi="Arial"/>
        </w:rPr>
        <w:t xml:space="preserve">further </w:t>
      </w:r>
      <w:r w:rsidR="00017DD0">
        <w:rPr>
          <w:rFonts w:ascii="Arial" w:hAnsi="Arial"/>
        </w:rPr>
        <w:t xml:space="preserve">contends, the </w:t>
      </w:r>
      <w:r w:rsidR="00A02928" w:rsidRPr="00017DD0">
        <w:rPr>
          <w:rFonts w:ascii="Arial" w:hAnsi="Arial"/>
        </w:rPr>
        <w:t xml:space="preserve">objection </w:t>
      </w:r>
      <w:r w:rsidR="00D87A6F">
        <w:rPr>
          <w:rFonts w:ascii="Arial" w:hAnsi="Arial"/>
        </w:rPr>
        <w:t xml:space="preserve">to the notice of intention to amend </w:t>
      </w:r>
      <w:r w:rsidR="00A02928" w:rsidRPr="00017DD0">
        <w:rPr>
          <w:rFonts w:ascii="Arial" w:hAnsi="Arial"/>
        </w:rPr>
        <w:t>failed to comply with the peremptory requirements of rule 52(4)</w:t>
      </w:r>
      <w:r w:rsidR="00017DD0">
        <w:rPr>
          <w:rFonts w:ascii="Arial" w:hAnsi="Arial"/>
        </w:rPr>
        <w:t xml:space="preserve"> in that</w:t>
      </w:r>
      <w:r w:rsidR="00A02928" w:rsidRPr="00017DD0">
        <w:rPr>
          <w:rFonts w:ascii="Arial" w:hAnsi="Arial"/>
        </w:rPr>
        <w:t xml:space="preserve"> it did not </w:t>
      </w:r>
      <w:r w:rsidR="004F1738">
        <w:rPr>
          <w:rFonts w:ascii="Arial" w:hAnsi="Arial"/>
        </w:rPr>
        <w:t>‘</w:t>
      </w:r>
      <w:r w:rsidR="00A02928" w:rsidRPr="00017DD0">
        <w:rPr>
          <w:rFonts w:ascii="Arial" w:hAnsi="Arial"/>
        </w:rPr>
        <w:t>clearly an</w:t>
      </w:r>
      <w:r w:rsidR="00A3045D" w:rsidRPr="00017DD0">
        <w:rPr>
          <w:rFonts w:ascii="Arial" w:hAnsi="Arial"/>
        </w:rPr>
        <w:t>d</w:t>
      </w:r>
      <w:r w:rsidR="00A02928" w:rsidRPr="00017DD0">
        <w:rPr>
          <w:rFonts w:ascii="Arial" w:hAnsi="Arial"/>
        </w:rPr>
        <w:t xml:space="preserve"> concisely</w:t>
      </w:r>
      <w:r w:rsidR="004F1738">
        <w:rPr>
          <w:rFonts w:ascii="Arial" w:hAnsi="Arial"/>
        </w:rPr>
        <w:t>’</w:t>
      </w:r>
      <w:r w:rsidR="00A02928" w:rsidRPr="00017DD0">
        <w:rPr>
          <w:rFonts w:ascii="Arial" w:hAnsi="Arial"/>
        </w:rPr>
        <w:t xml:space="preserve"> state the grounds on which it was founded. </w:t>
      </w:r>
    </w:p>
    <w:p w14:paraId="0172F39C" w14:textId="77777777" w:rsidR="00BE4657" w:rsidRPr="00EE3563" w:rsidRDefault="00BE4657" w:rsidP="00356543">
      <w:pPr>
        <w:spacing w:line="480" w:lineRule="auto"/>
        <w:rPr>
          <w:rFonts w:ascii="Arial" w:hAnsi="Arial"/>
          <w:b/>
        </w:rPr>
      </w:pPr>
    </w:p>
    <w:p w14:paraId="323558CF" w14:textId="4D965886" w:rsidR="00BF0A2C" w:rsidRPr="00356543" w:rsidRDefault="000544ED" w:rsidP="00356543">
      <w:pPr>
        <w:spacing w:line="480" w:lineRule="auto"/>
        <w:rPr>
          <w:rFonts w:ascii="Arial" w:hAnsi="Arial"/>
          <w:u w:val="single"/>
        </w:rPr>
      </w:pPr>
      <w:r w:rsidRPr="00356543">
        <w:rPr>
          <w:rFonts w:ascii="Arial" w:hAnsi="Arial"/>
          <w:u w:val="single"/>
        </w:rPr>
        <w:t xml:space="preserve">Principles </w:t>
      </w:r>
      <w:r w:rsidR="00C13F15" w:rsidRPr="00356543">
        <w:rPr>
          <w:rFonts w:ascii="Arial" w:hAnsi="Arial"/>
          <w:u w:val="single"/>
        </w:rPr>
        <w:t xml:space="preserve">pertaining </w:t>
      </w:r>
      <w:r w:rsidRPr="00356543">
        <w:rPr>
          <w:rFonts w:ascii="Arial" w:hAnsi="Arial"/>
          <w:u w:val="single"/>
        </w:rPr>
        <w:t>to</w:t>
      </w:r>
      <w:r w:rsidR="00E57A22" w:rsidRPr="00356543">
        <w:rPr>
          <w:rFonts w:ascii="Arial" w:hAnsi="Arial"/>
          <w:u w:val="single"/>
        </w:rPr>
        <w:t xml:space="preserve"> amendments</w:t>
      </w:r>
      <w:r w:rsidRPr="00356543">
        <w:rPr>
          <w:rFonts w:ascii="Arial" w:hAnsi="Arial"/>
          <w:u w:val="single"/>
        </w:rPr>
        <w:t xml:space="preserve"> and </w:t>
      </w:r>
      <w:r w:rsidR="00C13F15" w:rsidRPr="00356543">
        <w:rPr>
          <w:rFonts w:ascii="Arial" w:hAnsi="Arial"/>
          <w:u w:val="single"/>
        </w:rPr>
        <w:t>consideration of the relevant rules of the</w:t>
      </w:r>
      <w:r w:rsidRPr="00356543">
        <w:rPr>
          <w:rFonts w:ascii="Arial" w:hAnsi="Arial"/>
          <w:u w:val="single"/>
        </w:rPr>
        <w:t xml:space="preserve"> Rules of the High Court</w:t>
      </w:r>
    </w:p>
    <w:p w14:paraId="78384019" w14:textId="77777777" w:rsidR="004C4CFE" w:rsidRDefault="00C13F15" w:rsidP="00356543">
      <w:pPr>
        <w:pStyle w:val="ListParagraph"/>
        <w:numPr>
          <w:ilvl w:val="0"/>
          <w:numId w:val="1"/>
        </w:numPr>
        <w:spacing w:line="480" w:lineRule="auto"/>
        <w:contextualSpacing w:val="0"/>
        <w:jc w:val="both"/>
        <w:rPr>
          <w:rFonts w:ascii="Arial" w:hAnsi="Arial"/>
        </w:rPr>
      </w:pPr>
      <w:r>
        <w:rPr>
          <w:rFonts w:ascii="Arial" w:hAnsi="Arial"/>
        </w:rPr>
        <w:lastRenderedPageBreak/>
        <w:t xml:space="preserve">According to rule </w:t>
      </w:r>
      <w:r w:rsidR="00FA0E15" w:rsidRPr="00FA0E15">
        <w:rPr>
          <w:rFonts w:ascii="Arial" w:hAnsi="Arial"/>
        </w:rPr>
        <w:t>1(3)</w:t>
      </w:r>
      <w:r>
        <w:rPr>
          <w:rFonts w:ascii="Arial" w:hAnsi="Arial"/>
        </w:rPr>
        <w:t xml:space="preserve"> of the Rules, </w:t>
      </w:r>
      <w:r w:rsidR="003D0267">
        <w:rPr>
          <w:rFonts w:ascii="Arial" w:hAnsi="Arial"/>
        </w:rPr>
        <w:t>‘</w:t>
      </w:r>
      <w:r>
        <w:rPr>
          <w:rFonts w:ascii="Arial" w:hAnsi="Arial"/>
        </w:rPr>
        <w:t xml:space="preserve">the </w:t>
      </w:r>
      <w:r w:rsidR="008B55D5">
        <w:rPr>
          <w:rFonts w:ascii="Arial" w:hAnsi="Arial"/>
        </w:rPr>
        <w:t>overriding objective of the Rules is to facilitate the resolution of the real issues in dispute justly and speedily, efficiently and cost effectively and as far as practicable</w:t>
      </w:r>
      <w:r w:rsidR="003D0267">
        <w:rPr>
          <w:rFonts w:ascii="Arial" w:hAnsi="Arial"/>
        </w:rPr>
        <w:t>’</w:t>
      </w:r>
      <w:r w:rsidR="008B55D5">
        <w:rPr>
          <w:rFonts w:ascii="Arial" w:hAnsi="Arial"/>
        </w:rPr>
        <w:t xml:space="preserve"> by what is set out in rule 1(3)(a</w:t>
      </w:r>
      <w:r>
        <w:rPr>
          <w:rFonts w:ascii="Arial" w:hAnsi="Arial"/>
        </w:rPr>
        <w:t xml:space="preserve">) - </w:t>
      </w:r>
      <w:r w:rsidR="008B55D5">
        <w:rPr>
          <w:rFonts w:ascii="Arial" w:hAnsi="Arial"/>
        </w:rPr>
        <w:t xml:space="preserve">(f) of the Rules. </w:t>
      </w:r>
      <w:r w:rsidR="00FA0E15">
        <w:rPr>
          <w:rFonts w:ascii="Arial" w:hAnsi="Arial"/>
        </w:rPr>
        <w:t xml:space="preserve">Rule 17 </w:t>
      </w:r>
      <w:r w:rsidR="003D0267">
        <w:rPr>
          <w:rFonts w:ascii="Arial" w:hAnsi="Arial"/>
        </w:rPr>
        <w:t xml:space="preserve">enjoins the High Court to endeavour to give effect to the overriding objective of judicial case management referred to in rule 1 when it exercises any power given to it under the Rules or in interpreting any other rule of procedure. </w:t>
      </w:r>
      <w:r w:rsidR="00FA0E15">
        <w:rPr>
          <w:rFonts w:ascii="Arial" w:hAnsi="Arial"/>
        </w:rPr>
        <w:t>Rule 32 deals with interlocutory matters and applications for directions</w:t>
      </w:r>
      <w:r w:rsidR="00BF3D1B">
        <w:rPr>
          <w:rFonts w:ascii="Arial" w:hAnsi="Arial"/>
        </w:rPr>
        <w:t xml:space="preserve"> and sets out the procedure to be followed in interlocutory proceedings</w:t>
      </w:r>
      <w:r w:rsidR="00FA0E15">
        <w:rPr>
          <w:rFonts w:ascii="Arial" w:hAnsi="Arial"/>
        </w:rPr>
        <w:t xml:space="preserve">. </w:t>
      </w:r>
    </w:p>
    <w:p w14:paraId="141D3172" w14:textId="77777777" w:rsidR="004C4CFE" w:rsidRPr="004C4CFE" w:rsidRDefault="004C4CFE" w:rsidP="00356543">
      <w:pPr>
        <w:spacing w:line="480" w:lineRule="auto"/>
        <w:jc w:val="both"/>
        <w:rPr>
          <w:rFonts w:ascii="Arial" w:hAnsi="Arial"/>
        </w:rPr>
      </w:pPr>
    </w:p>
    <w:p w14:paraId="6786C0CD" w14:textId="7606D635" w:rsidR="004C4CFE" w:rsidRDefault="00BF3D1B" w:rsidP="00356543">
      <w:pPr>
        <w:pStyle w:val="ListParagraph"/>
        <w:numPr>
          <w:ilvl w:val="0"/>
          <w:numId w:val="1"/>
        </w:numPr>
        <w:spacing w:line="480" w:lineRule="auto"/>
        <w:contextualSpacing w:val="0"/>
        <w:jc w:val="both"/>
        <w:rPr>
          <w:rFonts w:ascii="Arial" w:hAnsi="Arial"/>
        </w:rPr>
      </w:pPr>
      <w:r>
        <w:rPr>
          <w:rFonts w:ascii="Arial" w:hAnsi="Arial"/>
        </w:rPr>
        <w:t>Rule 32(1) provides that the managing judge must give directions</w:t>
      </w:r>
      <w:r w:rsidR="003D0267">
        <w:rPr>
          <w:rFonts w:ascii="Arial" w:hAnsi="Arial"/>
        </w:rPr>
        <w:t xml:space="preserve"> </w:t>
      </w:r>
      <w:r w:rsidR="00967C7D">
        <w:rPr>
          <w:rFonts w:ascii="Arial" w:hAnsi="Arial"/>
        </w:rPr>
        <w:t xml:space="preserve">in respect of an interlocutory proceeding with regard to the date and time of the hearing of the </w:t>
      </w:r>
      <w:r w:rsidR="00967C7D" w:rsidRPr="00967C7D">
        <w:rPr>
          <w:rFonts w:ascii="Arial" w:hAnsi="Arial"/>
        </w:rPr>
        <w:t>matte</w:t>
      </w:r>
      <w:r w:rsidR="00967C7D">
        <w:rPr>
          <w:rFonts w:ascii="Arial" w:hAnsi="Arial"/>
        </w:rPr>
        <w:t>r</w:t>
      </w:r>
      <w:r w:rsidR="00967C7D" w:rsidRPr="00967C7D">
        <w:rPr>
          <w:rFonts w:ascii="Arial" w:hAnsi="Arial"/>
        </w:rPr>
        <w:t xml:space="preserve">, times for filing of heads of argument </w:t>
      </w:r>
      <w:r w:rsidR="00941926">
        <w:rPr>
          <w:rFonts w:ascii="Arial" w:hAnsi="Arial"/>
        </w:rPr>
        <w:t>and generally the speedy finalis</w:t>
      </w:r>
      <w:r w:rsidR="00967C7D" w:rsidRPr="00967C7D">
        <w:rPr>
          <w:rFonts w:ascii="Arial" w:hAnsi="Arial"/>
        </w:rPr>
        <w:t>at</w:t>
      </w:r>
      <w:r w:rsidR="00967C7D">
        <w:rPr>
          <w:rFonts w:ascii="Arial" w:hAnsi="Arial"/>
        </w:rPr>
        <w:t>ion</w:t>
      </w:r>
      <w:r w:rsidR="00967C7D" w:rsidRPr="00967C7D">
        <w:rPr>
          <w:rFonts w:ascii="Arial" w:hAnsi="Arial"/>
        </w:rPr>
        <w:t xml:space="preserve"> </w:t>
      </w:r>
      <w:r w:rsidR="00967C7D">
        <w:rPr>
          <w:rFonts w:ascii="Arial" w:hAnsi="Arial"/>
        </w:rPr>
        <w:t>of the matter</w:t>
      </w:r>
      <w:r w:rsidR="00967C7D" w:rsidRPr="00967C7D">
        <w:rPr>
          <w:rFonts w:ascii="Arial" w:hAnsi="Arial"/>
        </w:rPr>
        <w:t xml:space="preserve">. </w:t>
      </w:r>
      <w:r w:rsidR="00967C7D">
        <w:rPr>
          <w:rFonts w:ascii="Arial" w:hAnsi="Arial"/>
        </w:rPr>
        <w:t>Rule 32(4) states in part that in any cause or matter</w:t>
      </w:r>
      <w:r w:rsidR="004C4CFE">
        <w:rPr>
          <w:rFonts w:ascii="Arial" w:hAnsi="Arial"/>
        </w:rPr>
        <w:t>,</w:t>
      </w:r>
      <w:r w:rsidR="00967C7D">
        <w:rPr>
          <w:rFonts w:ascii="Arial" w:hAnsi="Arial"/>
        </w:rPr>
        <w:t xml:space="preserve"> a</w:t>
      </w:r>
      <w:r w:rsidR="00FD41AA">
        <w:rPr>
          <w:rFonts w:ascii="Arial" w:hAnsi="Arial"/>
        </w:rPr>
        <w:t xml:space="preserve"> </w:t>
      </w:r>
      <w:r w:rsidR="00967C7D">
        <w:rPr>
          <w:rFonts w:ascii="Arial" w:hAnsi="Arial"/>
        </w:rPr>
        <w:t>party may make application for directions in respect of an interlocutory matter on which a decision may be required.</w:t>
      </w:r>
      <w:r w:rsidR="00722B31" w:rsidRPr="00967C7D">
        <w:rPr>
          <w:rFonts w:ascii="Arial" w:hAnsi="Arial"/>
        </w:rPr>
        <w:t xml:space="preserve"> </w:t>
      </w:r>
    </w:p>
    <w:p w14:paraId="379F54A3" w14:textId="77777777" w:rsidR="004C4CFE" w:rsidRPr="004C4CFE" w:rsidRDefault="004C4CFE" w:rsidP="00356543">
      <w:pPr>
        <w:pStyle w:val="ListParagraph"/>
        <w:spacing w:line="480" w:lineRule="auto"/>
        <w:rPr>
          <w:rFonts w:ascii="Arial" w:hAnsi="Arial"/>
        </w:rPr>
      </w:pPr>
    </w:p>
    <w:p w14:paraId="2D32B07A" w14:textId="68322A1E" w:rsidR="007E7E32" w:rsidRDefault="007E7E32" w:rsidP="00356543">
      <w:pPr>
        <w:pStyle w:val="ListParagraph"/>
        <w:numPr>
          <w:ilvl w:val="0"/>
          <w:numId w:val="1"/>
        </w:numPr>
        <w:spacing w:line="480" w:lineRule="auto"/>
        <w:contextualSpacing w:val="0"/>
        <w:jc w:val="both"/>
        <w:rPr>
          <w:rFonts w:ascii="Arial" w:hAnsi="Arial"/>
        </w:rPr>
      </w:pPr>
      <w:r>
        <w:rPr>
          <w:rFonts w:ascii="Arial" w:hAnsi="Arial"/>
        </w:rPr>
        <w:t xml:space="preserve">Rule 32(9) provides that in relation to an interlocutory proceeding, a party wishing to bring such proceeding must, before launching the proceeding in question, seek an amicable resolution thereof with the other party or parties and only after </w:t>
      </w:r>
      <w:r w:rsidR="00F23532">
        <w:rPr>
          <w:rFonts w:ascii="Arial" w:hAnsi="Arial"/>
        </w:rPr>
        <w:t>the parties have failed to resolve their dispute, may such a proceeding be referred to the court for adjudication. Rule 32(10) requires a party bringing an interlocutory proceeding to file with the registrar details of the steps taken to have the matter resolved amicably before instituting the proceeding.</w:t>
      </w:r>
      <w:r>
        <w:rPr>
          <w:rFonts w:ascii="Arial" w:hAnsi="Arial"/>
        </w:rPr>
        <w:t xml:space="preserve"> </w:t>
      </w:r>
    </w:p>
    <w:p w14:paraId="45DDD26F" w14:textId="77777777" w:rsidR="00F23532" w:rsidRPr="00F23532" w:rsidRDefault="00F23532" w:rsidP="00356543">
      <w:pPr>
        <w:spacing w:line="480" w:lineRule="auto"/>
        <w:jc w:val="both"/>
        <w:rPr>
          <w:rFonts w:ascii="Arial" w:hAnsi="Arial"/>
        </w:rPr>
      </w:pPr>
    </w:p>
    <w:p w14:paraId="6D59BCFD" w14:textId="69142E5A" w:rsidR="00107691" w:rsidRPr="005D63FE" w:rsidRDefault="004C4CFE" w:rsidP="00356543">
      <w:pPr>
        <w:pStyle w:val="ListParagraph"/>
        <w:numPr>
          <w:ilvl w:val="0"/>
          <w:numId w:val="1"/>
        </w:numPr>
        <w:spacing w:line="480" w:lineRule="auto"/>
        <w:contextualSpacing w:val="0"/>
        <w:jc w:val="both"/>
        <w:rPr>
          <w:rFonts w:ascii="Arial" w:hAnsi="Arial"/>
        </w:rPr>
      </w:pPr>
      <w:r>
        <w:rPr>
          <w:rFonts w:ascii="Arial" w:hAnsi="Arial"/>
        </w:rPr>
        <w:lastRenderedPageBreak/>
        <w:t>As to the principles governing amendments, i</w:t>
      </w:r>
      <w:r w:rsidR="00F23532">
        <w:rPr>
          <w:rFonts w:ascii="Arial" w:hAnsi="Arial"/>
        </w:rPr>
        <w:t>t is</w:t>
      </w:r>
      <w:r w:rsidR="003D0267" w:rsidRPr="00967C7D">
        <w:rPr>
          <w:rFonts w:ascii="Arial" w:hAnsi="Arial"/>
        </w:rPr>
        <w:t xml:space="preserve"> generally established that an a</w:t>
      </w:r>
      <w:r w:rsidR="002A4B62" w:rsidRPr="00967C7D">
        <w:rPr>
          <w:rFonts w:ascii="Arial" w:hAnsi="Arial"/>
        </w:rPr>
        <w:t xml:space="preserve">mendment may be sought or granted at any </w:t>
      </w:r>
      <w:r w:rsidR="003D0267" w:rsidRPr="00967C7D">
        <w:rPr>
          <w:rFonts w:ascii="Arial" w:hAnsi="Arial"/>
        </w:rPr>
        <w:t xml:space="preserve">stage </w:t>
      </w:r>
      <w:r w:rsidR="002A4B62" w:rsidRPr="00967C7D">
        <w:rPr>
          <w:rFonts w:ascii="Arial" w:hAnsi="Arial"/>
        </w:rPr>
        <w:t>(even before judgment) as long as it is bona fide.</w:t>
      </w:r>
      <w:r w:rsidR="00F23532">
        <w:rPr>
          <w:rStyle w:val="FootnoteReference"/>
          <w:rFonts w:ascii="Arial" w:hAnsi="Arial"/>
        </w:rPr>
        <w:footnoteReference w:id="2"/>
      </w:r>
      <w:r w:rsidR="002A4B62" w:rsidRPr="00967C7D">
        <w:rPr>
          <w:rFonts w:ascii="Arial" w:hAnsi="Arial"/>
        </w:rPr>
        <w:t xml:space="preserve"> </w:t>
      </w:r>
      <w:r w:rsidR="00C46C2B">
        <w:rPr>
          <w:rFonts w:ascii="Arial" w:hAnsi="Arial"/>
        </w:rPr>
        <w:t xml:space="preserve">It is also an established principle that </w:t>
      </w:r>
      <w:r w:rsidR="00C46C2B" w:rsidRPr="00967C7D">
        <w:rPr>
          <w:rFonts w:ascii="Arial" w:hAnsi="Arial"/>
        </w:rPr>
        <w:t>amendment</w:t>
      </w:r>
      <w:r w:rsidR="00EE5FA0">
        <w:rPr>
          <w:rFonts w:ascii="Arial" w:hAnsi="Arial"/>
        </w:rPr>
        <w:t>s</w:t>
      </w:r>
      <w:r w:rsidR="00C46C2B" w:rsidRPr="00967C7D">
        <w:rPr>
          <w:rFonts w:ascii="Arial" w:hAnsi="Arial"/>
        </w:rPr>
        <w:t xml:space="preserve"> </w:t>
      </w:r>
      <w:r w:rsidR="00C46C2B">
        <w:rPr>
          <w:rFonts w:ascii="Arial" w:hAnsi="Arial"/>
        </w:rPr>
        <w:t xml:space="preserve">of pleadings </w:t>
      </w:r>
      <w:r w:rsidR="00EE5FA0">
        <w:rPr>
          <w:rFonts w:ascii="Arial" w:hAnsi="Arial"/>
        </w:rPr>
        <w:t xml:space="preserve">are necessary and </w:t>
      </w:r>
      <w:r w:rsidR="00C46C2B" w:rsidRPr="00967C7D">
        <w:rPr>
          <w:rFonts w:ascii="Arial" w:hAnsi="Arial"/>
        </w:rPr>
        <w:t xml:space="preserve">should be allowed </w:t>
      </w:r>
      <w:r w:rsidR="00EE5FA0">
        <w:rPr>
          <w:rFonts w:ascii="Arial" w:hAnsi="Arial"/>
        </w:rPr>
        <w:t xml:space="preserve">in appropriate cases </w:t>
      </w:r>
      <w:r w:rsidR="00C46C2B" w:rsidRPr="00967C7D">
        <w:rPr>
          <w:rFonts w:ascii="Arial" w:hAnsi="Arial"/>
        </w:rPr>
        <w:t>in order to obtain a proper ventilation of the dispute</w:t>
      </w:r>
      <w:r w:rsidR="00EE5FA0">
        <w:rPr>
          <w:rFonts w:ascii="Arial" w:hAnsi="Arial"/>
        </w:rPr>
        <w:t>s</w:t>
      </w:r>
      <w:r w:rsidR="00C46C2B" w:rsidRPr="00967C7D">
        <w:rPr>
          <w:rFonts w:ascii="Arial" w:hAnsi="Arial"/>
        </w:rPr>
        <w:t xml:space="preserve"> between the parties</w:t>
      </w:r>
      <w:r w:rsidR="00C46C2B">
        <w:rPr>
          <w:rFonts w:ascii="Arial" w:hAnsi="Arial"/>
        </w:rPr>
        <w:t xml:space="preserve"> for </w:t>
      </w:r>
      <w:r w:rsidR="00C46C2B" w:rsidRPr="00967C7D">
        <w:rPr>
          <w:rFonts w:ascii="Arial" w:hAnsi="Arial"/>
        </w:rPr>
        <w:t xml:space="preserve">justice </w:t>
      </w:r>
      <w:r w:rsidR="00C46C2B">
        <w:rPr>
          <w:rFonts w:ascii="Arial" w:hAnsi="Arial"/>
        </w:rPr>
        <w:t>to</w:t>
      </w:r>
      <w:r w:rsidR="00C46C2B" w:rsidRPr="00967C7D">
        <w:rPr>
          <w:rFonts w:ascii="Arial" w:hAnsi="Arial"/>
        </w:rPr>
        <w:t xml:space="preserve"> be done</w:t>
      </w:r>
      <w:r w:rsidR="00C46C2B">
        <w:rPr>
          <w:rFonts w:ascii="Arial" w:hAnsi="Arial"/>
        </w:rPr>
        <w:t>.</w:t>
      </w:r>
      <w:r w:rsidR="00C46C2B">
        <w:rPr>
          <w:rStyle w:val="FootnoteReference"/>
          <w:rFonts w:ascii="Arial" w:hAnsi="Arial"/>
        </w:rPr>
        <w:footnoteReference w:id="3"/>
      </w:r>
      <w:r w:rsidR="00C46C2B">
        <w:rPr>
          <w:rFonts w:ascii="Arial" w:hAnsi="Arial"/>
        </w:rPr>
        <w:t xml:space="preserve"> </w:t>
      </w:r>
      <w:r w:rsidR="00F04360">
        <w:rPr>
          <w:rFonts w:ascii="Arial" w:hAnsi="Arial"/>
        </w:rPr>
        <w:t xml:space="preserve">The traditional approach is that </w:t>
      </w:r>
      <w:r w:rsidR="008F7E73">
        <w:rPr>
          <w:rFonts w:ascii="Arial" w:hAnsi="Arial"/>
        </w:rPr>
        <w:t>a</w:t>
      </w:r>
      <w:r w:rsidR="00F23532">
        <w:rPr>
          <w:rFonts w:ascii="Arial" w:hAnsi="Arial"/>
        </w:rPr>
        <w:t>n application for amendment</w:t>
      </w:r>
      <w:r w:rsidR="002A4B62" w:rsidRPr="00967C7D">
        <w:rPr>
          <w:rFonts w:ascii="Arial" w:hAnsi="Arial"/>
        </w:rPr>
        <w:t xml:space="preserve"> may be refused if the prejudice caused to the opposing party is not capable of recompense through an appropriate costs order</w:t>
      </w:r>
      <w:r w:rsidR="00C4352D">
        <w:rPr>
          <w:rFonts w:ascii="Arial" w:hAnsi="Arial"/>
        </w:rPr>
        <w:t xml:space="preserve"> or a postpon</w:t>
      </w:r>
      <w:r w:rsidR="00F04360">
        <w:rPr>
          <w:rFonts w:ascii="Arial" w:hAnsi="Arial"/>
        </w:rPr>
        <w:t>e</w:t>
      </w:r>
      <w:r w:rsidR="00C4352D">
        <w:rPr>
          <w:rFonts w:ascii="Arial" w:hAnsi="Arial"/>
        </w:rPr>
        <w:t>ment</w:t>
      </w:r>
      <w:r w:rsidR="00B763D1" w:rsidRPr="00967C7D">
        <w:rPr>
          <w:rFonts w:ascii="Arial" w:hAnsi="Arial"/>
        </w:rPr>
        <w:t>.</w:t>
      </w:r>
      <w:r w:rsidR="00686E53">
        <w:rPr>
          <w:rStyle w:val="FootnoteReference"/>
          <w:rFonts w:ascii="Arial" w:hAnsi="Arial"/>
        </w:rPr>
        <w:footnoteReference w:id="4"/>
      </w:r>
      <w:r w:rsidR="002A4B62" w:rsidRPr="00967C7D">
        <w:rPr>
          <w:rFonts w:ascii="Arial" w:hAnsi="Arial"/>
        </w:rPr>
        <w:t xml:space="preserve"> </w:t>
      </w:r>
      <w:r w:rsidR="00EE5FA0">
        <w:rPr>
          <w:rFonts w:ascii="Arial" w:hAnsi="Arial"/>
        </w:rPr>
        <w:t xml:space="preserve">With the advent of </w:t>
      </w:r>
      <w:r w:rsidR="003058B1">
        <w:rPr>
          <w:rFonts w:ascii="Arial" w:hAnsi="Arial"/>
        </w:rPr>
        <w:t>judicial case management in the High Court</w:t>
      </w:r>
      <w:r w:rsidR="006301F1">
        <w:rPr>
          <w:rFonts w:ascii="Arial" w:hAnsi="Arial"/>
        </w:rPr>
        <w:t xml:space="preserve"> of Namibia</w:t>
      </w:r>
      <w:r w:rsidR="003058B1">
        <w:rPr>
          <w:rFonts w:ascii="Arial" w:hAnsi="Arial"/>
        </w:rPr>
        <w:t xml:space="preserve">, </w:t>
      </w:r>
      <w:r w:rsidR="00C4352D">
        <w:rPr>
          <w:rFonts w:ascii="Arial" w:hAnsi="Arial"/>
        </w:rPr>
        <w:t xml:space="preserve">however, </w:t>
      </w:r>
      <w:r w:rsidR="003058B1">
        <w:rPr>
          <w:rFonts w:ascii="Arial" w:hAnsi="Arial"/>
        </w:rPr>
        <w:t>t</w:t>
      </w:r>
      <w:r w:rsidR="00CA0D70">
        <w:rPr>
          <w:rFonts w:ascii="Arial" w:hAnsi="Arial"/>
        </w:rPr>
        <w:t>his</w:t>
      </w:r>
      <w:r w:rsidR="003058B1">
        <w:rPr>
          <w:rFonts w:ascii="Arial" w:hAnsi="Arial"/>
        </w:rPr>
        <w:t xml:space="preserve"> principle is</w:t>
      </w:r>
      <w:r w:rsidR="005F260A">
        <w:rPr>
          <w:rFonts w:ascii="Arial" w:hAnsi="Arial"/>
        </w:rPr>
        <w:t xml:space="preserve"> now subject to the rider that the discretion whether or not to allow an amendment has to be exercised bearing in mind </w:t>
      </w:r>
      <w:r w:rsidR="0014225E">
        <w:rPr>
          <w:rFonts w:ascii="Arial" w:hAnsi="Arial"/>
        </w:rPr>
        <w:t>the ethos of judicial case management espoused in the Rules</w:t>
      </w:r>
      <w:r w:rsidR="00C46C2B">
        <w:rPr>
          <w:rFonts w:ascii="Arial" w:hAnsi="Arial"/>
        </w:rPr>
        <w:t xml:space="preserve"> and decided cases</w:t>
      </w:r>
      <w:r w:rsidR="0014225E">
        <w:rPr>
          <w:rFonts w:ascii="Arial" w:hAnsi="Arial"/>
        </w:rPr>
        <w:t>. Th</w:t>
      </w:r>
      <w:r w:rsidR="005F260A">
        <w:rPr>
          <w:rFonts w:ascii="Arial" w:hAnsi="Arial"/>
        </w:rPr>
        <w:t xml:space="preserve">is </w:t>
      </w:r>
      <w:r w:rsidR="0014225E">
        <w:rPr>
          <w:rFonts w:ascii="Arial" w:hAnsi="Arial"/>
        </w:rPr>
        <w:t>new approach has been</w:t>
      </w:r>
      <w:r w:rsidR="005D63FE">
        <w:rPr>
          <w:rFonts w:ascii="Arial" w:hAnsi="Arial"/>
        </w:rPr>
        <w:t xml:space="preserve"> </w:t>
      </w:r>
      <w:r w:rsidR="0014225E">
        <w:rPr>
          <w:rFonts w:ascii="Arial" w:hAnsi="Arial"/>
        </w:rPr>
        <w:t>st</w:t>
      </w:r>
      <w:r w:rsidR="005F260A">
        <w:rPr>
          <w:rFonts w:ascii="Arial" w:hAnsi="Arial"/>
        </w:rPr>
        <w:t>ated</w:t>
      </w:r>
      <w:r w:rsidR="0014225E">
        <w:rPr>
          <w:rFonts w:ascii="Arial" w:hAnsi="Arial"/>
        </w:rPr>
        <w:t xml:space="preserve"> </w:t>
      </w:r>
      <w:r w:rsidR="005F260A">
        <w:rPr>
          <w:rFonts w:ascii="Arial" w:hAnsi="Arial"/>
        </w:rPr>
        <w:t xml:space="preserve">by </w:t>
      </w:r>
      <w:r w:rsidR="005D63FE">
        <w:rPr>
          <w:rFonts w:ascii="Arial" w:hAnsi="Arial"/>
        </w:rPr>
        <w:t xml:space="preserve">the Full Bench of the High Court in </w:t>
      </w:r>
      <w:r w:rsidR="002A4B62" w:rsidRPr="005D63FE">
        <w:rPr>
          <w:rFonts w:ascii="Arial" w:hAnsi="Arial"/>
          <w:i/>
        </w:rPr>
        <w:t>I</w:t>
      </w:r>
      <w:r w:rsidR="00CA0D70" w:rsidRPr="005D63FE">
        <w:rPr>
          <w:rFonts w:ascii="Arial" w:hAnsi="Arial"/>
          <w:i/>
        </w:rPr>
        <w:t xml:space="preserve"> </w:t>
      </w:r>
      <w:r w:rsidR="002A4B62" w:rsidRPr="005D63FE">
        <w:rPr>
          <w:rFonts w:ascii="Arial" w:hAnsi="Arial"/>
          <w:i/>
        </w:rPr>
        <w:t xml:space="preserve">A Bell Equipment Company (Namibia) </w:t>
      </w:r>
      <w:r w:rsidR="00CA0D70" w:rsidRPr="005D63FE">
        <w:rPr>
          <w:rFonts w:ascii="Arial" w:hAnsi="Arial"/>
          <w:i/>
        </w:rPr>
        <w:t xml:space="preserve">(Pty) </w:t>
      </w:r>
      <w:r w:rsidR="002A4B62" w:rsidRPr="005D63FE">
        <w:rPr>
          <w:rFonts w:ascii="Arial" w:hAnsi="Arial"/>
          <w:i/>
        </w:rPr>
        <w:t>Ltd v Roadstone Quarries</w:t>
      </w:r>
      <w:r w:rsidR="002A4B62" w:rsidRPr="005D63FE">
        <w:rPr>
          <w:rFonts w:ascii="Arial" w:hAnsi="Arial"/>
        </w:rPr>
        <w:t xml:space="preserve"> </w:t>
      </w:r>
      <w:r w:rsidR="002A4B62" w:rsidRPr="005D63FE">
        <w:rPr>
          <w:rFonts w:ascii="Arial" w:hAnsi="Arial"/>
          <w:i/>
        </w:rPr>
        <w:t>CC</w:t>
      </w:r>
      <w:r w:rsidR="002A4B62">
        <w:rPr>
          <w:rStyle w:val="FootnoteReference"/>
          <w:rFonts w:ascii="Arial" w:hAnsi="Arial"/>
          <w:i/>
        </w:rPr>
        <w:footnoteReference w:id="5"/>
      </w:r>
      <w:r w:rsidR="002A4B62" w:rsidRPr="005D63FE">
        <w:rPr>
          <w:rFonts w:ascii="Arial" w:hAnsi="Arial"/>
        </w:rPr>
        <w:t xml:space="preserve"> </w:t>
      </w:r>
      <w:r w:rsidR="005D63FE">
        <w:rPr>
          <w:rFonts w:ascii="Arial" w:hAnsi="Arial"/>
        </w:rPr>
        <w:t xml:space="preserve">in the following </w:t>
      </w:r>
      <w:r w:rsidR="005F260A">
        <w:rPr>
          <w:rFonts w:ascii="Arial" w:hAnsi="Arial"/>
        </w:rPr>
        <w:t xml:space="preserve">ringing </w:t>
      </w:r>
      <w:r w:rsidR="005D63FE">
        <w:rPr>
          <w:rFonts w:ascii="Arial" w:hAnsi="Arial"/>
        </w:rPr>
        <w:t>terms</w:t>
      </w:r>
      <w:r w:rsidR="002A4B62" w:rsidRPr="005D63FE">
        <w:rPr>
          <w:rFonts w:ascii="Arial" w:hAnsi="Arial"/>
        </w:rPr>
        <w:t xml:space="preserve">: </w:t>
      </w:r>
    </w:p>
    <w:p w14:paraId="26B42508" w14:textId="77777777" w:rsidR="00107691" w:rsidRPr="00107691" w:rsidRDefault="00107691" w:rsidP="00356543">
      <w:pPr>
        <w:pStyle w:val="ListParagraph"/>
        <w:rPr>
          <w:rFonts w:ascii="Arial" w:hAnsi="Arial"/>
        </w:rPr>
      </w:pPr>
    </w:p>
    <w:p w14:paraId="7795823B" w14:textId="135E42E6" w:rsidR="00107691" w:rsidRDefault="00107691" w:rsidP="00356543">
      <w:pPr>
        <w:spacing w:line="360" w:lineRule="auto"/>
        <w:ind w:left="720"/>
        <w:jc w:val="both"/>
        <w:rPr>
          <w:rFonts w:ascii="Arial" w:hAnsi="Arial"/>
          <w:sz w:val="22"/>
          <w:szCs w:val="22"/>
        </w:rPr>
      </w:pPr>
      <w:r w:rsidRPr="00107691">
        <w:rPr>
          <w:rFonts w:ascii="Arial" w:hAnsi="Arial"/>
          <w:sz w:val="22"/>
          <w:szCs w:val="22"/>
        </w:rPr>
        <w:t>‘</w:t>
      </w:r>
      <w:r w:rsidR="002A4B62" w:rsidRPr="00107691">
        <w:rPr>
          <w:rFonts w:ascii="Arial" w:hAnsi="Arial"/>
          <w:sz w:val="22"/>
          <w:szCs w:val="22"/>
        </w:rPr>
        <w:t xml:space="preserve">The </w:t>
      </w:r>
      <w:r w:rsidR="0014225E">
        <w:rPr>
          <w:rFonts w:ascii="Arial" w:hAnsi="Arial"/>
          <w:sz w:val="22"/>
          <w:szCs w:val="22"/>
        </w:rPr>
        <w:t>changed position under the rules of court at the time the matter was argued and now is that an amendment may be granted at any stage of a proceeding and that the court has discretion in the matter, to be exercised judicially. The common law position that a party may amend at any stage of proceedings as long as prejudice does not operate to the prejudice of the opponent remains, save that, like every other procedural right, it is also subject to the objectives of the new judicial case management regime applicable in the High Court. That includes the imperative of speedy and inexpensive disposal of causes coming before the High Court.</w:t>
      </w:r>
      <w:r w:rsidR="007237F3">
        <w:rPr>
          <w:rFonts w:ascii="Arial" w:hAnsi="Arial"/>
          <w:sz w:val="22"/>
          <w:szCs w:val="22"/>
        </w:rPr>
        <w:t>’</w:t>
      </w:r>
      <w:r w:rsidR="00F04360">
        <w:rPr>
          <w:rStyle w:val="FootnoteReference"/>
          <w:rFonts w:ascii="Arial" w:hAnsi="Arial"/>
          <w:sz w:val="22"/>
          <w:szCs w:val="22"/>
        </w:rPr>
        <w:footnoteReference w:id="6"/>
      </w:r>
    </w:p>
    <w:p w14:paraId="0350E6A0" w14:textId="3DB2135C" w:rsidR="002A4B62" w:rsidRPr="00107691" w:rsidRDefault="002A4B62" w:rsidP="00356543">
      <w:pPr>
        <w:spacing w:line="480" w:lineRule="auto"/>
        <w:jc w:val="both"/>
        <w:rPr>
          <w:rFonts w:ascii="Arial" w:hAnsi="Arial"/>
          <w:sz w:val="22"/>
          <w:szCs w:val="22"/>
        </w:rPr>
      </w:pPr>
    </w:p>
    <w:p w14:paraId="3C907CDB" w14:textId="6A4DBF29" w:rsidR="00D51A09" w:rsidRPr="00D51A09" w:rsidRDefault="00456A29" w:rsidP="00356543">
      <w:pPr>
        <w:pStyle w:val="ListParagraph"/>
        <w:numPr>
          <w:ilvl w:val="0"/>
          <w:numId w:val="1"/>
        </w:numPr>
        <w:spacing w:line="480" w:lineRule="auto"/>
        <w:contextualSpacing w:val="0"/>
        <w:jc w:val="both"/>
        <w:rPr>
          <w:rFonts w:ascii="Arial" w:hAnsi="Arial"/>
        </w:rPr>
      </w:pPr>
      <w:r>
        <w:rPr>
          <w:rFonts w:ascii="Arial" w:hAnsi="Arial"/>
        </w:rPr>
        <w:lastRenderedPageBreak/>
        <w:t>I</w:t>
      </w:r>
      <w:r w:rsidR="00C23306">
        <w:rPr>
          <w:rFonts w:ascii="Arial" w:hAnsi="Arial"/>
        </w:rPr>
        <w:t xml:space="preserve">t is </w:t>
      </w:r>
      <w:r w:rsidR="009E508E">
        <w:rPr>
          <w:rFonts w:ascii="Arial" w:hAnsi="Arial"/>
        </w:rPr>
        <w:t xml:space="preserve">abundantly </w:t>
      </w:r>
      <w:r w:rsidR="00C23306">
        <w:rPr>
          <w:rFonts w:ascii="Arial" w:hAnsi="Arial"/>
        </w:rPr>
        <w:t xml:space="preserve">clear that in the present case, </w:t>
      </w:r>
      <w:r w:rsidR="0090557B">
        <w:rPr>
          <w:rFonts w:ascii="Arial" w:hAnsi="Arial"/>
        </w:rPr>
        <w:t xml:space="preserve">the </w:t>
      </w:r>
      <w:r w:rsidR="00F04360">
        <w:rPr>
          <w:rFonts w:ascii="Arial" w:hAnsi="Arial"/>
        </w:rPr>
        <w:t xml:space="preserve">court below </w:t>
      </w:r>
      <w:r w:rsidR="0090557B">
        <w:rPr>
          <w:rFonts w:ascii="Arial" w:hAnsi="Arial"/>
        </w:rPr>
        <w:t xml:space="preserve">sought to </w:t>
      </w:r>
      <w:r w:rsidR="00C23306">
        <w:rPr>
          <w:rFonts w:ascii="Arial" w:hAnsi="Arial"/>
        </w:rPr>
        <w:t xml:space="preserve">advance the ethos of case management </w:t>
      </w:r>
      <w:r w:rsidR="0090557B">
        <w:rPr>
          <w:rFonts w:ascii="Arial" w:hAnsi="Arial"/>
        </w:rPr>
        <w:t xml:space="preserve">in </w:t>
      </w:r>
      <w:r w:rsidR="00C23306">
        <w:rPr>
          <w:rFonts w:ascii="Arial" w:hAnsi="Arial"/>
        </w:rPr>
        <w:t xml:space="preserve">its </w:t>
      </w:r>
      <w:r w:rsidR="0090557B">
        <w:rPr>
          <w:rFonts w:ascii="Arial" w:hAnsi="Arial"/>
        </w:rPr>
        <w:t>interpretation of the matter before it</w:t>
      </w:r>
      <w:r w:rsidR="00C23306">
        <w:rPr>
          <w:rFonts w:ascii="Arial" w:hAnsi="Arial"/>
        </w:rPr>
        <w:t xml:space="preserve">. The fundamental question </w:t>
      </w:r>
      <w:r w:rsidR="0090557B">
        <w:rPr>
          <w:rFonts w:ascii="Arial" w:hAnsi="Arial"/>
        </w:rPr>
        <w:t xml:space="preserve">is </w:t>
      </w:r>
      <w:r w:rsidR="00C23306">
        <w:rPr>
          <w:rFonts w:ascii="Arial" w:hAnsi="Arial"/>
        </w:rPr>
        <w:t xml:space="preserve">whether </w:t>
      </w:r>
      <w:r w:rsidR="0090557B">
        <w:rPr>
          <w:rFonts w:ascii="Arial" w:hAnsi="Arial"/>
        </w:rPr>
        <w:t xml:space="preserve">it </w:t>
      </w:r>
      <w:r w:rsidR="00C23306">
        <w:rPr>
          <w:rFonts w:ascii="Arial" w:hAnsi="Arial"/>
        </w:rPr>
        <w:t xml:space="preserve">was </w:t>
      </w:r>
      <w:r w:rsidR="0090557B">
        <w:rPr>
          <w:rFonts w:ascii="Arial" w:hAnsi="Arial"/>
        </w:rPr>
        <w:t xml:space="preserve">correct in its approach </w:t>
      </w:r>
      <w:r w:rsidR="00C4352D">
        <w:rPr>
          <w:rFonts w:ascii="Arial" w:hAnsi="Arial"/>
        </w:rPr>
        <w:t xml:space="preserve">on the facts of </w:t>
      </w:r>
      <w:r w:rsidR="0090557B">
        <w:rPr>
          <w:rFonts w:ascii="Arial" w:hAnsi="Arial"/>
        </w:rPr>
        <w:t xml:space="preserve">the matter? </w:t>
      </w:r>
      <w:r w:rsidR="00DE28C0">
        <w:rPr>
          <w:rFonts w:ascii="Arial" w:hAnsi="Arial"/>
        </w:rPr>
        <w:t>The procedure for a</w:t>
      </w:r>
      <w:r w:rsidR="0090557B">
        <w:rPr>
          <w:rFonts w:ascii="Arial" w:hAnsi="Arial"/>
        </w:rPr>
        <w:t>mend</w:t>
      </w:r>
      <w:r w:rsidR="00F226DA">
        <w:rPr>
          <w:rFonts w:ascii="Arial" w:hAnsi="Arial"/>
        </w:rPr>
        <w:t>ing</w:t>
      </w:r>
      <w:r w:rsidR="0090557B">
        <w:rPr>
          <w:rFonts w:ascii="Arial" w:hAnsi="Arial"/>
        </w:rPr>
        <w:t xml:space="preserve"> </w:t>
      </w:r>
      <w:r w:rsidR="00D43458">
        <w:rPr>
          <w:rFonts w:ascii="Arial" w:hAnsi="Arial"/>
        </w:rPr>
        <w:t xml:space="preserve">a </w:t>
      </w:r>
      <w:r w:rsidR="00DE28C0">
        <w:rPr>
          <w:rFonts w:ascii="Arial" w:hAnsi="Arial"/>
        </w:rPr>
        <w:t xml:space="preserve">pleading or document is </w:t>
      </w:r>
      <w:r w:rsidR="0090557B">
        <w:rPr>
          <w:rFonts w:ascii="Arial" w:hAnsi="Arial"/>
        </w:rPr>
        <w:t>pri</w:t>
      </w:r>
      <w:r w:rsidR="00DE28C0">
        <w:rPr>
          <w:rFonts w:ascii="Arial" w:hAnsi="Arial"/>
        </w:rPr>
        <w:t>mar</w:t>
      </w:r>
      <w:r w:rsidR="0090557B">
        <w:rPr>
          <w:rFonts w:ascii="Arial" w:hAnsi="Arial"/>
        </w:rPr>
        <w:t xml:space="preserve">ily </w:t>
      </w:r>
      <w:r w:rsidR="00DE28C0">
        <w:rPr>
          <w:rFonts w:ascii="Arial" w:hAnsi="Arial"/>
        </w:rPr>
        <w:t xml:space="preserve">governed by the provisions of </w:t>
      </w:r>
      <w:r w:rsidR="0090557B">
        <w:rPr>
          <w:rFonts w:ascii="Arial" w:hAnsi="Arial"/>
        </w:rPr>
        <w:t>rule 52</w:t>
      </w:r>
      <w:r w:rsidR="00DE28C0">
        <w:rPr>
          <w:rFonts w:ascii="Arial" w:hAnsi="Arial"/>
        </w:rPr>
        <w:t xml:space="preserve"> of the Rules</w:t>
      </w:r>
      <w:r w:rsidR="0090557B">
        <w:rPr>
          <w:rFonts w:ascii="Arial" w:hAnsi="Arial"/>
        </w:rPr>
        <w:t xml:space="preserve">. </w:t>
      </w:r>
      <w:r w:rsidR="002A4B62">
        <w:rPr>
          <w:rFonts w:ascii="Arial" w:hAnsi="Arial"/>
        </w:rPr>
        <w:t>Th</w:t>
      </w:r>
      <w:r w:rsidR="0090557B">
        <w:rPr>
          <w:rFonts w:ascii="Arial" w:hAnsi="Arial"/>
        </w:rPr>
        <w:t>e rule provides in the relevant parts as follows:</w:t>
      </w:r>
      <w:r w:rsidR="00EA0C4A">
        <w:rPr>
          <w:rFonts w:ascii="Arial" w:hAnsi="Arial"/>
        </w:rPr>
        <w:t xml:space="preserve"> </w:t>
      </w:r>
    </w:p>
    <w:p w14:paraId="7EE777AA" w14:textId="77777777" w:rsidR="00D51A09" w:rsidRDefault="00D51A09" w:rsidP="00356543">
      <w:pPr>
        <w:spacing w:line="480" w:lineRule="auto"/>
        <w:ind w:left="720"/>
        <w:jc w:val="both"/>
        <w:rPr>
          <w:rFonts w:ascii="Arial" w:hAnsi="Arial"/>
          <w:sz w:val="22"/>
          <w:szCs w:val="22"/>
        </w:rPr>
      </w:pPr>
    </w:p>
    <w:p w14:paraId="49E16FBB" w14:textId="53CF950A" w:rsidR="0090557B" w:rsidRPr="00DE28C0" w:rsidRDefault="00356543" w:rsidP="00356543">
      <w:pPr>
        <w:spacing w:line="360" w:lineRule="auto"/>
        <w:ind w:left="1440" w:hanging="720"/>
        <w:jc w:val="both"/>
        <w:rPr>
          <w:rFonts w:ascii="Arial" w:hAnsi="Arial"/>
          <w:sz w:val="22"/>
          <w:szCs w:val="22"/>
        </w:rPr>
      </w:pPr>
      <w:r>
        <w:rPr>
          <w:rFonts w:ascii="Arial" w:hAnsi="Arial"/>
          <w:sz w:val="22"/>
          <w:szCs w:val="22"/>
        </w:rPr>
        <w:t>‘(1)</w:t>
      </w:r>
      <w:r>
        <w:rPr>
          <w:rFonts w:ascii="Arial" w:hAnsi="Arial"/>
          <w:sz w:val="22"/>
          <w:szCs w:val="22"/>
        </w:rPr>
        <w:tab/>
      </w:r>
      <w:r w:rsidR="0090557B" w:rsidRPr="00DE28C0">
        <w:rPr>
          <w:rFonts w:ascii="Arial" w:hAnsi="Arial"/>
          <w:sz w:val="22"/>
          <w:szCs w:val="22"/>
        </w:rPr>
        <w:t>A party desiring to amend a pleading or document filed in connection with a proceeding must give notice to all other parties to the proceeding and the managing judge of his or he</w:t>
      </w:r>
      <w:r w:rsidR="00DE28C0" w:rsidRPr="00DE28C0">
        <w:rPr>
          <w:rFonts w:ascii="Arial" w:hAnsi="Arial"/>
          <w:sz w:val="22"/>
          <w:szCs w:val="22"/>
        </w:rPr>
        <w:t>r</w:t>
      </w:r>
      <w:r w:rsidR="0090557B" w:rsidRPr="00DE28C0">
        <w:rPr>
          <w:rFonts w:ascii="Arial" w:hAnsi="Arial"/>
          <w:sz w:val="22"/>
          <w:szCs w:val="22"/>
        </w:rPr>
        <w:t xml:space="preserve"> intention to ame</w:t>
      </w:r>
      <w:r w:rsidR="00DE28C0" w:rsidRPr="00DE28C0">
        <w:rPr>
          <w:rFonts w:ascii="Arial" w:hAnsi="Arial"/>
          <w:sz w:val="22"/>
          <w:szCs w:val="22"/>
        </w:rPr>
        <w:t>n</w:t>
      </w:r>
      <w:r w:rsidR="0090557B" w:rsidRPr="00DE28C0">
        <w:rPr>
          <w:rFonts w:ascii="Arial" w:hAnsi="Arial"/>
          <w:sz w:val="22"/>
          <w:szCs w:val="22"/>
        </w:rPr>
        <w:t xml:space="preserve">d. </w:t>
      </w:r>
    </w:p>
    <w:p w14:paraId="7FD53D5C" w14:textId="77777777" w:rsidR="00D51A09" w:rsidRDefault="00D51A09" w:rsidP="00356543">
      <w:pPr>
        <w:spacing w:line="360" w:lineRule="auto"/>
        <w:ind w:left="720"/>
        <w:jc w:val="both"/>
        <w:rPr>
          <w:rFonts w:ascii="Arial" w:hAnsi="Arial"/>
          <w:sz w:val="22"/>
          <w:szCs w:val="22"/>
        </w:rPr>
      </w:pPr>
    </w:p>
    <w:p w14:paraId="4B221256" w14:textId="4AAAC414" w:rsidR="0090557B" w:rsidRPr="00DE28C0" w:rsidRDefault="00356543" w:rsidP="00356543">
      <w:pPr>
        <w:spacing w:line="360" w:lineRule="auto"/>
        <w:ind w:left="1440" w:hanging="720"/>
        <w:jc w:val="both"/>
        <w:rPr>
          <w:rFonts w:ascii="Arial" w:hAnsi="Arial"/>
          <w:sz w:val="22"/>
          <w:szCs w:val="22"/>
        </w:rPr>
      </w:pPr>
      <w:r>
        <w:rPr>
          <w:rFonts w:ascii="Arial" w:hAnsi="Arial"/>
          <w:sz w:val="22"/>
          <w:szCs w:val="22"/>
        </w:rPr>
        <w:t>(2)</w:t>
      </w:r>
      <w:r>
        <w:rPr>
          <w:rFonts w:ascii="Arial" w:hAnsi="Arial"/>
          <w:sz w:val="22"/>
          <w:szCs w:val="22"/>
        </w:rPr>
        <w:tab/>
      </w:r>
      <w:r w:rsidR="0090557B" w:rsidRPr="00DE28C0">
        <w:rPr>
          <w:rFonts w:ascii="Arial" w:hAnsi="Arial"/>
          <w:sz w:val="22"/>
          <w:szCs w:val="22"/>
        </w:rPr>
        <w:t>A</w:t>
      </w:r>
      <w:r w:rsidR="00DE28C0" w:rsidRPr="00DE28C0">
        <w:rPr>
          <w:rFonts w:ascii="Arial" w:hAnsi="Arial"/>
          <w:sz w:val="22"/>
          <w:szCs w:val="22"/>
        </w:rPr>
        <w:t xml:space="preserve"> </w:t>
      </w:r>
      <w:r w:rsidR="0090557B" w:rsidRPr="00DE28C0">
        <w:rPr>
          <w:rFonts w:ascii="Arial" w:hAnsi="Arial"/>
          <w:sz w:val="22"/>
          <w:szCs w:val="22"/>
        </w:rPr>
        <w:t>n</w:t>
      </w:r>
      <w:r w:rsidR="00DE28C0" w:rsidRPr="00DE28C0">
        <w:rPr>
          <w:rFonts w:ascii="Arial" w:hAnsi="Arial"/>
          <w:sz w:val="22"/>
          <w:szCs w:val="22"/>
        </w:rPr>
        <w:t>o</w:t>
      </w:r>
      <w:r w:rsidR="0090557B" w:rsidRPr="00DE28C0">
        <w:rPr>
          <w:rFonts w:ascii="Arial" w:hAnsi="Arial"/>
          <w:sz w:val="22"/>
          <w:szCs w:val="22"/>
        </w:rPr>
        <w:t>ti</w:t>
      </w:r>
      <w:r w:rsidR="00DE28C0" w:rsidRPr="00DE28C0">
        <w:rPr>
          <w:rFonts w:ascii="Arial" w:hAnsi="Arial"/>
          <w:sz w:val="22"/>
          <w:szCs w:val="22"/>
        </w:rPr>
        <w:t>c</w:t>
      </w:r>
      <w:r w:rsidR="0090557B" w:rsidRPr="00DE28C0">
        <w:rPr>
          <w:rFonts w:ascii="Arial" w:hAnsi="Arial"/>
          <w:sz w:val="22"/>
          <w:szCs w:val="22"/>
        </w:rPr>
        <w:t>e</w:t>
      </w:r>
      <w:r w:rsidR="00DE28C0" w:rsidRPr="00DE28C0">
        <w:rPr>
          <w:rFonts w:ascii="Arial" w:hAnsi="Arial"/>
          <w:sz w:val="22"/>
          <w:szCs w:val="22"/>
        </w:rPr>
        <w:t xml:space="preserve"> </w:t>
      </w:r>
      <w:r w:rsidR="0090557B" w:rsidRPr="00DE28C0">
        <w:rPr>
          <w:rFonts w:ascii="Arial" w:hAnsi="Arial"/>
          <w:sz w:val="22"/>
          <w:szCs w:val="22"/>
        </w:rPr>
        <w:t>re</w:t>
      </w:r>
      <w:r w:rsidR="00DE28C0" w:rsidRPr="00DE28C0">
        <w:rPr>
          <w:rFonts w:ascii="Arial" w:hAnsi="Arial"/>
          <w:sz w:val="22"/>
          <w:szCs w:val="22"/>
        </w:rPr>
        <w:t>ferred</w:t>
      </w:r>
      <w:r w:rsidR="0090557B" w:rsidRPr="00DE28C0">
        <w:rPr>
          <w:rFonts w:ascii="Arial" w:hAnsi="Arial"/>
          <w:sz w:val="22"/>
          <w:szCs w:val="22"/>
        </w:rPr>
        <w:t xml:space="preserve"> to in </w:t>
      </w:r>
      <w:r w:rsidR="00B21AE0" w:rsidRPr="00DE28C0">
        <w:rPr>
          <w:rFonts w:ascii="Arial" w:hAnsi="Arial"/>
          <w:sz w:val="22"/>
          <w:szCs w:val="22"/>
        </w:rPr>
        <w:t>sub rule</w:t>
      </w:r>
      <w:r w:rsidR="0090557B" w:rsidRPr="00DE28C0">
        <w:rPr>
          <w:rFonts w:ascii="Arial" w:hAnsi="Arial"/>
          <w:sz w:val="22"/>
          <w:szCs w:val="22"/>
        </w:rPr>
        <w:t xml:space="preserve"> (</w:t>
      </w:r>
      <w:r w:rsidR="00DE28C0" w:rsidRPr="00DE28C0">
        <w:rPr>
          <w:rFonts w:ascii="Arial" w:hAnsi="Arial"/>
          <w:sz w:val="22"/>
          <w:szCs w:val="22"/>
        </w:rPr>
        <w:t>1</w:t>
      </w:r>
      <w:r w:rsidR="0090557B" w:rsidRPr="00DE28C0">
        <w:rPr>
          <w:rFonts w:ascii="Arial" w:hAnsi="Arial"/>
          <w:sz w:val="22"/>
          <w:szCs w:val="22"/>
        </w:rPr>
        <w:t xml:space="preserve">) must state that unless objection in writing to the </w:t>
      </w:r>
      <w:r w:rsidR="00DE28C0" w:rsidRPr="00DE28C0">
        <w:rPr>
          <w:rFonts w:ascii="Arial" w:hAnsi="Arial"/>
          <w:sz w:val="22"/>
          <w:szCs w:val="22"/>
        </w:rPr>
        <w:t>p</w:t>
      </w:r>
      <w:r w:rsidR="0090557B" w:rsidRPr="00DE28C0">
        <w:rPr>
          <w:rFonts w:ascii="Arial" w:hAnsi="Arial"/>
          <w:sz w:val="22"/>
          <w:szCs w:val="22"/>
        </w:rPr>
        <w:t>ro</w:t>
      </w:r>
      <w:r w:rsidR="00DE28C0" w:rsidRPr="00DE28C0">
        <w:rPr>
          <w:rFonts w:ascii="Arial" w:hAnsi="Arial"/>
          <w:sz w:val="22"/>
          <w:szCs w:val="22"/>
        </w:rPr>
        <w:t>p</w:t>
      </w:r>
      <w:r w:rsidR="0090557B" w:rsidRPr="00DE28C0">
        <w:rPr>
          <w:rFonts w:ascii="Arial" w:hAnsi="Arial"/>
          <w:sz w:val="22"/>
          <w:szCs w:val="22"/>
        </w:rPr>
        <w:t>osed amendment is made within 10 da</w:t>
      </w:r>
      <w:r w:rsidR="00DE28C0" w:rsidRPr="00DE28C0">
        <w:rPr>
          <w:rFonts w:ascii="Arial" w:hAnsi="Arial"/>
          <w:sz w:val="22"/>
          <w:szCs w:val="22"/>
        </w:rPr>
        <w:t>y</w:t>
      </w:r>
      <w:r w:rsidR="0090557B" w:rsidRPr="00DE28C0">
        <w:rPr>
          <w:rFonts w:ascii="Arial" w:hAnsi="Arial"/>
          <w:sz w:val="22"/>
          <w:szCs w:val="22"/>
        </w:rPr>
        <w:t>s</w:t>
      </w:r>
      <w:r w:rsidR="00DE28C0" w:rsidRPr="00DE28C0">
        <w:rPr>
          <w:rFonts w:ascii="Arial" w:hAnsi="Arial"/>
          <w:sz w:val="22"/>
          <w:szCs w:val="22"/>
        </w:rPr>
        <w:t>,</w:t>
      </w:r>
      <w:r w:rsidR="0090557B" w:rsidRPr="00DE28C0">
        <w:rPr>
          <w:rFonts w:ascii="Arial" w:hAnsi="Arial"/>
          <w:sz w:val="22"/>
          <w:szCs w:val="22"/>
        </w:rPr>
        <w:t xml:space="preserve"> </w:t>
      </w:r>
      <w:r w:rsidR="00DE28C0" w:rsidRPr="00DE28C0">
        <w:rPr>
          <w:rFonts w:ascii="Arial" w:hAnsi="Arial"/>
          <w:sz w:val="22"/>
          <w:szCs w:val="22"/>
        </w:rPr>
        <w:t>t</w:t>
      </w:r>
      <w:r w:rsidR="0090557B" w:rsidRPr="00DE28C0">
        <w:rPr>
          <w:rFonts w:ascii="Arial" w:hAnsi="Arial"/>
          <w:sz w:val="22"/>
          <w:szCs w:val="22"/>
        </w:rPr>
        <w:t xml:space="preserve">he party </w:t>
      </w:r>
      <w:r w:rsidR="00DE28C0" w:rsidRPr="00DE28C0">
        <w:rPr>
          <w:rFonts w:ascii="Arial" w:hAnsi="Arial"/>
          <w:sz w:val="22"/>
          <w:szCs w:val="22"/>
        </w:rPr>
        <w:t xml:space="preserve">giving </w:t>
      </w:r>
      <w:r w:rsidR="0090557B" w:rsidRPr="00DE28C0">
        <w:rPr>
          <w:rFonts w:ascii="Arial" w:hAnsi="Arial"/>
          <w:sz w:val="22"/>
          <w:szCs w:val="22"/>
        </w:rPr>
        <w:t xml:space="preserve">the notice will amend the pleading or document in question accordingly. </w:t>
      </w:r>
    </w:p>
    <w:p w14:paraId="33FF76BB" w14:textId="77777777" w:rsidR="00D51A09" w:rsidRDefault="00D51A09" w:rsidP="00356543">
      <w:pPr>
        <w:spacing w:line="360" w:lineRule="auto"/>
        <w:ind w:left="720"/>
        <w:jc w:val="both"/>
        <w:rPr>
          <w:rFonts w:ascii="Arial" w:hAnsi="Arial"/>
          <w:sz w:val="22"/>
          <w:szCs w:val="22"/>
        </w:rPr>
      </w:pPr>
    </w:p>
    <w:p w14:paraId="20DDA15C" w14:textId="3715EA66" w:rsidR="0090557B" w:rsidRPr="00DE28C0" w:rsidRDefault="0090557B" w:rsidP="00356543">
      <w:pPr>
        <w:spacing w:line="360" w:lineRule="auto"/>
        <w:ind w:left="1440" w:hanging="720"/>
        <w:jc w:val="both"/>
        <w:rPr>
          <w:rFonts w:ascii="Arial" w:hAnsi="Arial"/>
          <w:sz w:val="22"/>
          <w:szCs w:val="22"/>
        </w:rPr>
      </w:pPr>
      <w:r w:rsidRPr="00DE28C0">
        <w:rPr>
          <w:rFonts w:ascii="Arial" w:hAnsi="Arial"/>
          <w:sz w:val="22"/>
          <w:szCs w:val="22"/>
        </w:rPr>
        <w:t>(3)</w:t>
      </w:r>
      <w:r w:rsidR="00356543">
        <w:rPr>
          <w:rFonts w:ascii="Arial" w:hAnsi="Arial"/>
          <w:sz w:val="22"/>
          <w:szCs w:val="22"/>
        </w:rPr>
        <w:tab/>
      </w:r>
      <w:r w:rsidRPr="00DE28C0">
        <w:rPr>
          <w:rFonts w:ascii="Arial" w:hAnsi="Arial"/>
          <w:sz w:val="22"/>
          <w:szCs w:val="22"/>
        </w:rPr>
        <w:t>If no objection in writing is made the party receiving the notice is considered as having agreed to the amendme</w:t>
      </w:r>
      <w:r w:rsidR="00DE28C0" w:rsidRPr="00DE28C0">
        <w:rPr>
          <w:rFonts w:ascii="Arial" w:hAnsi="Arial"/>
          <w:sz w:val="22"/>
          <w:szCs w:val="22"/>
        </w:rPr>
        <w:t>nt.</w:t>
      </w:r>
      <w:r w:rsidRPr="00DE28C0">
        <w:rPr>
          <w:rFonts w:ascii="Arial" w:hAnsi="Arial"/>
          <w:sz w:val="22"/>
          <w:szCs w:val="22"/>
        </w:rPr>
        <w:t xml:space="preserve"> </w:t>
      </w:r>
    </w:p>
    <w:p w14:paraId="0EF1D1D1" w14:textId="77777777" w:rsidR="00D51A09" w:rsidRDefault="00D51A09" w:rsidP="00356543">
      <w:pPr>
        <w:spacing w:line="360" w:lineRule="auto"/>
        <w:ind w:left="720"/>
        <w:jc w:val="both"/>
        <w:rPr>
          <w:rFonts w:ascii="Arial" w:hAnsi="Arial"/>
          <w:sz w:val="22"/>
          <w:szCs w:val="22"/>
        </w:rPr>
      </w:pPr>
    </w:p>
    <w:p w14:paraId="4DA04952" w14:textId="22B855E7" w:rsidR="0090557B" w:rsidRPr="00DE28C0" w:rsidRDefault="00DE28C0" w:rsidP="00356543">
      <w:pPr>
        <w:spacing w:line="360" w:lineRule="auto"/>
        <w:ind w:left="1440" w:hanging="720"/>
        <w:jc w:val="both"/>
        <w:rPr>
          <w:rFonts w:ascii="Arial" w:hAnsi="Arial"/>
          <w:sz w:val="22"/>
          <w:szCs w:val="22"/>
        </w:rPr>
      </w:pPr>
      <w:r w:rsidRPr="00DE28C0">
        <w:rPr>
          <w:rFonts w:ascii="Arial" w:hAnsi="Arial"/>
          <w:sz w:val="22"/>
          <w:szCs w:val="22"/>
        </w:rPr>
        <w:t>(</w:t>
      </w:r>
      <w:r w:rsidR="0090557B" w:rsidRPr="00DE28C0">
        <w:rPr>
          <w:rFonts w:ascii="Arial" w:hAnsi="Arial"/>
          <w:sz w:val="22"/>
          <w:szCs w:val="22"/>
        </w:rPr>
        <w:t>4)</w:t>
      </w:r>
      <w:r w:rsidR="00356543">
        <w:rPr>
          <w:rFonts w:ascii="Arial" w:hAnsi="Arial"/>
          <w:sz w:val="22"/>
          <w:szCs w:val="22"/>
        </w:rPr>
        <w:tab/>
      </w:r>
      <w:r w:rsidR="0090557B" w:rsidRPr="00DE28C0">
        <w:rPr>
          <w:rFonts w:ascii="Arial" w:hAnsi="Arial"/>
          <w:sz w:val="22"/>
          <w:szCs w:val="22"/>
        </w:rPr>
        <w:t xml:space="preserve">If objection in writing is made within the period referred to in </w:t>
      </w:r>
      <w:r w:rsidR="00B21AE0" w:rsidRPr="00DE28C0">
        <w:rPr>
          <w:rFonts w:ascii="Arial" w:hAnsi="Arial"/>
          <w:sz w:val="22"/>
          <w:szCs w:val="22"/>
        </w:rPr>
        <w:t>sub rule</w:t>
      </w:r>
      <w:r w:rsidR="0090557B" w:rsidRPr="00DE28C0">
        <w:rPr>
          <w:rFonts w:ascii="Arial" w:hAnsi="Arial"/>
          <w:sz w:val="22"/>
          <w:szCs w:val="22"/>
        </w:rPr>
        <w:t xml:space="preserve"> (2), which objection </w:t>
      </w:r>
      <w:r w:rsidRPr="00DE28C0">
        <w:rPr>
          <w:rFonts w:ascii="Arial" w:hAnsi="Arial"/>
          <w:sz w:val="22"/>
          <w:szCs w:val="22"/>
        </w:rPr>
        <w:t>m</w:t>
      </w:r>
      <w:r w:rsidR="0090557B" w:rsidRPr="00DE28C0">
        <w:rPr>
          <w:rFonts w:ascii="Arial" w:hAnsi="Arial"/>
          <w:sz w:val="22"/>
          <w:szCs w:val="22"/>
        </w:rPr>
        <w:t>ust clearly and concisely state the grounds on which it is founded, the party desiring to pursue the amendment must within 10 days after receipt of the objection apply to the managing judge for leave to amend.</w:t>
      </w:r>
      <w:r>
        <w:rPr>
          <w:rFonts w:ascii="Arial" w:hAnsi="Arial"/>
          <w:sz w:val="22"/>
          <w:szCs w:val="22"/>
        </w:rPr>
        <w:t>’</w:t>
      </w:r>
      <w:r w:rsidR="0090557B" w:rsidRPr="00DE28C0">
        <w:rPr>
          <w:rFonts w:ascii="Arial" w:hAnsi="Arial"/>
          <w:sz w:val="22"/>
          <w:szCs w:val="22"/>
        </w:rPr>
        <w:t xml:space="preserve"> </w:t>
      </w:r>
    </w:p>
    <w:p w14:paraId="6BC8B0AE" w14:textId="77777777" w:rsidR="00DE28C0" w:rsidRPr="0090557B" w:rsidRDefault="00DE28C0" w:rsidP="00356543">
      <w:pPr>
        <w:spacing w:line="480" w:lineRule="auto"/>
        <w:jc w:val="both"/>
        <w:rPr>
          <w:rFonts w:ascii="Arial" w:hAnsi="Arial"/>
        </w:rPr>
      </w:pPr>
    </w:p>
    <w:p w14:paraId="611ED191" w14:textId="03126832" w:rsidR="001B01E8" w:rsidRDefault="0090557B" w:rsidP="00356543">
      <w:pPr>
        <w:pStyle w:val="ListParagraph"/>
        <w:numPr>
          <w:ilvl w:val="0"/>
          <w:numId w:val="1"/>
        </w:numPr>
        <w:spacing w:line="480" w:lineRule="auto"/>
        <w:jc w:val="both"/>
        <w:rPr>
          <w:rFonts w:ascii="Arial" w:hAnsi="Arial"/>
        </w:rPr>
      </w:pPr>
      <w:r w:rsidRPr="00D51A09">
        <w:rPr>
          <w:rFonts w:ascii="Arial" w:hAnsi="Arial"/>
        </w:rPr>
        <w:t>T</w:t>
      </w:r>
      <w:r w:rsidR="00EA0C4A" w:rsidRPr="00D51A09">
        <w:rPr>
          <w:rFonts w:ascii="Arial" w:hAnsi="Arial"/>
        </w:rPr>
        <w:t xml:space="preserve">he </w:t>
      </w:r>
      <w:r w:rsidR="002A4B62" w:rsidRPr="00D51A09">
        <w:rPr>
          <w:rFonts w:ascii="Arial" w:hAnsi="Arial"/>
        </w:rPr>
        <w:t xml:space="preserve">provisions of the rule are plain and </w:t>
      </w:r>
      <w:r w:rsidRPr="00D51A09">
        <w:rPr>
          <w:rFonts w:ascii="Arial" w:hAnsi="Arial"/>
        </w:rPr>
        <w:t xml:space="preserve">ordinarily </w:t>
      </w:r>
      <w:r w:rsidR="002A4B62" w:rsidRPr="00D51A09">
        <w:rPr>
          <w:rFonts w:ascii="Arial" w:hAnsi="Arial"/>
        </w:rPr>
        <w:t xml:space="preserve">prescribe a </w:t>
      </w:r>
      <w:r w:rsidR="00D51A09" w:rsidRPr="00D51A09">
        <w:rPr>
          <w:rFonts w:ascii="Arial" w:hAnsi="Arial"/>
        </w:rPr>
        <w:t xml:space="preserve">self-contained </w:t>
      </w:r>
      <w:r w:rsidR="002A4B62" w:rsidRPr="00D51A09">
        <w:rPr>
          <w:rFonts w:ascii="Arial" w:hAnsi="Arial"/>
        </w:rPr>
        <w:t>process</w:t>
      </w:r>
      <w:r w:rsidR="00D51A09" w:rsidRPr="00D51A09">
        <w:rPr>
          <w:rFonts w:ascii="Arial" w:hAnsi="Arial"/>
        </w:rPr>
        <w:t xml:space="preserve"> </w:t>
      </w:r>
      <w:r w:rsidR="00D51A09">
        <w:rPr>
          <w:rFonts w:ascii="Arial" w:hAnsi="Arial"/>
        </w:rPr>
        <w:t xml:space="preserve">that may be paraphrased </w:t>
      </w:r>
      <w:r w:rsidR="00D51A09" w:rsidRPr="00D51A09">
        <w:rPr>
          <w:rFonts w:ascii="Arial" w:hAnsi="Arial"/>
        </w:rPr>
        <w:t>as follows</w:t>
      </w:r>
      <w:r w:rsidR="002A4B62" w:rsidRPr="00D51A09">
        <w:rPr>
          <w:rFonts w:ascii="Arial" w:hAnsi="Arial"/>
        </w:rPr>
        <w:t xml:space="preserve">: </w:t>
      </w:r>
      <w:r w:rsidR="00D51A09" w:rsidRPr="00D51A09">
        <w:rPr>
          <w:rFonts w:ascii="Arial" w:hAnsi="Arial"/>
        </w:rPr>
        <w:t xml:space="preserve">A party desiring to amend a pleading or document filed in respect of a proceeding must give notice of the intention to amend to </w:t>
      </w:r>
      <w:r w:rsidR="00D51A09">
        <w:rPr>
          <w:rFonts w:ascii="Arial" w:hAnsi="Arial"/>
        </w:rPr>
        <w:t>the</w:t>
      </w:r>
      <w:r w:rsidR="00D51A09" w:rsidRPr="00D51A09">
        <w:rPr>
          <w:rFonts w:ascii="Arial" w:hAnsi="Arial"/>
        </w:rPr>
        <w:t xml:space="preserve"> affected </w:t>
      </w:r>
      <w:r w:rsidR="00D51A09">
        <w:rPr>
          <w:rFonts w:ascii="Arial" w:hAnsi="Arial"/>
        </w:rPr>
        <w:t xml:space="preserve">party or </w:t>
      </w:r>
      <w:r w:rsidR="00D51A09" w:rsidRPr="00D51A09">
        <w:rPr>
          <w:rFonts w:ascii="Arial" w:hAnsi="Arial"/>
        </w:rPr>
        <w:t>parties and the managing judge; the notice must state that unless objection in writing to the proposed amendment is made within 10 days, an amendment will be made. If no objection in writing is made</w:t>
      </w:r>
      <w:r w:rsidR="00D51A09">
        <w:rPr>
          <w:rFonts w:ascii="Arial" w:hAnsi="Arial"/>
        </w:rPr>
        <w:t xml:space="preserve"> within the prescribed </w:t>
      </w:r>
      <w:r w:rsidR="00D51A09">
        <w:rPr>
          <w:rFonts w:ascii="Arial" w:hAnsi="Arial"/>
        </w:rPr>
        <w:lastRenderedPageBreak/>
        <w:t>period</w:t>
      </w:r>
      <w:r w:rsidR="00D51A09" w:rsidRPr="00D51A09">
        <w:rPr>
          <w:rFonts w:ascii="Arial" w:hAnsi="Arial"/>
        </w:rPr>
        <w:t>, a party receiving the notice is deemed to have agreed to the amendment</w:t>
      </w:r>
      <w:r w:rsidR="006F102A">
        <w:rPr>
          <w:rFonts w:ascii="Arial" w:hAnsi="Arial"/>
        </w:rPr>
        <w:t xml:space="preserve">. </w:t>
      </w:r>
      <w:r w:rsidR="0052336F">
        <w:rPr>
          <w:rFonts w:ascii="Arial" w:hAnsi="Arial"/>
        </w:rPr>
        <w:t>The party giving the notice may then proceed to file the amended pleading.</w:t>
      </w:r>
    </w:p>
    <w:p w14:paraId="0958546E" w14:textId="77777777" w:rsidR="001B01E8" w:rsidRDefault="001B01E8" w:rsidP="00356543">
      <w:pPr>
        <w:pStyle w:val="ListParagraph"/>
        <w:spacing w:line="480" w:lineRule="auto"/>
        <w:ind w:left="0"/>
        <w:jc w:val="both"/>
        <w:rPr>
          <w:rFonts w:ascii="Arial" w:hAnsi="Arial"/>
        </w:rPr>
      </w:pPr>
    </w:p>
    <w:p w14:paraId="72DFA3C0" w14:textId="3A350139" w:rsidR="00D51A09" w:rsidRPr="00D51A09" w:rsidRDefault="006F102A" w:rsidP="00356543">
      <w:pPr>
        <w:pStyle w:val="ListParagraph"/>
        <w:numPr>
          <w:ilvl w:val="0"/>
          <w:numId w:val="1"/>
        </w:numPr>
        <w:spacing w:line="480" w:lineRule="auto"/>
        <w:jc w:val="both"/>
        <w:rPr>
          <w:rFonts w:ascii="Arial" w:hAnsi="Arial"/>
        </w:rPr>
      </w:pPr>
      <w:r>
        <w:rPr>
          <w:rFonts w:ascii="Arial" w:hAnsi="Arial"/>
        </w:rPr>
        <w:t xml:space="preserve">In this matter, </w:t>
      </w:r>
      <w:r w:rsidR="00850BFD">
        <w:rPr>
          <w:rFonts w:ascii="Arial" w:hAnsi="Arial"/>
        </w:rPr>
        <w:t xml:space="preserve">the possible amendment to </w:t>
      </w:r>
      <w:r w:rsidR="009E508E">
        <w:rPr>
          <w:rFonts w:ascii="Arial" w:hAnsi="Arial"/>
        </w:rPr>
        <w:t xml:space="preserve">the parties’ </w:t>
      </w:r>
      <w:r w:rsidR="00850BFD">
        <w:rPr>
          <w:rFonts w:ascii="Arial" w:hAnsi="Arial"/>
        </w:rPr>
        <w:t>pleadings was contemplated by both parties</w:t>
      </w:r>
      <w:r w:rsidR="006C443F">
        <w:rPr>
          <w:rFonts w:ascii="Arial" w:hAnsi="Arial"/>
        </w:rPr>
        <w:t xml:space="preserve"> as the right to do so was expressly </w:t>
      </w:r>
      <w:r>
        <w:rPr>
          <w:rFonts w:ascii="Arial" w:hAnsi="Arial"/>
        </w:rPr>
        <w:t xml:space="preserve">reserved </w:t>
      </w:r>
      <w:r w:rsidR="006C443F">
        <w:rPr>
          <w:rFonts w:ascii="Arial" w:hAnsi="Arial"/>
        </w:rPr>
        <w:t xml:space="preserve">in a joint draft pre-trial order. Although </w:t>
      </w:r>
      <w:r>
        <w:rPr>
          <w:rFonts w:ascii="Arial" w:hAnsi="Arial"/>
        </w:rPr>
        <w:t>th</w:t>
      </w:r>
      <w:r w:rsidR="006C443F">
        <w:rPr>
          <w:rFonts w:ascii="Arial" w:hAnsi="Arial"/>
        </w:rPr>
        <w:t>is right was conditional upon th</w:t>
      </w:r>
      <w:r>
        <w:rPr>
          <w:rFonts w:ascii="Arial" w:hAnsi="Arial"/>
        </w:rPr>
        <w:t xml:space="preserve">e </w:t>
      </w:r>
      <w:r w:rsidR="006C443F">
        <w:rPr>
          <w:rFonts w:ascii="Arial" w:hAnsi="Arial"/>
        </w:rPr>
        <w:t>exchange of ‘further witness statements’, which did not materiali</w:t>
      </w:r>
      <w:r w:rsidR="0052336F">
        <w:rPr>
          <w:rFonts w:ascii="Arial" w:hAnsi="Arial"/>
        </w:rPr>
        <w:t>s</w:t>
      </w:r>
      <w:r w:rsidR="006C443F">
        <w:rPr>
          <w:rFonts w:ascii="Arial" w:hAnsi="Arial"/>
        </w:rPr>
        <w:t xml:space="preserve">e, it was in any event in the contemplation of the parties that such an eventuality may occur. </w:t>
      </w:r>
      <w:r>
        <w:rPr>
          <w:rFonts w:ascii="Arial" w:hAnsi="Arial"/>
        </w:rPr>
        <w:t xml:space="preserve">The parties also agreed </w:t>
      </w:r>
      <w:r w:rsidR="006C443F">
        <w:rPr>
          <w:rFonts w:ascii="Arial" w:hAnsi="Arial"/>
        </w:rPr>
        <w:t xml:space="preserve">to a course of conduct or procedure should a </w:t>
      </w:r>
      <w:r w:rsidR="00F562E7">
        <w:rPr>
          <w:rFonts w:ascii="Arial" w:hAnsi="Arial"/>
        </w:rPr>
        <w:t xml:space="preserve">pleading be </w:t>
      </w:r>
      <w:r w:rsidR="006C443F">
        <w:rPr>
          <w:rFonts w:ascii="Arial" w:hAnsi="Arial"/>
        </w:rPr>
        <w:t>amend</w:t>
      </w:r>
      <w:r w:rsidR="00F562E7">
        <w:rPr>
          <w:rFonts w:ascii="Arial" w:hAnsi="Arial"/>
        </w:rPr>
        <w:t>ed</w:t>
      </w:r>
      <w:r w:rsidR="006C443F">
        <w:rPr>
          <w:rFonts w:ascii="Arial" w:hAnsi="Arial"/>
        </w:rPr>
        <w:t>.</w:t>
      </w:r>
      <w:r>
        <w:rPr>
          <w:rFonts w:ascii="Arial" w:hAnsi="Arial"/>
        </w:rPr>
        <w:t xml:space="preserve"> </w:t>
      </w:r>
      <w:r w:rsidR="006C443F">
        <w:rPr>
          <w:rFonts w:ascii="Arial" w:hAnsi="Arial"/>
        </w:rPr>
        <w:t xml:space="preserve">In that eventuality, </w:t>
      </w:r>
      <w:r>
        <w:rPr>
          <w:rFonts w:ascii="Arial" w:hAnsi="Arial"/>
        </w:rPr>
        <w:t xml:space="preserve">the parties </w:t>
      </w:r>
      <w:r w:rsidR="006C443F">
        <w:rPr>
          <w:rFonts w:ascii="Arial" w:hAnsi="Arial"/>
        </w:rPr>
        <w:t xml:space="preserve">agreed to </w:t>
      </w:r>
      <w:r>
        <w:rPr>
          <w:rFonts w:ascii="Arial" w:hAnsi="Arial"/>
        </w:rPr>
        <w:t>request the convening of a status hearing</w:t>
      </w:r>
      <w:r w:rsidR="006C443F">
        <w:rPr>
          <w:rFonts w:ascii="Arial" w:hAnsi="Arial"/>
        </w:rPr>
        <w:t xml:space="preserve">, to be preceded by the circulation of </w:t>
      </w:r>
      <w:r>
        <w:rPr>
          <w:rFonts w:ascii="Arial" w:hAnsi="Arial"/>
        </w:rPr>
        <w:t xml:space="preserve">an </w:t>
      </w:r>
      <w:r w:rsidR="00771B0C">
        <w:rPr>
          <w:rFonts w:ascii="Arial" w:hAnsi="Arial"/>
        </w:rPr>
        <w:t>‘</w:t>
      </w:r>
      <w:r>
        <w:rPr>
          <w:rFonts w:ascii="Arial" w:hAnsi="Arial"/>
        </w:rPr>
        <w:t>augmented draft pre-trial order</w:t>
      </w:r>
      <w:r w:rsidR="00771B0C">
        <w:rPr>
          <w:rFonts w:ascii="Arial" w:hAnsi="Arial"/>
        </w:rPr>
        <w:t>,</w:t>
      </w:r>
      <w:r>
        <w:rPr>
          <w:rFonts w:ascii="Arial" w:hAnsi="Arial"/>
        </w:rPr>
        <w:t xml:space="preserve"> if necessary</w:t>
      </w:r>
      <w:r w:rsidR="00771B0C">
        <w:rPr>
          <w:rFonts w:ascii="Arial" w:hAnsi="Arial"/>
        </w:rPr>
        <w:t>’</w:t>
      </w:r>
      <w:r>
        <w:rPr>
          <w:rFonts w:ascii="Arial" w:hAnsi="Arial"/>
        </w:rPr>
        <w:t xml:space="preserve"> and </w:t>
      </w:r>
      <w:r w:rsidR="006C443F">
        <w:rPr>
          <w:rFonts w:ascii="Arial" w:hAnsi="Arial"/>
        </w:rPr>
        <w:t xml:space="preserve">to be followed by the </w:t>
      </w:r>
      <w:r>
        <w:rPr>
          <w:rFonts w:ascii="Arial" w:hAnsi="Arial"/>
        </w:rPr>
        <w:t xml:space="preserve">request </w:t>
      </w:r>
      <w:r w:rsidR="006C443F">
        <w:rPr>
          <w:rFonts w:ascii="Arial" w:hAnsi="Arial"/>
        </w:rPr>
        <w:t xml:space="preserve">for the </w:t>
      </w:r>
      <w:r>
        <w:rPr>
          <w:rFonts w:ascii="Arial" w:hAnsi="Arial"/>
        </w:rPr>
        <w:t xml:space="preserve">court to make a new pre-trial order reflecting any amendments </w:t>
      </w:r>
      <w:r w:rsidR="006C443F">
        <w:rPr>
          <w:rFonts w:ascii="Arial" w:hAnsi="Arial"/>
        </w:rPr>
        <w:t xml:space="preserve">made </w:t>
      </w:r>
      <w:r>
        <w:rPr>
          <w:rFonts w:ascii="Arial" w:hAnsi="Arial"/>
        </w:rPr>
        <w:t>to the pleadings</w:t>
      </w:r>
      <w:r w:rsidR="006C443F">
        <w:rPr>
          <w:rFonts w:ascii="Arial" w:hAnsi="Arial"/>
        </w:rPr>
        <w:t>,</w:t>
      </w:r>
      <w:r>
        <w:rPr>
          <w:rFonts w:ascii="Arial" w:hAnsi="Arial"/>
        </w:rPr>
        <w:t xml:space="preserve"> if necessary. </w:t>
      </w:r>
      <w:r w:rsidR="00D51A09" w:rsidRPr="00D51A09">
        <w:rPr>
          <w:rFonts w:ascii="Arial" w:hAnsi="Arial"/>
        </w:rPr>
        <w:t xml:space="preserve"> </w:t>
      </w:r>
    </w:p>
    <w:p w14:paraId="0899F35D" w14:textId="77777777" w:rsidR="00D51A09" w:rsidRDefault="00D51A09" w:rsidP="00356543">
      <w:pPr>
        <w:spacing w:line="480" w:lineRule="auto"/>
        <w:jc w:val="both"/>
        <w:rPr>
          <w:rFonts w:ascii="Arial" w:hAnsi="Arial"/>
        </w:rPr>
      </w:pPr>
    </w:p>
    <w:p w14:paraId="4F424FAB" w14:textId="1E7CCCB6" w:rsidR="004F497E" w:rsidRDefault="00F562E7" w:rsidP="00356543">
      <w:pPr>
        <w:pStyle w:val="ListParagraph"/>
        <w:numPr>
          <w:ilvl w:val="0"/>
          <w:numId w:val="1"/>
        </w:numPr>
        <w:spacing w:line="480" w:lineRule="auto"/>
        <w:jc w:val="both"/>
        <w:rPr>
          <w:rFonts w:ascii="Arial" w:hAnsi="Arial"/>
        </w:rPr>
      </w:pPr>
      <w:r>
        <w:rPr>
          <w:rFonts w:ascii="Arial" w:hAnsi="Arial"/>
        </w:rPr>
        <w:t xml:space="preserve">There is even a stronger reason why the court </w:t>
      </w:r>
      <w:r w:rsidRPr="00F562E7">
        <w:rPr>
          <w:rFonts w:ascii="Arial" w:hAnsi="Arial"/>
          <w:i/>
        </w:rPr>
        <w:t>a quo</w:t>
      </w:r>
      <w:r>
        <w:rPr>
          <w:rFonts w:ascii="Arial" w:hAnsi="Arial"/>
        </w:rPr>
        <w:t xml:space="preserve">’s approach </w:t>
      </w:r>
      <w:r w:rsidR="00D06213">
        <w:rPr>
          <w:rFonts w:ascii="Arial" w:hAnsi="Arial"/>
        </w:rPr>
        <w:t xml:space="preserve">to the interpretation of the rules </w:t>
      </w:r>
      <w:r>
        <w:rPr>
          <w:rFonts w:ascii="Arial" w:hAnsi="Arial"/>
        </w:rPr>
        <w:t>is erroneous.</w:t>
      </w:r>
      <w:r w:rsidR="006C443F" w:rsidRPr="004F497E">
        <w:rPr>
          <w:rFonts w:ascii="Arial" w:hAnsi="Arial"/>
        </w:rPr>
        <w:t xml:space="preserve"> </w:t>
      </w:r>
      <w:r>
        <w:rPr>
          <w:rFonts w:ascii="Arial" w:hAnsi="Arial"/>
        </w:rPr>
        <w:t>I</w:t>
      </w:r>
      <w:r w:rsidR="006C443F" w:rsidRPr="004F497E">
        <w:rPr>
          <w:rFonts w:ascii="Arial" w:hAnsi="Arial"/>
        </w:rPr>
        <w:t xml:space="preserve">n filing its intention to amend and in effecting </w:t>
      </w:r>
      <w:r w:rsidR="004F497E">
        <w:rPr>
          <w:rFonts w:ascii="Arial" w:hAnsi="Arial"/>
        </w:rPr>
        <w:t>an</w:t>
      </w:r>
      <w:r w:rsidR="006C443F" w:rsidRPr="004F497E">
        <w:rPr>
          <w:rFonts w:ascii="Arial" w:hAnsi="Arial"/>
        </w:rPr>
        <w:t xml:space="preserve"> amendment to its replication, the appellant followed</w:t>
      </w:r>
      <w:r w:rsidR="00205E71" w:rsidRPr="004F497E">
        <w:rPr>
          <w:rFonts w:ascii="Arial" w:hAnsi="Arial"/>
        </w:rPr>
        <w:t xml:space="preserve"> the procedure set out in rule 52 to the letter. As noted earlier</w:t>
      </w:r>
      <w:r w:rsidR="004F497E">
        <w:rPr>
          <w:rFonts w:ascii="Arial" w:hAnsi="Arial"/>
        </w:rPr>
        <w:t>,</w:t>
      </w:r>
      <w:r w:rsidR="00205E71" w:rsidRPr="004F497E">
        <w:rPr>
          <w:rFonts w:ascii="Arial" w:hAnsi="Arial"/>
        </w:rPr>
        <w:t xml:space="preserve"> the </w:t>
      </w:r>
      <w:r w:rsidR="00A571F8">
        <w:rPr>
          <w:rFonts w:ascii="Arial" w:hAnsi="Arial"/>
        </w:rPr>
        <w:t>correspondence</w:t>
      </w:r>
      <w:r w:rsidR="00205E71" w:rsidRPr="004F497E">
        <w:rPr>
          <w:rFonts w:ascii="Arial" w:hAnsi="Arial"/>
        </w:rPr>
        <w:t xml:space="preserve"> forewarning the </w:t>
      </w:r>
      <w:r w:rsidR="00E25F7F">
        <w:rPr>
          <w:rFonts w:ascii="Arial" w:hAnsi="Arial"/>
        </w:rPr>
        <w:t>appellant</w:t>
      </w:r>
      <w:r w:rsidR="00205E71" w:rsidRPr="004F497E">
        <w:rPr>
          <w:rFonts w:ascii="Arial" w:hAnsi="Arial"/>
        </w:rPr>
        <w:t xml:space="preserve"> o</w:t>
      </w:r>
      <w:r w:rsidR="009E508E">
        <w:rPr>
          <w:rFonts w:ascii="Arial" w:hAnsi="Arial"/>
        </w:rPr>
        <w:t>f</w:t>
      </w:r>
      <w:r w:rsidR="00205E71" w:rsidRPr="004F497E">
        <w:rPr>
          <w:rFonts w:ascii="Arial" w:hAnsi="Arial"/>
        </w:rPr>
        <w:t xml:space="preserve"> the possible objection or opposition to the </w:t>
      </w:r>
      <w:r w:rsidR="00A571F8">
        <w:rPr>
          <w:rFonts w:ascii="Arial" w:hAnsi="Arial"/>
        </w:rPr>
        <w:t>proposed</w:t>
      </w:r>
      <w:r w:rsidR="00205E71" w:rsidRPr="004F497E">
        <w:rPr>
          <w:rFonts w:ascii="Arial" w:hAnsi="Arial"/>
        </w:rPr>
        <w:t xml:space="preserve"> amendment did not constitute a substantive objection contemplated under rule 52(2). The </w:t>
      </w:r>
      <w:r w:rsidR="004F497E">
        <w:rPr>
          <w:rFonts w:ascii="Arial" w:hAnsi="Arial"/>
        </w:rPr>
        <w:t xml:space="preserve">substantive </w:t>
      </w:r>
      <w:r w:rsidR="00205E71" w:rsidRPr="004F497E">
        <w:rPr>
          <w:rFonts w:ascii="Arial" w:hAnsi="Arial"/>
        </w:rPr>
        <w:t xml:space="preserve">objection to the amendment </w:t>
      </w:r>
      <w:r w:rsidR="004F497E">
        <w:rPr>
          <w:rFonts w:ascii="Arial" w:hAnsi="Arial"/>
        </w:rPr>
        <w:t xml:space="preserve">filed subsequent to the writing of the letter </w:t>
      </w:r>
      <w:r w:rsidR="00205E71" w:rsidRPr="004F497E">
        <w:rPr>
          <w:rFonts w:ascii="Arial" w:hAnsi="Arial"/>
        </w:rPr>
        <w:t xml:space="preserve">was </w:t>
      </w:r>
      <w:r w:rsidR="003C4321" w:rsidRPr="004F497E">
        <w:rPr>
          <w:rFonts w:ascii="Arial" w:hAnsi="Arial"/>
        </w:rPr>
        <w:t xml:space="preserve">made out of time. No application for condonation for the late filing of the objection had been </w:t>
      </w:r>
      <w:r w:rsidR="004F497E">
        <w:rPr>
          <w:rFonts w:ascii="Arial" w:hAnsi="Arial"/>
        </w:rPr>
        <w:t>made</w:t>
      </w:r>
      <w:r w:rsidR="003C4321" w:rsidRPr="004F497E">
        <w:rPr>
          <w:rFonts w:ascii="Arial" w:hAnsi="Arial"/>
        </w:rPr>
        <w:t>. It follow</w:t>
      </w:r>
      <w:r w:rsidR="004F497E">
        <w:rPr>
          <w:rFonts w:ascii="Arial" w:hAnsi="Arial"/>
        </w:rPr>
        <w:t>s</w:t>
      </w:r>
      <w:r w:rsidR="003C4321" w:rsidRPr="004F497E">
        <w:rPr>
          <w:rFonts w:ascii="Arial" w:hAnsi="Arial"/>
        </w:rPr>
        <w:t xml:space="preserve"> that a</w:t>
      </w:r>
      <w:r w:rsidR="00D51A09" w:rsidRPr="004F497E">
        <w:rPr>
          <w:rFonts w:ascii="Arial" w:hAnsi="Arial"/>
        </w:rPr>
        <w:t xml:space="preserve">s no valid objection to the intended amendment </w:t>
      </w:r>
      <w:r w:rsidR="00205E71" w:rsidRPr="004F497E">
        <w:rPr>
          <w:rFonts w:ascii="Arial" w:hAnsi="Arial"/>
        </w:rPr>
        <w:t xml:space="preserve">was made </w:t>
      </w:r>
      <w:r w:rsidR="00D51A09" w:rsidRPr="004F497E">
        <w:rPr>
          <w:rFonts w:ascii="Arial" w:hAnsi="Arial"/>
        </w:rPr>
        <w:t>within the period set out in rule 52(2), the replication could be amended as of right.</w:t>
      </w:r>
      <w:r w:rsidR="004F497E">
        <w:rPr>
          <w:rFonts w:ascii="Arial" w:hAnsi="Arial"/>
        </w:rPr>
        <w:t xml:space="preserve"> That this is the position is apparent from the wording of the sub-rule itself.</w:t>
      </w:r>
      <w:r w:rsidR="00D51A09" w:rsidRPr="004F497E">
        <w:rPr>
          <w:rFonts w:ascii="Arial" w:hAnsi="Arial"/>
        </w:rPr>
        <w:t xml:space="preserve"> </w:t>
      </w:r>
    </w:p>
    <w:p w14:paraId="3DF736A0" w14:textId="77777777" w:rsidR="004F497E" w:rsidRPr="004F497E" w:rsidRDefault="004F497E" w:rsidP="00356543">
      <w:pPr>
        <w:pStyle w:val="ListParagraph"/>
        <w:spacing w:line="480" w:lineRule="auto"/>
        <w:rPr>
          <w:rFonts w:ascii="Arial" w:hAnsi="Arial"/>
        </w:rPr>
      </w:pPr>
    </w:p>
    <w:p w14:paraId="7938060A" w14:textId="43F3430F" w:rsidR="00C93ED5" w:rsidRDefault="00205E71" w:rsidP="00356543">
      <w:pPr>
        <w:pStyle w:val="ListParagraph"/>
        <w:numPr>
          <w:ilvl w:val="0"/>
          <w:numId w:val="1"/>
        </w:numPr>
        <w:spacing w:line="480" w:lineRule="auto"/>
        <w:jc w:val="both"/>
        <w:rPr>
          <w:rFonts w:ascii="Arial" w:hAnsi="Arial"/>
        </w:rPr>
      </w:pPr>
      <w:r w:rsidRPr="004F497E">
        <w:rPr>
          <w:rFonts w:ascii="Arial" w:hAnsi="Arial"/>
        </w:rPr>
        <w:t xml:space="preserve">It is </w:t>
      </w:r>
      <w:r w:rsidR="00D51A09" w:rsidRPr="004F497E">
        <w:rPr>
          <w:rFonts w:ascii="Arial" w:hAnsi="Arial"/>
        </w:rPr>
        <w:t>only in an instance where a valid objection is made in writing within the period of 10 days, is the party desiring to pursue the amendment required to apply, within 10 days after receipt of the objection, to the managing judge for leave to amend</w:t>
      </w:r>
      <w:r w:rsidRPr="004F497E">
        <w:rPr>
          <w:rFonts w:ascii="Arial" w:hAnsi="Arial"/>
        </w:rPr>
        <w:t>. This means that a direction from the managing judge would arise only if there was a grounded objection made within the prescribed period.</w:t>
      </w:r>
      <w:r w:rsidR="004F497E">
        <w:rPr>
          <w:rFonts w:ascii="Arial" w:hAnsi="Arial"/>
        </w:rPr>
        <w:t xml:space="preserve"> </w:t>
      </w:r>
      <w:r w:rsidRPr="004F497E">
        <w:rPr>
          <w:rFonts w:ascii="Arial" w:hAnsi="Arial"/>
        </w:rPr>
        <w:t>T</w:t>
      </w:r>
      <w:r w:rsidR="00D51A09" w:rsidRPr="004F497E">
        <w:rPr>
          <w:rFonts w:ascii="Arial" w:hAnsi="Arial"/>
        </w:rPr>
        <w:t xml:space="preserve">here is no requirement in rule 52 </w:t>
      </w:r>
      <w:r w:rsidR="00D06213">
        <w:rPr>
          <w:rFonts w:ascii="Arial" w:hAnsi="Arial"/>
        </w:rPr>
        <w:t xml:space="preserve">to first seek and obtain </w:t>
      </w:r>
      <w:r w:rsidR="00D51A09" w:rsidRPr="004F497E">
        <w:rPr>
          <w:rFonts w:ascii="Arial" w:hAnsi="Arial"/>
        </w:rPr>
        <w:t xml:space="preserve">leave </w:t>
      </w:r>
      <w:r w:rsidR="00D06213">
        <w:rPr>
          <w:rFonts w:ascii="Arial" w:hAnsi="Arial"/>
        </w:rPr>
        <w:t xml:space="preserve">of the managing judge </w:t>
      </w:r>
      <w:r w:rsidR="00D51A09" w:rsidRPr="004F497E">
        <w:rPr>
          <w:rFonts w:ascii="Arial" w:hAnsi="Arial"/>
        </w:rPr>
        <w:t>in circumstances where no valid objection to the intended amendment is made</w:t>
      </w:r>
      <w:r w:rsidRPr="004F497E">
        <w:rPr>
          <w:rFonts w:ascii="Arial" w:hAnsi="Arial"/>
        </w:rPr>
        <w:t>.</w:t>
      </w:r>
    </w:p>
    <w:p w14:paraId="754CB4BA" w14:textId="77777777" w:rsidR="00C93ED5" w:rsidRPr="00C93ED5" w:rsidRDefault="00C93ED5" w:rsidP="00356543">
      <w:pPr>
        <w:pStyle w:val="ListParagraph"/>
        <w:spacing w:line="480" w:lineRule="auto"/>
        <w:rPr>
          <w:rFonts w:ascii="Arial" w:hAnsi="Arial"/>
        </w:rPr>
      </w:pPr>
    </w:p>
    <w:p w14:paraId="7EB667E2" w14:textId="7D4FBCAB" w:rsidR="00C93ED5" w:rsidRDefault="00D06213" w:rsidP="00356543">
      <w:pPr>
        <w:pStyle w:val="ListParagraph"/>
        <w:numPr>
          <w:ilvl w:val="0"/>
          <w:numId w:val="1"/>
        </w:numPr>
        <w:spacing w:line="480" w:lineRule="auto"/>
        <w:jc w:val="both"/>
        <w:rPr>
          <w:rFonts w:ascii="Arial" w:hAnsi="Arial"/>
        </w:rPr>
      </w:pPr>
      <w:r>
        <w:rPr>
          <w:rFonts w:ascii="Arial" w:hAnsi="Arial"/>
        </w:rPr>
        <w:t xml:space="preserve">Leave to amend must however be applied for if a valid objection is made to the notice of intention to amend. </w:t>
      </w:r>
      <w:r w:rsidR="009568B8" w:rsidRPr="00C93ED5">
        <w:rPr>
          <w:rFonts w:ascii="Arial" w:hAnsi="Arial"/>
        </w:rPr>
        <w:t>T</w:t>
      </w:r>
      <w:r w:rsidR="00D51A09" w:rsidRPr="00C93ED5">
        <w:rPr>
          <w:rFonts w:ascii="Arial" w:hAnsi="Arial"/>
        </w:rPr>
        <w:t xml:space="preserve">he requirement </w:t>
      </w:r>
      <w:r w:rsidR="009568B8" w:rsidRPr="00C93ED5">
        <w:rPr>
          <w:rFonts w:ascii="Arial" w:hAnsi="Arial"/>
        </w:rPr>
        <w:t xml:space="preserve">in rule 52(4) </w:t>
      </w:r>
      <w:r w:rsidR="00D51A09" w:rsidRPr="00C93ED5">
        <w:rPr>
          <w:rFonts w:ascii="Arial" w:hAnsi="Arial"/>
        </w:rPr>
        <w:t xml:space="preserve">that </w:t>
      </w:r>
      <w:r w:rsidR="009568B8" w:rsidRPr="00C93ED5">
        <w:rPr>
          <w:rFonts w:ascii="Arial" w:hAnsi="Arial"/>
        </w:rPr>
        <w:t xml:space="preserve">leave to amend </w:t>
      </w:r>
      <w:r w:rsidR="00D51A09" w:rsidRPr="00C93ED5">
        <w:rPr>
          <w:rFonts w:ascii="Arial" w:hAnsi="Arial"/>
        </w:rPr>
        <w:t xml:space="preserve">must be sought from the managing judge after a properly motivated or grounded objection to the proposed amendment serves </w:t>
      </w:r>
      <w:r w:rsidR="009568B8" w:rsidRPr="00C93ED5">
        <w:rPr>
          <w:rFonts w:ascii="Arial" w:hAnsi="Arial"/>
        </w:rPr>
        <w:t xml:space="preserve">to advance </w:t>
      </w:r>
      <w:r w:rsidR="00D51A09" w:rsidRPr="00C93ED5">
        <w:rPr>
          <w:rFonts w:ascii="Arial" w:hAnsi="Arial"/>
        </w:rPr>
        <w:t>the overall objective of case management just as rule 32</w:t>
      </w:r>
      <w:r w:rsidR="003C4321" w:rsidRPr="00C93ED5">
        <w:rPr>
          <w:rFonts w:ascii="Arial" w:hAnsi="Arial"/>
        </w:rPr>
        <w:t>, complemented by other rules</w:t>
      </w:r>
      <w:r w:rsidR="009E508E">
        <w:rPr>
          <w:rFonts w:ascii="Arial" w:hAnsi="Arial"/>
        </w:rPr>
        <w:t xml:space="preserve"> and case law</w:t>
      </w:r>
      <w:r w:rsidR="003C4321" w:rsidRPr="00C93ED5">
        <w:rPr>
          <w:rFonts w:ascii="Arial" w:hAnsi="Arial"/>
        </w:rPr>
        <w:t>,</w:t>
      </w:r>
      <w:r w:rsidR="00D51A09" w:rsidRPr="00C93ED5">
        <w:rPr>
          <w:rFonts w:ascii="Arial" w:hAnsi="Arial"/>
        </w:rPr>
        <w:t xml:space="preserve"> seek</w:t>
      </w:r>
      <w:r w:rsidR="003C4321" w:rsidRPr="00C93ED5">
        <w:rPr>
          <w:rFonts w:ascii="Arial" w:hAnsi="Arial"/>
        </w:rPr>
        <w:t>s</w:t>
      </w:r>
      <w:r w:rsidR="00D51A09" w:rsidRPr="00C93ED5">
        <w:rPr>
          <w:rFonts w:ascii="Arial" w:hAnsi="Arial"/>
        </w:rPr>
        <w:t xml:space="preserve"> to do</w:t>
      </w:r>
      <w:r>
        <w:rPr>
          <w:rFonts w:ascii="Arial" w:hAnsi="Arial"/>
        </w:rPr>
        <w:t>,</w:t>
      </w:r>
      <w:r w:rsidR="009568B8" w:rsidRPr="00C93ED5">
        <w:rPr>
          <w:rFonts w:ascii="Arial" w:hAnsi="Arial"/>
        </w:rPr>
        <w:t xml:space="preserve"> in that the </w:t>
      </w:r>
      <w:r>
        <w:rPr>
          <w:rFonts w:ascii="Arial" w:hAnsi="Arial"/>
        </w:rPr>
        <w:t xml:space="preserve">court’s </w:t>
      </w:r>
      <w:r w:rsidR="009568B8" w:rsidRPr="00C93ED5">
        <w:rPr>
          <w:rFonts w:ascii="Arial" w:hAnsi="Arial"/>
        </w:rPr>
        <w:t xml:space="preserve">role </w:t>
      </w:r>
      <w:r w:rsidR="000D521E" w:rsidRPr="00C93ED5">
        <w:rPr>
          <w:rFonts w:ascii="Arial" w:hAnsi="Arial"/>
        </w:rPr>
        <w:t xml:space="preserve">in the process </w:t>
      </w:r>
      <w:r w:rsidR="009568B8" w:rsidRPr="00C93ED5">
        <w:rPr>
          <w:rFonts w:ascii="Arial" w:hAnsi="Arial"/>
        </w:rPr>
        <w:t>when</w:t>
      </w:r>
      <w:r w:rsidR="000D521E" w:rsidRPr="00C93ED5">
        <w:rPr>
          <w:rFonts w:ascii="Arial" w:hAnsi="Arial"/>
        </w:rPr>
        <w:t xml:space="preserve"> a valid objection is made is entrenched</w:t>
      </w:r>
      <w:r w:rsidR="00D51A09" w:rsidRPr="00C93ED5">
        <w:rPr>
          <w:rFonts w:ascii="Arial" w:hAnsi="Arial"/>
        </w:rPr>
        <w:t>. As such, it is not necessary to resort to rule 32 prior to filing the notice of intention to amend a pleading</w:t>
      </w:r>
      <w:r w:rsidR="009568B8" w:rsidRPr="00C93ED5">
        <w:rPr>
          <w:rFonts w:ascii="Arial" w:hAnsi="Arial"/>
        </w:rPr>
        <w:t xml:space="preserve"> or d</w:t>
      </w:r>
      <w:r w:rsidR="000D521E" w:rsidRPr="00C93ED5">
        <w:rPr>
          <w:rFonts w:ascii="Arial" w:hAnsi="Arial"/>
        </w:rPr>
        <w:t>o</w:t>
      </w:r>
      <w:r w:rsidR="009568B8" w:rsidRPr="00C93ED5">
        <w:rPr>
          <w:rFonts w:ascii="Arial" w:hAnsi="Arial"/>
        </w:rPr>
        <w:t>cument</w:t>
      </w:r>
      <w:r w:rsidR="003C4321" w:rsidRPr="00C93ED5">
        <w:rPr>
          <w:rFonts w:ascii="Arial" w:hAnsi="Arial"/>
        </w:rPr>
        <w:t>.</w:t>
      </w:r>
      <w:r w:rsidR="0027063D" w:rsidRPr="00C93ED5">
        <w:rPr>
          <w:rFonts w:ascii="Arial" w:hAnsi="Arial"/>
        </w:rPr>
        <w:t xml:space="preserve"> </w:t>
      </w:r>
      <w:r w:rsidR="00875433" w:rsidRPr="00C93ED5">
        <w:rPr>
          <w:rFonts w:ascii="Arial" w:hAnsi="Arial"/>
        </w:rPr>
        <w:t>The provisions of r</w:t>
      </w:r>
      <w:r w:rsidR="0027063D" w:rsidRPr="00C93ED5">
        <w:rPr>
          <w:rFonts w:ascii="Arial" w:hAnsi="Arial"/>
        </w:rPr>
        <w:t xml:space="preserve">ule </w:t>
      </w:r>
      <w:r w:rsidR="00875433" w:rsidRPr="00C93ED5">
        <w:rPr>
          <w:rFonts w:ascii="Arial" w:hAnsi="Arial"/>
        </w:rPr>
        <w:t>32 are not engaged in circumstances where rule 52 is followed to the letter and there is no valid or grounded objection to the delivery of a party’s notice of intention to amend</w:t>
      </w:r>
      <w:r w:rsidR="000D521E" w:rsidRPr="00C93ED5">
        <w:rPr>
          <w:rFonts w:ascii="Arial" w:hAnsi="Arial"/>
        </w:rPr>
        <w:t xml:space="preserve">. </w:t>
      </w:r>
    </w:p>
    <w:p w14:paraId="36BC4615" w14:textId="77777777" w:rsidR="00C93ED5" w:rsidRPr="00C93ED5" w:rsidRDefault="00C93ED5" w:rsidP="00356543">
      <w:pPr>
        <w:pStyle w:val="ListParagraph"/>
        <w:spacing w:line="480" w:lineRule="auto"/>
        <w:rPr>
          <w:rFonts w:ascii="Arial" w:hAnsi="Arial"/>
        </w:rPr>
      </w:pPr>
    </w:p>
    <w:p w14:paraId="429CC55D" w14:textId="4F7CCC4A" w:rsidR="00C93ED5" w:rsidRDefault="000D521E" w:rsidP="00356543">
      <w:pPr>
        <w:pStyle w:val="ListParagraph"/>
        <w:numPr>
          <w:ilvl w:val="0"/>
          <w:numId w:val="1"/>
        </w:numPr>
        <w:spacing w:line="480" w:lineRule="auto"/>
        <w:jc w:val="both"/>
        <w:rPr>
          <w:rFonts w:ascii="Arial" w:hAnsi="Arial"/>
        </w:rPr>
      </w:pPr>
      <w:r w:rsidRPr="00C93ED5">
        <w:rPr>
          <w:rFonts w:ascii="Arial" w:hAnsi="Arial"/>
        </w:rPr>
        <w:t xml:space="preserve">The fact that </w:t>
      </w:r>
      <w:r w:rsidRPr="00C93ED5">
        <w:rPr>
          <w:rFonts w:ascii="Arial" w:hAnsi="Arial"/>
          <w:i/>
        </w:rPr>
        <w:t>lis contestatio</w:t>
      </w:r>
      <w:r w:rsidRPr="00C93ED5">
        <w:rPr>
          <w:rFonts w:ascii="Arial" w:hAnsi="Arial"/>
        </w:rPr>
        <w:t xml:space="preserve"> ha</w:t>
      </w:r>
      <w:r w:rsidR="009E508E">
        <w:rPr>
          <w:rFonts w:ascii="Arial" w:hAnsi="Arial"/>
        </w:rPr>
        <w:t>d</w:t>
      </w:r>
      <w:r w:rsidRPr="00C93ED5">
        <w:rPr>
          <w:rFonts w:ascii="Arial" w:hAnsi="Arial"/>
        </w:rPr>
        <w:t xml:space="preserve"> set in or</w:t>
      </w:r>
      <w:r w:rsidR="00D06213">
        <w:rPr>
          <w:rFonts w:ascii="Arial" w:hAnsi="Arial"/>
        </w:rPr>
        <w:t>,</w:t>
      </w:r>
      <w:r w:rsidRPr="00C93ED5">
        <w:rPr>
          <w:rFonts w:ascii="Arial" w:hAnsi="Arial"/>
        </w:rPr>
        <w:t xml:space="preserve"> in other words</w:t>
      </w:r>
      <w:r w:rsidR="00D06213">
        <w:rPr>
          <w:rFonts w:ascii="Arial" w:hAnsi="Arial"/>
        </w:rPr>
        <w:t>,</w:t>
      </w:r>
      <w:r w:rsidRPr="00C93ED5">
        <w:rPr>
          <w:rFonts w:ascii="Arial" w:hAnsi="Arial"/>
        </w:rPr>
        <w:t xml:space="preserve"> pleadings ha</w:t>
      </w:r>
      <w:r w:rsidR="009E508E">
        <w:rPr>
          <w:rFonts w:ascii="Arial" w:hAnsi="Arial"/>
        </w:rPr>
        <w:t>d</w:t>
      </w:r>
      <w:r w:rsidRPr="00C93ED5">
        <w:rPr>
          <w:rFonts w:ascii="Arial" w:hAnsi="Arial"/>
        </w:rPr>
        <w:t xml:space="preserve"> closed, d</w:t>
      </w:r>
      <w:r w:rsidR="009E508E">
        <w:rPr>
          <w:rFonts w:ascii="Arial" w:hAnsi="Arial"/>
        </w:rPr>
        <w:t>id</w:t>
      </w:r>
      <w:r w:rsidRPr="00C93ED5">
        <w:rPr>
          <w:rFonts w:ascii="Arial" w:hAnsi="Arial"/>
        </w:rPr>
        <w:t xml:space="preserve"> not</w:t>
      </w:r>
      <w:r w:rsidR="00D06213">
        <w:rPr>
          <w:rFonts w:ascii="Arial" w:hAnsi="Arial"/>
        </w:rPr>
        <w:t xml:space="preserve"> </w:t>
      </w:r>
      <w:r w:rsidRPr="00C93ED5">
        <w:rPr>
          <w:rFonts w:ascii="Arial" w:hAnsi="Arial"/>
        </w:rPr>
        <w:t xml:space="preserve">without more, serve to preclude a party from delivering a notice of intention to amend in strict compliance with the provisions of rule 52. </w:t>
      </w:r>
      <w:r w:rsidR="006301F1" w:rsidRPr="00C93ED5">
        <w:rPr>
          <w:rFonts w:ascii="Arial" w:hAnsi="Arial"/>
        </w:rPr>
        <w:t xml:space="preserve">The Rules do not purport to change the common law position that an amendment to a pleading may be sought or granted at any stage of a proceeding, </w:t>
      </w:r>
      <w:r w:rsidR="00FA7EE3">
        <w:rPr>
          <w:rFonts w:ascii="Arial" w:hAnsi="Arial"/>
        </w:rPr>
        <w:t xml:space="preserve">including after </w:t>
      </w:r>
      <w:r w:rsidR="00FA7EE3" w:rsidRPr="00FA7EE3">
        <w:rPr>
          <w:rFonts w:ascii="Arial" w:hAnsi="Arial"/>
          <w:i/>
        </w:rPr>
        <w:t xml:space="preserve">lis </w:t>
      </w:r>
      <w:r w:rsidR="00FA7EE3" w:rsidRPr="00FA7EE3">
        <w:rPr>
          <w:rFonts w:ascii="Arial" w:hAnsi="Arial"/>
          <w:i/>
        </w:rPr>
        <w:lastRenderedPageBreak/>
        <w:t>contestatio</w:t>
      </w:r>
      <w:r w:rsidR="00FA7EE3">
        <w:rPr>
          <w:rFonts w:ascii="Arial" w:hAnsi="Arial"/>
        </w:rPr>
        <w:t xml:space="preserve">, </w:t>
      </w:r>
      <w:r w:rsidR="006301F1" w:rsidRPr="00C93ED5">
        <w:rPr>
          <w:rFonts w:ascii="Arial" w:hAnsi="Arial"/>
        </w:rPr>
        <w:t xml:space="preserve">subject of course to the considerations that have already been addressed in this judgment. </w:t>
      </w:r>
    </w:p>
    <w:p w14:paraId="134C6352" w14:textId="77777777" w:rsidR="00C93ED5" w:rsidRPr="00C93ED5" w:rsidRDefault="00C93ED5" w:rsidP="00356543">
      <w:pPr>
        <w:pStyle w:val="ListParagraph"/>
        <w:spacing w:line="480" w:lineRule="auto"/>
        <w:rPr>
          <w:rFonts w:ascii="Arial" w:hAnsi="Arial"/>
        </w:rPr>
      </w:pPr>
    </w:p>
    <w:p w14:paraId="113279B5" w14:textId="77777777" w:rsidR="00D06213" w:rsidRDefault="00C93ED5" w:rsidP="00356543">
      <w:pPr>
        <w:pStyle w:val="ListParagraph"/>
        <w:numPr>
          <w:ilvl w:val="0"/>
          <w:numId w:val="1"/>
        </w:numPr>
        <w:spacing w:line="480" w:lineRule="auto"/>
        <w:jc w:val="both"/>
        <w:rPr>
          <w:rFonts w:ascii="Arial" w:hAnsi="Arial"/>
        </w:rPr>
      </w:pPr>
      <w:r>
        <w:rPr>
          <w:rFonts w:ascii="Arial" w:hAnsi="Arial"/>
        </w:rPr>
        <w:t>Moreover, t</w:t>
      </w:r>
      <w:r w:rsidR="00185DF7" w:rsidRPr="00C93ED5">
        <w:rPr>
          <w:rFonts w:ascii="Arial" w:hAnsi="Arial"/>
        </w:rPr>
        <w:t xml:space="preserve">he facts of this matter do not render themselves to an </w:t>
      </w:r>
      <w:r w:rsidR="00875433" w:rsidRPr="00C93ED5">
        <w:rPr>
          <w:rFonts w:ascii="Arial" w:hAnsi="Arial"/>
        </w:rPr>
        <w:t xml:space="preserve">application of the principles set out </w:t>
      </w:r>
      <w:r w:rsidR="00185DF7" w:rsidRPr="00C93ED5">
        <w:rPr>
          <w:rFonts w:ascii="Arial" w:hAnsi="Arial"/>
        </w:rPr>
        <w:t>with erudition and admirabl</w:t>
      </w:r>
      <w:r w:rsidR="00875433" w:rsidRPr="00C93ED5">
        <w:rPr>
          <w:rFonts w:ascii="Arial" w:hAnsi="Arial"/>
        </w:rPr>
        <w:t>e</w:t>
      </w:r>
      <w:r w:rsidR="00185DF7" w:rsidRPr="00C93ED5">
        <w:rPr>
          <w:rFonts w:ascii="Arial" w:hAnsi="Arial"/>
        </w:rPr>
        <w:t xml:space="preserve"> clarity of thought by the Full Bench in </w:t>
      </w:r>
      <w:r w:rsidR="00185DF7" w:rsidRPr="00C93ED5">
        <w:rPr>
          <w:rFonts w:ascii="Arial" w:hAnsi="Arial"/>
          <w:i/>
        </w:rPr>
        <w:t>I A Bell</w:t>
      </w:r>
      <w:r w:rsidR="00185DF7" w:rsidRPr="00C93ED5">
        <w:rPr>
          <w:rFonts w:ascii="Arial" w:hAnsi="Arial"/>
        </w:rPr>
        <w:t>.</w:t>
      </w:r>
      <w:r w:rsidR="000D521E" w:rsidRPr="00C93ED5">
        <w:rPr>
          <w:rFonts w:ascii="Arial" w:hAnsi="Arial"/>
        </w:rPr>
        <w:t xml:space="preserve"> </w:t>
      </w:r>
      <w:r w:rsidR="00185DF7" w:rsidRPr="00C93ED5">
        <w:rPr>
          <w:rFonts w:ascii="Arial" w:hAnsi="Arial"/>
        </w:rPr>
        <w:t xml:space="preserve">A judge of the High Court seized with a case </w:t>
      </w:r>
      <w:r w:rsidR="00875433" w:rsidRPr="00C93ED5">
        <w:rPr>
          <w:rFonts w:ascii="Arial" w:hAnsi="Arial"/>
        </w:rPr>
        <w:t>the fact</w:t>
      </w:r>
      <w:r w:rsidR="006301F1" w:rsidRPr="00C93ED5">
        <w:rPr>
          <w:rFonts w:ascii="Arial" w:hAnsi="Arial"/>
        </w:rPr>
        <w:t>s</w:t>
      </w:r>
      <w:r w:rsidR="00875433" w:rsidRPr="00C93ED5">
        <w:rPr>
          <w:rFonts w:ascii="Arial" w:hAnsi="Arial"/>
        </w:rPr>
        <w:t xml:space="preserve"> of which </w:t>
      </w:r>
      <w:r w:rsidR="00185DF7" w:rsidRPr="00C93ED5">
        <w:rPr>
          <w:rFonts w:ascii="Arial" w:hAnsi="Arial"/>
        </w:rPr>
        <w:t xml:space="preserve">fit in the principles set out in </w:t>
      </w:r>
      <w:r w:rsidR="00185DF7" w:rsidRPr="00C93ED5">
        <w:rPr>
          <w:rFonts w:ascii="Arial" w:hAnsi="Arial"/>
          <w:i/>
        </w:rPr>
        <w:t>I A Bell</w:t>
      </w:r>
      <w:r w:rsidR="00185DF7" w:rsidRPr="00C93ED5">
        <w:rPr>
          <w:rFonts w:ascii="Arial" w:hAnsi="Arial"/>
        </w:rPr>
        <w:t xml:space="preserve"> is, of course, bound to follow the approach set out </w:t>
      </w:r>
      <w:r w:rsidRPr="00C93ED5">
        <w:rPr>
          <w:rFonts w:ascii="Arial" w:hAnsi="Arial"/>
        </w:rPr>
        <w:t>in the Full Bench judgment</w:t>
      </w:r>
      <w:r w:rsidR="00185DF7" w:rsidRPr="00C93ED5">
        <w:rPr>
          <w:rFonts w:ascii="Arial" w:hAnsi="Arial"/>
        </w:rPr>
        <w:t>.</w:t>
      </w:r>
      <w:r w:rsidR="000D521E" w:rsidRPr="00C93ED5">
        <w:rPr>
          <w:rFonts w:ascii="Arial" w:hAnsi="Arial"/>
        </w:rPr>
        <w:t xml:space="preserve"> </w:t>
      </w:r>
    </w:p>
    <w:p w14:paraId="5873D292" w14:textId="77777777" w:rsidR="00D06213" w:rsidRPr="00D06213" w:rsidRDefault="00D06213" w:rsidP="00356543">
      <w:pPr>
        <w:pStyle w:val="ListParagraph"/>
        <w:spacing w:line="480" w:lineRule="auto"/>
        <w:rPr>
          <w:rFonts w:ascii="Arial" w:hAnsi="Arial"/>
        </w:rPr>
      </w:pPr>
    </w:p>
    <w:p w14:paraId="1D06A0AC" w14:textId="292AFFFA" w:rsidR="00A571F8" w:rsidRDefault="003C4321" w:rsidP="00356543">
      <w:pPr>
        <w:pStyle w:val="ListParagraph"/>
        <w:numPr>
          <w:ilvl w:val="0"/>
          <w:numId w:val="1"/>
        </w:numPr>
        <w:spacing w:line="480" w:lineRule="auto"/>
        <w:jc w:val="both"/>
        <w:rPr>
          <w:rFonts w:ascii="Arial" w:hAnsi="Arial"/>
        </w:rPr>
      </w:pPr>
      <w:r w:rsidRPr="00D06213">
        <w:rPr>
          <w:rFonts w:ascii="Arial" w:hAnsi="Arial"/>
        </w:rPr>
        <w:t>Th</w:t>
      </w:r>
      <w:r w:rsidR="0027063D" w:rsidRPr="00D06213">
        <w:rPr>
          <w:rFonts w:ascii="Arial" w:hAnsi="Arial"/>
        </w:rPr>
        <w:t xml:space="preserve">e </w:t>
      </w:r>
      <w:r w:rsidR="00FA7EE3" w:rsidRPr="00D06213">
        <w:rPr>
          <w:rFonts w:ascii="Arial" w:hAnsi="Arial"/>
        </w:rPr>
        <w:t xml:space="preserve">approach to the </w:t>
      </w:r>
      <w:r w:rsidRPr="00D06213">
        <w:rPr>
          <w:rFonts w:ascii="Arial" w:hAnsi="Arial"/>
        </w:rPr>
        <w:t xml:space="preserve">interpretation </w:t>
      </w:r>
      <w:r w:rsidR="0027063D" w:rsidRPr="00D06213">
        <w:rPr>
          <w:rFonts w:ascii="Arial" w:hAnsi="Arial"/>
        </w:rPr>
        <w:t xml:space="preserve">of rule 52 and the principles governing amendments </w:t>
      </w:r>
      <w:r w:rsidR="00875433" w:rsidRPr="00D06213">
        <w:rPr>
          <w:rFonts w:ascii="Arial" w:hAnsi="Arial"/>
        </w:rPr>
        <w:t xml:space="preserve">set out in this judgment </w:t>
      </w:r>
      <w:r w:rsidRPr="00D06213">
        <w:rPr>
          <w:rFonts w:ascii="Arial" w:hAnsi="Arial"/>
        </w:rPr>
        <w:t xml:space="preserve">in no way undermines the ethos of case management and/or the profound support this court has </w:t>
      </w:r>
      <w:r w:rsidR="0027063D" w:rsidRPr="00D06213">
        <w:rPr>
          <w:rFonts w:ascii="Arial" w:hAnsi="Arial"/>
        </w:rPr>
        <w:t xml:space="preserve">rendered </w:t>
      </w:r>
      <w:r w:rsidRPr="00D06213">
        <w:rPr>
          <w:rFonts w:ascii="Arial" w:hAnsi="Arial"/>
        </w:rPr>
        <w:t xml:space="preserve">to </w:t>
      </w:r>
      <w:r w:rsidR="00875433" w:rsidRPr="00D06213">
        <w:rPr>
          <w:rFonts w:ascii="Arial" w:hAnsi="Arial"/>
        </w:rPr>
        <w:t xml:space="preserve">judicial </w:t>
      </w:r>
      <w:r w:rsidR="001C34DB" w:rsidRPr="00D06213">
        <w:rPr>
          <w:rFonts w:ascii="Arial" w:hAnsi="Arial"/>
        </w:rPr>
        <w:t xml:space="preserve">case management </w:t>
      </w:r>
      <w:r w:rsidR="00EA5C5A" w:rsidRPr="00D06213">
        <w:rPr>
          <w:rFonts w:ascii="Arial" w:hAnsi="Arial"/>
        </w:rPr>
        <w:t xml:space="preserve">through </w:t>
      </w:r>
      <w:r w:rsidRPr="00D06213">
        <w:rPr>
          <w:rFonts w:ascii="Arial" w:hAnsi="Arial"/>
        </w:rPr>
        <w:t xml:space="preserve">cases </w:t>
      </w:r>
      <w:r w:rsidR="00DE0E4F" w:rsidRPr="00D06213">
        <w:rPr>
          <w:rFonts w:ascii="Arial" w:hAnsi="Arial"/>
        </w:rPr>
        <w:t>including</w:t>
      </w:r>
      <w:r w:rsidRPr="00D06213">
        <w:rPr>
          <w:rFonts w:ascii="Arial" w:hAnsi="Arial"/>
        </w:rPr>
        <w:t xml:space="preserve"> </w:t>
      </w:r>
      <w:r w:rsidRPr="00D06213">
        <w:rPr>
          <w:rFonts w:ascii="Arial" w:hAnsi="Arial"/>
          <w:i/>
        </w:rPr>
        <w:t>Aussenkehr Farms (Pty) Ltd v Namibia Development Corporation Ltd</w:t>
      </w:r>
      <w:r w:rsidR="00E25F7F">
        <w:rPr>
          <w:rFonts w:ascii="Arial" w:hAnsi="Arial"/>
          <w:i/>
        </w:rPr>
        <w:t>;</w:t>
      </w:r>
      <w:r w:rsidRPr="00D06213">
        <w:rPr>
          <w:rFonts w:ascii="Arial" w:hAnsi="Arial"/>
        </w:rPr>
        <w:t xml:space="preserve"> </w:t>
      </w:r>
      <w:r w:rsidR="00185DF7">
        <w:rPr>
          <w:rStyle w:val="FootnoteReference"/>
          <w:rFonts w:ascii="Arial" w:hAnsi="Arial"/>
        </w:rPr>
        <w:footnoteReference w:id="7"/>
      </w:r>
      <w:r w:rsidR="0027063D" w:rsidRPr="00D06213">
        <w:rPr>
          <w:rFonts w:ascii="Arial" w:hAnsi="Arial"/>
        </w:rPr>
        <w:t xml:space="preserve"> </w:t>
      </w:r>
      <w:r w:rsidR="005E06C4" w:rsidRPr="00D06213">
        <w:rPr>
          <w:rFonts w:ascii="Arial" w:hAnsi="Arial"/>
          <w:i/>
        </w:rPr>
        <w:t>Rainier Arangies v Unitrans (Pty) Ltd</w:t>
      </w:r>
      <w:r w:rsidR="00E25F7F">
        <w:rPr>
          <w:rFonts w:ascii="Arial" w:hAnsi="Arial"/>
          <w:i/>
        </w:rPr>
        <w:t>;</w:t>
      </w:r>
      <w:r w:rsidR="005E06C4">
        <w:rPr>
          <w:rStyle w:val="FootnoteReference"/>
          <w:rFonts w:ascii="Arial" w:hAnsi="Arial"/>
        </w:rPr>
        <w:footnoteReference w:id="8"/>
      </w:r>
      <w:r w:rsidR="005E06C4" w:rsidRPr="00D06213">
        <w:rPr>
          <w:rFonts w:ascii="Arial" w:hAnsi="Arial"/>
        </w:rPr>
        <w:t xml:space="preserve"> </w:t>
      </w:r>
      <w:r w:rsidR="005E06C4" w:rsidRPr="00D06213">
        <w:rPr>
          <w:rFonts w:ascii="Arial" w:hAnsi="Arial"/>
          <w:i/>
        </w:rPr>
        <w:t>Konrad v Ndapanda</w:t>
      </w:r>
      <w:r w:rsidR="00E25F7F">
        <w:rPr>
          <w:rFonts w:ascii="Arial" w:hAnsi="Arial"/>
          <w:i/>
        </w:rPr>
        <w:t>;</w:t>
      </w:r>
      <w:r w:rsidR="005E06C4">
        <w:rPr>
          <w:rStyle w:val="FootnoteReference"/>
          <w:rFonts w:ascii="Arial" w:hAnsi="Arial"/>
        </w:rPr>
        <w:footnoteReference w:id="9"/>
      </w:r>
      <w:r w:rsidR="005E06C4" w:rsidRPr="00D06213">
        <w:rPr>
          <w:rFonts w:ascii="Arial" w:hAnsi="Arial"/>
        </w:rPr>
        <w:t xml:space="preserve"> </w:t>
      </w:r>
      <w:r w:rsidR="005E06C4" w:rsidRPr="00D06213">
        <w:rPr>
          <w:rFonts w:ascii="Arial" w:hAnsi="Arial"/>
          <w:i/>
        </w:rPr>
        <w:t>Municipal Council of Windhoek v Pioneerspark Dam Investment CC</w:t>
      </w:r>
      <w:r w:rsidR="00E25F7F">
        <w:rPr>
          <w:rFonts w:ascii="Arial" w:hAnsi="Arial"/>
          <w:i/>
        </w:rPr>
        <w:t>.</w:t>
      </w:r>
      <w:r w:rsidR="005E06C4">
        <w:rPr>
          <w:rStyle w:val="FootnoteReference"/>
          <w:rFonts w:ascii="Arial" w:hAnsi="Arial"/>
          <w:i/>
        </w:rPr>
        <w:footnoteReference w:id="10"/>
      </w:r>
      <w:r w:rsidR="006301F1" w:rsidRPr="00D06213">
        <w:rPr>
          <w:rFonts w:ascii="Arial" w:hAnsi="Arial"/>
        </w:rPr>
        <w:t xml:space="preserve"> </w:t>
      </w:r>
      <w:r w:rsidR="00FA7EE3" w:rsidRPr="00D06213">
        <w:rPr>
          <w:rFonts w:ascii="Arial" w:hAnsi="Arial"/>
        </w:rPr>
        <w:t xml:space="preserve">That support is reiterated. </w:t>
      </w:r>
      <w:r w:rsidR="00E44164" w:rsidRPr="00D06213">
        <w:rPr>
          <w:rFonts w:ascii="Arial" w:hAnsi="Arial"/>
        </w:rPr>
        <w:t>On the contrary, the interpre</w:t>
      </w:r>
      <w:r w:rsidR="00E77FD2" w:rsidRPr="00D06213">
        <w:rPr>
          <w:rFonts w:ascii="Arial" w:hAnsi="Arial"/>
        </w:rPr>
        <w:t>t</w:t>
      </w:r>
      <w:r w:rsidR="00E44164" w:rsidRPr="00D06213">
        <w:rPr>
          <w:rFonts w:ascii="Arial" w:hAnsi="Arial"/>
        </w:rPr>
        <w:t>ation</w:t>
      </w:r>
      <w:r w:rsidR="00E77FD2" w:rsidRPr="00D06213">
        <w:rPr>
          <w:rFonts w:ascii="Arial" w:hAnsi="Arial"/>
        </w:rPr>
        <w:t xml:space="preserve"> of the rule contended for </w:t>
      </w:r>
      <w:r w:rsidR="006301F1" w:rsidRPr="00D06213">
        <w:rPr>
          <w:rFonts w:ascii="Arial" w:hAnsi="Arial"/>
        </w:rPr>
        <w:t xml:space="preserve">on behalf of the </w:t>
      </w:r>
      <w:r w:rsidR="00E77FD2" w:rsidRPr="00D06213">
        <w:rPr>
          <w:rFonts w:ascii="Arial" w:hAnsi="Arial"/>
        </w:rPr>
        <w:t xml:space="preserve">respondent </w:t>
      </w:r>
      <w:r w:rsidR="009D2205" w:rsidRPr="00D06213">
        <w:rPr>
          <w:rFonts w:ascii="Arial" w:hAnsi="Arial"/>
        </w:rPr>
        <w:t xml:space="preserve">appears to be </w:t>
      </w:r>
      <w:r w:rsidR="009B2EF8" w:rsidRPr="00D06213">
        <w:rPr>
          <w:rFonts w:ascii="Arial" w:hAnsi="Arial"/>
        </w:rPr>
        <w:t xml:space="preserve">an </w:t>
      </w:r>
      <w:r w:rsidR="00C93ED5" w:rsidRPr="00D06213">
        <w:rPr>
          <w:rFonts w:ascii="Arial" w:hAnsi="Arial"/>
        </w:rPr>
        <w:t xml:space="preserve">overzealous </w:t>
      </w:r>
      <w:r w:rsidR="009B2EF8" w:rsidRPr="00D06213">
        <w:rPr>
          <w:rFonts w:ascii="Arial" w:hAnsi="Arial"/>
        </w:rPr>
        <w:t xml:space="preserve">application of case management </w:t>
      </w:r>
      <w:r w:rsidR="009D2205" w:rsidRPr="00D06213">
        <w:rPr>
          <w:rFonts w:ascii="Arial" w:hAnsi="Arial"/>
        </w:rPr>
        <w:t xml:space="preserve">principles to a rule that has </w:t>
      </w:r>
      <w:r w:rsidR="006301F1" w:rsidRPr="00D06213">
        <w:rPr>
          <w:rFonts w:ascii="Arial" w:hAnsi="Arial"/>
        </w:rPr>
        <w:t xml:space="preserve">an </w:t>
      </w:r>
      <w:r w:rsidR="009D2205" w:rsidRPr="00D06213">
        <w:rPr>
          <w:rFonts w:ascii="Arial" w:hAnsi="Arial"/>
        </w:rPr>
        <w:t xml:space="preserve">in-built mechanism to regulate the process of effecting amendments to pleadings. </w:t>
      </w:r>
    </w:p>
    <w:p w14:paraId="224EA99F" w14:textId="77777777" w:rsidR="00A571F8" w:rsidRPr="00A571F8" w:rsidRDefault="00A571F8" w:rsidP="00356543">
      <w:pPr>
        <w:pStyle w:val="ListParagraph"/>
        <w:spacing w:line="480" w:lineRule="auto"/>
        <w:rPr>
          <w:rFonts w:ascii="Arial" w:hAnsi="Arial"/>
        </w:rPr>
      </w:pPr>
    </w:p>
    <w:p w14:paraId="33EEB38A" w14:textId="306B7317" w:rsidR="00A571F8" w:rsidRDefault="00AC2469" w:rsidP="00356543">
      <w:pPr>
        <w:pStyle w:val="ListParagraph"/>
        <w:numPr>
          <w:ilvl w:val="0"/>
          <w:numId w:val="1"/>
        </w:numPr>
        <w:spacing w:line="480" w:lineRule="auto"/>
        <w:jc w:val="both"/>
        <w:rPr>
          <w:rFonts w:ascii="Arial" w:hAnsi="Arial"/>
        </w:rPr>
      </w:pPr>
      <w:r w:rsidRPr="00D06213">
        <w:rPr>
          <w:rFonts w:ascii="Arial" w:hAnsi="Arial"/>
        </w:rPr>
        <w:lastRenderedPageBreak/>
        <w:t>Such an interpretation has the unintended consequence of making judicial case management overbearing</w:t>
      </w:r>
      <w:r w:rsidR="00072C23">
        <w:rPr>
          <w:rFonts w:ascii="Arial" w:hAnsi="Arial"/>
        </w:rPr>
        <w:t>, which it is not</w:t>
      </w:r>
      <w:r w:rsidRPr="00D06213">
        <w:rPr>
          <w:rFonts w:ascii="Arial" w:hAnsi="Arial"/>
        </w:rPr>
        <w:t xml:space="preserve">. </w:t>
      </w:r>
      <w:r w:rsidR="009D2205" w:rsidRPr="00D06213">
        <w:rPr>
          <w:rFonts w:ascii="Arial" w:hAnsi="Arial"/>
        </w:rPr>
        <w:t xml:space="preserve">The interpretation </w:t>
      </w:r>
      <w:r w:rsidR="006301F1" w:rsidRPr="00D06213">
        <w:rPr>
          <w:rFonts w:ascii="Arial" w:hAnsi="Arial"/>
        </w:rPr>
        <w:t xml:space="preserve">has </w:t>
      </w:r>
      <w:r w:rsidRPr="00D06213">
        <w:rPr>
          <w:rFonts w:ascii="Arial" w:hAnsi="Arial"/>
        </w:rPr>
        <w:t xml:space="preserve">another </w:t>
      </w:r>
      <w:r w:rsidR="006301F1" w:rsidRPr="00D06213">
        <w:rPr>
          <w:rFonts w:ascii="Arial" w:hAnsi="Arial"/>
        </w:rPr>
        <w:t xml:space="preserve">unintended consequence of </w:t>
      </w:r>
      <w:r w:rsidR="009B2EF8" w:rsidRPr="00D06213">
        <w:rPr>
          <w:rFonts w:ascii="Arial" w:hAnsi="Arial"/>
        </w:rPr>
        <w:t>leav</w:t>
      </w:r>
      <w:r w:rsidR="006301F1" w:rsidRPr="00D06213">
        <w:rPr>
          <w:rFonts w:ascii="Arial" w:hAnsi="Arial"/>
        </w:rPr>
        <w:t>ing</w:t>
      </w:r>
      <w:r w:rsidR="009B2EF8" w:rsidRPr="00D06213">
        <w:rPr>
          <w:rFonts w:ascii="Arial" w:hAnsi="Arial"/>
        </w:rPr>
        <w:t xml:space="preserve"> rule 52 </w:t>
      </w:r>
      <w:r w:rsidR="005419B6" w:rsidRPr="00D06213">
        <w:rPr>
          <w:rFonts w:ascii="Arial" w:hAnsi="Arial"/>
        </w:rPr>
        <w:t>truncated</w:t>
      </w:r>
      <w:r w:rsidR="009D2205" w:rsidRPr="00D06213">
        <w:rPr>
          <w:rFonts w:ascii="Arial" w:hAnsi="Arial"/>
        </w:rPr>
        <w:t>.</w:t>
      </w:r>
      <w:r w:rsidR="009B2EF8" w:rsidRPr="00D06213">
        <w:rPr>
          <w:rFonts w:ascii="Arial" w:hAnsi="Arial"/>
        </w:rPr>
        <w:t xml:space="preserve"> </w:t>
      </w:r>
      <w:r w:rsidR="009D2205" w:rsidRPr="00D06213">
        <w:rPr>
          <w:rFonts w:ascii="Arial" w:hAnsi="Arial"/>
        </w:rPr>
        <w:t xml:space="preserve">For example, the initial process </w:t>
      </w:r>
      <w:r w:rsidR="00E77FD2" w:rsidRPr="00D06213">
        <w:rPr>
          <w:rFonts w:ascii="Arial" w:hAnsi="Arial"/>
        </w:rPr>
        <w:t>permi</w:t>
      </w:r>
      <w:r w:rsidR="009B2EF8" w:rsidRPr="00D06213">
        <w:rPr>
          <w:rFonts w:ascii="Arial" w:hAnsi="Arial"/>
        </w:rPr>
        <w:t>t</w:t>
      </w:r>
      <w:r w:rsidR="00E77FD2" w:rsidRPr="00D06213">
        <w:rPr>
          <w:rFonts w:ascii="Arial" w:hAnsi="Arial"/>
        </w:rPr>
        <w:t xml:space="preserve">ted by rule 52(1) </w:t>
      </w:r>
      <w:r w:rsidR="009B2EF8" w:rsidRPr="00D06213">
        <w:rPr>
          <w:rFonts w:ascii="Arial" w:hAnsi="Arial" w:cs="Arial"/>
        </w:rPr>
        <w:t>–</w:t>
      </w:r>
      <w:r w:rsidR="009B2EF8" w:rsidRPr="00D06213">
        <w:rPr>
          <w:rFonts w:ascii="Arial" w:hAnsi="Arial"/>
        </w:rPr>
        <w:t xml:space="preserve"> </w:t>
      </w:r>
      <w:r w:rsidR="00E77FD2" w:rsidRPr="00D06213">
        <w:rPr>
          <w:rFonts w:ascii="Arial" w:hAnsi="Arial"/>
        </w:rPr>
        <w:t xml:space="preserve">being the delivery </w:t>
      </w:r>
      <w:r w:rsidR="009B2EF8" w:rsidRPr="00D06213">
        <w:rPr>
          <w:rFonts w:ascii="Arial" w:hAnsi="Arial"/>
        </w:rPr>
        <w:t xml:space="preserve">of </w:t>
      </w:r>
      <w:r w:rsidR="00E77FD2" w:rsidRPr="00D06213">
        <w:rPr>
          <w:rFonts w:ascii="Arial" w:hAnsi="Arial"/>
        </w:rPr>
        <w:t xml:space="preserve">a notice of intention to amend </w:t>
      </w:r>
      <w:r w:rsidR="009B2EF8" w:rsidRPr="00D06213">
        <w:rPr>
          <w:rFonts w:ascii="Arial" w:hAnsi="Arial"/>
        </w:rPr>
        <w:t xml:space="preserve">– </w:t>
      </w:r>
      <w:r w:rsidR="009D2205" w:rsidRPr="00D06213">
        <w:rPr>
          <w:rFonts w:ascii="Arial" w:hAnsi="Arial"/>
        </w:rPr>
        <w:t xml:space="preserve">would be rendered </w:t>
      </w:r>
      <w:r w:rsidR="009B2EF8" w:rsidRPr="00D06213">
        <w:rPr>
          <w:rFonts w:ascii="Arial" w:hAnsi="Arial"/>
        </w:rPr>
        <w:t>nugatory</w:t>
      </w:r>
      <w:r w:rsidR="00C93ED5" w:rsidRPr="00D06213">
        <w:rPr>
          <w:rFonts w:ascii="Arial" w:hAnsi="Arial"/>
        </w:rPr>
        <w:t xml:space="preserve"> as what a party should </w:t>
      </w:r>
      <w:r w:rsidRPr="00D06213">
        <w:rPr>
          <w:rFonts w:ascii="Arial" w:hAnsi="Arial"/>
        </w:rPr>
        <w:t xml:space="preserve">presumably </w:t>
      </w:r>
      <w:r w:rsidR="00C93ED5" w:rsidRPr="00D06213">
        <w:rPr>
          <w:rFonts w:ascii="Arial" w:hAnsi="Arial"/>
        </w:rPr>
        <w:t>first do is seek leave to file its notice of intention to amend</w:t>
      </w:r>
      <w:r w:rsidR="003E4AC2">
        <w:rPr>
          <w:rFonts w:ascii="Arial" w:hAnsi="Arial"/>
        </w:rPr>
        <w:t xml:space="preserve"> despite the absence of a </w:t>
      </w:r>
      <w:r w:rsidR="005E779C">
        <w:rPr>
          <w:rFonts w:ascii="Arial" w:hAnsi="Arial"/>
        </w:rPr>
        <w:t xml:space="preserve">timeous and </w:t>
      </w:r>
      <w:r w:rsidR="003E4AC2">
        <w:rPr>
          <w:rFonts w:ascii="Arial" w:hAnsi="Arial"/>
        </w:rPr>
        <w:t xml:space="preserve">properly </w:t>
      </w:r>
      <w:r w:rsidR="005E779C">
        <w:rPr>
          <w:rFonts w:ascii="Arial" w:hAnsi="Arial"/>
        </w:rPr>
        <w:t>objection to</w:t>
      </w:r>
      <w:r w:rsidR="003E4AC2">
        <w:rPr>
          <w:rFonts w:ascii="Arial" w:hAnsi="Arial"/>
        </w:rPr>
        <w:t xml:space="preserve"> the proposed amendment</w:t>
      </w:r>
      <w:r w:rsidR="005E779C">
        <w:rPr>
          <w:rFonts w:ascii="Arial" w:hAnsi="Arial"/>
        </w:rPr>
        <w:t>.</w:t>
      </w:r>
      <w:r w:rsidR="009B2EF8" w:rsidRPr="00D06213">
        <w:rPr>
          <w:rFonts w:ascii="Arial" w:hAnsi="Arial"/>
        </w:rPr>
        <w:t xml:space="preserve"> </w:t>
      </w:r>
    </w:p>
    <w:p w14:paraId="676A79D7" w14:textId="77777777" w:rsidR="00A571F8" w:rsidRPr="00A571F8" w:rsidRDefault="00A571F8" w:rsidP="00356543">
      <w:pPr>
        <w:spacing w:line="480" w:lineRule="auto"/>
        <w:rPr>
          <w:rFonts w:ascii="Arial" w:hAnsi="Arial"/>
        </w:rPr>
      </w:pPr>
    </w:p>
    <w:p w14:paraId="14DF836C" w14:textId="65100DCF" w:rsidR="00D51A09" w:rsidRPr="00D06213" w:rsidRDefault="005551DB" w:rsidP="00356543">
      <w:pPr>
        <w:pStyle w:val="ListParagraph"/>
        <w:numPr>
          <w:ilvl w:val="0"/>
          <w:numId w:val="1"/>
        </w:numPr>
        <w:spacing w:line="480" w:lineRule="auto"/>
        <w:jc w:val="both"/>
        <w:rPr>
          <w:rFonts w:ascii="Arial" w:hAnsi="Arial"/>
        </w:rPr>
      </w:pPr>
      <w:r w:rsidRPr="00D06213">
        <w:rPr>
          <w:rFonts w:ascii="Arial" w:hAnsi="Arial"/>
        </w:rPr>
        <w:t>The</w:t>
      </w:r>
      <w:r w:rsidR="009B2EF8" w:rsidRPr="00D06213">
        <w:rPr>
          <w:rFonts w:ascii="Arial" w:hAnsi="Arial"/>
        </w:rPr>
        <w:t xml:space="preserve"> </w:t>
      </w:r>
      <w:r w:rsidRPr="00D06213">
        <w:rPr>
          <w:rFonts w:ascii="Arial" w:hAnsi="Arial"/>
        </w:rPr>
        <w:t xml:space="preserve">interpretation </w:t>
      </w:r>
      <w:r w:rsidR="009B2EF8" w:rsidRPr="00D06213">
        <w:rPr>
          <w:rFonts w:ascii="Arial" w:hAnsi="Arial"/>
        </w:rPr>
        <w:t xml:space="preserve">would also </w:t>
      </w:r>
      <w:r w:rsidR="00CF240E" w:rsidRPr="00D06213">
        <w:rPr>
          <w:rFonts w:ascii="Arial" w:hAnsi="Arial"/>
        </w:rPr>
        <w:t xml:space="preserve">effectively </w:t>
      </w:r>
      <w:r w:rsidR="009B2EF8" w:rsidRPr="00D06213">
        <w:rPr>
          <w:rFonts w:ascii="Arial" w:hAnsi="Arial"/>
        </w:rPr>
        <w:t>proscribe the permi</w:t>
      </w:r>
      <w:r w:rsidR="005419B6" w:rsidRPr="00D06213">
        <w:rPr>
          <w:rFonts w:ascii="Arial" w:hAnsi="Arial"/>
        </w:rPr>
        <w:t>ssible</w:t>
      </w:r>
      <w:r w:rsidR="009B2EF8" w:rsidRPr="00D06213">
        <w:rPr>
          <w:rFonts w:ascii="Arial" w:hAnsi="Arial"/>
        </w:rPr>
        <w:t xml:space="preserve"> amendment of a pleading </w:t>
      </w:r>
      <w:r w:rsidR="00CF240E" w:rsidRPr="00D06213">
        <w:rPr>
          <w:rFonts w:ascii="Arial" w:hAnsi="Arial"/>
        </w:rPr>
        <w:t xml:space="preserve">on an unopposed </w:t>
      </w:r>
      <w:r w:rsidR="009B2EF8" w:rsidRPr="00D06213">
        <w:rPr>
          <w:rFonts w:ascii="Arial" w:hAnsi="Arial"/>
        </w:rPr>
        <w:t>basis</w:t>
      </w:r>
      <w:r w:rsidRPr="00D06213">
        <w:rPr>
          <w:rFonts w:ascii="Arial" w:hAnsi="Arial"/>
        </w:rPr>
        <w:t xml:space="preserve"> as the phrase </w:t>
      </w:r>
      <w:r w:rsidR="00C01147" w:rsidRPr="00D06213">
        <w:rPr>
          <w:rFonts w:ascii="Arial" w:hAnsi="Arial"/>
        </w:rPr>
        <w:t>‘</w:t>
      </w:r>
      <w:r w:rsidRPr="00D06213">
        <w:rPr>
          <w:rFonts w:ascii="Arial" w:hAnsi="Arial"/>
        </w:rPr>
        <w:t xml:space="preserve">a party receiving the notice is </w:t>
      </w:r>
      <w:r w:rsidR="00C01147" w:rsidRPr="00D06213">
        <w:rPr>
          <w:rFonts w:ascii="Arial" w:hAnsi="Arial"/>
        </w:rPr>
        <w:t xml:space="preserve">considered as having agreed to the amendment’ in rule 52(3) </w:t>
      </w:r>
      <w:r w:rsidRPr="00D06213">
        <w:rPr>
          <w:rFonts w:ascii="Arial" w:hAnsi="Arial"/>
        </w:rPr>
        <w:t>would be rendered a superfluous appendage to the rule</w:t>
      </w:r>
      <w:r w:rsidR="00C01147" w:rsidRPr="00D06213">
        <w:rPr>
          <w:rFonts w:ascii="Arial" w:hAnsi="Arial"/>
        </w:rPr>
        <w:t>.</w:t>
      </w:r>
      <w:r w:rsidRPr="00D06213">
        <w:rPr>
          <w:rFonts w:ascii="Arial" w:hAnsi="Arial"/>
        </w:rPr>
        <w:t xml:space="preserve"> This </w:t>
      </w:r>
      <w:r w:rsidR="003E4AC2">
        <w:rPr>
          <w:rFonts w:ascii="Arial" w:hAnsi="Arial"/>
        </w:rPr>
        <w:t xml:space="preserve">is untenable as such interpretation </w:t>
      </w:r>
      <w:r w:rsidRPr="00D06213">
        <w:rPr>
          <w:rFonts w:ascii="Arial" w:hAnsi="Arial"/>
        </w:rPr>
        <w:t xml:space="preserve">would in turn offend </w:t>
      </w:r>
      <w:r w:rsidR="00B57FF2" w:rsidRPr="00D06213">
        <w:rPr>
          <w:rFonts w:ascii="Arial" w:hAnsi="Arial"/>
        </w:rPr>
        <w:t xml:space="preserve">the principle </w:t>
      </w:r>
      <w:r w:rsidR="005419B6" w:rsidRPr="00D06213">
        <w:rPr>
          <w:rFonts w:ascii="Arial" w:hAnsi="Arial"/>
        </w:rPr>
        <w:t>against</w:t>
      </w:r>
      <w:r w:rsidR="00B57FF2" w:rsidRPr="00D06213">
        <w:rPr>
          <w:rFonts w:ascii="Arial" w:hAnsi="Arial"/>
        </w:rPr>
        <w:t xml:space="preserve"> the use of superfluous words in legislation.</w:t>
      </w:r>
      <w:r w:rsidR="009B2EF8" w:rsidRPr="00D06213">
        <w:rPr>
          <w:rFonts w:ascii="Arial" w:hAnsi="Arial"/>
        </w:rPr>
        <w:t xml:space="preserve"> </w:t>
      </w:r>
    </w:p>
    <w:p w14:paraId="5DC180AD" w14:textId="4FAB6D43" w:rsidR="00D51A09" w:rsidRDefault="00D51A09" w:rsidP="00356543">
      <w:pPr>
        <w:spacing w:line="480" w:lineRule="auto"/>
        <w:jc w:val="both"/>
        <w:rPr>
          <w:rFonts w:ascii="Arial" w:hAnsi="Arial"/>
        </w:rPr>
      </w:pPr>
    </w:p>
    <w:p w14:paraId="4467CF3B" w14:textId="77777777" w:rsidR="001C1498" w:rsidRPr="00356543" w:rsidRDefault="001C1498" w:rsidP="00356543">
      <w:pPr>
        <w:pStyle w:val="ListParagraph"/>
        <w:spacing w:line="480" w:lineRule="auto"/>
        <w:ind w:left="0"/>
        <w:contextualSpacing w:val="0"/>
        <w:jc w:val="both"/>
        <w:rPr>
          <w:rFonts w:ascii="Arial" w:hAnsi="Arial"/>
          <w:u w:val="single"/>
        </w:rPr>
      </w:pPr>
      <w:r w:rsidRPr="00356543">
        <w:rPr>
          <w:rFonts w:ascii="Arial" w:hAnsi="Arial"/>
          <w:u w:val="single"/>
        </w:rPr>
        <w:t>Appealability of the decision disallowing the notice and the amendment</w:t>
      </w:r>
    </w:p>
    <w:p w14:paraId="5D85EBC4" w14:textId="7D2B7C77" w:rsidR="001C1498" w:rsidRDefault="001C1498" w:rsidP="00356543">
      <w:pPr>
        <w:pStyle w:val="ListParagraph"/>
        <w:numPr>
          <w:ilvl w:val="0"/>
          <w:numId w:val="1"/>
        </w:numPr>
        <w:spacing w:line="480" w:lineRule="auto"/>
        <w:contextualSpacing w:val="0"/>
        <w:jc w:val="both"/>
        <w:rPr>
          <w:rFonts w:ascii="Arial" w:hAnsi="Arial"/>
        </w:rPr>
      </w:pPr>
      <w:r>
        <w:rPr>
          <w:rFonts w:ascii="Arial" w:hAnsi="Arial"/>
        </w:rPr>
        <w:t xml:space="preserve">As this court pointed out in </w:t>
      </w:r>
      <w:r w:rsidRPr="00616664">
        <w:rPr>
          <w:rFonts w:ascii="Arial" w:hAnsi="Arial"/>
          <w:i/>
        </w:rPr>
        <w:t>Shetu</w:t>
      </w:r>
      <w:r>
        <w:rPr>
          <w:rFonts w:ascii="Arial" w:hAnsi="Arial"/>
        </w:rPr>
        <w:t xml:space="preserve"> </w:t>
      </w:r>
      <w:r w:rsidRPr="00E0105F">
        <w:rPr>
          <w:rFonts w:ascii="Arial" w:hAnsi="Arial"/>
          <w:i/>
        </w:rPr>
        <w:t xml:space="preserve">Trading CC v Chair, Tender Board </w:t>
      </w:r>
      <w:r w:rsidRPr="00616664">
        <w:rPr>
          <w:rFonts w:ascii="Arial" w:hAnsi="Arial"/>
          <w:i/>
        </w:rPr>
        <w:t>of Namibia</w:t>
      </w:r>
      <w:r>
        <w:rPr>
          <w:rFonts w:ascii="Arial" w:hAnsi="Arial"/>
        </w:rPr>
        <w:t>,</w:t>
      </w:r>
      <w:r>
        <w:rPr>
          <w:rStyle w:val="FootnoteReference"/>
          <w:rFonts w:ascii="Arial" w:hAnsi="Arial"/>
        </w:rPr>
        <w:footnoteReference w:id="11"/>
      </w:r>
      <w:r>
        <w:rPr>
          <w:rFonts w:ascii="Arial" w:hAnsi="Arial"/>
        </w:rPr>
        <w:t xml:space="preserve"> the fact that leave to appeal was granted by the High Court does not put an end to the question whether a judgment or order is appealable. </w:t>
      </w:r>
      <w:r w:rsidR="007E1043">
        <w:rPr>
          <w:rFonts w:ascii="Arial" w:hAnsi="Arial"/>
        </w:rPr>
        <w:t>This is so, because a ruling may not be converted into an appealable ‘judgment or order’ simply by the grant of leave to appeal.</w:t>
      </w:r>
      <w:r w:rsidR="007E1043">
        <w:rPr>
          <w:rStyle w:val="FootnoteReference"/>
          <w:rFonts w:ascii="Arial" w:hAnsi="Arial"/>
        </w:rPr>
        <w:footnoteReference w:id="12"/>
      </w:r>
      <w:r w:rsidR="007E1043">
        <w:rPr>
          <w:rFonts w:ascii="Arial" w:hAnsi="Arial"/>
        </w:rPr>
        <w:t xml:space="preserve"> </w:t>
      </w:r>
      <w:r>
        <w:rPr>
          <w:rFonts w:ascii="Arial" w:hAnsi="Arial"/>
        </w:rPr>
        <w:t>Therefore, the question of appealability, if persisted with, remains an issue on appeal.</w:t>
      </w:r>
      <w:r>
        <w:rPr>
          <w:rStyle w:val="FootnoteReference"/>
          <w:rFonts w:ascii="Arial" w:hAnsi="Arial"/>
        </w:rPr>
        <w:footnoteReference w:id="13"/>
      </w:r>
      <w:r>
        <w:rPr>
          <w:rFonts w:ascii="Arial" w:hAnsi="Arial"/>
        </w:rPr>
        <w:t xml:space="preserve"> As noted earlier, the question whether the order striking out the appellant’s notice of intention to amend and the amendment of its </w:t>
      </w:r>
      <w:r>
        <w:rPr>
          <w:rFonts w:ascii="Arial" w:hAnsi="Arial"/>
        </w:rPr>
        <w:lastRenderedPageBreak/>
        <w:t xml:space="preserve">replication remains an issue for decision on appeal. </w:t>
      </w:r>
      <w:r w:rsidR="007E1043">
        <w:rPr>
          <w:rFonts w:ascii="Arial" w:hAnsi="Arial"/>
        </w:rPr>
        <w:t>It is on that issue that the focus turns next.</w:t>
      </w:r>
    </w:p>
    <w:p w14:paraId="7BA2B551" w14:textId="77777777" w:rsidR="001C1498" w:rsidRPr="00764F07" w:rsidRDefault="001C1498" w:rsidP="00356543">
      <w:pPr>
        <w:spacing w:line="480" w:lineRule="auto"/>
        <w:jc w:val="both"/>
        <w:rPr>
          <w:rFonts w:ascii="Arial" w:hAnsi="Arial"/>
        </w:rPr>
      </w:pPr>
    </w:p>
    <w:p w14:paraId="2C12D69E" w14:textId="60A362FD" w:rsidR="001C1498" w:rsidRDefault="001C1498" w:rsidP="00356543">
      <w:pPr>
        <w:pStyle w:val="ListParagraph"/>
        <w:numPr>
          <w:ilvl w:val="0"/>
          <w:numId w:val="1"/>
        </w:numPr>
        <w:spacing w:line="480" w:lineRule="auto"/>
        <w:jc w:val="both"/>
        <w:rPr>
          <w:rFonts w:ascii="Arial" w:hAnsi="Arial"/>
        </w:rPr>
      </w:pPr>
      <w:r>
        <w:rPr>
          <w:rFonts w:ascii="Arial" w:hAnsi="Arial"/>
        </w:rPr>
        <w:t>I</w:t>
      </w:r>
      <w:r w:rsidRPr="00BE4657">
        <w:rPr>
          <w:rFonts w:ascii="Arial" w:hAnsi="Arial"/>
        </w:rPr>
        <w:t xml:space="preserve">n </w:t>
      </w:r>
      <w:r>
        <w:rPr>
          <w:rFonts w:ascii="Arial" w:hAnsi="Arial"/>
        </w:rPr>
        <w:t>granting leave to appeal, the High Court</w:t>
      </w:r>
      <w:r w:rsidRPr="00BE4657">
        <w:rPr>
          <w:rFonts w:ascii="Arial" w:hAnsi="Arial"/>
        </w:rPr>
        <w:t xml:space="preserve"> </w:t>
      </w:r>
      <w:r>
        <w:rPr>
          <w:rFonts w:ascii="Arial" w:hAnsi="Arial"/>
        </w:rPr>
        <w:t xml:space="preserve">gave the following reasons: The essence of the order it made was dispositive of the issue in dispute between the parties; the court was </w:t>
      </w:r>
      <w:r w:rsidRPr="00764F07">
        <w:rPr>
          <w:rFonts w:ascii="Arial" w:hAnsi="Arial"/>
          <w:i/>
        </w:rPr>
        <w:t>functus officio</w:t>
      </w:r>
      <w:r>
        <w:rPr>
          <w:rFonts w:ascii="Arial" w:hAnsi="Arial"/>
        </w:rPr>
        <w:t xml:space="preserve"> on that issue; the merits of the applicability or otherwise of rule 32 to the appellant’s matter has been finally decided; the right of the appellant to bring an amendment had been finally determined and it may not approach the court on the same issue again; the substance of the order it made raised a procedural issue of importance to the jurisprudence in the area of case management which had not hitherto been decided by our courts, and the interpretation of the rules is a matter on which another court may </w:t>
      </w:r>
      <w:r w:rsidR="007E1043">
        <w:rPr>
          <w:rFonts w:ascii="Arial" w:hAnsi="Arial"/>
        </w:rPr>
        <w:t xml:space="preserve">come to </w:t>
      </w:r>
      <w:r>
        <w:rPr>
          <w:rFonts w:ascii="Arial" w:hAnsi="Arial"/>
        </w:rPr>
        <w:t xml:space="preserve">a different </w:t>
      </w:r>
      <w:r w:rsidR="007E1043">
        <w:rPr>
          <w:rFonts w:ascii="Arial" w:hAnsi="Arial"/>
        </w:rPr>
        <w:t>conclusion</w:t>
      </w:r>
      <w:r>
        <w:rPr>
          <w:rFonts w:ascii="Arial" w:hAnsi="Arial"/>
        </w:rPr>
        <w:t xml:space="preserve">. </w:t>
      </w:r>
    </w:p>
    <w:p w14:paraId="69C03E58" w14:textId="77777777" w:rsidR="001C1498" w:rsidRPr="002B5FE3" w:rsidRDefault="001C1498" w:rsidP="00356543">
      <w:pPr>
        <w:spacing w:line="480" w:lineRule="auto"/>
        <w:jc w:val="both"/>
        <w:rPr>
          <w:rFonts w:ascii="Arial" w:hAnsi="Arial"/>
        </w:rPr>
      </w:pPr>
    </w:p>
    <w:p w14:paraId="5A5C92D5" w14:textId="3D608A2E" w:rsidR="00836498" w:rsidRDefault="001C1498" w:rsidP="00356543">
      <w:pPr>
        <w:pStyle w:val="ListParagraph"/>
        <w:numPr>
          <w:ilvl w:val="0"/>
          <w:numId w:val="1"/>
        </w:numPr>
        <w:spacing w:line="480" w:lineRule="auto"/>
        <w:jc w:val="both"/>
        <w:rPr>
          <w:rFonts w:ascii="Arial" w:hAnsi="Arial"/>
        </w:rPr>
      </w:pPr>
      <w:r>
        <w:rPr>
          <w:rFonts w:ascii="Arial" w:hAnsi="Arial"/>
        </w:rPr>
        <w:t xml:space="preserve">Section 18(3) of the High Court Act 16 of 1990 restricts appeals against interlocutory orders. The section provides that appeals against interlocutory orders are possible only with the leave of the court that had given the judgment or made the order or in the event that leave is refused by that court, the Supreme Court grants leave upon petition for leave to appeal. The policy consideration informing this requirement </w:t>
      </w:r>
      <w:r w:rsidR="00761D74">
        <w:rPr>
          <w:rFonts w:ascii="Arial" w:hAnsi="Arial"/>
        </w:rPr>
        <w:t>ha</w:t>
      </w:r>
      <w:r>
        <w:rPr>
          <w:rFonts w:ascii="Arial" w:hAnsi="Arial"/>
        </w:rPr>
        <w:t xml:space="preserve">s </w:t>
      </w:r>
      <w:r w:rsidR="00761D74">
        <w:rPr>
          <w:rFonts w:ascii="Arial" w:hAnsi="Arial"/>
        </w:rPr>
        <w:t xml:space="preserve">been stated to be </w:t>
      </w:r>
      <w:r>
        <w:rPr>
          <w:rFonts w:ascii="Arial" w:hAnsi="Arial"/>
        </w:rPr>
        <w:t>the avoidance of piecemeal appellate disposal of the issues in litigation with the unnecessary expense involved.</w:t>
      </w:r>
      <w:r>
        <w:rPr>
          <w:rStyle w:val="FootnoteReference"/>
          <w:rFonts w:ascii="Arial" w:hAnsi="Arial"/>
        </w:rPr>
        <w:footnoteReference w:id="14"/>
      </w:r>
      <w:r>
        <w:rPr>
          <w:rFonts w:ascii="Arial" w:hAnsi="Arial"/>
        </w:rPr>
        <w:t xml:space="preserve"> As was held in </w:t>
      </w:r>
      <w:r w:rsidRPr="004E714C">
        <w:rPr>
          <w:rFonts w:ascii="Arial" w:hAnsi="Arial"/>
          <w:i/>
        </w:rPr>
        <w:t xml:space="preserve">Di Savino v Nedbank </w:t>
      </w:r>
      <w:r>
        <w:rPr>
          <w:rFonts w:ascii="Arial" w:hAnsi="Arial"/>
          <w:i/>
        </w:rPr>
        <w:t xml:space="preserve">Namibia </w:t>
      </w:r>
      <w:r w:rsidRPr="004E714C">
        <w:rPr>
          <w:rFonts w:ascii="Arial" w:hAnsi="Arial"/>
          <w:i/>
        </w:rPr>
        <w:t>Ltd</w:t>
      </w:r>
      <w:r>
        <w:rPr>
          <w:rFonts w:ascii="Arial" w:hAnsi="Arial"/>
        </w:rPr>
        <w:t>,</w:t>
      </w:r>
      <w:r>
        <w:rPr>
          <w:rStyle w:val="FootnoteReference"/>
          <w:rFonts w:ascii="Arial" w:hAnsi="Arial"/>
          <w:i/>
        </w:rPr>
        <w:footnoteReference w:id="15"/>
      </w:r>
      <w:r>
        <w:rPr>
          <w:rFonts w:ascii="Arial" w:hAnsi="Arial"/>
        </w:rPr>
        <w:t xml:space="preserve"> the scheme of s 18(3) is that the judgment or order sought to be appealed against must have the characteristics of </w:t>
      </w:r>
      <w:r>
        <w:rPr>
          <w:rFonts w:ascii="Arial" w:hAnsi="Arial"/>
        </w:rPr>
        <w:lastRenderedPageBreak/>
        <w:t>an appealable judgment or order and where the judgment or order is interlocutory, leave to appeal is required.</w:t>
      </w:r>
      <w:r>
        <w:rPr>
          <w:rStyle w:val="FootnoteReference"/>
          <w:rFonts w:ascii="Arial" w:hAnsi="Arial"/>
        </w:rPr>
        <w:footnoteReference w:id="16"/>
      </w:r>
      <w:r>
        <w:rPr>
          <w:rFonts w:ascii="Arial" w:hAnsi="Arial"/>
        </w:rPr>
        <w:t xml:space="preserve"> </w:t>
      </w:r>
    </w:p>
    <w:p w14:paraId="2C79D9B6" w14:textId="77777777" w:rsidR="00836498" w:rsidRPr="00836498" w:rsidRDefault="00836498" w:rsidP="00356543">
      <w:pPr>
        <w:pStyle w:val="ListParagraph"/>
        <w:spacing w:line="480" w:lineRule="auto"/>
        <w:rPr>
          <w:rFonts w:ascii="Arial" w:hAnsi="Arial"/>
        </w:rPr>
      </w:pPr>
    </w:p>
    <w:p w14:paraId="3773063C" w14:textId="59E50E86" w:rsidR="00836498" w:rsidRDefault="001C1498" w:rsidP="00356543">
      <w:pPr>
        <w:pStyle w:val="ListParagraph"/>
        <w:numPr>
          <w:ilvl w:val="0"/>
          <w:numId w:val="1"/>
        </w:numPr>
        <w:spacing w:line="480" w:lineRule="auto"/>
        <w:jc w:val="both"/>
        <w:rPr>
          <w:rFonts w:ascii="Arial" w:hAnsi="Arial"/>
        </w:rPr>
      </w:pPr>
      <w:r>
        <w:rPr>
          <w:rFonts w:ascii="Arial" w:hAnsi="Arial"/>
        </w:rPr>
        <w:t xml:space="preserve">A judgment </w:t>
      </w:r>
      <w:r w:rsidR="00836498">
        <w:rPr>
          <w:rFonts w:ascii="Arial" w:hAnsi="Arial"/>
        </w:rPr>
        <w:t xml:space="preserve">or order </w:t>
      </w:r>
      <w:r>
        <w:rPr>
          <w:rFonts w:ascii="Arial" w:hAnsi="Arial"/>
        </w:rPr>
        <w:t xml:space="preserve">will generally be appealable </w:t>
      </w:r>
      <w:r w:rsidR="007E1043">
        <w:rPr>
          <w:rFonts w:ascii="Arial" w:hAnsi="Arial"/>
        </w:rPr>
        <w:t>i</w:t>
      </w:r>
      <w:r w:rsidR="00836498">
        <w:rPr>
          <w:rFonts w:ascii="Arial" w:hAnsi="Arial"/>
        </w:rPr>
        <w:t>f i</w:t>
      </w:r>
      <w:r w:rsidR="007E1043">
        <w:rPr>
          <w:rFonts w:ascii="Arial" w:hAnsi="Arial"/>
        </w:rPr>
        <w:t>t pos</w:t>
      </w:r>
      <w:r w:rsidR="00836498">
        <w:rPr>
          <w:rFonts w:ascii="Arial" w:hAnsi="Arial"/>
        </w:rPr>
        <w:t>sesses the well-known three characteristics of appealability</w:t>
      </w:r>
      <w:r>
        <w:rPr>
          <w:rFonts w:ascii="Arial" w:hAnsi="Arial"/>
        </w:rPr>
        <w:t>: (a) it is final in effect and not susceptible to alteration by the court of first instance; (b) it is definitive of the rights of the parties, ie. it must grant definite and distinct relief; and (c) it disposes of at least a substantial portion of the relief claimed in the main proceedings.</w:t>
      </w:r>
      <w:r>
        <w:rPr>
          <w:rStyle w:val="FootnoteReference"/>
          <w:rFonts w:ascii="Arial" w:hAnsi="Arial"/>
        </w:rPr>
        <w:footnoteReference w:id="17"/>
      </w:r>
      <w:r>
        <w:rPr>
          <w:rFonts w:ascii="Arial" w:hAnsi="Arial"/>
        </w:rPr>
        <w:t xml:space="preserve"> </w:t>
      </w:r>
      <w:r w:rsidR="00836498">
        <w:rPr>
          <w:rFonts w:ascii="Arial" w:hAnsi="Arial"/>
        </w:rPr>
        <w:t>This court has also held that w</w:t>
      </w:r>
      <w:r>
        <w:rPr>
          <w:rFonts w:ascii="Arial" w:hAnsi="Arial"/>
        </w:rPr>
        <w:t>here the court the judgment or order appealed from had erroneously interpreted a rule</w:t>
      </w:r>
      <w:r>
        <w:rPr>
          <w:rStyle w:val="FootnoteReference"/>
          <w:rFonts w:ascii="Arial" w:hAnsi="Arial"/>
        </w:rPr>
        <w:footnoteReference w:id="18"/>
      </w:r>
      <w:r>
        <w:rPr>
          <w:rFonts w:ascii="Arial" w:hAnsi="Arial"/>
        </w:rPr>
        <w:t xml:space="preserve"> or statu</w:t>
      </w:r>
      <w:r w:rsidR="001F0221">
        <w:rPr>
          <w:rFonts w:ascii="Arial" w:hAnsi="Arial"/>
        </w:rPr>
        <w:t>t</w:t>
      </w:r>
      <w:r>
        <w:rPr>
          <w:rFonts w:ascii="Arial" w:hAnsi="Arial"/>
        </w:rPr>
        <w:t>e</w:t>
      </w:r>
      <w:r>
        <w:rPr>
          <w:rStyle w:val="FootnoteReference"/>
          <w:rFonts w:ascii="Arial" w:hAnsi="Arial"/>
        </w:rPr>
        <w:footnoteReference w:id="19"/>
      </w:r>
      <w:r>
        <w:rPr>
          <w:rFonts w:ascii="Arial" w:hAnsi="Arial"/>
        </w:rPr>
        <w:t xml:space="preserve"> and its </w:t>
      </w:r>
      <w:r w:rsidR="00761D74">
        <w:rPr>
          <w:rFonts w:ascii="Arial" w:hAnsi="Arial"/>
        </w:rPr>
        <w:t xml:space="preserve">wrong </w:t>
      </w:r>
      <w:r>
        <w:rPr>
          <w:rFonts w:ascii="Arial" w:hAnsi="Arial"/>
        </w:rPr>
        <w:t xml:space="preserve">interpretive decision was final and unalterable by it, such decision is appealable. </w:t>
      </w:r>
    </w:p>
    <w:p w14:paraId="52C30257" w14:textId="77777777" w:rsidR="00836498" w:rsidRPr="00836498" w:rsidRDefault="00836498" w:rsidP="00356543">
      <w:pPr>
        <w:pStyle w:val="ListParagraph"/>
        <w:spacing w:line="480" w:lineRule="auto"/>
        <w:rPr>
          <w:rFonts w:ascii="Arial" w:hAnsi="Arial"/>
        </w:rPr>
      </w:pPr>
    </w:p>
    <w:p w14:paraId="0F2492BC" w14:textId="31D66270" w:rsidR="001C1498" w:rsidRDefault="003A1D58" w:rsidP="00356543">
      <w:pPr>
        <w:pStyle w:val="ListParagraph"/>
        <w:numPr>
          <w:ilvl w:val="0"/>
          <w:numId w:val="1"/>
        </w:numPr>
        <w:spacing w:line="480" w:lineRule="auto"/>
        <w:jc w:val="both"/>
        <w:rPr>
          <w:rFonts w:ascii="Arial" w:hAnsi="Arial"/>
        </w:rPr>
      </w:pPr>
      <w:r>
        <w:rPr>
          <w:rFonts w:ascii="Arial" w:hAnsi="Arial"/>
        </w:rPr>
        <w:t xml:space="preserve"> </w:t>
      </w:r>
      <w:r w:rsidR="00836498">
        <w:rPr>
          <w:rFonts w:ascii="Arial" w:hAnsi="Arial"/>
        </w:rPr>
        <w:t xml:space="preserve">While the </w:t>
      </w:r>
      <w:r w:rsidR="00A95A54">
        <w:rPr>
          <w:rFonts w:ascii="Arial" w:hAnsi="Arial"/>
        </w:rPr>
        <w:t>decision</w:t>
      </w:r>
      <w:r w:rsidR="00836498">
        <w:rPr>
          <w:rFonts w:ascii="Arial" w:hAnsi="Arial"/>
        </w:rPr>
        <w:t xml:space="preserve"> of the court below</w:t>
      </w:r>
      <w:r w:rsidR="001C1498">
        <w:rPr>
          <w:rFonts w:ascii="Arial" w:hAnsi="Arial"/>
        </w:rPr>
        <w:t xml:space="preserve"> </w:t>
      </w:r>
      <w:r w:rsidR="0072470D">
        <w:rPr>
          <w:rFonts w:ascii="Arial" w:hAnsi="Arial"/>
        </w:rPr>
        <w:t xml:space="preserve">may </w:t>
      </w:r>
      <w:r w:rsidR="00836498">
        <w:rPr>
          <w:rFonts w:ascii="Arial" w:hAnsi="Arial"/>
        </w:rPr>
        <w:t>not meet all the three traditional characteristics of appealability</w:t>
      </w:r>
      <w:r w:rsidR="00613EF4">
        <w:rPr>
          <w:rFonts w:ascii="Arial" w:hAnsi="Arial"/>
        </w:rPr>
        <w:t xml:space="preserve"> described above</w:t>
      </w:r>
      <w:r w:rsidR="00836498">
        <w:rPr>
          <w:rFonts w:ascii="Arial" w:hAnsi="Arial"/>
        </w:rPr>
        <w:t xml:space="preserve">, </w:t>
      </w:r>
      <w:r w:rsidR="00667BC6">
        <w:rPr>
          <w:rFonts w:ascii="Arial" w:hAnsi="Arial"/>
        </w:rPr>
        <w:t xml:space="preserve">the court </w:t>
      </w:r>
      <w:r w:rsidR="00667BC6" w:rsidRPr="00667BC6">
        <w:rPr>
          <w:rFonts w:ascii="Arial" w:hAnsi="Arial"/>
          <w:i/>
        </w:rPr>
        <w:t>a quo</w:t>
      </w:r>
      <w:r w:rsidR="00667BC6">
        <w:rPr>
          <w:rFonts w:ascii="Arial" w:hAnsi="Arial"/>
        </w:rPr>
        <w:t xml:space="preserve"> was correct to have granted leave to appeal in a</w:t>
      </w:r>
      <w:r w:rsidR="00613EF4">
        <w:rPr>
          <w:rFonts w:ascii="Arial" w:hAnsi="Arial"/>
        </w:rPr>
        <w:t>n obviously</w:t>
      </w:r>
      <w:r w:rsidR="00667BC6">
        <w:rPr>
          <w:rFonts w:ascii="Arial" w:hAnsi="Arial"/>
        </w:rPr>
        <w:t xml:space="preserve"> interlocutory </w:t>
      </w:r>
      <w:r w:rsidR="00613EF4">
        <w:rPr>
          <w:rFonts w:ascii="Arial" w:hAnsi="Arial"/>
        </w:rPr>
        <w:t>decision</w:t>
      </w:r>
      <w:r w:rsidR="00667BC6">
        <w:rPr>
          <w:rFonts w:ascii="Arial" w:hAnsi="Arial"/>
        </w:rPr>
        <w:t>. It is self-evident from the reasons given for the grant of leave to appeal that t</w:t>
      </w:r>
      <w:r w:rsidR="00613EF4">
        <w:rPr>
          <w:rFonts w:ascii="Arial" w:hAnsi="Arial"/>
        </w:rPr>
        <w:t>he High Court</w:t>
      </w:r>
      <w:r w:rsidR="00667BC6">
        <w:rPr>
          <w:rFonts w:ascii="Arial" w:hAnsi="Arial"/>
        </w:rPr>
        <w:t xml:space="preserve"> was alive to the possibility that its interpretation of the relevant rules could be </w:t>
      </w:r>
      <w:r w:rsidR="00613EF4">
        <w:rPr>
          <w:rFonts w:ascii="Arial" w:hAnsi="Arial"/>
        </w:rPr>
        <w:t>problematic</w:t>
      </w:r>
      <w:r w:rsidR="00667BC6">
        <w:rPr>
          <w:rFonts w:ascii="Arial" w:hAnsi="Arial"/>
        </w:rPr>
        <w:t xml:space="preserve"> and that the appellate court may come to a different conclusion on the matter. A</w:t>
      </w:r>
      <w:r>
        <w:rPr>
          <w:rFonts w:ascii="Arial" w:hAnsi="Arial"/>
        </w:rPr>
        <w:t xml:space="preserve">s earlier found, </w:t>
      </w:r>
      <w:r w:rsidR="00A95A54">
        <w:rPr>
          <w:rFonts w:ascii="Arial" w:hAnsi="Arial"/>
        </w:rPr>
        <w:t xml:space="preserve">the </w:t>
      </w:r>
      <w:r>
        <w:rPr>
          <w:rFonts w:ascii="Arial" w:hAnsi="Arial"/>
        </w:rPr>
        <w:t xml:space="preserve">approach to the </w:t>
      </w:r>
      <w:r w:rsidR="00A95A54">
        <w:rPr>
          <w:rFonts w:ascii="Arial" w:hAnsi="Arial"/>
        </w:rPr>
        <w:t xml:space="preserve">interpretation of the relevant rules </w:t>
      </w:r>
      <w:r>
        <w:rPr>
          <w:rFonts w:ascii="Arial" w:hAnsi="Arial"/>
        </w:rPr>
        <w:t>adopt</w:t>
      </w:r>
      <w:r w:rsidR="00A95A54">
        <w:rPr>
          <w:rFonts w:ascii="Arial" w:hAnsi="Arial"/>
        </w:rPr>
        <w:t xml:space="preserve">ed by the court </w:t>
      </w:r>
      <w:r w:rsidR="00A95A54" w:rsidRPr="003A1D58">
        <w:rPr>
          <w:rFonts w:ascii="Arial" w:hAnsi="Arial"/>
          <w:i/>
        </w:rPr>
        <w:t>a quo</w:t>
      </w:r>
      <w:r w:rsidR="00A95A54">
        <w:rPr>
          <w:rFonts w:ascii="Arial" w:hAnsi="Arial"/>
        </w:rPr>
        <w:t xml:space="preserve"> is erroneous. The erroneous interpretation led the court to an incorrect conclusion upon whi</w:t>
      </w:r>
      <w:r>
        <w:rPr>
          <w:rFonts w:ascii="Arial" w:hAnsi="Arial"/>
        </w:rPr>
        <w:t>c</w:t>
      </w:r>
      <w:r w:rsidR="00A95A54">
        <w:rPr>
          <w:rFonts w:ascii="Arial" w:hAnsi="Arial"/>
        </w:rPr>
        <w:t xml:space="preserve">h it made the order that followed. </w:t>
      </w:r>
      <w:r>
        <w:rPr>
          <w:rFonts w:ascii="Arial" w:hAnsi="Arial"/>
        </w:rPr>
        <w:t xml:space="preserve">The </w:t>
      </w:r>
      <w:r w:rsidR="00613EF4">
        <w:rPr>
          <w:rFonts w:ascii="Arial" w:hAnsi="Arial"/>
        </w:rPr>
        <w:t xml:space="preserve">decision is not susceptible to alteration by the </w:t>
      </w:r>
      <w:r>
        <w:rPr>
          <w:rFonts w:ascii="Arial" w:hAnsi="Arial"/>
        </w:rPr>
        <w:t xml:space="preserve">court </w:t>
      </w:r>
      <w:r w:rsidRPr="00613EF4">
        <w:rPr>
          <w:rFonts w:ascii="Arial" w:hAnsi="Arial"/>
          <w:i/>
        </w:rPr>
        <w:t>a quo</w:t>
      </w:r>
      <w:r w:rsidR="00613EF4">
        <w:rPr>
          <w:rFonts w:ascii="Arial" w:hAnsi="Arial"/>
        </w:rPr>
        <w:t>.</w:t>
      </w:r>
      <w:r>
        <w:rPr>
          <w:rFonts w:ascii="Arial" w:hAnsi="Arial"/>
        </w:rPr>
        <w:t xml:space="preserve"> </w:t>
      </w:r>
      <w:r w:rsidR="00613EF4">
        <w:rPr>
          <w:rFonts w:ascii="Arial" w:hAnsi="Arial"/>
        </w:rPr>
        <w:t>There wa</w:t>
      </w:r>
      <w:r>
        <w:rPr>
          <w:rFonts w:ascii="Arial" w:hAnsi="Arial"/>
        </w:rPr>
        <w:t xml:space="preserve">s </w:t>
      </w:r>
      <w:r w:rsidR="00613EF4">
        <w:rPr>
          <w:rFonts w:ascii="Arial" w:hAnsi="Arial"/>
        </w:rPr>
        <w:t xml:space="preserve">a final determination </w:t>
      </w:r>
      <w:r w:rsidR="00613EF4">
        <w:rPr>
          <w:rFonts w:ascii="Arial" w:hAnsi="Arial"/>
        </w:rPr>
        <w:lastRenderedPageBreak/>
        <w:t>concerning a</w:t>
      </w:r>
      <w:r w:rsidR="00B878BA">
        <w:rPr>
          <w:rFonts w:ascii="Arial" w:hAnsi="Arial"/>
        </w:rPr>
        <w:t xml:space="preserve"> novel</w:t>
      </w:r>
      <w:r w:rsidR="00613EF4">
        <w:rPr>
          <w:rFonts w:ascii="Arial" w:hAnsi="Arial"/>
        </w:rPr>
        <w:t xml:space="preserve"> issue</w:t>
      </w:r>
      <w:r w:rsidR="00B878BA">
        <w:rPr>
          <w:rFonts w:ascii="Arial" w:hAnsi="Arial"/>
        </w:rPr>
        <w:t xml:space="preserve"> of importance </w:t>
      </w:r>
      <w:r w:rsidR="00761D74">
        <w:rPr>
          <w:rFonts w:ascii="Arial" w:hAnsi="Arial"/>
        </w:rPr>
        <w:t xml:space="preserve">regarding </w:t>
      </w:r>
      <w:r w:rsidR="00B878BA">
        <w:rPr>
          <w:rFonts w:ascii="Arial" w:hAnsi="Arial"/>
        </w:rPr>
        <w:t xml:space="preserve">the </w:t>
      </w:r>
      <w:r w:rsidR="00761D74">
        <w:rPr>
          <w:rFonts w:ascii="Arial" w:hAnsi="Arial"/>
        </w:rPr>
        <w:t xml:space="preserve">proper </w:t>
      </w:r>
      <w:r w:rsidR="00B878BA">
        <w:rPr>
          <w:rFonts w:ascii="Arial" w:hAnsi="Arial"/>
        </w:rPr>
        <w:t xml:space="preserve">approach to amendment of pleadings in the era of case management which had hitherto </w:t>
      </w:r>
      <w:r w:rsidR="00761D74">
        <w:rPr>
          <w:rFonts w:ascii="Arial" w:hAnsi="Arial"/>
        </w:rPr>
        <w:t xml:space="preserve">not </w:t>
      </w:r>
      <w:r w:rsidR="00B878BA">
        <w:rPr>
          <w:rFonts w:ascii="Arial" w:hAnsi="Arial"/>
        </w:rPr>
        <w:t>been decided by our courts</w:t>
      </w:r>
      <w:r>
        <w:rPr>
          <w:rFonts w:ascii="Arial" w:hAnsi="Arial"/>
        </w:rPr>
        <w:t>.</w:t>
      </w:r>
      <w:r w:rsidR="001C1498">
        <w:rPr>
          <w:rFonts w:ascii="Arial" w:hAnsi="Arial"/>
        </w:rPr>
        <w:t xml:space="preserve"> </w:t>
      </w:r>
      <w:r w:rsidR="00DD07AE">
        <w:rPr>
          <w:rFonts w:ascii="Arial" w:hAnsi="Arial"/>
        </w:rPr>
        <w:t>In those circumstances, the decision is appealable and is properly before us.</w:t>
      </w:r>
    </w:p>
    <w:p w14:paraId="6805DFCE" w14:textId="77777777" w:rsidR="001C1498" w:rsidRDefault="001C1498" w:rsidP="00356543">
      <w:pPr>
        <w:spacing w:line="480" w:lineRule="auto"/>
        <w:jc w:val="both"/>
        <w:rPr>
          <w:rFonts w:ascii="Arial" w:hAnsi="Arial"/>
        </w:rPr>
      </w:pPr>
    </w:p>
    <w:p w14:paraId="03B1898D" w14:textId="30B1F900" w:rsidR="006339CF" w:rsidRPr="00356543" w:rsidRDefault="006339CF" w:rsidP="00356543">
      <w:pPr>
        <w:spacing w:line="480" w:lineRule="auto"/>
        <w:jc w:val="both"/>
        <w:rPr>
          <w:rFonts w:ascii="Arial" w:hAnsi="Arial"/>
          <w:u w:val="single"/>
        </w:rPr>
      </w:pPr>
      <w:r w:rsidRPr="00356543">
        <w:rPr>
          <w:rFonts w:ascii="Arial" w:hAnsi="Arial"/>
          <w:u w:val="single"/>
        </w:rPr>
        <w:t>Conclusion</w:t>
      </w:r>
    </w:p>
    <w:p w14:paraId="006C48B2" w14:textId="7EB4A0B7" w:rsidR="002A4B62" w:rsidRDefault="005419B6" w:rsidP="00356543">
      <w:pPr>
        <w:pStyle w:val="ListParagraph"/>
        <w:numPr>
          <w:ilvl w:val="0"/>
          <w:numId w:val="1"/>
        </w:numPr>
        <w:spacing w:line="480" w:lineRule="auto"/>
        <w:contextualSpacing w:val="0"/>
        <w:jc w:val="both"/>
        <w:rPr>
          <w:rFonts w:ascii="Arial" w:hAnsi="Arial"/>
        </w:rPr>
      </w:pPr>
      <w:r>
        <w:rPr>
          <w:rFonts w:ascii="Arial" w:hAnsi="Arial"/>
        </w:rPr>
        <w:t xml:space="preserve">In the </w:t>
      </w:r>
      <w:r w:rsidR="00B7734B">
        <w:rPr>
          <w:rFonts w:ascii="Arial" w:hAnsi="Arial"/>
        </w:rPr>
        <w:t>result</w:t>
      </w:r>
      <w:r>
        <w:rPr>
          <w:rFonts w:ascii="Arial" w:hAnsi="Arial"/>
        </w:rPr>
        <w:t xml:space="preserve">, it has been found that </w:t>
      </w:r>
      <w:r w:rsidR="00D51A09">
        <w:rPr>
          <w:rFonts w:ascii="Arial" w:hAnsi="Arial"/>
        </w:rPr>
        <w:t>th</w:t>
      </w:r>
      <w:r>
        <w:rPr>
          <w:rFonts w:ascii="Arial" w:hAnsi="Arial"/>
        </w:rPr>
        <w:t>e</w:t>
      </w:r>
      <w:r w:rsidR="00D51A09">
        <w:rPr>
          <w:rFonts w:ascii="Arial" w:hAnsi="Arial"/>
        </w:rPr>
        <w:t xml:space="preserve"> </w:t>
      </w:r>
      <w:r w:rsidR="00CE0E56">
        <w:rPr>
          <w:rFonts w:ascii="Arial" w:hAnsi="Arial"/>
        </w:rPr>
        <w:t xml:space="preserve">approach of the </w:t>
      </w:r>
      <w:r>
        <w:rPr>
          <w:rFonts w:ascii="Arial" w:hAnsi="Arial"/>
        </w:rPr>
        <w:t>court below</w:t>
      </w:r>
      <w:r w:rsidR="00CE0E56">
        <w:rPr>
          <w:rFonts w:ascii="Arial" w:hAnsi="Arial"/>
        </w:rPr>
        <w:t xml:space="preserve"> to</w:t>
      </w:r>
      <w:r>
        <w:rPr>
          <w:rFonts w:ascii="Arial" w:hAnsi="Arial"/>
        </w:rPr>
        <w:t xml:space="preserve"> the </w:t>
      </w:r>
      <w:r w:rsidR="00CE0E56">
        <w:rPr>
          <w:rFonts w:ascii="Arial" w:hAnsi="Arial"/>
        </w:rPr>
        <w:t xml:space="preserve">interpretation </w:t>
      </w:r>
      <w:r w:rsidR="00D51A09">
        <w:rPr>
          <w:rFonts w:ascii="Arial" w:hAnsi="Arial"/>
        </w:rPr>
        <w:t xml:space="preserve">of </w:t>
      </w:r>
      <w:r w:rsidR="00CE0E56">
        <w:rPr>
          <w:rFonts w:ascii="Arial" w:hAnsi="Arial"/>
        </w:rPr>
        <w:t xml:space="preserve">the relevant rules and the principles governing a party’s right to amend a pleading is erroneous </w:t>
      </w:r>
      <w:r w:rsidR="006339CF">
        <w:rPr>
          <w:rFonts w:ascii="Arial" w:hAnsi="Arial"/>
        </w:rPr>
        <w:t xml:space="preserve">and </w:t>
      </w:r>
      <w:r w:rsidR="00CC08DA">
        <w:rPr>
          <w:rFonts w:ascii="Arial" w:hAnsi="Arial"/>
        </w:rPr>
        <w:t xml:space="preserve">unalterable by it. </w:t>
      </w:r>
      <w:r w:rsidR="00DD07AE">
        <w:rPr>
          <w:rFonts w:ascii="Arial" w:hAnsi="Arial"/>
        </w:rPr>
        <w:t xml:space="preserve">The interlocutory decision rendered by the court below was appealable even on the basis that the interpretative decision is erroneous and unalterable by the court </w:t>
      </w:r>
      <w:r w:rsidR="00DD07AE" w:rsidRPr="00DD07AE">
        <w:rPr>
          <w:rFonts w:ascii="Arial" w:hAnsi="Arial"/>
          <w:i/>
        </w:rPr>
        <w:t>a quo</w:t>
      </w:r>
      <w:r w:rsidR="00DD07AE">
        <w:rPr>
          <w:rFonts w:ascii="Arial" w:hAnsi="Arial"/>
        </w:rPr>
        <w:t>. As the approach of the court below to the interpretation of the relevant rules is found to be erroneous, t</w:t>
      </w:r>
      <w:r w:rsidR="006339CF">
        <w:rPr>
          <w:rFonts w:ascii="Arial" w:hAnsi="Arial"/>
        </w:rPr>
        <w:t xml:space="preserve">he appeal should be upheld. </w:t>
      </w:r>
      <w:r w:rsidR="00FA7EE3">
        <w:rPr>
          <w:rFonts w:ascii="Arial" w:hAnsi="Arial"/>
        </w:rPr>
        <w:t xml:space="preserve">The court </w:t>
      </w:r>
      <w:r w:rsidR="00FA7EE3" w:rsidRPr="00DD07AE">
        <w:rPr>
          <w:rFonts w:ascii="Arial" w:hAnsi="Arial"/>
          <w:i/>
        </w:rPr>
        <w:t>a quo</w:t>
      </w:r>
      <w:r w:rsidR="00FA7EE3">
        <w:rPr>
          <w:rFonts w:ascii="Arial" w:hAnsi="Arial"/>
        </w:rPr>
        <w:t xml:space="preserve"> should have found that the </w:t>
      </w:r>
      <w:r w:rsidR="00D51A09">
        <w:rPr>
          <w:rFonts w:ascii="Arial" w:hAnsi="Arial"/>
        </w:rPr>
        <w:t>appellant’s notice of intention to amend and the amendment of its replication were proper and rule compliant.</w:t>
      </w:r>
    </w:p>
    <w:p w14:paraId="2CFF73F7" w14:textId="77777777" w:rsidR="006339CF" w:rsidRDefault="006339CF" w:rsidP="00356543">
      <w:pPr>
        <w:spacing w:line="480" w:lineRule="auto"/>
        <w:jc w:val="both"/>
        <w:rPr>
          <w:rFonts w:ascii="Arial" w:hAnsi="Arial"/>
          <w:u w:val="single"/>
        </w:rPr>
      </w:pPr>
    </w:p>
    <w:p w14:paraId="761EBEC4" w14:textId="60B57B61" w:rsidR="00107691" w:rsidRPr="00356543" w:rsidRDefault="006339CF" w:rsidP="00356543">
      <w:pPr>
        <w:spacing w:line="480" w:lineRule="auto"/>
        <w:jc w:val="both"/>
        <w:rPr>
          <w:rFonts w:ascii="Arial" w:hAnsi="Arial"/>
          <w:u w:val="single"/>
        </w:rPr>
      </w:pPr>
      <w:r w:rsidRPr="00356543">
        <w:rPr>
          <w:rFonts w:ascii="Arial" w:hAnsi="Arial"/>
          <w:u w:val="single"/>
        </w:rPr>
        <w:t>Order</w:t>
      </w:r>
    </w:p>
    <w:p w14:paraId="7B8FCC4C" w14:textId="77777777" w:rsidR="00A24CAD" w:rsidRDefault="00A24CAD" w:rsidP="00356543">
      <w:pPr>
        <w:pStyle w:val="ListParagraph"/>
        <w:numPr>
          <w:ilvl w:val="0"/>
          <w:numId w:val="1"/>
        </w:numPr>
        <w:spacing w:line="480" w:lineRule="auto"/>
        <w:jc w:val="both"/>
        <w:rPr>
          <w:rFonts w:ascii="Arial" w:hAnsi="Arial"/>
        </w:rPr>
      </w:pPr>
      <w:r w:rsidRPr="003908FA">
        <w:rPr>
          <w:rFonts w:ascii="Arial" w:hAnsi="Arial"/>
        </w:rPr>
        <w:t>The following order is accordingly made:</w:t>
      </w:r>
    </w:p>
    <w:p w14:paraId="1B4CFE9D" w14:textId="77777777" w:rsidR="0061432A" w:rsidRPr="003908FA" w:rsidRDefault="0061432A" w:rsidP="00356543">
      <w:pPr>
        <w:pStyle w:val="ListParagraph"/>
        <w:spacing w:line="480" w:lineRule="auto"/>
        <w:ind w:left="0"/>
        <w:jc w:val="both"/>
        <w:rPr>
          <w:rFonts w:ascii="Arial" w:hAnsi="Arial"/>
        </w:rPr>
      </w:pPr>
    </w:p>
    <w:p w14:paraId="569D8AE6" w14:textId="33FF4EA3" w:rsidR="00A24CAD" w:rsidRPr="00B039AF" w:rsidRDefault="00A24CAD" w:rsidP="00B039AF">
      <w:pPr>
        <w:pStyle w:val="ListParagraph"/>
        <w:numPr>
          <w:ilvl w:val="0"/>
          <w:numId w:val="2"/>
        </w:numPr>
        <w:spacing w:line="480" w:lineRule="auto"/>
        <w:jc w:val="both"/>
        <w:rPr>
          <w:rFonts w:ascii="Arial" w:hAnsi="Arial"/>
        </w:rPr>
      </w:pPr>
      <w:r w:rsidRPr="00B039AF">
        <w:rPr>
          <w:rFonts w:ascii="Arial" w:hAnsi="Arial"/>
        </w:rPr>
        <w:t xml:space="preserve">The appeal is </w:t>
      </w:r>
      <w:r w:rsidR="00F06048" w:rsidRPr="00B039AF">
        <w:rPr>
          <w:rFonts w:ascii="Arial" w:hAnsi="Arial"/>
        </w:rPr>
        <w:t>upheld</w:t>
      </w:r>
      <w:r w:rsidR="00CD31C5" w:rsidRPr="00B039AF">
        <w:rPr>
          <w:rFonts w:ascii="Arial" w:hAnsi="Arial"/>
        </w:rPr>
        <w:t xml:space="preserve"> with cost</w:t>
      </w:r>
      <w:r w:rsidR="00F06048" w:rsidRPr="00B039AF">
        <w:rPr>
          <w:rFonts w:ascii="Arial" w:hAnsi="Arial"/>
        </w:rPr>
        <w:t>s</w:t>
      </w:r>
      <w:r w:rsidR="00CD31C5" w:rsidRPr="00B039AF">
        <w:rPr>
          <w:rFonts w:ascii="Arial" w:hAnsi="Arial"/>
        </w:rPr>
        <w:t>, such costs to include the costs of one instruct</w:t>
      </w:r>
      <w:r w:rsidR="00661FF9" w:rsidRPr="00B039AF">
        <w:rPr>
          <w:rFonts w:ascii="Arial" w:hAnsi="Arial"/>
        </w:rPr>
        <w:t>ing</w:t>
      </w:r>
      <w:r w:rsidR="00CD31C5" w:rsidRPr="00B039AF">
        <w:rPr>
          <w:rFonts w:ascii="Arial" w:hAnsi="Arial"/>
        </w:rPr>
        <w:t xml:space="preserve"> legal practitioner and </w:t>
      </w:r>
      <w:r w:rsidR="00F06048" w:rsidRPr="00B039AF">
        <w:rPr>
          <w:rFonts w:ascii="Arial" w:hAnsi="Arial"/>
        </w:rPr>
        <w:t>two</w:t>
      </w:r>
      <w:r w:rsidR="00661FF9" w:rsidRPr="00B039AF">
        <w:rPr>
          <w:rFonts w:ascii="Arial" w:hAnsi="Arial"/>
        </w:rPr>
        <w:t xml:space="preserve"> instructed legal practitioner</w:t>
      </w:r>
      <w:r w:rsidR="00F06048" w:rsidRPr="00B039AF">
        <w:rPr>
          <w:rFonts w:ascii="Arial" w:hAnsi="Arial"/>
        </w:rPr>
        <w:t>s</w:t>
      </w:r>
      <w:r w:rsidRPr="00B039AF">
        <w:rPr>
          <w:rFonts w:ascii="Arial" w:hAnsi="Arial"/>
        </w:rPr>
        <w:t>.</w:t>
      </w:r>
    </w:p>
    <w:p w14:paraId="49724F1F" w14:textId="77777777" w:rsidR="00356543" w:rsidRPr="00DA1A6C" w:rsidRDefault="00356543" w:rsidP="00B039AF">
      <w:pPr>
        <w:pStyle w:val="ListParagraph"/>
        <w:spacing w:line="480" w:lineRule="auto"/>
        <w:ind w:leftChars="720" w:left="2448" w:hanging="720"/>
        <w:jc w:val="both"/>
        <w:rPr>
          <w:rFonts w:ascii="Arial" w:hAnsi="Arial"/>
        </w:rPr>
      </w:pPr>
    </w:p>
    <w:p w14:paraId="74E68D2B" w14:textId="675D3EE9" w:rsidR="00A24CAD" w:rsidRPr="00B039AF" w:rsidRDefault="00F06048" w:rsidP="00B039AF">
      <w:pPr>
        <w:pStyle w:val="ListParagraph"/>
        <w:numPr>
          <w:ilvl w:val="0"/>
          <w:numId w:val="2"/>
        </w:numPr>
        <w:spacing w:line="480" w:lineRule="auto"/>
        <w:jc w:val="both"/>
        <w:rPr>
          <w:rFonts w:ascii="Arial" w:hAnsi="Arial"/>
        </w:rPr>
      </w:pPr>
      <w:r w:rsidRPr="00B039AF">
        <w:rPr>
          <w:rFonts w:ascii="Arial" w:hAnsi="Arial"/>
        </w:rPr>
        <w:t xml:space="preserve">The order of the court </w:t>
      </w:r>
      <w:r w:rsidRPr="00B039AF">
        <w:rPr>
          <w:rFonts w:ascii="Arial" w:hAnsi="Arial"/>
          <w:i/>
        </w:rPr>
        <w:t>a quo</w:t>
      </w:r>
      <w:r w:rsidRPr="00B039AF">
        <w:rPr>
          <w:rFonts w:ascii="Arial" w:hAnsi="Arial"/>
        </w:rPr>
        <w:t xml:space="preserve"> is set aside and substituted for the following order: </w:t>
      </w:r>
    </w:p>
    <w:p w14:paraId="0392A659" w14:textId="77777777" w:rsidR="006F3BD7" w:rsidRPr="006F3BD7" w:rsidRDefault="006F3BD7" w:rsidP="00356543">
      <w:pPr>
        <w:spacing w:line="480" w:lineRule="auto"/>
        <w:ind w:left="1440"/>
        <w:jc w:val="both"/>
        <w:rPr>
          <w:rFonts w:ascii="Arial" w:hAnsi="Arial"/>
        </w:rPr>
      </w:pPr>
    </w:p>
    <w:p w14:paraId="4A275E3E" w14:textId="089F5409" w:rsidR="00F06048" w:rsidRPr="00B039AF" w:rsidRDefault="00356543" w:rsidP="00B039AF">
      <w:pPr>
        <w:spacing w:line="480" w:lineRule="auto"/>
        <w:ind w:left="1440" w:hanging="296"/>
        <w:jc w:val="both"/>
        <w:rPr>
          <w:rFonts w:ascii="Arial" w:hAnsi="Arial"/>
        </w:rPr>
      </w:pPr>
      <w:r w:rsidRPr="00B039AF">
        <w:rPr>
          <w:rFonts w:ascii="Arial" w:hAnsi="Arial"/>
        </w:rPr>
        <w:lastRenderedPageBreak/>
        <w:t>‘</w:t>
      </w:r>
      <w:r w:rsidR="00B039AF">
        <w:rPr>
          <w:rFonts w:ascii="Arial" w:hAnsi="Arial"/>
        </w:rPr>
        <w:t>i.</w:t>
      </w:r>
      <w:r w:rsidR="00B039AF">
        <w:rPr>
          <w:rFonts w:ascii="Arial" w:hAnsi="Arial"/>
        </w:rPr>
        <w:tab/>
      </w:r>
      <w:r w:rsidR="00F06048" w:rsidRPr="00B039AF">
        <w:rPr>
          <w:rFonts w:ascii="Arial" w:hAnsi="Arial"/>
        </w:rPr>
        <w:t>The notice of intention to amend the replication and the plaintiff’s replication are not void or invalid and are properly before court.</w:t>
      </w:r>
    </w:p>
    <w:p w14:paraId="370B32E7" w14:textId="77777777" w:rsidR="00356543" w:rsidRDefault="00356543" w:rsidP="00B039AF">
      <w:pPr>
        <w:pStyle w:val="ListParagraph"/>
        <w:spacing w:line="480" w:lineRule="auto"/>
        <w:ind w:left="0"/>
        <w:jc w:val="both"/>
        <w:rPr>
          <w:rFonts w:ascii="Arial" w:hAnsi="Arial"/>
        </w:rPr>
      </w:pPr>
    </w:p>
    <w:p w14:paraId="4BC28EE0" w14:textId="49921D17" w:rsidR="00A24CAD" w:rsidRPr="00B039AF" w:rsidRDefault="00356543" w:rsidP="00B039AF">
      <w:pPr>
        <w:spacing w:line="480" w:lineRule="auto"/>
        <w:ind w:left="1440" w:hanging="296"/>
        <w:jc w:val="both"/>
        <w:rPr>
          <w:rFonts w:ascii="Arial" w:hAnsi="Arial"/>
        </w:rPr>
      </w:pPr>
      <w:r w:rsidRPr="00B039AF">
        <w:rPr>
          <w:rFonts w:ascii="Arial" w:hAnsi="Arial"/>
        </w:rPr>
        <w:t>ii.</w:t>
      </w:r>
      <w:r w:rsidRPr="00B039AF">
        <w:rPr>
          <w:rFonts w:ascii="Arial" w:hAnsi="Arial"/>
        </w:rPr>
        <w:tab/>
      </w:r>
      <w:r w:rsidR="00F06048" w:rsidRPr="00B039AF">
        <w:rPr>
          <w:rFonts w:ascii="Arial" w:hAnsi="Arial"/>
        </w:rPr>
        <w:t>The defendant is directed to pay the plaintiff’s costs occasioned by the defendant’s opposition and objection to the above-mentioned documents (including the costs associated with the preparation of heads of argument, indexing and pagination of the court file and the preparation of bundles of authorities).</w:t>
      </w:r>
      <w:r w:rsidR="006F3BD7" w:rsidRPr="00B039AF">
        <w:rPr>
          <w:rFonts w:ascii="Arial" w:hAnsi="Arial"/>
        </w:rPr>
        <w:t>’</w:t>
      </w:r>
      <w:r w:rsidR="00F06048" w:rsidRPr="00B039AF">
        <w:rPr>
          <w:rFonts w:ascii="Arial" w:hAnsi="Arial"/>
        </w:rPr>
        <w:t xml:space="preserve"> </w:t>
      </w:r>
    </w:p>
    <w:p w14:paraId="50195516" w14:textId="77777777" w:rsidR="0061432A" w:rsidRPr="00DA1A6C" w:rsidRDefault="0061432A" w:rsidP="00356543">
      <w:pPr>
        <w:pStyle w:val="ListParagraph"/>
        <w:spacing w:line="480" w:lineRule="auto"/>
        <w:ind w:left="2160"/>
        <w:jc w:val="both"/>
        <w:rPr>
          <w:rFonts w:ascii="Arial" w:hAnsi="Arial"/>
        </w:rPr>
      </w:pPr>
    </w:p>
    <w:p w14:paraId="3C9BEADA" w14:textId="7D43CB40" w:rsidR="00DA1A6C" w:rsidRPr="00DA1A6C" w:rsidRDefault="00DA1A6C" w:rsidP="00356543">
      <w:pPr>
        <w:pStyle w:val="ListParagraph"/>
        <w:numPr>
          <w:ilvl w:val="0"/>
          <w:numId w:val="2"/>
        </w:numPr>
        <w:spacing w:line="480" w:lineRule="auto"/>
        <w:jc w:val="both"/>
        <w:rPr>
          <w:rFonts w:ascii="Arial" w:hAnsi="Arial"/>
        </w:rPr>
      </w:pPr>
      <w:r w:rsidRPr="00DA1A6C">
        <w:rPr>
          <w:rFonts w:ascii="Arial" w:hAnsi="Arial"/>
        </w:rPr>
        <w:t xml:space="preserve">The matter is referred to </w:t>
      </w:r>
      <w:r>
        <w:rPr>
          <w:rFonts w:ascii="Arial" w:hAnsi="Arial"/>
        </w:rPr>
        <w:t xml:space="preserve">a status hearing to be convened by the managing judge for </w:t>
      </w:r>
      <w:r w:rsidR="000C396E">
        <w:rPr>
          <w:rFonts w:ascii="Arial" w:hAnsi="Arial"/>
        </w:rPr>
        <w:t>i</w:t>
      </w:r>
      <w:r>
        <w:rPr>
          <w:rFonts w:ascii="Arial" w:hAnsi="Arial"/>
        </w:rPr>
        <w:t>t</w:t>
      </w:r>
      <w:r w:rsidR="000C396E">
        <w:rPr>
          <w:rFonts w:ascii="Arial" w:hAnsi="Arial"/>
        </w:rPr>
        <w:t xml:space="preserve">s </w:t>
      </w:r>
      <w:r>
        <w:rPr>
          <w:rFonts w:ascii="Arial" w:hAnsi="Arial"/>
        </w:rPr>
        <w:t>further management.</w:t>
      </w:r>
    </w:p>
    <w:p w14:paraId="01F002B7" w14:textId="77777777" w:rsidR="00A24CAD" w:rsidRDefault="00A24CAD" w:rsidP="00356543">
      <w:pPr>
        <w:spacing w:line="480" w:lineRule="auto"/>
        <w:jc w:val="both"/>
        <w:rPr>
          <w:rFonts w:ascii="Arial" w:hAnsi="Arial"/>
        </w:rPr>
      </w:pPr>
    </w:p>
    <w:p w14:paraId="6FA4EA10" w14:textId="77777777" w:rsidR="00A24CAD" w:rsidRDefault="00A24CAD" w:rsidP="00B039AF">
      <w:pPr>
        <w:spacing w:line="276" w:lineRule="auto"/>
        <w:jc w:val="both"/>
        <w:rPr>
          <w:rFonts w:ascii="Arial" w:hAnsi="Arial" w:cs="Arial"/>
        </w:rPr>
      </w:pPr>
    </w:p>
    <w:p w14:paraId="5AF274C9" w14:textId="77777777" w:rsidR="005269E4" w:rsidRPr="00681B8B" w:rsidRDefault="005269E4" w:rsidP="00B039AF">
      <w:pPr>
        <w:spacing w:line="276" w:lineRule="auto"/>
        <w:jc w:val="both"/>
        <w:rPr>
          <w:rFonts w:ascii="Arial" w:hAnsi="Arial" w:cs="Arial"/>
        </w:rPr>
      </w:pPr>
    </w:p>
    <w:p w14:paraId="24B461E0" w14:textId="3410D870" w:rsidR="00A24CAD" w:rsidRPr="00681B8B" w:rsidRDefault="00497595" w:rsidP="00B039AF">
      <w:pPr>
        <w:spacing w:line="276" w:lineRule="auto"/>
        <w:jc w:val="both"/>
        <w:rPr>
          <w:rFonts w:ascii="Arial" w:hAnsi="Arial" w:cs="Arial"/>
        </w:rPr>
      </w:pPr>
      <w:r>
        <w:rPr>
          <w:rFonts w:ascii="Arial" w:hAnsi="Arial" w:cs="Arial"/>
        </w:rPr>
        <w:t>____________________</w:t>
      </w:r>
    </w:p>
    <w:p w14:paraId="371B94BC" w14:textId="77777777" w:rsidR="00A24CAD" w:rsidRPr="00681B8B" w:rsidRDefault="00A24CAD" w:rsidP="00B039AF">
      <w:pPr>
        <w:spacing w:line="276" w:lineRule="auto"/>
        <w:rPr>
          <w:rFonts w:ascii="Arial" w:hAnsi="Arial" w:cs="Arial"/>
          <w:b/>
        </w:rPr>
      </w:pPr>
      <w:r w:rsidRPr="00681B8B">
        <w:rPr>
          <w:rFonts w:ascii="Arial" w:hAnsi="Arial" w:cs="Arial"/>
          <w:b/>
        </w:rPr>
        <w:t>SHIVUTE CJ</w:t>
      </w:r>
    </w:p>
    <w:p w14:paraId="3825B947" w14:textId="77777777" w:rsidR="00A24CAD" w:rsidRPr="00681B8B" w:rsidRDefault="00A24CAD" w:rsidP="00B039AF">
      <w:pPr>
        <w:spacing w:line="276" w:lineRule="auto"/>
        <w:rPr>
          <w:rFonts w:ascii="Arial" w:hAnsi="Arial" w:cs="Arial"/>
        </w:rPr>
      </w:pPr>
    </w:p>
    <w:p w14:paraId="1A41AF7D" w14:textId="77777777" w:rsidR="00A24CAD" w:rsidRPr="00681B8B" w:rsidRDefault="00A24CAD" w:rsidP="00B039AF">
      <w:pPr>
        <w:spacing w:line="276" w:lineRule="auto"/>
        <w:rPr>
          <w:rFonts w:ascii="Arial" w:hAnsi="Arial" w:cs="Arial"/>
        </w:rPr>
      </w:pPr>
    </w:p>
    <w:p w14:paraId="194D73B9" w14:textId="42585498" w:rsidR="005269E4" w:rsidRDefault="005269E4" w:rsidP="00B039AF">
      <w:pPr>
        <w:spacing w:line="276" w:lineRule="auto"/>
        <w:rPr>
          <w:rFonts w:ascii="Arial" w:hAnsi="Arial" w:cs="Arial"/>
          <w:noProof/>
          <w:lang w:val="en-ZA" w:eastAsia="en-ZA"/>
        </w:rPr>
      </w:pPr>
    </w:p>
    <w:p w14:paraId="51B212E1" w14:textId="77777777" w:rsidR="001002DD" w:rsidRDefault="001002DD" w:rsidP="00B039AF">
      <w:pPr>
        <w:spacing w:line="276" w:lineRule="auto"/>
        <w:rPr>
          <w:rFonts w:ascii="Arial" w:hAnsi="Arial" w:cs="Arial"/>
          <w:noProof/>
          <w:lang w:val="en-ZA" w:eastAsia="en-ZA"/>
        </w:rPr>
      </w:pPr>
    </w:p>
    <w:p w14:paraId="1E9D3F09" w14:textId="77777777" w:rsidR="001002DD" w:rsidRDefault="001002DD" w:rsidP="00B039AF">
      <w:pPr>
        <w:spacing w:line="276" w:lineRule="auto"/>
        <w:rPr>
          <w:rFonts w:ascii="Arial" w:hAnsi="Arial" w:cs="Arial"/>
        </w:rPr>
      </w:pPr>
    </w:p>
    <w:p w14:paraId="4D9C08A9" w14:textId="2A488B98" w:rsidR="00A24CAD" w:rsidRPr="00681B8B" w:rsidRDefault="00A24CAD" w:rsidP="00B039AF">
      <w:pPr>
        <w:spacing w:line="276" w:lineRule="auto"/>
        <w:rPr>
          <w:rFonts w:ascii="Arial" w:hAnsi="Arial" w:cs="Arial"/>
        </w:rPr>
      </w:pPr>
      <w:r w:rsidRPr="00681B8B">
        <w:rPr>
          <w:rFonts w:ascii="Arial" w:hAnsi="Arial" w:cs="Arial"/>
        </w:rPr>
        <w:t>____________</w:t>
      </w:r>
      <w:r w:rsidR="00497595">
        <w:rPr>
          <w:rFonts w:ascii="Arial" w:hAnsi="Arial" w:cs="Arial"/>
        </w:rPr>
        <w:t>________</w:t>
      </w:r>
    </w:p>
    <w:p w14:paraId="7605203F" w14:textId="77777777" w:rsidR="00A24CAD" w:rsidRPr="00534351" w:rsidRDefault="00661FF9" w:rsidP="00B039AF">
      <w:pPr>
        <w:spacing w:line="276" w:lineRule="auto"/>
        <w:rPr>
          <w:rFonts w:ascii="Arial" w:hAnsi="Arial" w:cs="Arial"/>
          <w:b/>
        </w:rPr>
      </w:pPr>
      <w:r>
        <w:rPr>
          <w:rFonts w:ascii="Arial" w:hAnsi="Arial" w:cs="Arial"/>
          <w:b/>
        </w:rPr>
        <w:t xml:space="preserve">SMUTS </w:t>
      </w:r>
      <w:r w:rsidR="00A24CAD" w:rsidRPr="00534351">
        <w:rPr>
          <w:rFonts w:ascii="Arial" w:hAnsi="Arial" w:cs="Arial"/>
          <w:b/>
        </w:rPr>
        <w:t>JA</w:t>
      </w:r>
    </w:p>
    <w:p w14:paraId="3DB2FD75" w14:textId="77777777" w:rsidR="00A24CAD" w:rsidRDefault="00A24CAD" w:rsidP="00B039AF">
      <w:pPr>
        <w:spacing w:line="276" w:lineRule="auto"/>
        <w:rPr>
          <w:rFonts w:ascii="Arial" w:hAnsi="Arial" w:cs="Arial"/>
        </w:rPr>
      </w:pPr>
    </w:p>
    <w:p w14:paraId="79D6689E" w14:textId="77777777" w:rsidR="00F226DA" w:rsidRDefault="00F226DA" w:rsidP="00B039AF">
      <w:pPr>
        <w:spacing w:line="276" w:lineRule="auto"/>
        <w:rPr>
          <w:rFonts w:ascii="Arial" w:hAnsi="Arial" w:cs="Arial"/>
        </w:rPr>
      </w:pPr>
    </w:p>
    <w:p w14:paraId="31786904" w14:textId="77777777" w:rsidR="00F226DA" w:rsidRDefault="00F226DA" w:rsidP="00B039AF">
      <w:pPr>
        <w:spacing w:line="276" w:lineRule="auto"/>
        <w:rPr>
          <w:rFonts w:ascii="Arial" w:hAnsi="Arial" w:cs="Arial"/>
        </w:rPr>
      </w:pPr>
    </w:p>
    <w:p w14:paraId="54D06D00" w14:textId="77777777" w:rsidR="005269E4" w:rsidRDefault="005269E4" w:rsidP="00B039AF">
      <w:pPr>
        <w:spacing w:line="276" w:lineRule="auto"/>
        <w:rPr>
          <w:rFonts w:ascii="Arial" w:hAnsi="Arial" w:cs="Arial"/>
        </w:rPr>
      </w:pPr>
    </w:p>
    <w:p w14:paraId="02DE3299" w14:textId="77777777" w:rsidR="003A3A01" w:rsidRPr="00681B8B" w:rsidRDefault="003A3A01" w:rsidP="00B039AF">
      <w:pPr>
        <w:spacing w:line="276" w:lineRule="auto"/>
        <w:rPr>
          <w:rFonts w:ascii="Arial" w:hAnsi="Arial" w:cs="Arial"/>
        </w:rPr>
      </w:pPr>
    </w:p>
    <w:p w14:paraId="2827DDD1" w14:textId="51975640" w:rsidR="00A24CAD" w:rsidRPr="00681B8B" w:rsidRDefault="00497595" w:rsidP="00B039AF">
      <w:pPr>
        <w:spacing w:line="276" w:lineRule="auto"/>
        <w:rPr>
          <w:rFonts w:ascii="Arial" w:hAnsi="Arial" w:cs="Arial"/>
        </w:rPr>
      </w:pPr>
      <w:r>
        <w:rPr>
          <w:rFonts w:ascii="Arial" w:hAnsi="Arial" w:cs="Arial"/>
        </w:rPr>
        <w:t>___________________</w:t>
      </w:r>
    </w:p>
    <w:p w14:paraId="7FC0788D" w14:textId="2061EC6C" w:rsidR="004D01FA" w:rsidRDefault="00661FF9" w:rsidP="00B039AF">
      <w:pPr>
        <w:spacing w:line="276" w:lineRule="auto"/>
        <w:rPr>
          <w:rFonts w:ascii="Arial" w:hAnsi="Arial"/>
        </w:rPr>
      </w:pPr>
      <w:r>
        <w:rPr>
          <w:rFonts w:ascii="Arial" w:hAnsi="Arial" w:cs="Arial"/>
          <w:b/>
        </w:rPr>
        <w:t>ANGULA</w:t>
      </w:r>
      <w:r w:rsidR="00A24CAD" w:rsidRPr="00534351">
        <w:rPr>
          <w:rFonts w:ascii="Arial" w:hAnsi="Arial" w:cs="Arial"/>
          <w:b/>
        </w:rPr>
        <w:t xml:space="preserve"> </w:t>
      </w:r>
      <w:r w:rsidR="00A24CAD">
        <w:rPr>
          <w:rFonts w:ascii="Arial" w:hAnsi="Arial" w:cs="Arial"/>
          <w:b/>
        </w:rPr>
        <w:t>A</w:t>
      </w:r>
      <w:r w:rsidR="00A24CAD" w:rsidRPr="00534351">
        <w:rPr>
          <w:rFonts w:ascii="Arial" w:hAnsi="Arial" w:cs="Arial"/>
          <w:b/>
        </w:rPr>
        <w:t>JA</w:t>
      </w:r>
    </w:p>
    <w:p w14:paraId="758CC2DD" w14:textId="341C8408" w:rsidR="004D01FA" w:rsidRDefault="004D01FA" w:rsidP="00356543">
      <w:pPr>
        <w:rPr>
          <w:rFonts w:ascii="Arial" w:hAnsi="Arial"/>
        </w:rPr>
      </w:pPr>
    </w:p>
    <w:p w14:paraId="4E5A2615" w14:textId="5F1092E3" w:rsidR="00B015F4" w:rsidRDefault="00B015F4">
      <w:pPr>
        <w:spacing w:line="480" w:lineRule="auto"/>
        <w:jc w:val="both"/>
        <w:rPr>
          <w:rFonts w:ascii="Arial" w:hAnsi="Arial"/>
        </w:rPr>
      </w:pPr>
      <w:r>
        <w:rPr>
          <w:rFonts w:ascii="Arial" w:hAnsi="Arial"/>
        </w:rPr>
        <w:br w:type="page"/>
      </w:r>
    </w:p>
    <w:p w14:paraId="19DFE53C" w14:textId="77777777" w:rsidR="004D01FA" w:rsidRDefault="004D01FA" w:rsidP="00356543">
      <w:pPr>
        <w:rPr>
          <w:rFonts w:ascii="Arial" w:hAnsi="Arial"/>
        </w:rPr>
      </w:pPr>
    </w:p>
    <w:p w14:paraId="3259F626" w14:textId="77777777" w:rsidR="00A24CAD" w:rsidRDefault="00A24CAD" w:rsidP="00356543">
      <w:pPr>
        <w:jc w:val="both"/>
        <w:rPr>
          <w:rFonts w:ascii="Arial" w:hAnsi="Arial"/>
        </w:rPr>
      </w:pPr>
      <w:r>
        <w:rPr>
          <w:rFonts w:ascii="Arial" w:hAnsi="Arial"/>
        </w:rPr>
        <w:t>APPEARANCES</w:t>
      </w:r>
    </w:p>
    <w:p w14:paraId="4044D723" w14:textId="77777777" w:rsidR="00A24CAD" w:rsidRDefault="00A24CAD" w:rsidP="00356543">
      <w:pPr>
        <w:jc w:val="both"/>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8"/>
        <w:gridCol w:w="5333"/>
      </w:tblGrid>
      <w:tr w:rsidR="00A24CAD" w14:paraId="0A09D808" w14:textId="77777777" w:rsidTr="00121F0B">
        <w:tc>
          <w:tcPr>
            <w:tcW w:w="3510" w:type="dxa"/>
          </w:tcPr>
          <w:p w14:paraId="2BFE308F" w14:textId="77777777" w:rsidR="00A24CAD" w:rsidRDefault="00A24CAD" w:rsidP="003A3A01">
            <w:pPr>
              <w:spacing w:line="480" w:lineRule="auto"/>
              <w:ind w:left="-108"/>
              <w:jc w:val="both"/>
              <w:rPr>
                <w:rFonts w:ascii="Arial" w:hAnsi="Arial"/>
              </w:rPr>
            </w:pPr>
            <w:r>
              <w:rPr>
                <w:rFonts w:ascii="Arial" w:hAnsi="Arial"/>
              </w:rPr>
              <w:t>APPELLANT:</w:t>
            </w:r>
          </w:p>
          <w:p w14:paraId="0E6C51BE" w14:textId="77777777" w:rsidR="00A24CAD" w:rsidRDefault="00A24CAD" w:rsidP="00356543">
            <w:pPr>
              <w:spacing w:line="480" w:lineRule="auto"/>
              <w:jc w:val="both"/>
              <w:rPr>
                <w:rFonts w:ascii="Arial" w:hAnsi="Arial"/>
              </w:rPr>
            </w:pPr>
          </w:p>
          <w:p w14:paraId="6C88A543" w14:textId="77777777" w:rsidR="00A24CAD" w:rsidRDefault="00A24CAD" w:rsidP="00356543">
            <w:pPr>
              <w:spacing w:line="480" w:lineRule="auto"/>
              <w:jc w:val="both"/>
              <w:rPr>
                <w:rFonts w:ascii="Arial" w:hAnsi="Arial"/>
              </w:rPr>
            </w:pPr>
          </w:p>
          <w:p w14:paraId="5138E0DE" w14:textId="77777777" w:rsidR="00A24CAD" w:rsidRDefault="00A24CAD" w:rsidP="00356543">
            <w:pPr>
              <w:spacing w:line="480" w:lineRule="auto"/>
              <w:jc w:val="both"/>
              <w:rPr>
                <w:rFonts w:ascii="Arial" w:hAnsi="Arial"/>
              </w:rPr>
            </w:pPr>
          </w:p>
          <w:p w14:paraId="0E178349" w14:textId="77777777" w:rsidR="00A24CAD" w:rsidRDefault="00A24CAD" w:rsidP="003A3A01">
            <w:pPr>
              <w:spacing w:line="480" w:lineRule="auto"/>
              <w:ind w:left="-108"/>
              <w:jc w:val="both"/>
              <w:rPr>
                <w:rFonts w:ascii="Arial" w:hAnsi="Arial"/>
              </w:rPr>
            </w:pPr>
            <w:r>
              <w:rPr>
                <w:rFonts w:ascii="Arial" w:hAnsi="Arial"/>
              </w:rPr>
              <w:t>RESPONDENT:</w:t>
            </w:r>
          </w:p>
        </w:tc>
        <w:tc>
          <w:tcPr>
            <w:tcW w:w="5487" w:type="dxa"/>
          </w:tcPr>
          <w:p w14:paraId="37144ACE" w14:textId="427B9274" w:rsidR="00A24CAD" w:rsidRDefault="00661FF9" w:rsidP="00356543">
            <w:pPr>
              <w:spacing w:line="480" w:lineRule="auto"/>
              <w:jc w:val="both"/>
              <w:rPr>
                <w:rFonts w:ascii="Arial" w:hAnsi="Arial"/>
              </w:rPr>
            </w:pPr>
            <w:r>
              <w:rPr>
                <w:rFonts w:ascii="Arial" w:hAnsi="Arial"/>
              </w:rPr>
              <w:t>R</w:t>
            </w:r>
            <w:r w:rsidR="00A24CAD">
              <w:rPr>
                <w:rFonts w:ascii="Arial" w:hAnsi="Arial"/>
              </w:rPr>
              <w:t xml:space="preserve"> </w:t>
            </w:r>
            <w:r>
              <w:rPr>
                <w:rFonts w:ascii="Arial" w:hAnsi="Arial"/>
              </w:rPr>
              <w:t xml:space="preserve">Totemeyer </w:t>
            </w:r>
            <w:r w:rsidR="0061432A">
              <w:rPr>
                <w:rFonts w:ascii="Arial" w:hAnsi="Arial"/>
              </w:rPr>
              <w:t>(</w:t>
            </w:r>
            <w:r>
              <w:rPr>
                <w:rFonts w:ascii="Arial" w:hAnsi="Arial"/>
              </w:rPr>
              <w:t xml:space="preserve">with him D </w:t>
            </w:r>
            <w:r w:rsidR="0061432A">
              <w:rPr>
                <w:rFonts w:ascii="Arial" w:hAnsi="Arial"/>
              </w:rPr>
              <w:t>Obbes</w:t>
            </w:r>
            <w:r>
              <w:rPr>
                <w:rFonts w:ascii="Arial" w:hAnsi="Arial"/>
              </w:rPr>
              <w:t>)</w:t>
            </w:r>
          </w:p>
          <w:p w14:paraId="678F6904" w14:textId="77777777" w:rsidR="00A24CAD" w:rsidRDefault="00A24CAD" w:rsidP="00356543">
            <w:pPr>
              <w:spacing w:line="480" w:lineRule="auto"/>
              <w:jc w:val="both"/>
              <w:rPr>
                <w:rFonts w:ascii="Arial" w:hAnsi="Arial"/>
              </w:rPr>
            </w:pPr>
            <w:r>
              <w:rPr>
                <w:rFonts w:ascii="Arial" w:hAnsi="Arial"/>
              </w:rPr>
              <w:t xml:space="preserve">Instructed by </w:t>
            </w:r>
            <w:r w:rsidR="00D40F54">
              <w:rPr>
                <w:rFonts w:ascii="Arial" w:hAnsi="Arial"/>
              </w:rPr>
              <w:t>Kinghorn Associates</w:t>
            </w:r>
          </w:p>
          <w:p w14:paraId="03BCB55E" w14:textId="77777777" w:rsidR="00A24CAD" w:rsidRDefault="00A24CAD" w:rsidP="00356543">
            <w:pPr>
              <w:spacing w:line="480" w:lineRule="auto"/>
              <w:jc w:val="both"/>
              <w:rPr>
                <w:rFonts w:ascii="Arial" w:hAnsi="Arial"/>
              </w:rPr>
            </w:pPr>
          </w:p>
          <w:p w14:paraId="6142C87B" w14:textId="77777777" w:rsidR="009C7132" w:rsidRDefault="009C7132" w:rsidP="00356543">
            <w:pPr>
              <w:spacing w:line="480" w:lineRule="auto"/>
              <w:jc w:val="both"/>
              <w:rPr>
                <w:rFonts w:ascii="Arial" w:hAnsi="Arial"/>
              </w:rPr>
            </w:pPr>
          </w:p>
          <w:p w14:paraId="49515BD0" w14:textId="78A92AA3" w:rsidR="00A24CAD" w:rsidRDefault="00661FF9" w:rsidP="00356543">
            <w:pPr>
              <w:spacing w:line="480" w:lineRule="auto"/>
              <w:jc w:val="both"/>
              <w:rPr>
                <w:rFonts w:ascii="Arial" w:hAnsi="Arial"/>
              </w:rPr>
            </w:pPr>
            <w:r>
              <w:rPr>
                <w:rFonts w:ascii="Arial" w:hAnsi="Arial"/>
              </w:rPr>
              <w:t>S</w:t>
            </w:r>
            <w:r w:rsidR="0061432A">
              <w:rPr>
                <w:rFonts w:ascii="Arial" w:hAnsi="Arial"/>
              </w:rPr>
              <w:t xml:space="preserve"> </w:t>
            </w:r>
            <w:r w:rsidR="004D01FA">
              <w:rPr>
                <w:rFonts w:ascii="Arial" w:hAnsi="Arial"/>
              </w:rPr>
              <w:t>S</w:t>
            </w:r>
            <w:r>
              <w:rPr>
                <w:rFonts w:ascii="Arial" w:hAnsi="Arial"/>
              </w:rPr>
              <w:t xml:space="preserve"> Makando</w:t>
            </w:r>
            <w:r w:rsidR="00A24CAD">
              <w:rPr>
                <w:rFonts w:ascii="Arial" w:hAnsi="Arial"/>
              </w:rPr>
              <w:t xml:space="preserve"> </w:t>
            </w:r>
          </w:p>
          <w:p w14:paraId="513C1BF8" w14:textId="77777777" w:rsidR="00A24CAD" w:rsidRDefault="00B63623" w:rsidP="00356543">
            <w:pPr>
              <w:spacing w:line="480" w:lineRule="auto"/>
              <w:jc w:val="both"/>
              <w:rPr>
                <w:rFonts w:ascii="Arial" w:hAnsi="Arial"/>
              </w:rPr>
            </w:pPr>
            <w:r>
              <w:rPr>
                <w:rFonts w:ascii="Arial" w:hAnsi="Arial"/>
              </w:rPr>
              <w:t xml:space="preserve">Instructed by </w:t>
            </w:r>
            <w:r w:rsidR="00661FF9">
              <w:rPr>
                <w:rFonts w:ascii="Arial" w:hAnsi="Arial"/>
              </w:rPr>
              <w:t>Conradie &amp; Damaseb</w:t>
            </w:r>
          </w:p>
        </w:tc>
      </w:tr>
    </w:tbl>
    <w:p w14:paraId="36B163B4" w14:textId="77777777" w:rsidR="00A24CAD" w:rsidRDefault="00A24CAD" w:rsidP="00356543">
      <w:pPr>
        <w:spacing w:line="480" w:lineRule="auto"/>
        <w:jc w:val="both"/>
        <w:rPr>
          <w:rFonts w:ascii="Arial" w:hAnsi="Arial"/>
        </w:rPr>
      </w:pPr>
    </w:p>
    <w:p w14:paraId="4E4ABE17" w14:textId="77777777" w:rsidR="00F64C35" w:rsidRDefault="00F64C35" w:rsidP="00356543"/>
    <w:sectPr w:rsidR="00F64C35" w:rsidSect="00F226DA">
      <w:headerReference w:type="default" r:id="rId12"/>
      <w:footerReference w:type="even" r:id="rId13"/>
      <w:pgSz w:w="11900" w:h="16840"/>
      <w:pgMar w:top="1701" w:right="1418" w:bottom="1418"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1A71E" w14:textId="77777777" w:rsidR="00AC15E7" w:rsidRDefault="00AC15E7" w:rsidP="00D9625B">
      <w:r>
        <w:separator/>
      </w:r>
    </w:p>
  </w:endnote>
  <w:endnote w:type="continuationSeparator" w:id="0">
    <w:p w14:paraId="0E10767A" w14:textId="77777777" w:rsidR="00AC15E7" w:rsidRDefault="00AC15E7" w:rsidP="00D9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4739C" w14:textId="77777777" w:rsidR="00FF630B" w:rsidRDefault="00D9625B" w:rsidP="00A3704F">
    <w:pPr>
      <w:pStyle w:val="Footer"/>
      <w:framePr w:wrap="around" w:vAnchor="text" w:hAnchor="margin" w:xAlign="center" w:y="1"/>
      <w:rPr>
        <w:rStyle w:val="PageNumber"/>
      </w:rPr>
    </w:pPr>
    <w:r>
      <w:rPr>
        <w:rStyle w:val="PageNumber"/>
      </w:rPr>
      <w:fldChar w:fldCharType="begin"/>
    </w:r>
    <w:r w:rsidR="00A24CAD">
      <w:rPr>
        <w:rStyle w:val="PageNumber"/>
      </w:rPr>
      <w:instrText xml:space="preserve">PAGE  </w:instrText>
    </w:r>
    <w:r>
      <w:rPr>
        <w:rStyle w:val="PageNumber"/>
      </w:rPr>
      <w:fldChar w:fldCharType="end"/>
    </w:r>
  </w:p>
  <w:p w14:paraId="67642B05" w14:textId="77777777" w:rsidR="00FF630B" w:rsidRDefault="00AC1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2F124" w14:textId="77777777" w:rsidR="00AC15E7" w:rsidRDefault="00AC15E7" w:rsidP="00D9625B">
      <w:r>
        <w:separator/>
      </w:r>
    </w:p>
  </w:footnote>
  <w:footnote w:type="continuationSeparator" w:id="0">
    <w:p w14:paraId="23A9B286" w14:textId="77777777" w:rsidR="00AC15E7" w:rsidRDefault="00AC15E7" w:rsidP="00D9625B">
      <w:r>
        <w:continuationSeparator/>
      </w:r>
    </w:p>
  </w:footnote>
  <w:footnote w:id="1">
    <w:p w14:paraId="0BF2ED29" w14:textId="51047A86" w:rsidR="004D01FA" w:rsidRPr="00356543" w:rsidRDefault="004D01FA" w:rsidP="00356543">
      <w:pPr>
        <w:pStyle w:val="FootnoteText"/>
        <w:jc w:val="both"/>
        <w:rPr>
          <w:rFonts w:ascii="Arial" w:hAnsi="Arial" w:cs="Arial"/>
          <w:lang w:val="en-US"/>
        </w:rPr>
      </w:pPr>
      <w:r w:rsidRPr="00356543">
        <w:rPr>
          <w:rStyle w:val="FootnoteReference"/>
          <w:rFonts w:ascii="Arial" w:hAnsi="Arial" w:cs="Arial"/>
        </w:rPr>
        <w:footnoteRef/>
      </w:r>
      <w:r w:rsidRPr="00356543">
        <w:rPr>
          <w:rFonts w:ascii="Arial" w:hAnsi="Arial" w:cs="Arial"/>
        </w:rPr>
        <w:t xml:space="preserve"> </w:t>
      </w:r>
      <w:r w:rsidRPr="00356543">
        <w:rPr>
          <w:rFonts w:ascii="Arial" w:hAnsi="Arial" w:cs="Arial"/>
          <w:lang w:val="en-US"/>
        </w:rPr>
        <w:t>Repealed in South Africa by that country’s Alienation of Land Act 68 of 1981, but still applicable to Namibia.</w:t>
      </w:r>
    </w:p>
  </w:footnote>
  <w:footnote w:id="2">
    <w:p w14:paraId="05ED5A1F" w14:textId="0CD5B80A" w:rsidR="00F23532" w:rsidRPr="00356543" w:rsidRDefault="00F23532" w:rsidP="00356543">
      <w:pPr>
        <w:pStyle w:val="FootnoteText"/>
        <w:jc w:val="both"/>
        <w:rPr>
          <w:rFonts w:ascii="Arial" w:hAnsi="Arial" w:cs="Arial"/>
          <w:lang w:val="en-US"/>
        </w:rPr>
      </w:pPr>
      <w:r w:rsidRPr="00356543">
        <w:rPr>
          <w:rStyle w:val="FootnoteReference"/>
          <w:rFonts w:ascii="Arial" w:hAnsi="Arial" w:cs="Arial"/>
        </w:rPr>
        <w:footnoteRef/>
      </w:r>
      <w:r w:rsidRPr="00356543">
        <w:rPr>
          <w:rFonts w:ascii="Arial" w:hAnsi="Arial" w:cs="Arial"/>
        </w:rPr>
        <w:t xml:space="preserve"> </w:t>
      </w:r>
      <w:r w:rsidR="00686E53" w:rsidRPr="00356543">
        <w:rPr>
          <w:rFonts w:ascii="Arial" w:hAnsi="Arial" w:cs="Arial"/>
        </w:rPr>
        <w:t xml:space="preserve">PT Damaseb, </w:t>
      </w:r>
      <w:r w:rsidRPr="00356543">
        <w:rPr>
          <w:rFonts w:ascii="Arial" w:hAnsi="Arial" w:cs="Arial"/>
          <w:i/>
          <w:lang w:val="en-US"/>
        </w:rPr>
        <w:t>Court-Managed Civil Procedure of the High Court of Namibia</w:t>
      </w:r>
      <w:r w:rsidR="00686E53" w:rsidRPr="00356543">
        <w:rPr>
          <w:rFonts w:ascii="Arial" w:hAnsi="Arial" w:cs="Arial"/>
          <w:i/>
          <w:lang w:val="en-US"/>
        </w:rPr>
        <w:t xml:space="preserve"> – Law, Procedure and Practice</w:t>
      </w:r>
      <w:r w:rsidR="00686E53" w:rsidRPr="00356543">
        <w:rPr>
          <w:rFonts w:ascii="Arial" w:hAnsi="Arial" w:cs="Arial"/>
          <w:lang w:val="en-US"/>
        </w:rPr>
        <w:t xml:space="preserve">, </w:t>
      </w:r>
      <w:r w:rsidR="005C56F3" w:rsidRPr="00356543">
        <w:rPr>
          <w:rFonts w:ascii="Arial" w:hAnsi="Arial" w:cs="Arial"/>
          <w:lang w:val="en-US"/>
        </w:rPr>
        <w:t>J</w:t>
      </w:r>
      <w:r w:rsidR="0061432A">
        <w:rPr>
          <w:rFonts w:ascii="Arial" w:hAnsi="Arial" w:cs="Arial"/>
          <w:lang w:val="en-US"/>
        </w:rPr>
        <w:t>uta</w:t>
      </w:r>
      <w:r w:rsidR="005C56F3" w:rsidRPr="00356543">
        <w:rPr>
          <w:rFonts w:ascii="Arial" w:hAnsi="Arial" w:cs="Arial"/>
          <w:lang w:val="en-US"/>
        </w:rPr>
        <w:t xml:space="preserve">, </w:t>
      </w:r>
      <w:r w:rsidR="00686E53" w:rsidRPr="00356543">
        <w:rPr>
          <w:rFonts w:ascii="Arial" w:hAnsi="Arial" w:cs="Arial"/>
          <w:lang w:val="en-US"/>
        </w:rPr>
        <w:t>p 141, para 5-06</w:t>
      </w:r>
      <w:r w:rsidR="005C56F3" w:rsidRPr="00356543">
        <w:rPr>
          <w:rFonts w:ascii="Arial" w:hAnsi="Arial" w:cs="Arial"/>
          <w:lang w:val="en-US"/>
        </w:rPr>
        <w:t>2</w:t>
      </w:r>
      <w:r w:rsidR="00083325" w:rsidRPr="00356543">
        <w:rPr>
          <w:rFonts w:ascii="Arial" w:hAnsi="Arial" w:cs="Arial"/>
          <w:lang w:val="en-US"/>
        </w:rPr>
        <w:t xml:space="preserve">; Rule </w:t>
      </w:r>
      <w:r w:rsidR="008F7E73" w:rsidRPr="00356543">
        <w:rPr>
          <w:rFonts w:ascii="Arial" w:hAnsi="Arial" w:cs="Arial"/>
          <w:lang w:val="en-US"/>
        </w:rPr>
        <w:t>52(9) of the Rules</w:t>
      </w:r>
      <w:r w:rsidR="005C56F3" w:rsidRPr="00356543">
        <w:rPr>
          <w:rFonts w:ascii="Arial" w:hAnsi="Arial" w:cs="Arial"/>
          <w:lang w:val="en-US"/>
        </w:rPr>
        <w:t>.</w:t>
      </w:r>
      <w:r w:rsidR="00686E53" w:rsidRPr="00356543">
        <w:rPr>
          <w:rFonts w:ascii="Arial" w:hAnsi="Arial" w:cs="Arial"/>
          <w:lang w:val="en-US"/>
        </w:rPr>
        <w:t xml:space="preserve"> </w:t>
      </w:r>
    </w:p>
  </w:footnote>
  <w:footnote w:id="3">
    <w:p w14:paraId="57D1B9B3" w14:textId="77777777" w:rsidR="00C46C2B" w:rsidRPr="00356543" w:rsidRDefault="00C46C2B" w:rsidP="00356543">
      <w:pPr>
        <w:pStyle w:val="FootnoteText"/>
        <w:jc w:val="both"/>
        <w:rPr>
          <w:rFonts w:ascii="Arial" w:hAnsi="Arial" w:cs="Arial"/>
          <w:lang w:val="en-US"/>
        </w:rPr>
      </w:pPr>
      <w:r w:rsidRPr="00356543">
        <w:rPr>
          <w:rStyle w:val="FootnoteReference"/>
          <w:rFonts w:ascii="Arial" w:hAnsi="Arial" w:cs="Arial"/>
        </w:rPr>
        <w:footnoteRef/>
      </w:r>
      <w:r w:rsidRPr="00356543">
        <w:rPr>
          <w:rFonts w:ascii="Arial" w:hAnsi="Arial" w:cs="Arial"/>
        </w:rPr>
        <w:t xml:space="preserve"> </w:t>
      </w:r>
      <w:r w:rsidRPr="00356543">
        <w:rPr>
          <w:rFonts w:ascii="Arial" w:hAnsi="Arial" w:cs="Arial"/>
          <w:i/>
          <w:lang w:val="en-US"/>
        </w:rPr>
        <w:t xml:space="preserve">DB Thermal (Pty) Ltd &amp; another v Council of the Municipality of the City of Windhoek </w:t>
      </w:r>
      <w:r w:rsidRPr="00356543">
        <w:rPr>
          <w:rFonts w:ascii="Arial" w:hAnsi="Arial" w:cs="Arial"/>
          <w:lang w:val="en-US"/>
        </w:rPr>
        <w:t>(SA 33/2010) [2013] NASC 11 (19 August 2013) para 38.</w:t>
      </w:r>
    </w:p>
  </w:footnote>
  <w:footnote w:id="4">
    <w:p w14:paraId="67CC49C4" w14:textId="1784AAF6" w:rsidR="00686E53" w:rsidRPr="00356543" w:rsidRDefault="00686E53" w:rsidP="00356543">
      <w:pPr>
        <w:pStyle w:val="FootnoteText"/>
        <w:jc w:val="both"/>
        <w:rPr>
          <w:rFonts w:ascii="Arial" w:hAnsi="Arial" w:cs="Arial"/>
          <w:lang w:val="en-US"/>
        </w:rPr>
      </w:pPr>
      <w:r w:rsidRPr="00356543">
        <w:rPr>
          <w:rStyle w:val="FootnoteReference"/>
          <w:rFonts w:ascii="Arial" w:hAnsi="Arial" w:cs="Arial"/>
        </w:rPr>
        <w:footnoteRef/>
      </w:r>
      <w:r w:rsidRPr="00356543">
        <w:rPr>
          <w:rFonts w:ascii="Arial" w:hAnsi="Arial" w:cs="Arial"/>
        </w:rPr>
        <w:t xml:space="preserve"> </w:t>
      </w:r>
      <w:r w:rsidR="00356543" w:rsidRPr="00356543">
        <w:rPr>
          <w:rFonts w:ascii="Arial" w:hAnsi="Arial" w:cs="Arial"/>
          <w:i/>
        </w:rPr>
        <w:t>I</w:t>
      </w:r>
      <w:r w:rsidR="005C56F3" w:rsidRPr="00356543">
        <w:rPr>
          <w:rFonts w:ascii="Arial" w:hAnsi="Arial" w:cs="Arial"/>
          <w:i/>
          <w:lang w:val="en-US"/>
        </w:rPr>
        <w:t>bid</w:t>
      </w:r>
      <w:r w:rsidR="005C56F3" w:rsidRPr="00356543">
        <w:rPr>
          <w:rFonts w:ascii="Arial" w:hAnsi="Arial" w:cs="Arial"/>
          <w:lang w:val="en-US"/>
        </w:rPr>
        <w:t>.</w:t>
      </w:r>
    </w:p>
  </w:footnote>
  <w:footnote w:id="5">
    <w:p w14:paraId="33EFC919" w14:textId="09AAAC3E" w:rsidR="002A4B62" w:rsidRPr="00356543" w:rsidRDefault="002A4B62" w:rsidP="00356543">
      <w:pPr>
        <w:pStyle w:val="FootnoteText"/>
        <w:jc w:val="both"/>
        <w:rPr>
          <w:rFonts w:ascii="Arial" w:hAnsi="Arial" w:cs="Arial"/>
          <w:lang w:val="en-US"/>
        </w:rPr>
      </w:pPr>
      <w:r w:rsidRPr="00356543">
        <w:rPr>
          <w:rStyle w:val="FootnoteReference"/>
          <w:rFonts w:ascii="Arial" w:hAnsi="Arial" w:cs="Arial"/>
        </w:rPr>
        <w:footnoteRef/>
      </w:r>
      <w:r w:rsidRPr="00356543">
        <w:rPr>
          <w:rFonts w:ascii="Arial" w:hAnsi="Arial" w:cs="Arial"/>
        </w:rPr>
        <w:t xml:space="preserve"> </w:t>
      </w:r>
      <w:r w:rsidRPr="00356543">
        <w:rPr>
          <w:rFonts w:ascii="Arial" w:hAnsi="Arial" w:cs="Arial"/>
          <w:i/>
          <w:lang w:val="en-US"/>
        </w:rPr>
        <w:t>I</w:t>
      </w:r>
      <w:r w:rsidR="00A571F8" w:rsidRPr="00356543">
        <w:rPr>
          <w:rFonts w:ascii="Arial" w:hAnsi="Arial" w:cs="Arial"/>
          <w:i/>
          <w:lang w:val="en-US"/>
        </w:rPr>
        <w:t xml:space="preserve"> </w:t>
      </w:r>
      <w:r w:rsidRPr="00356543">
        <w:rPr>
          <w:rFonts w:ascii="Arial" w:hAnsi="Arial" w:cs="Arial"/>
          <w:i/>
          <w:lang w:val="en-US"/>
        </w:rPr>
        <w:t>A Bell Equipment Company</w:t>
      </w:r>
      <w:r w:rsidR="00107691" w:rsidRPr="00356543">
        <w:rPr>
          <w:rFonts w:ascii="Arial" w:hAnsi="Arial" w:cs="Arial"/>
          <w:i/>
          <w:lang w:val="en-US"/>
        </w:rPr>
        <w:t xml:space="preserve"> </w:t>
      </w:r>
      <w:r w:rsidRPr="00356543">
        <w:rPr>
          <w:rFonts w:ascii="Arial" w:hAnsi="Arial" w:cs="Arial"/>
          <w:i/>
          <w:lang w:val="en-US"/>
        </w:rPr>
        <w:t>(Namibia) Limited v Roadstone Quarries CC</w:t>
      </w:r>
      <w:r w:rsidRPr="00356543">
        <w:rPr>
          <w:rFonts w:ascii="Arial" w:hAnsi="Arial" w:cs="Arial"/>
          <w:lang w:val="en-US"/>
        </w:rPr>
        <w:t xml:space="preserve"> </w:t>
      </w:r>
      <w:r w:rsidR="005D63FE" w:rsidRPr="00356543">
        <w:rPr>
          <w:rFonts w:ascii="Arial" w:hAnsi="Arial" w:cs="Arial"/>
          <w:lang w:val="en-US"/>
        </w:rPr>
        <w:t>(I 601-2013 &amp; I 4084-2010) [</w:t>
      </w:r>
      <w:r w:rsidRPr="00356543">
        <w:rPr>
          <w:rFonts w:ascii="Arial" w:hAnsi="Arial" w:cs="Arial"/>
          <w:lang w:val="en-US"/>
        </w:rPr>
        <w:t>2014] NAHCMD 306 (17 O</w:t>
      </w:r>
      <w:r w:rsidR="00107691" w:rsidRPr="00356543">
        <w:rPr>
          <w:rFonts w:ascii="Arial" w:hAnsi="Arial" w:cs="Arial"/>
          <w:lang w:val="en-US"/>
        </w:rPr>
        <w:t>c</w:t>
      </w:r>
      <w:r w:rsidRPr="00356543">
        <w:rPr>
          <w:rFonts w:ascii="Arial" w:hAnsi="Arial" w:cs="Arial"/>
          <w:lang w:val="en-US"/>
        </w:rPr>
        <w:t>to</w:t>
      </w:r>
      <w:r w:rsidR="00107691" w:rsidRPr="00356543">
        <w:rPr>
          <w:rFonts w:ascii="Arial" w:hAnsi="Arial" w:cs="Arial"/>
          <w:lang w:val="en-US"/>
        </w:rPr>
        <w:t>b</w:t>
      </w:r>
      <w:r w:rsidRPr="00356543">
        <w:rPr>
          <w:rFonts w:ascii="Arial" w:hAnsi="Arial" w:cs="Arial"/>
          <w:lang w:val="en-US"/>
        </w:rPr>
        <w:t>e</w:t>
      </w:r>
      <w:r w:rsidR="00107691" w:rsidRPr="00356543">
        <w:rPr>
          <w:rFonts w:ascii="Arial" w:hAnsi="Arial" w:cs="Arial"/>
          <w:lang w:val="en-US"/>
        </w:rPr>
        <w:t xml:space="preserve">r </w:t>
      </w:r>
      <w:r w:rsidRPr="00356543">
        <w:rPr>
          <w:rFonts w:ascii="Arial" w:hAnsi="Arial" w:cs="Arial"/>
          <w:lang w:val="en-US"/>
        </w:rPr>
        <w:t xml:space="preserve">2014) </w:t>
      </w:r>
      <w:r w:rsidR="00107691" w:rsidRPr="00356543">
        <w:rPr>
          <w:rFonts w:ascii="Arial" w:hAnsi="Arial" w:cs="Arial"/>
          <w:lang w:val="en-US"/>
        </w:rPr>
        <w:t>(</w:t>
      </w:r>
      <w:r w:rsidR="00107691" w:rsidRPr="00356543">
        <w:rPr>
          <w:rFonts w:ascii="Arial" w:hAnsi="Arial" w:cs="Arial"/>
          <w:i/>
          <w:lang w:val="en-US"/>
        </w:rPr>
        <w:t>I</w:t>
      </w:r>
      <w:r w:rsidR="00A571F8" w:rsidRPr="00356543">
        <w:rPr>
          <w:rFonts w:ascii="Arial" w:hAnsi="Arial" w:cs="Arial"/>
          <w:i/>
          <w:lang w:val="en-US"/>
        </w:rPr>
        <w:t xml:space="preserve"> </w:t>
      </w:r>
      <w:r w:rsidR="00107691" w:rsidRPr="00356543">
        <w:rPr>
          <w:rFonts w:ascii="Arial" w:hAnsi="Arial" w:cs="Arial"/>
          <w:i/>
          <w:lang w:val="en-US"/>
        </w:rPr>
        <w:t>A Bell</w:t>
      </w:r>
      <w:r w:rsidR="00107691" w:rsidRPr="00356543">
        <w:rPr>
          <w:rFonts w:ascii="Arial" w:hAnsi="Arial" w:cs="Arial"/>
          <w:lang w:val="en-US"/>
        </w:rPr>
        <w:t>)</w:t>
      </w:r>
      <w:r w:rsidR="00C46C2B" w:rsidRPr="00356543">
        <w:rPr>
          <w:rFonts w:ascii="Arial" w:hAnsi="Arial" w:cs="Arial"/>
          <w:lang w:val="en-US"/>
        </w:rPr>
        <w:t>.</w:t>
      </w:r>
      <w:r w:rsidR="005C56F3" w:rsidRPr="00356543">
        <w:rPr>
          <w:rFonts w:ascii="Arial" w:hAnsi="Arial" w:cs="Arial"/>
          <w:lang w:val="en-US"/>
        </w:rPr>
        <w:t xml:space="preserve"> </w:t>
      </w:r>
    </w:p>
  </w:footnote>
  <w:footnote w:id="6">
    <w:p w14:paraId="22391C91" w14:textId="32FABF9D" w:rsidR="00F04360" w:rsidRPr="00356543" w:rsidRDefault="00F04360" w:rsidP="00356543">
      <w:pPr>
        <w:pStyle w:val="FootnoteText"/>
        <w:jc w:val="both"/>
        <w:rPr>
          <w:rFonts w:ascii="Arial" w:hAnsi="Arial" w:cs="Arial"/>
          <w:lang w:val="en-US"/>
        </w:rPr>
      </w:pPr>
      <w:r w:rsidRPr="00356543">
        <w:rPr>
          <w:rStyle w:val="FootnoteReference"/>
          <w:rFonts w:ascii="Arial" w:hAnsi="Arial" w:cs="Arial"/>
        </w:rPr>
        <w:footnoteRef/>
      </w:r>
      <w:r w:rsidRPr="00356543">
        <w:rPr>
          <w:rFonts w:ascii="Arial" w:hAnsi="Arial" w:cs="Arial"/>
        </w:rPr>
        <w:t xml:space="preserve"> </w:t>
      </w:r>
      <w:r w:rsidRPr="00356543">
        <w:rPr>
          <w:rFonts w:ascii="Arial" w:hAnsi="Arial" w:cs="Arial"/>
          <w:lang w:val="en-US"/>
        </w:rPr>
        <w:t>Para 49.</w:t>
      </w:r>
    </w:p>
  </w:footnote>
  <w:footnote w:id="7">
    <w:p w14:paraId="10401F0D" w14:textId="1C7485BE" w:rsidR="00185DF7" w:rsidRPr="00356543" w:rsidRDefault="00185DF7" w:rsidP="00356543">
      <w:pPr>
        <w:pStyle w:val="FootnoteText"/>
        <w:jc w:val="both"/>
        <w:rPr>
          <w:rFonts w:ascii="Arial" w:hAnsi="Arial" w:cs="Arial"/>
          <w:lang w:val="en-US"/>
        </w:rPr>
      </w:pPr>
      <w:r w:rsidRPr="00356543">
        <w:rPr>
          <w:rStyle w:val="FootnoteReference"/>
          <w:rFonts w:ascii="Arial" w:hAnsi="Arial" w:cs="Arial"/>
        </w:rPr>
        <w:footnoteRef/>
      </w:r>
      <w:r w:rsidRPr="00356543">
        <w:rPr>
          <w:rFonts w:ascii="Arial" w:hAnsi="Arial" w:cs="Arial"/>
        </w:rPr>
        <w:t xml:space="preserve"> </w:t>
      </w:r>
      <w:r w:rsidR="00F20DE4" w:rsidRPr="00356543">
        <w:rPr>
          <w:rFonts w:ascii="Arial" w:hAnsi="Arial" w:cs="Arial"/>
          <w:i/>
        </w:rPr>
        <w:t>Aussenkehr Farms (Pty) Ltd v Namibia Development Corporation</w:t>
      </w:r>
      <w:r w:rsidR="00F20DE4" w:rsidRPr="00356543">
        <w:rPr>
          <w:rFonts w:ascii="Arial" w:hAnsi="Arial" w:cs="Arial"/>
        </w:rPr>
        <w:t xml:space="preserve"> 2012 (2) NR 671 (SC) </w:t>
      </w:r>
      <w:r w:rsidR="00707A98" w:rsidRPr="00356543">
        <w:rPr>
          <w:rFonts w:ascii="Arial" w:hAnsi="Arial" w:cs="Arial"/>
        </w:rPr>
        <w:t>p</w:t>
      </w:r>
      <w:r w:rsidR="00F20DE4" w:rsidRPr="00356543">
        <w:rPr>
          <w:rFonts w:ascii="Arial" w:hAnsi="Arial" w:cs="Arial"/>
        </w:rPr>
        <w:t>a</w:t>
      </w:r>
      <w:r w:rsidR="00707A98" w:rsidRPr="00356543">
        <w:rPr>
          <w:rFonts w:ascii="Arial" w:hAnsi="Arial" w:cs="Arial"/>
        </w:rPr>
        <w:t>ras 86 - 90</w:t>
      </w:r>
      <w:r w:rsidR="00F20DE4" w:rsidRPr="00356543">
        <w:rPr>
          <w:rFonts w:ascii="Arial" w:hAnsi="Arial" w:cs="Arial"/>
        </w:rPr>
        <w:t>.</w:t>
      </w:r>
    </w:p>
  </w:footnote>
  <w:footnote w:id="8">
    <w:p w14:paraId="6452EE4C" w14:textId="7E01FED1" w:rsidR="005E06C4" w:rsidRPr="00356543" w:rsidRDefault="005E06C4" w:rsidP="00356543">
      <w:pPr>
        <w:pStyle w:val="FootnoteText"/>
        <w:jc w:val="both"/>
        <w:rPr>
          <w:rFonts w:ascii="Arial" w:hAnsi="Arial" w:cs="Arial"/>
          <w:lang w:val="en-US"/>
        </w:rPr>
      </w:pPr>
      <w:r w:rsidRPr="00356543">
        <w:rPr>
          <w:rStyle w:val="FootnoteReference"/>
          <w:rFonts w:ascii="Arial" w:hAnsi="Arial" w:cs="Arial"/>
        </w:rPr>
        <w:footnoteRef/>
      </w:r>
      <w:r w:rsidRPr="00356543">
        <w:rPr>
          <w:rFonts w:ascii="Arial" w:hAnsi="Arial" w:cs="Arial"/>
        </w:rPr>
        <w:t xml:space="preserve"> </w:t>
      </w:r>
      <w:r w:rsidRPr="00356543">
        <w:rPr>
          <w:rFonts w:ascii="Arial" w:hAnsi="Arial" w:cs="Arial"/>
          <w:i/>
          <w:lang w:val="en-US"/>
        </w:rPr>
        <w:t xml:space="preserve">Rainier Arangies &amp; another v Unitrans </w:t>
      </w:r>
      <w:r w:rsidR="00071404" w:rsidRPr="00356543">
        <w:rPr>
          <w:rFonts w:ascii="Arial" w:hAnsi="Arial" w:cs="Arial"/>
          <w:i/>
          <w:lang w:val="en-US"/>
        </w:rPr>
        <w:t xml:space="preserve">Namibia </w:t>
      </w:r>
      <w:r w:rsidRPr="00356543">
        <w:rPr>
          <w:rFonts w:ascii="Arial" w:hAnsi="Arial" w:cs="Arial"/>
          <w:i/>
          <w:lang w:val="en-US"/>
        </w:rPr>
        <w:t>(Pty) Ltd &amp; another</w:t>
      </w:r>
      <w:r w:rsidRPr="00356543">
        <w:rPr>
          <w:rFonts w:ascii="Arial" w:hAnsi="Arial" w:cs="Arial"/>
          <w:lang w:val="en-US"/>
        </w:rPr>
        <w:t xml:space="preserve"> </w:t>
      </w:r>
      <w:r w:rsidR="00071404" w:rsidRPr="00356543">
        <w:rPr>
          <w:rFonts w:ascii="Arial" w:hAnsi="Arial" w:cs="Arial"/>
          <w:lang w:val="en-US"/>
        </w:rPr>
        <w:t xml:space="preserve">2018 (3) NR 869 (SC) paras 9 </w:t>
      </w:r>
      <w:r w:rsidR="0061432A">
        <w:rPr>
          <w:rFonts w:ascii="Arial" w:hAnsi="Arial" w:cs="Arial"/>
          <w:lang w:val="en-US"/>
        </w:rPr>
        <w:t>–</w:t>
      </w:r>
      <w:r w:rsidR="00071404" w:rsidRPr="00356543">
        <w:rPr>
          <w:rFonts w:ascii="Arial" w:hAnsi="Arial" w:cs="Arial"/>
          <w:lang w:val="en-US"/>
        </w:rPr>
        <w:t xml:space="preserve"> 11</w:t>
      </w:r>
      <w:r w:rsidR="0061432A">
        <w:rPr>
          <w:rFonts w:ascii="Arial" w:hAnsi="Arial" w:cs="Arial"/>
          <w:lang w:val="en-US"/>
        </w:rPr>
        <w:t>.</w:t>
      </w:r>
    </w:p>
  </w:footnote>
  <w:footnote w:id="9">
    <w:p w14:paraId="0E574029" w14:textId="2D99980E" w:rsidR="005E06C4" w:rsidRPr="00356543" w:rsidRDefault="005E06C4" w:rsidP="00356543">
      <w:pPr>
        <w:pStyle w:val="FootnoteText"/>
        <w:jc w:val="both"/>
        <w:rPr>
          <w:rFonts w:ascii="Arial" w:hAnsi="Arial" w:cs="Arial"/>
          <w:lang w:val="en-US"/>
        </w:rPr>
      </w:pPr>
      <w:r w:rsidRPr="00356543">
        <w:rPr>
          <w:rStyle w:val="FootnoteReference"/>
          <w:rFonts w:ascii="Arial" w:hAnsi="Arial" w:cs="Arial"/>
        </w:rPr>
        <w:footnoteRef/>
      </w:r>
      <w:r w:rsidRPr="00356543">
        <w:rPr>
          <w:rFonts w:ascii="Arial" w:hAnsi="Arial" w:cs="Arial"/>
        </w:rPr>
        <w:t xml:space="preserve"> </w:t>
      </w:r>
      <w:r w:rsidRPr="00356543">
        <w:rPr>
          <w:rFonts w:ascii="Arial" w:hAnsi="Arial" w:cs="Arial"/>
          <w:i/>
          <w:lang w:val="en-US"/>
        </w:rPr>
        <w:t>Konra</w:t>
      </w:r>
      <w:r w:rsidR="00071404" w:rsidRPr="00356543">
        <w:rPr>
          <w:rFonts w:ascii="Arial" w:hAnsi="Arial" w:cs="Arial"/>
          <w:i/>
          <w:lang w:val="en-US"/>
        </w:rPr>
        <w:t>d</w:t>
      </w:r>
      <w:r w:rsidRPr="00356543">
        <w:rPr>
          <w:rFonts w:ascii="Arial" w:hAnsi="Arial" w:cs="Arial"/>
          <w:i/>
          <w:lang w:val="en-US"/>
        </w:rPr>
        <w:t xml:space="preserve"> v Ndapanda</w:t>
      </w:r>
      <w:r w:rsidR="00071404" w:rsidRPr="00356543">
        <w:rPr>
          <w:rFonts w:ascii="Arial" w:hAnsi="Arial" w:cs="Arial"/>
          <w:lang w:val="en-US"/>
        </w:rPr>
        <w:t xml:space="preserve"> 2019 (2) NR 301 (SC) para 16 </w:t>
      </w:r>
      <w:r w:rsidR="0061432A">
        <w:rPr>
          <w:rFonts w:ascii="Arial" w:hAnsi="Arial" w:cs="Arial"/>
          <w:lang w:val="en-US"/>
        </w:rPr>
        <w:t>–</w:t>
      </w:r>
      <w:r w:rsidR="00071404" w:rsidRPr="00356543">
        <w:rPr>
          <w:rFonts w:ascii="Arial" w:hAnsi="Arial" w:cs="Arial"/>
          <w:lang w:val="en-US"/>
        </w:rPr>
        <w:t xml:space="preserve"> 17</w:t>
      </w:r>
      <w:r w:rsidR="0061432A">
        <w:rPr>
          <w:rFonts w:ascii="Arial" w:hAnsi="Arial" w:cs="Arial"/>
          <w:lang w:val="en-US"/>
        </w:rPr>
        <w:t>.</w:t>
      </w:r>
    </w:p>
  </w:footnote>
  <w:footnote w:id="10">
    <w:p w14:paraId="119DBBF8" w14:textId="2DA111E1" w:rsidR="005E06C4" w:rsidRPr="00356543" w:rsidRDefault="005E06C4" w:rsidP="00356543">
      <w:pPr>
        <w:pStyle w:val="FootnoteText"/>
        <w:jc w:val="both"/>
        <w:rPr>
          <w:rFonts w:ascii="Arial" w:hAnsi="Arial" w:cs="Arial"/>
          <w:lang w:val="en-US"/>
        </w:rPr>
      </w:pPr>
      <w:r w:rsidRPr="00356543">
        <w:rPr>
          <w:rStyle w:val="FootnoteReference"/>
          <w:rFonts w:ascii="Arial" w:hAnsi="Arial" w:cs="Arial"/>
          <w:i/>
        </w:rPr>
        <w:footnoteRef/>
      </w:r>
      <w:r w:rsidRPr="00356543">
        <w:rPr>
          <w:rFonts w:ascii="Arial" w:hAnsi="Arial" w:cs="Arial"/>
          <w:i/>
        </w:rPr>
        <w:t xml:space="preserve"> </w:t>
      </w:r>
      <w:r w:rsidRPr="00356543">
        <w:rPr>
          <w:rFonts w:ascii="Arial" w:hAnsi="Arial" w:cs="Arial"/>
          <w:i/>
          <w:lang w:val="en-US"/>
        </w:rPr>
        <w:t>Municipal Council of Windhoek v Pioneerspak Dam Investment CC</w:t>
      </w:r>
      <w:r w:rsidR="00E25F7F">
        <w:rPr>
          <w:rFonts w:ascii="Arial" w:hAnsi="Arial" w:cs="Arial"/>
          <w:i/>
          <w:lang w:val="en-US"/>
        </w:rPr>
        <w:t xml:space="preserve"> </w:t>
      </w:r>
      <w:r w:rsidR="00E25F7F">
        <w:rPr>
          <w:rFonts w:ascii="Arial" w:hAnsi="Arial" w:cs="Arial"/>
          <w:lang w:val="en-US"/>
        </w:rPr>
        <w:t>(SA 78-2016) [2018] NASC (22 June 2018).</w:t>
      </w:r>
    </w:p>
  </w:footnote>
  <w:footnote w:id="11">
    <w:p w14:paraId="091DE4D5" w14:textId="2958928E" w:rsidR="001C1498" w:rsidRPr="00356543" w:rsidRDefault="001C1498" w:rsidP="00356543">
      <w:pPr>
        <w:pStyle w:val="FootnoteText"/>
        <w:jc w:val="both"/>
        <w:rPr>
          <w:rFonts w:ascii="Arial" w:hAnsi="Arial" w:cs="Arial"/>
          <w:lang w:val="en-US"/>
        </w:rPr>
      </w:pPr>
      <w:r w:rsidRPr="00356543">
        <w:rPr>
          <w:rStyle w:val="FootnoteReference"/>
          <w:rFonts w:ascii="Arial" w:hAnsi="Arial" w:cs="Arial"/>
        </w:rPr>
        <w:footnoteRef/>
      </w:r>
      <w:r w:rsidRPr="00356543">
        <w:rPr>
          <w:rFonts w:ascii="Arial" w:hAnsi="Arial" w:cs="Arial"/>
        </w:rPr>
        <w:t xml:space="preserve"> </w:t>
      </w:r>
      <w:r w:rsidRPr="00356543">
        <w:rPr>
          <w:rFonts w:ascii="Arial" w:hAnsi="Arial" w:cs="Arial"/>
          <w:i/>
          <w:lang w:val="en-US"/>
        </w:rPr>
        <w:t xml:space="preserve">Shetu Trading CC v Chair, Tender Board of Namibia </w:t>
      </w:r>
      <w:r w:rsidRPr="00356543">
        <w:rPr>
          <w:rFonts w:ascii="Arial" w:hAnsi="Arial" w:cs="Arial"/>
          <w:lang w:val="en-US"/>
        </w:rPr>
        <w:t xml:space="preserve">2012 (1) NR 162 (SC) </w:t>
      </w:r>
      <w:r w:rsidR="004D01FA" w:rsidRPr="00356543">
        <w:rPr>
          <w:rFonts w:ascii="Arial" w:hAnsi="Arial" w:cs="Arial"/>
          <w:lang w:val="en-US"/>
        </w:rPr>
        <w:t>(</w:t>
      </w:r>
      <w:r w:rsidR="004D01FA" w:rsidRPr="00356543">
        <w:rPr>
          <w:rFonts w:ascii="Arial" w:hAnsi="Arial" w:cs="Arial"/>
          <w:i/>
          <w:lang w:val="en-US"/>
        </w:rPr>
        <w:t>Shetu</w:t>
      </w:r>
      <w:r w:rsidR="004D01FA" w:rsidRPr="00356543">
        <w:rPr>
          <w:rFonts w:ascii="Arial" w:hAnsi="Arial" w:cs="Arial"/>
          <w:lang w:val="en-US"/>
        </w:rPr>
        <w:t xml:space="preserve">) </w:t>
      </w:r>
      <w:r w:rsidRPr="00356543">
        <w:rPr>
          <w:rFonts w:ascii="Arial" w:hAnsi="Arial" w:cs="Arial"/>
          <w:lang w:val="en-US"/>
        </w:rPr>
        <w:t>para 24.</w:t>
      </w:r>
    </w:p>
  </w:footnote>
  <w:footnote w:id="12">
    <w:p w14:paraId="29D82F61" w14:textId="786B1BF0" w:rsidR="007E1043" w:rsidRPr="00356543" w:rsidRDefault="007E1043" w:rsidP="00356543">
      <w:pPr>
        <w:pStyle w:val="FootnoteText"/>
        <w:jc w:val="both"/>
        <w:rPr>
          <w:rFonts w:ascii="Arial" w:hAnsi="Arial" w:cs="Arial"/>
          <w:lang w:val="en-US"/>
        </w:rPr>
      </w:pPr>
      <w:r w:rsidRPr="00356543">
        <w:rPr>
          <w:rStyle w:val="FootnoteReference"/>
          <w:rFonts w:ascii="Arial" w:hAnsi="Arial" w:cs="Arial"/>
        </w:rPr>
        <w:footnoteRef/>
      </w:r>
      <w:r w:rsidRPr="00356543">
        <w:rPr>
          <w:rFonts w:ascii="Arial" w:hAnsi="Arial" w:cs="Arial"/>
        </w:rPr>
        <w:t xml:space="preserve"> </w:t>
      </w:r>
      <w:r w:rsidR="0061432A" w:rsidRPr="0061432A">
        <w:rPr>
          <w:rFonts w:ascii="Arial" w:hAnsi="Arial" w:cs="Arial"/>
          <w:lang w:val="en-US"/>
        </w:rPr>
        <w:t>Op</w:t>
      </w:r>
      <w:r w:rsidRPr="00356543">
        <w:rPr>
          <w:rFonts w:ascii="Arial" w:hAnsi="Arial" w:cs="Arial"/>
          <w:lang w:val="en-US"/>
        </w:rPr>
        <w:t>.</w:t>
      </w:r>
      <w:r w:rsidR="00761D74" w:rsidRPr="00356543">
        <w:rPr>
          <w:rFonts w:ascii="Arial" w:hAnsi="Arial" w:cs="Arial"/>
          <w:lang w:val="en-US"/>
        </w:rPr>
        <w:t xml:space="preserve"> cit.</w:t>
      </w:r>
      <w:r w:rsidRPr="00356543">
        <w:rPr>
          <w:rFonts w:ascii="Arial" w:hAnsi="Arial" w:cs="Arial"/>
          <w:lang w:val="en-US"/>
        </w:rPr>
        <w:t xml:space="preserve"> </w:t>
      </w:r>
      <w:r w:rsidR="00761D74" w:rsidRPr="00356543">
        <w:rPr>
          <w:rFonts w:ascii="Arial" w:hAnsi="Arial" w:cs="Arial"/>
          <w:lang w:val="en-US"/>
        </w:rPr>
        <w:t>p</w:t>
      </w:r>
      <w:r w:rsidRPr="00356543">
        <w:rPr>
          <w:rFonts w:ascii="Arial" w:hAnsi="Arial" w:cs="Arial"/>
          <w:lang w:val="en-US"/>
        </w:rPr>
        <w:t>ara 41.</w:t>
      </w:r>
    </w:p>
  </w:footnote>
  <w:footnote w:id="13">
    <w:p w14:paraId="5AE06B23" w14:textId="77777777" w:rsidR="001C1498" w:rsidRPr="00356543" w:rsidRDefault="001C1498" w:rsidP="00356543">
      <w:pPr>
        <w:pStyle w:val="FootnoteText"/>
        <w:jc w:val="both"/>
        <w:rPr>
          <w:rFonts w:ascii="Arial" w:hAnsi="Arial" w:cs="Arial"/>
          <w:lang w:val="en-US"/>
        </w:rPr>
      </w:pPr>
      <w:r w:rsidRPr="00356543">
        <w:rPr>
          <w:rStyle w:val="FootnoteReference"/>
          <w:rFonts w:ascii="Arial" w:hAnsi="Arial" w:cs="Arial"/>
        </w:rPr>
        <w:footnoteRef/>
      </w:r>
      <w:r w:rsidRPr="00356543">
        <w:rPr>
          <w:rFonts w:ascii="Arial" w:hAnsi="Arial" w:cs="Arial"/>
        </w:rPr>
        <w:t xml:space="preserve"> </w:t>
      </w:r>
      <w:r w:rsidRPr="00356543">
        <w:rPr>
          <w:rFonts w:ascii="Arial" w:hAnsi="Arial" w:cs="Arial"/>
          <w:i/>
          <w:lang w:val="en-US"/>
        </w:rPr>
        <w:t>Government of the Republic of Namibia v Fillipus</w:t>
      </w:r>
      <w:r w:rsidRPr="00356543">
        <w:rPr>
          <w:rFonts w:ascii="Arial" w:hAnsi="Arial" w:cs="Arial"/>
          <w:lang w:val="en-US"/>
        </w:rPr>
        <w:t xml:space="preserve"> 2018 (2) NR 581 (SC) (</w:t>
      </w:r>
      <w:r w:rsidRPr="00356543">
        <w:rPr>
          <w:rFonts w:ascii="Arial" w:hAnsi="Arial" w:cs="Arial"/>
          <w:i/>
          <w:lang w:val="en-US"/>
        </w:rPr>
        <w:t>Fillipus</w:t>
      </w:r>
      <w:r w:rsidRPr="00356543">
        <w:rPr>
          <w:rFonts w:ascii="Arial" w:hAnsi="Arial" w:cs="Arial"/>
          <w:lang w:val="en-US"/>
        </w:rPr>
        <w:t>) para 23.</w:t>
      </w:r>
    </w:p>
  </w:footnote>
  <w:footnote w:id="14">
    <w:p w14:paraId="7EEACF15" w14:textId="77777777" w:rsidR="001C1498" w:rsidRPr="00356543" w:rsidRDefault="001C1498" w:rsidP="00356543">
      <w:pPr>
        <w:pStyle w:val="FootnoteText"/>
        <w:jc w:val="both"/>
        <w:rPr>
          <w:rFonts w:ascii="Arial" w:hAnsi="Arial" w:cs="Arial"/>
          <w:lang w:val="en-US"/>
        </w:rPr>
      </w:pPr>
      <w:r w:rsidRPr="00356543">
        <w:rPr>
          <w:rStyle w:val="FootnoteReference"/>
          <w:rFonts w:ascii="Arial" w:hAnsi="Arial" w:cs="Arial"/>
        </w:rPr>
        <w:footnoteRef/>
      </w:r>
      <w:r w:rsidRPr="00356543">
        <w:rPr>
          <w:rFonts w:ascii="Arial" w:hAnsi="Arial" w:cs="Arial"/>
        </w:rPr>
        <w:t xml:space="preserve"> </w:t>
      </w:r>
      <w:r w:rsidRPr="00356543">
        <w:rPr>
          <w:rFonts w:ascii="Arial" w:hAnsi="Arial" w:cs="Arial"/>
          <w:i/>
          <w:lang w:val="en-US"/>
        </w:rPr>
        <w:t>Fillipus</w:t>
      </w:r>
      <w:r w:rsidRPr="00356543">
        <w:rPr>
          <w:rFonts w:ascii="Arial" w:hAnsi="Arial" w:cs="Arial"/>
          <w:lang w:val="en-US"/>
        </w:rPr>
        <w:t xml:space="preserve"> para 11.</w:t>
      </w:r>
    </w:p>
  </w:footnote>
  <w:footnote w:id="15">
    <w:p w14:paraId="11174D25" w14:textId="77777777" w:rsidR="001C1498" w:rsidRPr="00356543" w:rsidRDefault="001C1498" w:rsidP="00356543">
      <w:pPr>
        <w:pStyle w:val="FootnoteText"/>
        <w:jc w:val="both"/>
        <w:rPr>
          <w:rFonts w:ascii="Arial" w:hAnsi="Arial" w:cs="Arial"/>
          <w:lang w:val="en-US"/>
        </w:rPr>
      </w:pPr>
      <w:r w:rsidRPr="00356543">
        <w:rPr>
          <w:rStyle w:val="FootnoteReference"/>
          <w:rFonts w:ascii="Arial" w:hAnsi="Arial" w:cs="Arial"/>
        </w:rPr>
        <w:footnoteRef/>
      </w:r>
      <w:r w:rsidRPr="00356543">
        <w:rPr>
          <w:rFonts w:ascii="Arial" w:hAnsi="Arial" w:cs="Arial"/>
        </w:rPr>
        <w:t xml:space="preserve"> </w:t>
      </w:r>
      <w:r w:rsidRPr="00356543">
        <w:rPr>
          <w:rFonts w:ascii="Arial" w:hAnsi="Arial" w:cs="Arial"/>
          <w:i/>
          <w:lang w:val="en-US"/>
        </w:rPr>
        <w:t xml:space="preserve">Di Savino v Nedbank Namibia Ltd </w:t>
      </w:r>
      <w:r w:rsidRPr="00356543">
        <w:rPr>
          <w:rFonts w:ascii="Arial" w:hAnsi="Arial" w:cs="Arial"/>
          <w:lang w:val="en-US"/>
        </w:rPr>
        <w:t>2017 (3) NR 880 (SC).</w:t>
      </w:r>
    </w:p>
  </w:footnote>
  <w:footnote w:id="16">
    <w:p w14:paraId="45F7494D" w14:textId="77777777" w:rsidR="001C1498" w:rsidRPr="00356543" w:rsidRDefault="001C1498" w:rsidP="00356543">
      <w:pPr>
        <w:pStyle w:val="FootnoteText"/>
        <w:jc w:val="both"/>
        <w:rPr>
          <w:rFonts w:ascii="Arial" w:hAnsi="Arial" w:cs="Arial"/>
          <w:lang w:val="en-US"/>
        </w:rPr>
      </w:pPr>
      <w:r w:rsidRPr="00356543">
        <w:rPr>
          <w:rStyle w:val="FootnoteReference"/>
          <w:rFonts w:ascii="Arial" w:hAnsi="Arial" w:cs="Arial"/>
        </w:rPr>
        <w:footnoteRef/>
      </w:r>
      <w:r w:rsidRPr="00356543">
        <w:rPr>
          <w:rFonts w:ascii="Arial" w:hAnsi="Arial" w:cs="Arial"/>
        </w:rPr>
        <w:t xml:space="preserve"> </w:t>
      </w:r>
      <w:r w:rsidRPr="00356543">
        <w:rPr>
          <w:rFonts w:ascii="Arial" w:hAnsi="Arial" w:cs="Arial"/>
          <w:lang w:val="en-US"/>
        </w:rPr>
        <w:t xml:space="preserve">Para 51. See also </w:t>
      </w:r>
      <w:r w:rsidRPr="00356543">
        <w:rPr>
          <w:rFonts w:ascii="Arial" w:hAnsi="Arial" w:cs="Arial"/>
          <w:i/>
          <w:lang w:val="en-US"/>
        </w:rPr>
        <w:t>Arandis Power (Pty) Ltd v President of the Republic of Namibia &amp; others</w:t>
      </w:r>
      <w:r w:rsidRPr="00356543">
        <w:rPr>
          <w:rFonts w:ascii="Arial" w:hAnsi="Arial" w:cs="Arial"/>
          <w:lang w:val="en-US"/>
        </w:rPr>
        <w:t xml:space="preserve"> 2018 (2) NR 567 (SC) para 16.</w:t>
      </w:r>
    </w:p>
  </w:footnote>
  <w:footnote w:id="17">
    <w:p w14:paraId="3AC3E60A" w14:textId="77777777" w:rsidR="001C1498" w:rsidRPr="00356543" w:rsidRDefault="001C1498" w:rsidP="00356543">
      <w:pPr>
        <w:pStyle w:val="FootnoteText"/>
        <w:jc w:val="both"/>
        <w:rPr>
          <w:rFonts w:ascii="Arial" w:hAnsi="Arial" w:cs="Arial"/>
          <w:lang w:val="en-US"/>
        </w:rPr>
      </w:pPr>
      <w:r w:rsidRPr="00356543">
        <w:rPr>
          <w:rStyle w:val="FootnoteReference"/>
          <w:rFonts w:ascii="Arial" w:hAnsi="Arial" w:cs="Arial"/>
        </w:rPr>
        <w:footnoteRef/>
      </w:r>
      <w:r w:rsidRPr="00356543">
        <w:rPr>
          <w:rFonts w:ascii="Arial" w:hAnsi="Arial" w:cs="Arial"/>
        </w:rPr>
        <w:t xml:space="preserve"> </w:t>
      </w:r>
      <w:r w:rsidRPr="00356543">
        <w:rPr>
          <w:rFonts w:ascii="Arial" w:hAnsi="Arial" w:cs="Arial"/>
          <w:i/>
          <w:lang w:val="en-US"/>
        </w:rPr>
        <w:t>Shetu</w:t>
      </w:r>
      <w:r w:rsidRPr="00356543">
        <w:rPr>
          <w:rFonts w:ascii="Arial" w:hAnsi="Arial" w:cs="Arial"/>
          <w:lang w:val="en-US"/>
        </w:rPr>
        <w:t xml:space="preserve"> para 18.</w:t>
      </w:r>
    </w:p>
  </w:footnote>
  <w:footnote w:id="18">
    <w:p w14:paraId="085CEA06" w14:textId="77777777" w:rsidR="001C1498" w:rsidRPr="00356543" w:rsidRDefault="001C1498" w:rsidP="00356543">
      <w:pPr>
        <w:pStyle w:val="FootnoteText"/>
        <w:jc w:val="both"/>
        <w:rPr>
          <w:rFonts w:ascii="Arial" w:hAnsi="Arial" w:cs="Arial"/>
          <w:lang w:val="en-US"/>
        </w:rPr>
      </w:pPr>
      <w:r w:rsidRPr="00356543">
        <w:rPr>
          <w:rStyle w:val="FootnoteReference"/>
          <w:rFonts w:ascii="Arial" w:hAnsi="Arial" w:cs="Arial"/>
        </w:rPr>
        <w:footnoteRef/>
      </w:r>
      <w:r w:rsidRPr="00356543">
        <w:rPr>
          <w:rFonts w:ascii="Arial" w:hAnsi="Arial" w:cs="Arial"/>
        </w:rPr>
        <w:t xml:space="preserve"> </w:t>
      </w:r>
      <w:r w:rsidRPr="00356543">
        <w:rPr>
          <w:rFonts w:ascii="Arial" w:hAnsi="Arial" w:cs="Arial"/>
          <w:i/>
          <w:lang w:val="en-US"/>
        </w:rPr>
        <w:t>Namibia Financial Exchange v CEO of NAMFISA</w:t>
      </w:r>
      <w:r w:rsidRPr="00356543">
        <w:rPr>
          <w:rFonts w:ascii="Arial" w:hAnsi="Arial" w:cs="Arial"/>
          <w:lang w:val="en-US"/>
        </w:rPr>
        <w:t xml:space="preserve"> 2019 (3) NR 859 (SC).</w:t>
      </w:r>
    </w:p>
  </w:footnote>
  <w:footnote w:id="19">
    <w:p w14:paraId="6F8A9A3B" w14:textId="77777777" w:rsidR="001C1498" w:rsidRPr="00356543" w:rsidRDefault="001C1498" w:rsidP="00356543">
      <w:pPr>
        <w:pStyle w:val="FootnoteText"/>
        <w:jc w:val="both"/>
        <w:rPr>
          <w:rFonts w:ascii="Arial" w:hAnsi="Arial" w:cs="Arial"/>
          <w:lang w:val="en-US"/>
        </w:rPr>
      </w:pPr>
      <w:r w:rsidRPr="00356543">
        <w:rPr>
          <w:rStyle w:val="FootnoteReference"/>
          <w:rFonts w:ascii="Arial" w:hAnsi="Arial" w:cs="Arial"/>
        </w:rPr>
        <w:footnoteRef/>
      </w:r>
      <w:r w:rsidRPr="00356543">
        <w:rPr>
          <w:rFonts w:ascii="Arial" w:hAnsi="Arial" w:cs="Arial"/>
        </w:rPr>
        <w:t xml:space="preserve"> </w:t>
      </w:r>
      <w:r w:rsidRPr="00356543">
        <w:rPr>
          <w:rFonts w:ascii="Arial" w:hAnsi="Arial" w:cs="Arial"/>
          <w:i/>
          <w:lang w:val="en-US"/>
        </w:rPr>
        <w:t>Prosecutor-General v Taapopi</w:t>
      </w:r>
      <w:r w:rsidRPr="00356543">
        <w:rPr>
          <w:rFonts w:ascii="Arial" w:hAnsi="Arial" w:cs="Arial"/>
          <w:lang w:val="en-US"/>
        </w:rPr>
        <w:t xml:space="preserve"> 2017 (3) NR 637 (SC).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434860"/>
      <w:docPartObj>
        <w:docPartGallery w:val="Page Numbers (Top of Page)"/>
        <w:docPartUnique/>
      </w:docPartObj>
    </w:sdtPr>
    <w:sdtEndPr/>
    <w:sdtContent>
      <w:p w14:paraId="357EB1CF" w14:textId="77777777" w:rsidR="00FF630B" w:rsidRPr="00086B10" w:rsidRDefault="00D9625B" w:rsidP="00681B8B">
        <w:pPr>
          <w:pStyle w:val="Header"/>
          <w:jc w:val="right"/>
          <w:rPr>
            <w:rFonts w:ascii="Arial" w:hAnsi="Arial" w:cs="Arial"/>
          </w:rPr>
        </w:pPr>
        <w:r w:rsidRPr="00086B10">
          <w:rPr>
            <w:rFonts w:ascii="Arial" w:hAnsi="Arial" w:cs="Arial"/>
          </w:rPr>
          <w:fldChar w:fldCharType="begin"/>
        </w:r>
        <w:r w:rsidR="00A24CAD" w:rsidRPr="00086B10">
          <w:rPr>
            <w:rFonts w:ascii="Arial" w:hAnsi="Arial" w:cs="Arial"/>
          </w:rPr>
          <w:instrText xml:space="preserve"> PAGE   \* MERGEFORMAT </w:instrText>
        </w:r>
        <w:r w:rsidRPr="00086B10">
          <w:rPr>
            <w:rFonts w:ascii="Arial" w:hAnsi="Arial" w:cs="Arial"/>
          </w:rPr>
          <w:fldChar w:fldCharType="separate"/>
        </w:r>
        <w:r w:rsidR="00173F9B">
          <w:rPr>
            <w:rFonts w:ascii="Arial" w:hAnsi="Arial" w:cs="Arial"/>
            <w:noProof/>
          </w:rPr>
          <w:t>21</w:t>
        </w:r>
        <w:r w:rsidRPr="00086B10">
          <w:rPr>
            <w:rFonts w:ascii="Arial" w:hAnsi="Arial" w:cs="Arial"/>
            <w:noProof/>
          </w:rPr>
          <w:fldChar w:fldCharType="end"/>
        </w:r>
      </w:p>
    </w:sdtContent>
  </w:sdt>
  <w:p w14:paraId="58782751" w14:textId="77777777" w:rsidR="00FF630B" w:rsidRDefault="00AC1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3A2A"/>
    <w:multiLevelType w:val="hybridMultilevel"/>
    <w:tmpl w:val="29B08DEE"/>
    <w:lvl w:ilvl="0" w:tplc="52F01354">
      <w:start w:val="1"/>
      <w:numFmt w:val="lowerLetter"/>
      <w:lvlText w:val="(%1)"/>
      <w:lvlJc w:val="left"/>
      <w:pPr>
        <w:ind w:left="1144" w:hanging="435"/>
      </w:pPr>
      <w:rPr>
        <w:rFonts w:ascii="Arial" w:eastAsiaTheme="minorHAnsi" w:hAnsi="Arial" w:cstheme="minorBid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73E7AC3"/>
    <w:multiLevelType w:val="hybridMultilevel"/>
    <w:tmpl w:val="6E540158"/>
    <w:lvl w:ilvl="0" w:tplc="448035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476AB"/>
    <w:multiLevelType w:val="hybridMultilevel"/>
    <w:tmpl w:val="DCA64B08"/>
    <w:lvl w:ilvl="0" w:tplc="9DAC68BC">
      <w:start w:val="1"/>
      <w:numFmt w:val="decimal"/>
      <w:lvlText w:val="[%1]"/>
      <w:lvlJc w:val="left"/>
      <w:pPr>
        <w:ind w:left="0" w:firstLine="0"/>
      </w:pPr>
      <w:rPr>
        <w:rFonts w:hint="default"/>
        <w:i w:val="0"/>
      </w:rPr>
    </w:lvl>
    <w:lvl w:ilvl="1" w:tplc="4AD06654">
      <w:start w:val="1"/>
      <w:numFmt w:val="decimal"/>
      <w:lvlText w:val="30.%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342C7"/>
    <w:multiLevelType w:val="hybridMultilevel"/>
    <w:tmpl w:val="B798D076"/>
    <w:lvl w:ilvl="0" w:tplc="448035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470EC"/>
    <w:multiLevelType w:val="hybridMultilevel"/>
    <w:tmpl w:val="FC04B870"/>
    <w:lvl w:ilvl="0" w:tplc="3EBAB31E">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4C3A08"/>
    <w:multiLevelType w:val="hybridMultilevel"/>
    <w:tmpl w:val="E924C6D2"/>
    <w:lvl w:ilvl="0" w:tplc="CE8A28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535906"/>
    <w:multiLevelType w:val="hybridMultilevel"/>
    <w:tmpl w:val="D0A4C674"/>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AD5F3C"/>
    <w:multiLevelType w:val="hybridMultilevel"/>
    <w:tmpl w:val="A33A5F72"/>
    <w:lvl w:ilvl="0" w:tplc="033EC3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2493BE1"/>
    <w:multiLevelType w:val="hybridMultilevel"/>
    <w:tmpl w:val="D0A4C674"/>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6"/>
  </w:num>
  <w:num w:numId="5">
    <w:abstractNumId w:val="8"/>
  </w:num>
  <w:num w:numId="6">
    <w:abstractNumId w:val="3"/>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F0"/>
    <w:rsid w:val="000039F9"/>
    <w:rsid w:val="00012093"/>
    <w:rsid w:val="00017DD0"/>
    <w:rsid w:val="0003098C"/>
    <w:rsid w:val="00036AD8"/>
    <w:rsid w:val="00053F8A"/>
    <w:rsid w:val="000544ED"/>
    <w:rsid w:val="00062079"/>
    <w:rsid w:val="00071404"/>
    <w:rsid w:val="00072C23"/>
    <w:rsid w:val="00083325"/>
    <w:rsid w:val="00085A93"/>
    <w:rsid w:val="000923E6"/>
    <w:rsid w:val="000B4851"/>
    <w:rsid w:val="000C396E"/>
    <w:rsid w:val="000D102F"/>
    <w:rsid w:val="000D521E"/>
    <w:rsid w:val="001002DD"/>
    <w:rsid w:val="00106714"/>
    <w:rsid w:val="00107691"/>
    <w:rsid w:val="00123A28"/>
    <w:rsid w:val="00126F04"/>
    <w:rsid w:val="0013413E"/>
    <w:rsid w:val="0014225E"/>
    <w:rsid w:val="0014246C"/>
    <w:rsid w:val="00147C38"/>
    <w:rsid w:val="00153966"/>
    <w:rsid w:val="001601ED"/>
    <w:rsid w:val="00161ED1"/>
    <w:rsid w:val="00166B5C"/>
    <w:rsid w:val="00173705"/>
    <w:rsid w:val="00173F9B"/>
    <w:rsid w:val="00175610"/>
    <w:rsid w:val="001759D7"/>
    <w:rsid w:val="00175BEE"/>
    <w:rsid w:val="001832F0"/>
    <w:rsid w:val="00185DF7"/>
    <w:rsid w:val="001B01E8"/>
    <w:rsid w:val="001B578D"/>
    <w:rsid w:val="001C1498"/>
    <w:rsid w:val="001C34DB"/>
    <w:rsid w:val="001C4772"/>
    <w:rsid w:val="001D352E"/>
    <w:rsid w:val="001E528D"/>
    <w:rsid w:val="001F0221"/>
    <w:rsid w:val="001F7669"/>
    <w:rsid w:val="00205E71"/>
    <w:rsid w:val="00207917"/>
    <w:rsid w:val="00216EBF"/>
    <w:rsid w:val="00252E74"/>
    <w:rsid w:val="002626CC"/>
    <w:rsid w:val="0026316C"/>
    <w:rsid w:val="0027063D"/>
    <w:rsid w:val="002A4B62"/>
    <w:rsid w:val="002B5FE3"/>
    <w:rsid w:val="002D776D"/>
    <w:rsid w:val="002E1558"/>
    <w:rsid w:val="003019CE"/>
    <w:rsid w:val="0030419B"/>
    <w:rsid w:val="003058B1"/>
    <w:rsid w:val="00321478"/>
    <w:rsid w:val="00330A99"/>
    <w:rsid w:val="00337508"/>
    <w:rsid w:val="003419D8"/>
    <w:rsid w:val="00342519"/>
    <w:rsid w:val="00343586"/>
    <w:rsid w:val="00345D7A"/>
    <w:rsid w:val="00353ADF"/>
    <w:rsid w:val="00356543"/>
    <w:rsid w:val="00397B9A"/>
    <w:rsid w:val="003A1D58"/>
    <w:rsid w:val="003A3A01"/>
    <w:rsid w:val="003C4321"/>
    <w:rsid w:val="003D0267"/>
    <w:rsid w:val="003E4AC2"/>
    <w:rsid w:val="0041336C"/>
    <w:rsid w:val="00425932"/>
    <w:rsid w:val="00426FD6"/>
    <w:rsid w:val="00441ACE"/>
    <w:rsid w:val="004443A9"/>
    <w:rsid w:val="00456A29"/>
    <w:rsid w:val="0046486E"/>
    <w:rsid w:val="00485A62"/>
    <w:rsid w:val="00497595"/>
    <w:rsid w:val="004B51CC"/>
    <w:rsid w:val="004C4CFE"/>
    <w:rsid w:val="004D01FA"/>
    <w:rsid w:val="004E5A87"/>
    <w:rsid w:val="004E714C"/>
    <w:rsid w:val="004F1738"/>
    <w:rsid w:val="004F2709"/>
    <w:rsid w:val="004F497E"/>
    <w:rsid w:val="0052336F"/>
    <w:rsid w:val="00524904"/>
    <w:rsid w:val="005269E4"/>
    <w:rsid w:val="00530721"/>
    <w:rsid w:val="00534E58"/>
    <w:rsid w:val="00536802"/>
    <w:rsid w:val="005419B6"/>
    <w:rsid w:val="00547560"/>
    <w:rsid w:val="0055423B"/>
    <w:rsid w:val="005551DB"/>
    <w:rsid w:val="005624A6"/>
    <w:rsid w:val="00577FD9"/>
    <w:rsid w:val="005B1C40"/>
    <w:rsid w:val="005C56F3"/>
    <w:rsid w:val="005D63FE"/>
    <w:rsid w:val="005E06C4"/>
    <w:rsid w:val="005E26F9"/>
    <w:rsid w:val="005E779C"/>
    <w:rsid w:val="005E7D8F"/>
    <w:rsid w:val="005F260A"/>
    <w:rsid w:val="00613EF4"/>
    <w:rsid w:val="0061432A"/>
    <w:rsid w:val="00616664"/>
    <w:rsid w:val="00623A54"/>
    <w:rsid w:val="006301F1"/>
    <w:rsid w:val="006339CF"/>
    <w:rsid w:val="00637A67"/>
    <w:rsid w:val="006515F7"/>
    <w:rsid w:val="00661FF9"/>
    <w:rsid w:val="006631FF"/>
    <w:rsid w:val="00667BC6"/>
    <w:rsid w:val="00686E53"/>
    <w:rsid w:val="00691169"/>
    <w:rsid w:val="006961DB"/>
    <w:rsid w:val="006A1504"/>
    <w:rsid w:val="006B7F27"/>
    <w:rsid w:val="006C443F"/>
    <w:rsid w:val="006D2D76"/>
    <w:rsid w:val="006D51AD"/>
    <w:rsid w:val="006D6793"/>
    <w:rsid w:val="006E2029"/>
    <w:rsid w:val="006F102A"/>
    <w:rsid w:val="006F3BD7"/>
    <w:rsid w:val="007059C0"/>
    <w:rsid w:val="00707A98"/>
    <w:rsid w:val="00722B31"/>
    <w:rsid w:val="007237F3"/>
    <w:rsid w:val="0072470D"/>
    <w:rsid w:val="00727BEB"/>
    <w:rsid w:val="0074519E"/>
    <w:rsid w:val="007554AE"/>
    <w:rsid w:val="007566E3"/>
    <w:rsid w:val="00757A93"/>
    <w:rsid w:val="00761D74"/>
    <w:rsid w:val="00764F07"/>
    <w:rsid w:val="00771B0C"/>
    <w:rsid w:val="00785188"/>
    <w:rsid w:val="007C2AED"/>
    <w:rsid w:val="007E1043"/>
    <w:rsid w:val="007E5EF7"/>
    <w:rsid w:val="007E65DC"/>
    <w:rsid w:val="007E7E32"/>
    <w:rsid w:val="007F0920"/>
    <w:rsid w:val="00805BD3"/>
    <w:rsid w:val="00817FBE"/>
    <w:rsid w:val="008241D1"/>
    <w:rsid w:val="008305A6"/>
    <w:rsid w:val="0083089C"/>
    <w:rsid w:val="00834CDE"/>
    <w:rsid w:val="00836253"/>
    <w:rsid w:val="00836498"/>
    <w:rsid w:val="00837B2B"/>
    <w:rsid w:val="00850BFD"/>
    <w:rsid w:val="008555B4"/>
    <w:rsid w:val="008568A9"/>
    <w:rsid w:val="00875433"/>
    <w:rsid w:val="00897DEF"/>
    <w:rsid w:val="008B12B2"/>
    <w:rsid w:val="008B348C"/>
    <w:rsid w:val="008B55D5"/>
    <w:rsid w:val="008D4941"/>
    <w:rsid w:val="008D581E"/>
    <w:rsid w:val="008E5773"/>
    <w:rsid w:val="008E681D"/>
    <w:rsid w:val="008F7E73"/>
    <w:rsid w:val="0090347F"/>
    <w:rsid w:val="0090557B"/>
    <w:rsid w:val="00941926"/>
    <w:rsid w:val="00953F60"/>
    <w:rsid w:val="009568B8"/>
    <w:rsid w:val="00961EB4"/>
    <w:rsid w:val="00966441"/>
    <w:rsid w:val="00967C7D"/>
    <w:rsid w:val="009B2EF8"/>
    <w:rsid w:val="009C7132"/>
    <w:rsid w:val="009D2205"/>
    <w:rsid w:val="009E508E"/>
    <w:rsid w:val="009E5C30"/>
    <w:rsid w:val="009F6542"/>
    <w:rsid w:val="00A02928"/>
    <w:rsid w:val="00A0305A"/>
    <w:rsid w:val="00A04C01"/>
    <w:rsid w:val="00A1120E"/>
    <w:rsid w:val="00A22E00"/>
    <w:rsid w:val="00A24CAD"/>
    <w:rsid w:val="00A3045D"/>
    <w:rsid w:val="00A571F8"/>
    <w:rsid w:val="00A95A54"/>
    <w:rsid w:val="00AC15E7"/>
    <w:rsid w:val="00AC2469"/>
    <w:rsid w:val="00AF0583"/>
    <w:rsid w:val="00B015F4"/>
    <w:rsid w:val="00B039AF"/>
    <w:rsid w:val="00B06B8F"/>
    <w:rsid w:val="00B10A59"/>
    <w:rsid w:val="00B11D41"/>
    <w:rsid w:val="00B21AE0"/>
    <w:rsid w:val="00B237A8"/>
    <w:rsid w:val="00B57FF2"/>
    <w:rsid w:val="00B63623"/>
    <w:rsid w:val="00B71298"/>
    <w:rsid w:val="00B763D1"/>
    <w:rsid w:val="00B7734B"/>
    <w:rsid w:val="00B80500"/>
    <w:rsid w:val="00B878BA"/>
    <w:rsid w:val="00B96C03"/>
    <w:rsid w:val="00B97C78"/>
    <w:rsid w:val="00BB3CA7"/>
    <w:rsid w:val="00BD68A6"/>
    <w:rsid w:val="00BE4657"/>
    <w:rsid w:val="00BE4C31"/>
    <w:rsid w:val="00BF0A2C"/>
    <w:rsid w:val="00BF0A61"/>
    <w:rsid w:val="00BF2637"/>
    <w:rsid w:val="00BF3D1B"/>
    <w:rsid w:val="00BF6539"/>
    <w:rsid w:val="00C01147"/>
    <w:rsid w:val="00C11A60"/>
    <w:rsid w:val="00C13F15"/>
    <w:rsid w:val="00C22D4D"/>
    <w:rsid w:val="00C23306"/>
    <w:rsid w:val="00C42729"/>
    <w:rsid w:val="00C4352D"/>
    <w:rsid w:val="00C46C2B"/>
    <w:rsid w:val="00C92DE4"/>
    <w:rsid w:val="00C93ED5"/>
    <w:rsid w:val="00C976F5"/>
    <w:rsid w:val="00CA0D70"/>
    <w:rsid w:val="00CA34C2"/>
    <w:rsid w:val="00CA610A"/>
    <w:rsid w:val="00CB40E0"/>
    <w:rsid w:val="00CC08DA"/>
    <w:rsid w:val="00CC6E1F"/>
    <w:rsid w:val="00CD31C5"/>
    <w:rsid w:val="00CE0E56"/>
    <w:rsid w:val="00CF240E"/>
    <w:rsid w:val="00D06213"/>
    <w:rsid w:val="00D072F4"/>
    <w:rsid w:val="00D1254F"/>
    <w:rsid w:val="00D25407"/>
    <w:rsid w:val="00D40F54"/>
    <w:rsid w:val="00D43458"/>
    <w:rsid w:val="00D51A09"/>
    <w:rsid w:val="00D5531C"/>
    <w:rsid w:val="00D817EC"/>
    <w:rsid w:val="00D87A6F"/>
    <w:rsid w:val="00D9625B"/>
    <w:rsid w:val="00DA1A6C"/>
    <w:rsid w:val="00DA5775"/>
    <w:rsid w:val="00DB3F70"/>
    <w:rsid w:val="00DB665D"/>
    <w:rsid w:val="00DD07AE"/>
    <w:rsid w:val="00DE0025"/>
    <w:rsid w:val="00DE0E4F"/>
    <w:rsid w:val="00DE22A6"/>
    <w:rsid w:val="00DE28C0"/>
    <w:rsid w:val="00DF167D"/>
    <w:rsid w:val="00E0105F"/>
    <w:rsid w:val="00E07F5A"/>
    <w:rsid w:val="00E10485"/>
    <w:rsid w:val="00E25F7F"/>
    <w:rsid w:val="00E27F24"/>
    <w:rsid w:val="00E44164"/>
    <w:rsid w:val="00E54BFB"/>
    <w:rsid w:val="00E57A22"/>
    <w:rsid w:val="00E755F3"/>
    <w:rsid w:val="00E77FD2"/>
    <w:rsid w:val="00EA0C4A"/>
    <w:rsid w:val="00EA5C5A"/>
    <w:rsid w:val="00EB1113"/>
    <w:rsid w:val="00EB6724"/>
    <w:rsid w:val="00EC13E0"/>
    <w:rsid w:val="00EE3563"/>
    <w:rsid w:val="00EE5FA0"/>
    <w:rsid w:val="00F04360"/>
    <w:rsid w:val="00F06048"/>
    <w:rsid w:val="00F20DE4"/>
    <w:rsid w:val="00F219E4"/>
    <w:rsid w:val="00F226DA"/>
    <w:rsid w:val="00F232ED"/>
    <w:rsid w:val="00F23532"/>
    <w:rsid w:val="00F31273"/>
    <w:rsid w:val="00F45E6B"/>
    <w:rsid w:val="00F47AC5"/>
    <w:rsid w:val="00F562E7"/>
    <w:rsid w:val="00F64137"/>
    <w:rsid w:val="00F64C35"/>
    <w:rsid w:val="00F71789"/>
    <w:rsid w:val="00F91294"/>
    <w:rsid w:val="00F9195A"/>
    <w:rsid w:val="00FA0E15"/>
    <w:rsid w:val="00FA7EE3"/>
    <w:rsid w:val="00FC0102"/>
    <w:rsid w:val="00FC4C38"/>
    <w:rsid w:val="00FD41AA"/>
    <w:rsid w:val="00FD4FE4"/>
    <w:rsid w:val="00FF2DDD"/>
    <w:rsid w:val="00FF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A246"/>
  <w15:docId w15:val="{189E7186-A031-A34E-BBFA-60E8370A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CAD"/>
    <w:pPr>
      <w:spacing w:line="240" w:lineRule="auto"/>
      <w:jc w:val="left"/>
    </w:pPr>
    <w:rPr>
      <w:rFonts w:asciiTheme="minorHAnsi" w:hAnsiTheme="minorHAnsi"/>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CAD"/>
    <w:pPr>
      <w:ind w:left="720"/>
      <w:contextualSpacing/>
    </w:pPr>
  </w:style>
  <w:style w:type="paragraph" w:styleId="Footer">
    <w:name w:val="footer"/>
    <w:basedOn w:val="Normal"/>
    <w:link w:val="FooterChar"/>
    <w:uiPriority w:val="99"/>
    <w:unhideWhenUsed/>
    <w:rsid w:val="00A24CAD"/>
    <w:pPr>
      <w:tabs>
        <w:tab w:val="center" w:pos="4320"/>
        <w:tab w:val="right" w:pos="8640"/>
      </w:tabs>
    </w:pPr>
  </w:style>
  <w:style w:type="character" w:customStyle="1" w:styleId="FooterChar">
    <w:name w:val="Footer Char"/>
    <w:basedOn w:val="DefaultParagraphFont"/>
    <w:link w:val="Footer"/>
    <w:uiPriority w:val="99"/>
    <w:rsid w:val="00A24CAD"/>
    <w:rPr>
      <w:rFonts w:asciiTheme="minorHAnsi" w:hAnsiTheme="minorHAnsi"/>
      <w:szCs w:val="24"/>
      <w:lang w:val="en-GB"/>
    </w:rPr>
  </w:style>
  <w:style w:type="character" w:styleId="PageNumber">
    <w:name w:val="page number"/>
    <w:basedOn w:val="DefaultParagraphFont"/>
    <w:uiPriority w:val="99"/>
    <w:semiHidden/>
    <w:unhideWhenUsed/>
    <w:rsid w:val="00A24CAD"/>
  </w:style>
  <w:style w:type="paragraph" w:styleId="Header">
    <w:name w:val="header"/>
    <w:basedOn w:val="Normal"/>
    <w:link w:val="HeaderChar"/>
    <w:uiPriority w:val="99"/>
    <w:unhideWhenUsed/>
    <w:rsid w:val="00A24CAD"/>
    <w:pPr>
      <w:tabs>
        <w:tab w:val="center" w:pos="4513"/>
        <w:tab w:val="right" w:pos="9026"/>
      </w:tabs>
    </w:pPr>
  </w:style>
  <w:style w:type="character" w:customStyle="1" w:styleId="HeaderChar">
    <w:name w:val="Header Char"/>
    <w:basedOn w:val="DefaultParagraphFont"/>
    <w:link w:val="Header"/>
    <w:uiPriority w:val="99"/>
    <w:rsid w:val="00A24CAD"/>
    <w:rPr>
      <w:rFonts w:asciiTheme="minorHAnsi" w:hAnsiTheme="minorHAnsi"/>
      <w:szCs w:val="24"/>
      <w:lang w:val="en-GB"/>
    </w:rPr>
  </w:style>
  <w:style w:type="table" w:styleId="TableGrid">
    <w:name w:val="Table Grid"/>
    <w:basedOn w:val="TableNormal"/>
    <w:uiPriority w:val="59"/>
    <w:rsid w:val="00A24CAD"/>
    <w:pPr>
      <w:spacing w:line="240" w:lineRule="auto"/>
      <w:jc w:val="left"/>
    </w:pPr>
    <w:rPr>
      <w:rFonts w:asciiTheme="minorHAnsi"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A4B62"/>
    <w:rPr>
      <w:sz w:val="20"/>
      <w:szCs w:val="20"/>
    </w:rPr>
  </w:style>
  <w:style w:type="character" w:customStyle="1" w:styleId="FootnoteTextChar">
    <w:name w:val="Footnote Text Char"/>
    <w:basedOn w:val="DefaultParagraphFont"/>
    <w:link w:val="FootnoteText"/>
    <w:uiPriority w:val="99"/>
    <w:semiHidden/>
    <w:rsid w:val="002A4B62"/>
    <w:rPr>
      <w:rFonts w:asciiTheme="minorHAnsi" w:hAnsiTheme="minorHAnsi"/>
      <w:sz w:val="20"/>
      <w:szCs w:val="20"/>
      <w:lang w:val="en-GB"/>
    </w:rPr>
  </w:style>
  <w:style w:type="character" w:styleId="FootnoteReference">
    <w:name w:val="footnote reference"/>
    <w:basedOn w:val="DefaultParagraphFont"/>
    <w:uiPriority w:val="99"/>
    <w:semiHidden/>
    <w:unhideWhenUsed/>
    <w:rsid w:val="002A4B62"/>
    <w:rPr>
      <w:vertAlign w:val="superscript"/>
    </w:rPr>
  </w:style>
  <w:style w:type="paragraph" w:styleId="EndnoteText">
    <w:name w:val="endnote text"/>
    <w:basedOn w:val="Normal"/>
    <w:link w:val="EndnoteTextChar"/>
    <w:uiPriority w:val="99"/>
    <w:semiHidden/>
    <w:unhideWhenUsed/>
    <w:rsid w:val="009B2EF8"/>
    <w:rPr>
      <w:sz w:val="20"/>
      <w:szCs w:val="20"/>
    </w:rPr>
  </w:style>
  <w:style w:type="character" w:customStyle="1" w:styleId="EndnoteTextChar">
    <w:name w:val="Endnote Text Char"/>
    <w:basedOn w:val="DefaultParagraphFont"/>
    <w:link w:val="EndnoteText"/>
    <w:uiPriority w:val="99"/>
    <w:semiHidden/>
    <w:rsid w:val="009B2EF8"/>
    <w:rPr>
      <w:rFonts w:asciiTheme="minorHAnsi" w:hAnsiTheme="minorHAnsi"/>
      <w:sz w:val="20"/>
      <w:szCs w:val="20"/>
      <w:lang w:val="en-GB"/>
    </w:rPr>
  </w:style>
  <w:style w:type="character" w:styleId="EndnoteReference">
    <w:name w:val="endnote reference"/>
    <w:basedOn w:val="DefaultParagraphFont"/>
    <w:uiPriority w:val="99"/>
    <w:semiHidden/>
    <w:unhideWhenUsed/>
    <w:rsid w:val="009B2EF8"/>
    <w:rPr>
      <w:vertAlign w:val="superscript"/>
    </w:rPr>
  </w:style>
  <w:style w:type="paragraph" w:styleId="BalloonText">
    <w:name w:val="Balloon Text"/>
    <w:basedOn w:val="Normal"/>
    <w:link w:val="BalloonTextChar"/>
    <w:uiPriority w:val="99"/>
    <w:semiHidden/>
    <w:unhideWhenUsed/>
    <w:rsid w:val="00614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32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2022-05-26T18:30:00+00:00</Judgment_x0020_Date>
    <Year xmlns="63bdd487-88aa-4c54-b893-ddaa81ed2e7c">2022</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9DDBE-040C-436B-B18D-E8A6FAE85636}">
  <ds:schemaRefs>
    <ds:schemaRef ds:uri="http://schemas.microsoft.com/sharepoint/v3/contenttype/forms"/>
  </ds:schemaRefs>
</ds:datastoreItem>
</file>

<file path=customXml/itemProps2.xml><?xml version="1.0" encoding="utf-8"?>
<ds:datastoreItem xmlns:ds="http://schemas.openxmlformats.org/officeDocument/2006/customXml" ds:itemID="{E9399202-D148-4E86-9F4E-B3D63A960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C0CC03-2708-47BC-A891-8CDDFD5735AA}">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401F8A77-5349-448C-A843-AFC68600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4744</Words>
  <Characters>27044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Marmorwerke Karibib (Proprietary) Limited  v Transnamib Holdings Limited (SA 92-2020) [2022] NASC (27 May 2022)</vt:lpstr>
    </vt:vector>
  </TitlesOfParts>
  <Company/>
  <LinksUpToDate>false</LinksUpToDate>
  <CharactersWithSpaces>31725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Marmorwerke Karibib (Proprietary) Limited  v Transnamib Holdings Limited (SA 92-2020) [2022] NASC (27 May 2022)</dc:title>
  <dc:creator>Microsoft Office User</dc:creator>
  <cp:lastModifiedBy>HOME</cp:lastModifiedBy>
  <cp:revision>2</cp:revision>
  <cp:lastPrinted>2022-05-24T09:49:00Z</cp:lastPrinted>
  <dcterms:created xsi:type="dcterms:W3CDTF">2022-05-30T19:49:00Z</dcterms:created>
  <dcterms:modified xsi:type="dcterms:W3CDTF">2022-05-30T19:49:00Z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