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168" w:rsidRPr="0017295B" w:rsidRDefault="00D47D46" w:rsidP="00275892">
      <w:pPr>
        <w:spacing w:after="0" w:line="480" w:lineRule="auto"/>
        <w:jc w:val="right"/>
        <w:rPr>
          <w:rFonts w:cs="Arial"/>
          <w:b/>
        </w:rPr>
      </w:pPr>
      <w:r w:rsidRPr="0017295B">
        <w:rPr>
          <w:noProof/>
          <w:lang w:val="en-ZA" w:eastAsia="en-ZA"/>
        </w:rPr>
        <w:drawing>
          <wp:anchor distT="0" distB="0" distL="114300" distR="114300" simplePos="0" relativeHeight="251657728" behindDoc="0" locked="0" layoutInCell="1" allowOverlap="1">
            <wp:simplePos x="0" y="0"/>
            <wp:positionH relativeFrom="margin">
              <wp:posOffset>2175510</wp:posOffset>
            </wp:positionH>
            <wp:positionV relativeFrom="margin">
              <wp:posOffset>-386715</wp:posOffset>
            </wp:positionV>
            <wp:extent cx="1428750" cy="1485900"/>
            <wp:effectExtent l="0" t="0" r="0" b="0"/>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6168" w:rsidRPr="0017295B" w:rsidRDefault="00C46168" w:rsidP="00275892">
      <w:pPr>
        <w:spacing w:after="0" w:line="480" w:lineRule="auto"/>
        <w:jc w:val="right"/>
        <w:rPr>
          <w:rFonts w:cs="Arial"/>
          <w:b/>
        </w:rPr>
      </w:pPr>
    </w:p>
    <w:p w:rsidR="00C46168" w:rsidRPr="0017295B" w:rsidRDefault="00C46168" w:rsidP="00275892">
      <w:pPr>
        <w:spacing w:after="0" w:line="480" w:lineRule="auto"/>
        <w:jc w:val="right"/>
        <w:rPr>
          <w:rFonts w:cs="Arial"/>
          <w:b/>
        </w:rPr>
      </w:pPr>
    </w:p>
    <w:p w:rsidR="00C46168" w:rsidRPr="0017295B" w:rsidRDefault="00C46168" w:rsidP="00275892">
      <w:pPr>
        <w:spacing w:after="0" w:line="480" w:lineRule="auto"/>
        <w:jc w:val="right"/>
        <w:rPr>
          <w:rFonts w:cs="Arial"/>
          <w:b/>
        </w:rPr>
      </w:pPr>
    </w:p>
    <w:p w:rsidR="00FF4712" w:rsidRPr="0010407D" w:rsidRDefault="00FF4712" w:rsidP="00FF4712">
      <w:pPr>
        <w:spacing w:after="0" w:line="480" w:lineRule="auto"/>
        <w:jc w:val="right"/>
        <w:rPr>
          <w:rFonts w:ascii="Arial" w:hAnsi="Arial" w:cs="Arial"/>
          <w:b/>
          <w:sz w:val="24"/>
          <w:szCs w:val="24"/>
        </w:rPr>
      </w:pPr>
      <w:r w:rsidRPr="0010407D">
        <w:rPr>
          <w:rFonts w:ascii="Arial" w:hAnsi="Arial" w:cs="Arial"/>
          <w:b/>
          <w:sz w:val="24"/>
          <w:szCs w:val="24"/>
        </w:rPr>
        <w:t>REPORTABLE</w:t>
      </w:r>
    </w:p>
    <w:p w:rsidR="00FF4712" w:rsidRPr="006263C1" w:rsidRDefault="00FF4712" w:rsidP="00FF4712">
      <w:pPr>
        <w:spacing w:after="0" w:line="480" w:lineRule="auto"/>
        <w:jc w:val="right"/>
        <w:rPr>
          <w:rFonts w:ascii="Arial" w:hAnsi="Arial" w:cs="Arial"/>
          <w:sz w:val="24"/>
          <w:szCs w:val="24"/>
        </w:rPr>
      </w:pPr>
      <w:r w:rsidRPr="006263C1">
        <w:rPr>
          <w:rFonts w:ascii="Arial" w:hAnsi="Arial" w:cs="Arial"/>
          <w:sz w:val="24"/>
          <w:szCs w:val="24"/>
        </w:rPr>
        <w:t xml:space="preserve">CASE NO.: SA </w:t>
      </w:r>
      <w:r w:rsidR="00353A17">
        <w:rPr>
          <w:rFonts w:ascii="Arial" w:hAnsi="Arial" w:cs="Arial"/>
          <w:sz w:val="24"/>
          <w:szCs w:val="24"/>
        </w:rPr>
        <w:t>100</w:t>
      </w:r>
      <w:r>
        <w:rPr>
          <w:rFonts w:ascii="Arial" w:hAnsi="Arial" w:cs="Arial"/>
          <w:sz w:val="24"/>
          <w:szCs w:val="24"/>
        </w:rPr>
        <w:t>/20</w:t>
      </w:r>
      <w:r w:rsidR="00353A17">
        <w:rPr>
          <w:rFonts w:ascii="Arial" w:hAnsi="Arial" w:cs="Arial"/>
          <w:sz w:val="24"/>
          <w:szCs w:val="24"/>
        </w:rPr>
        <w:t>20</w:t>
      </w:r>
    </w:p>
    <w:p w:rsidR="00FF4712" w:rsidRPr="004C1A1C" w:rsidRDefault="00FF4712" w:rsidP="00FF4712">
      <w:pPr>
        <w:spacing w:after="0" w:line="480" w:lineRule="auto"/>
        <w:jc w:val="both"/>
        <w:rPr>
          <w:rFonts w:ascii="Arial" w:hAnsi="Arial" w:cs="Arial"/>
          <w:b/>
          <w:sz w:val="24"/>
          <w:szCs w:val="24"/>
        </w:rPr>
      </w:pPr>
      <w:r w:rsidRPr="004C1A1C">
        <w:rPr>
          <w:rFonts w:ascii="Arial" w:hAnsi="Arial" w:cs="Arial"/>
          <w:b/>
          <w:sz w:val="24"/>
          <w:szCs w:val="24"/>
        </w:rPr>
        <w:t>IN THE SUPREME COURT OF NAMIBIA</w:t>
      </w:r>
    </w:p>
    <w:p w:rsidR="005D68F4" w:rsidRDefault="005D68F4" w:rsidP="00FF4712">
      <w:pPr>
        <w:spacing w:after="0" w:line="480" w:lineRule="auto"/>
        <w:jc w:val="both"/>
        <w:rPr>
          <w:rFonts w:ascii="Arial" w:hAnsi="Arial" w:cs="Arial"/>
          <w:sz w:val="24"/>
          <w:szCs w:val="24"/>
        </w:rPr>
      </w:pPr>
    </w:p>
    <w:p w:rsidR="00FF4712" w:rsidRDefault="00FF4712" w:rsidP="00FF4712">
      <w:pPr>
        <w:spacing w:after="0" w:line="480" w:lineRule="auto"/>
        <w:jc w:val="both"/>
        <w:rPr>
          <w:rFonts w:ascii="Arial" w:hAnsi="Arial" w:cs="Arial"/>
          <w:sz w:val="24"/>
          <w:szCs w:val="24"/>
        </w:rPr>
      </w:pPr>
      <w:r>
        <w:rPr>
          <w:rFonts w:ascii="Arial" w:hAnsi="Arial" w:cs="Arial"/>
          <w:sz w:val="24"/>
          <w:szCs w:val="24"/>
        </w:rPr>
        <w:t>In the matter between:</w:t>
      </w:r>
    </w:p>
    <w:p w:rsidR="006C6D3F" w:rsidRDefault="006C6D3F" w:rsidP="00FF4712">
      <w:pPr>
        <w:spacing w:after="0" w:line="480" w:lineRule="auto"/>
        <w:jc w:val="both"/>
        <w:rPr>
          <w:rFonts w:ascii="Arial" w:hAnsi="Arial" w:cs="Arial"/>
          <w:sz w:val="24"/>
          <w:szCs w:val="24"/>
        </w:rPr>
      </w:pPr>
    </w:p>
    <w:tbl>
      <w:tblPr>
        <w:tblW w:w="0" w:type="auto"/>
        <w:tblLook w:val="04A0" w:firstRow="1" w:lastRow="0" w:firstColumn="1" w:lastColumn="0" w:noHBand="0" w:noVBand="1"/>
      </w:tblPr>
      <w:tblGrid>
        <w:gridCol w:w="6094"/>
        <w:gridCol w:w="3027"/>
      </w:tblGrid>
      <w:tr w:rsidR="00FF4712" w:rsidRPr="00500CF6" w:rsidTr="00353A17">
        <w:tc>
          <w:tcPr>
            <w:tcW w:w="6253" w:type="dxa"/>
            <w:shd w:val="clear" w:color="auto" w:fill="auto"/>
          </w:tcPr>
          <w:p w:rsidR="00FF4712" w:rsidRPr="00500CF6" w:rsidRDefault="006C6D3F" w:rsidP="004D0ADA">
            <w:pPr>
              <w:spacing w:line="480" w:lineRule="auto"/>
              <w:ind w:left="-108"/>
              <w:jc w:val="both"/>
              <w:rPr>
                <w:rFonts w:ascii="Arial" w:hAnsi="Arial" w:cs="Arial"/>
                <w:b/>
                <w:sz w:val="24"/>
                <w:szCs w:val="24"/>
              </w:rPr>
            </w:pPr>
            <w:r>
              <w:rPr>
                <w:rFonts w:ascii="Arial" w:hAnsi="Arial" w:cs="Arial"/>
                <w:b/>
                <w:sz w:val="24"/>
                <w:szCs w:val="24"/>
              </w:rPr>
              <w:t>S</w:t>
            </w:r>
            <w:r w:rsidR="00353A17">
              <w:rPr>
                <w:rFonts w:ascii="Arial" w:hAnsi="Arial" w:cs="Arial"/>
                <w:b/>
                <w:sz w:val="24"/>
                <w:szCs w:val="24"/>
              </w:rPr>
              <w:t>AKARIA NATANGWA MWAALA</w:t>
            </w:r>
          </w:p>
        </w:tc>
        <w:tc>
          <w:tcPr>
            <w:tcW w:w="3084" w:type="dxa"/>
            <w:shd w:val="clear" w:color="auto" w:fill="auto"/>
          </w:tcPr>
          <w:p w:rsidR="00FF4712" w:rsidRPr="00500CF6" w:rsidRDefault="00345847" w:rsidP="004D0ADA">
            <w:pPr>
              <w:spacing w:line="480" w:lineRule="auto"/>
              <w:ind w:left="-108"/>
              <w:jc w:val="right"/>
              <w:rPr>
                <w:rFonts w:ascii="Arial" w:hAnsi="Arial" w:cs="Arial"/>
                <w:b/>
                <w:sz w:val="24"/>
                <w:szCs w:val="24"/>
              </w:rPr>
            </w:pPr>
            <w:r w:rsidRPr="00500CF6">
              <w:rPr>
                <w:rFonts w:ascii="Arial" w:hAnsi="Arial" w:cs="Arial"/>
                <w:b/>
                <w:sz w:val="24"/>
                <w:szCs w:val="24"/>
              </w:rPr>
              <w:t>Appellant</w:t>
            </w:r>
          </w:p>
        </w:tc>
      </w:tr>
      <w:tr w:rsidR="00FF4712" w:rsidRPr="00500CF6" w:rsidTr="00353A17">
        <w:tc>
          <w:tcPr>
            <w:tcW w:w="6253" w:type="dxa"/>
            <w:shd w:val="clear" w:color="auto" w:fill="auto"/>
          </w:tcPr>
          <w:p w:rsidR="00FF4712" w:rsidRPr="00500CF6" w:rsidRDefault="00FF4712" w:rsidP="004D0ADA">
            <w:pPr>
              <w:spacing w:line="480" w:lineRule="auto"/>
              <w:ind w:left="-108"/>
              <w:jc w:val="both"/>
              <w:rPr>
                <w:rFonts w:ascii="Arial" w:hAnsi="Arial" w:cs="Arial"/>
                <w:sz w:val="24"/>
                <w:szCs w:val="24"/>
              </w:rPr>
            </w:pPr>
            <w:r w:rsidRPr="00500CF6">
              <w:rPr>
                <w:rFonts w:ascii="Arial" w:hAnsi="Arial" w:cs="Arial"/>
                <w:sz w:val="24"/>
                <w:szCs w:val="24"/>
              </w:rPr>
              <w:t>and</w:t>
            </w:r>
          </w:p>
        </w:tc>
        <w:tc>
          <w:tcPr>
            <w:tcW w:w="3084" w:type="dxa"/>
            <w:shd w:val="clear" w:color="auto" w:fill="auto"/>
          </w:tcPr>
          <w:p w:rsidR="00FF4712" w:rsidRPr="00500CF6" w:rsidRDefault="00FF4712" w:rsidP="00500CF6">
            <w:pPr>
              <w:spacing w:line="480" w:lineRule="auto"/>
              <w:jc w:val="right"/>
              <w:rPr>
                <w:rFonts w:ascii="Arial" w:hAnsi="Arial" w:cs="Arial"/>
                <w:b/>
                <w:sz w:val="24"/>
                <w:szCs w:val="24"/>
              </w:rPr>
            </w:pPr>
          </w:p>
        </w:tc>
      </w:tr>
      <w:tr w:rsidR="00FF4712" w:rsidRPr="00500CF6" w:rsidTr="00353A17">
        <w:tc>
          <w:tcPr>
            <w:tcW w:w="6253" w:type="dxa"/>
            <w:shd w:val="clear" w:color="auto" w:fill="auto"/>
          </w:tcPr>
          <w:p w:rsidR="00FF4712" w:rsidRPr="00500CF6" w:rsidRDefault="00353A17" w:rsidP="004D0ADA">
            <w:pPr>
              <w:spacing w:line="480" w:lineRule="auto"/>
              <w:ind w:hanging="108"/>
              <w:jc w:val="both"/>
              <w:rPr>
                <w:rFonts w:ascii="Arial" w:hAnsi="Arial" w:cs="Arial"/>
                <w:b/>
                <w:sz w:val="24"/>
                <w:szCs w:val="24"/>
              </w:rPr>
            </w:pPr>
            <w:r>
              <w:rPr>
                <w:rFonts w:ascii="Arial" w:hAnsi="Arial" w:cs="Arial"/>
                <w:b/>
                <w:sz w:val="24"/>
                <w:szCs w:val="24"/>
              </w:rPr>
              <w:t>EINO KAULINGE</w:t>
            </w:r>
            <w:r w:rsidR="009F0204">
              <w:rPr>
                <w:rFonts w:ascii="Arial" w:hAnsi="Arial" w:cs="Arial"/>
                <w:b/>
                <w:sz w:val="24"/>
                <w:szCs w:val="24"/>
              </w:rPr>
              <w:t xml:space="preserve"> </w:t>
            </w:r>
            <w:r>
              <w:rPr>
                <w:rFonts w:ascii="Arial" w:hAnsi="Arial" w:cs="Arial"/>
                <w:b/>
                <w:sz w:val="24"/>
                <w:szCs w:val="24"/>
              </w:rPr>
              <w:t>NGHIKO</w:t>
            </w:r>
            <w:r w:rsidR="009F0204">
              <w:rPr>
                <w:rFonts w:ascii="Arial" w:hAnsi="Arial" w:cs="Arial"/>
                <w:b/>
                <w:sz w:val="24"/>
                <w:szCs w:val="24"/>
              </w:rPr>
              <w:t>MENWA</w:t>
            </w:r>
          </w:p>
        </w:tc>
        <w:tc>
          <w:tcPr>
            <w:tcW w:w="3084" w:type="dxa"/>
            <w:shd w:val="clear" w:color="auto" w:fill="auto"/>
          </w:tcPr>
          <w:p w:rsidR="00FF4712" w:rsidRPr="00500CF6" w:rsidRDefault="006C6D3F" w:rsidP="00500CF6">
            <w:pPr>
              <w:spacing w:line="480" w:lineRule="auto"/>
              <w:jc w:val="right"/>
              <w:rPr>
                <w:rFonts w:ascii="Arial" w:hAnsi="Arial" w:cs="Arial"/>
                <w:b/>
                <w:sz w:val="24"/>
                <w:szCs w:val="24"/>
              </w:rPr>
            </w:pPr>
            <w:r>
              <w:rPr>
                <w:rFonts w:ascii="Arial" w:hAnsi="Arial" w:cs="Arial"/>
                <w:b/>
                <w:sz w:val="24"/>
                <w:szCs w:val="24"/>
              </w:rPr>
              <w:t xml:space="preserve">First </w:t>
            </w:r>
            <w:r w:rsidR="00345847" w:rsidRPr="00500CF6">
              <w:rPr>
                <w:rFonts w:ascii="Arial" w:hAnsi="Arial" w:cs="Arial"/>
                <w:b/>
                <w:sz w:val="24"/>
                <w:szCs w:val="24"/>
              </w:rPr>
              <w:t>Respondent</w:t>
            </w:r>
          </w:p>
        </w:tc>
      </w:tr>
      <w:tr w:rsidR="00353A17" w:rsidRPr="00500CF6" w:rsidTr="00353A17">
        <w:tc>
          <w:tcPr>
            <w:tcW w:w="6253" w:type="dxa"/>
            <w:shd w:val="clear" w:color="auto" w:fill="auto"/>
          </w:tcPr>
          <w:p w:rsidR="00353A17" w:rsidRDefault="00353A17" w:rsidP="004D0ADA">
            <w:pPr>
              <w:spacing w:line="480" w:lineRule="auto"/>
              <w:ind w:hanging="108"/>
              <w:jc w:val="both"/>
              <w:rPr>
                <w:rFonts w:ascii="Arial" w:hAnsi="Arial" w:cs="Arial"/>
                <w:b/>
                <w:sz w:val="24"/>
                <w:szCs w:val="24"/>
              </w:rPr>
            </w:pPr>
            <w:r>
              <w:rPr>
                <w:rFonts w:ascii="Arial" w:hAnsi="Arial" w:cs="Arial"/>
                <w:b/>
                <w:sz w:val="24"/>
                <w:szCs w:val="24"/>
              </w:rPr>
              <w:t>MINISTER OF SAFETY AND SECURITY</w:t>
            </w:r>
          </w:p>
        </w:tc>
        <w:tc>
          <w:tcPr>
            <w:tcW w:w="3084" w:type="dxa"/>
            <w:shd w:val="clear" w:color="auto" w:fill="auto"/>
          </w:tcPr>
          <w:p w:rsidR="00353A17" w:rsidRDefault="00353A17" w:rsidP="00500CF6">
            <w:pPr>
              <w:spacing w:line="480" w:lineRule="auto"/>
              <w:jc w:val="right"/>
              <w:rPr>
                <w:rFonts w:ascii="Arial" w:hAnsi="Arial" w:cs="Arial"/>
                <w:b/>
                <w:sz w:val="24"/>
                <w:szCs w:val="24"/>
              </w:rPr>
            </w:pPr>
            <w:r>
              <w:rPr>
                <w:rFonts w:ascii="Arial" w:hAnsi="Arial" w:cs="Arial"/>
                <w:b/>
                <w:sz w:val="24"/>
                <w:szCs w:val="24"/>
              </w:rPr>
              <w:t>Second Respondent</w:t>
            </w:r>
          </w:p>
        </w:tc>
      </w:tr>
    </w:tbl>
    <w:p w:rsidR="00FF4712" w:rsidRDefault="00FF4712" w:rsidP="00225E79">
      <w:pPr>
        <w:spacing w:after="0" w:line="480" w:lineRule="auto"/>
        <w:jc w:val="both"/>
        <w:rPr>
          <w:rFonts w:ascii="Arial" w:hAnsi="Arial" w:cs="Arial"/>
          <w:sz w:val="24"/>
          <w:szCs w:val="24"/>
        </w:rPr>
      </w:pPr>
      <w:r w:rsidRPr="00594B41">
        <w:rPr>
          <w:rFonts w:ascii="Arial" w:hAnsi="Arial" w:cs="Arial"/>
          <w:b/>
          <w:sz w:val="24"/>
          <w:szCs w:val="24"/>
        </w:rPr>
        <w:t>Coram:</w:t>
      </w:r>
      <w:r w:rsidR="00594B41">
        <w:rPr>
          <w:rFonts w:ascii="Arial" w:hAnsi="Arial" w:cs="Arial"/>
          <w:sz w:val="24"/>
          <w:szCs w:val="24"/>
        </w:rPr>
        <w:tab/>
      </w:r>
      <w:r w:rsidR="00861369">
        <w:rPr>
          <w:rFonts w:ascii="Arial" w:hAnsi="Arial" w:cs="Arial"/>
          <w:sz w:val="24"/>
          <w:szCs w:val="24"/>
        </w:rPr>
        <w:t>MAINGA</w:t>
      </w:r>
      <w:r>
        <w:rPr>
          <w:rFonts w:ascii="Arial" w:hAnsi="Arial" w:cs="Arial"/>
          <w:sz w:val="24"/>
          <w:szCs w:val="24"/>
        </w:rPr>
        <w:t xml:space="preserve"> JA</w:t>
      </w:r>
      <w:r w:rsidR="00353A17">
        <w:rPr>
          <w:rFonts w:ascii="Arial" w:hAnsi="Arial" w:cs="Arial"/>
          <w:sz w:val="24"/>
          <w:szCs w:val="24"/>
        </w:rPr>
        <w:t>, FRANK AJA</w:t>
      </w:r>
      <w:r>
        <w:rPr>
          <w:rFonts w:ascii="Arial" w:hAnsi="Arial" w:cs="Arial"/>
          <w:sz w:val="24"/>
          <w:szCs w:val="24"/>
        </w:rPr>
        <w:t xml:space="preserve"> </w:t>
      </w:r>
      <w:r w:rsidR="00861369" w:rsidRPr="007D275A">
        <w:rPr>
          <w:rFonts w:ascii="Arial" w:hAnsi="Arial" w:cs="Arial"/>
          <w:sz w:val="24"/>
          <w:szCs w:val="24"/>
        </w:rPr>
        <w:t>and</w:t>
      </w:r>
      <w:r w:rsidR="00270C55">
        <w:rPr>
          <w:rFonts w:ascii="Arial" w:hAnsi="Arial" w:cs="Arial"/>
          <w:sz w:val="24"/>
          <w:szCs w:val="24"/>
        </w:rPr>
        <w:t xml:space="preserve"> </w:t>
      </w:r>
      <w:r w:rsidR="00353A17">
        <w:rPr>
          <w:rFonts w:ascii="Arial" w:hAnsi="Arial" w:cs="Arial"/>
          <w:sz w:val="24"/>
          <w:szCs w:val="24"/>
        </w:rPr>
        <w:t>LIEBENBERG</w:t>
      </w:r>
      <w:r>
        <w:rPr>
          <w:rFonts w:ascii="Arial" w:hAnsi="Arial" w:cs="Arial"/>
          <w:sz w:val="24"/>
          <w:szCs w:val="24"/>
        </w:rPr>
        <w:t xml:space="preserve"> </w:t>
      </w:r>
      <w:r w:rsidR="00353A17">
        <w:rPr>
          <w:rFonts w:ascii="Arial" w:hAnsi="Arial" w:cs="Arial"/>
          <w:sz w:val="24"/>
          <w:szCs w:val="24"/>
        </w:rPr>
        <w:t>A</w:t>
      </w:r>
      <w:r>
        <w:rPr>
          <w:rFonts w:ascii="Arial" w:hAnsi="Arial" w:cs="Arial"/>
          <w:sz w:val="24"/>
          <w:szCs w:val="24"/>
        </w:rPr>
        <w:t xml:space="preserve">JA </w:t>
      </w:r>
    </w:p>
    <w:p w:rsidR="00FF4712" w:rsidRPr="00594B41" w:rsidRDefault="00FF4712" w:rsidP="00FF4712">
      <w:pPr>
        <w:spacing w:after="0" w:line="480" w:lineRule="auto"/>
        <w:jc w:val="both"/>
        <w:rPr>
          <w:rFonts w:ascii="Arial" w:hAnsi="Arial" w:cs="Arial"/>
          <w:b/>
          <w:sz w:val="24"/>
          <w:szCs w:val="24"/>
        </w:rPr>
      </w:pPr>
      <w:r w:rsidRPr="00594B41">
        <w:rPr>
          <w:rFonts w:ascii="Arial" w:hAnsi="Arial" w:cs="Arial"/>
          <w:b/>
          <w:sz w:val="24"/>
          <w:szCs w:val="24"/>
        </w:rPr>
        <w:t>Heard</w:t>
      </w:r>
      <w:r w:rsidR="00594B41">
        <w:rPr>
          <w:rFonts w:ascii="Arial" w:hAnsi="Arial" w:cs="Arial"/>
          <w:b/>
          <w:sz w:val="24"/>
          <w:szCs w:val="24"/>
        </w:rPr>
        <w:t>:</w:t>
      </w:r>
      <w:r w:rsidR="00594B41">
        <w:rPr>
          <w:rFonts w:ascii="Arial" w:hAnsi="Arial" w:cs="Arial"/>
          <w:b/>
          <w:sz w:val="24"/>
          <w:szCs w:val="24"/>
        </w:rPr>
        <w:tab/>
      </w:r>
      <w:r w:rsidR="00353A17">
        <w:rPr>
          <w:rFonts w:ascii="Arial" w:hAnsi="Arial" w:cs="Arial"/>
          <w:b/>
          <w:sz w:val="24"/>
          <w:szCs w:val="24"/>
        </w:rPr>
        <w:t>24</w:t>
      </w:r>
      <w:r w:rsidR="00270C55" w:rsidRPr="00594B41">
        <w:rPr>
          <w:rFonts w:ascii="Arial" w:hAnsi="Arial" w:cs="Arial"/>
          <w:b/>
          <w:sz w:val="24"/>
          <w:szCs w:val="24"/>
        </w:rPr>
        <w:t xml:space="preserve"> </w:t>
      </w:r>
      <w:r w:rsidR="00353A17">
        <w:rPr>
          <w:rFonts w:ascii="Arial" w:hAnsi="Arial" w:cs="Arial"/>
          <w:b/>
          <w:sz w:val="24"/>
          <w:szCs w:val="24"/>
        </w:rPr>
        <w:t>October</w:t>
      </w:r>
      <w:r w:rsidRPr="00594B41">
        <w:rPr>
          <w:rFonts w:ascii="Arial" w:hAnsi="Arial" w:cs="Arial"/>
          <w:b/>
          <w:sz w:val="24"/>
          <w:szCs w:val="24"/>
        </w:rPr>
        <w:t xml:space="preserve"> 20</w:t>
      </w:r>
      <w:r w:rsidR="00225E79">
        <w:rPr>
          <w:rFonts w:ascii="Arial" w:hAnsi="Arial" w:cs="Arial"/>
          <w:b/>
          <w:sz w:val="24"/>
          <w:szCs w:val="24"/>
        </w:rPr>
        <w:t>2</w:t>
      </w:r>
      <w:r w:rsidR="00353A17">
        <w:rPr>
          <w:rFonts w:ascii="Arial" w:hAnsi="Arial" w:cs="Arial"/>
          <w:b/>
          <w:sz w:val="24"/>
          <w:szCs w:val="24"/>
        </w:rPr>
        <w:t>2</w:t>
      </w:r>
    </w:p>
    <w:p w:rsidR="00225E79" w:rsidRDefault="00FF4712" w:rsidP="00FF4712">
      <w:pPr>
        <w:spacing w:after="0" w:line="480" w:lineRule="auto"/>
        <w:jc w:val="both"/>
        <w:rPr>
          <w:rFonts w:ascii="Arial" w:hAnsi="Arial" w:cs="Arial"/>
          <w:b/>
          <w:sz w:val="24"/>
          <w:szCs w:val="24"/>
        </w:rPr>
      </w:pPr>
      <w:r w:rsidRPr="00594B41">
        <w:rPr>
          <w:rFonts w:ascii="Arial" w:hAnsi="Arial" w:cs="Arial"/>
          <w:b/>
          <w:sz w:val="24"/>
          <w:szCs w:val="24"/>
        </w:rPr>
        <w:t>Delivered:</w:t>
      </w:r>
      <w:r w:rsidR="00EB4727">
        <w:rPr>
          <w:rFonts w:ascii="Arial" w:hAnsi="Arial" w:cs="Arial"/>
          <w:b/>
          <w:sz w:val="24"/>
          <w:szCs w:val="24"/>
        </w:rPr>
        <w:tab/>
      </w:r>
      <w:r w:rsidR="006373D0">
        <w:rPr>
          <w:rFonts w:ascii="Arial" w:hAnsi="Arial" w:cs="Arial"/>
          <w:b/>
          <w:sz w:val="24"/>
          <w:szCs w:val="24"/>
        </w:rPr>
        <w:t>1</w:t>
      </w:r>
      <w:r w:rsidR="00423B4F">
        <w:rPr>
          <w:rFonts w:ascii="Arial" w:hAnsi="Arial" w:cs="Arial"/>
          <w:b/>
          <w:sz w:val="24"/>
          <w:szCs w:val="24"/>
        </w:rPr>
        <w:t>4</w:t>
      </w:r>
      <w:r w:rsidR="006373D0">
        <w:rPr>
          <w:rFonts w:ascii="Arial" w:hAnsi="Arial" w:cs="Arial"/>
          <w:b/>
          <w:sz w:val="24"/>
          <w:szCs w:val="24"/>
        </w:rPr>
        <w:t xml:space="preserve"> </w:t>
      </w:r>
      <w:r w:rsidR="00353A17">
        <w:rPr>
          <w:rFonts w:ascii="Arial" w:hAnsi="Arial" w:cs="Arial"/>
          <w:b/>
          <w:sz w:val="24"/>
          <w:szCs w:val="24"/>
        </w:rPr>
        <w:t>November</w:t>
      </w:r>
      <w:r w:rsidR="00EB4727">
        <w:rPr>
          <w:rFonts w:ascii="Arial" w:hAnsi="Arial" w:cs="Arial"/>
          <w:b/>
          <w:sz w:val="24"/>
          <w:szCs w:val="24"/>
        </w:rPr>
        <w:t xml:space="preserve"> 202</w:t>
      </w:r>
      <w:r w:rsidR="00353A17">
        <w:rPr>
          <w:rFonts w:ascii="Arial" w:hAnsi="Arial" w:cs="Arial"/>
          <w:b/>
          <w:sz w:val="24"/>
          <w:szCs w:val="24"/>
        </w:rPr>
        <w:t>2</w:t>
      </w:r>
    </w:p>
    <w:p w:rsidR="00C46168" w:rsidRDefault="00C46168" w:rsidP="00FF4712">
      <w:pPr>
        <w:spacing w:after="0" w:line="480" w:lineRule="auto"/>
        <w:jc w:val="both"/>
        <w:rPr>
          <w:rFonts w:ascii="Arial" w:hAnsi="Arial" w:cs="Arial"/>
          <w:b/>
          <w:sz w:val="24"/>
          <w:szCs w:val="24"/>
        </w:rPr>
      </w:pPr>
    </w:p>
    <w:p w:rsidR="00C46168" w:rsidRDefault="00225E79" w:rsidP="00353A17">
      <w:pPr>
        <w:spacing w:after="0" w:line="360" w:lineRule="auto"/>
        <w:jc w:val="both"/>
        <w:rPr>
          <w:rFonts w:ascii="Arial" w:hAnsi="Arial" w:cs="Arial"/>
          <w:sz w:val="24"/>
          <w:szCs w:val="24"/>
        </w:rPr>
      </w:pPr>
      <w:r>
        <w:rPr>
          <w:rFonts w:ascii="Arial" w:hAnsi="Arial" w:cs="Arial"/>
          <w:b/>
          <w:sz w:val="24"/>
          <w:szCs w:val="24"/>
        </w:rPr>
        <w:t>Summary:</w:t>
      </w:r>
      <w:r w:rsidR="00C46168">
        <w:rPr>
          <w:rFonts w:ascii="Arial" w:hAnsi="Arial" w:cs="Arial"/>
          <w:b/>
          <w:sz w:val="24"/>
          <w:szCs w:val="24"/>
        </w:rPr>
        <w:t xml:space="preserve"> </w:t>
      </w:r>
      <w:r w:rsidR="00C46168">
        <w:rPr>
          <w:rFonts w:ascii="Arial" w:hAnsi="Arial" w:cs="Arial"/>
          <w:sz w:val="24"/>
          <w:szCs w:val="24"/>
        </w:rPr>
        <w:t>T</w:t>
      </w:r>
      <w:r w:rsidR="006E0FA1">
        <w:rPr>
          <w:rFonts w:ascii="Arial" w:hAnsi="Arial" w:cs="Arial"/>
          <w:sz w:val="24"/>
          <w:szCs w:val="24"/>
        </w:rPr>
        <w:t xml:space="preserve">he appellant (plaintiff </w:t>
      </w:r>
      <w:r w:rsidR="00335379">
        <w:rPr>
          <w:rFonts w:ascii="Arial" w:hAnsi="Arial" w:cs="Arial"/>
          <w:i/>
          <w:sz w:val="24"/>
          <w:szCs w:val="24"/>
        </w:rPr>
        <w:t>a quo</w:t>
      </w:r>
      <w:r w:rsidR="006E0FA1">
        <w:rPr>
          <w:rFonts w:ascii="Arial" w:hAnsi="Arial" w:cs="Arial"/>
          <w:sz w:val="24"/>
          <w:szCs w:val="24"/>
        </w:rPr>
        <w:t>) instituted action for damages from the first and second respondents (</w:t>
      </w:r>
      <w:proofErr w:type="spellStart"/>
      <w:r w:rsidR="006E0FA1">
        <w:rPr>
          <w:rFonts w:ascii="Arial" w:hAnsi="Arial" w:cs="Arial"/>
          <w:sz w:val="24"/>
          <w:szCs w:val="24"/>
        </w:rPr>
        <w:t>Nghikomenwa</w:t>
      </w:r>
      <w:proofErr w:type="spellEnd"/>
      <w:r w:rsidR="006E0FA1">
        <w:rPr>
          <w:rFonts w:ascii="Arial" w:hAnsi="Arial" w:cs="Arial"/>
          <w:sz w:val="24"/>
          <w:szCs w:val="24"/>
        </w:rPr>
        <w:t xml:space="preserve"> and the Minister) jointly and severally</w:t>
      </w:r>
      <w:r w:rsidR="003A28E3">
        <w:rPr>
          <w:rFonts w:ascii="Arial" w:hAnsi="Arial" w:cs="Arial"/>
          <w:sz w:val="24"/>
          <w:szCs w:val="24"/>
        </w:rPr>
        <w:t>,</w:t>
      </w:r>
      <w:r w:rsidR="006E0FA1">
        <w:rPr>
          <w:rFonts w:ascii="Arial" w:hAnsi="Arial" w:cs="Arial"/>
          <w:sz w:val="24"/>
          <w:szCs w:val="24"/>
        </w:rPr>
        <w:t xml:space="preserve"> the one paying the other to be absolved. On or about 17 May 2018, in Church street, Gobabis, the appellant’s vehicle was involved in a collision with a vehicle belonging to Correctional Service, driven by the first respondent. </w:t>
      </w:r>
      <w:r w:rsidR="00E16803">
        <w:rPr>
          <w:rFonts w:ascii="Arial" w:hAnsi="Arial" w:cs="Arial"/>
          <w:sz w:val="24"/>
          <w:szCs w:val="24"/>
        </w:rPr>
        <w:t>Appellant</w:t>
      </w:r>
      <w:r w:rsidR="006E0FA1">
        <w:rPr>
          <w:rFonts w:ascii="Arial" w:hAnsi="Arial" w:cs="Arial"/>
          <w:sz w:val="24"/>
          <w:szCs w:val="24"/>
        </w:rPr>
        <w:t xml:space="preserve"> alleged that the first </w:t>
      </w:r>
      <w:r w:rsidR="006E0FA1">
        <w:rPr>
          <w:rFonts w:ascii="Arial" w:hAnsi="Arial" w:cs="Arial"/>
          <w:sz w:val="24"/>
          <w:szCs w:val="24"/>
        </w:rPr>
        <w:lastRenderedPageBreak/>
        <w:t>respondent drove the vehicle, whilst acting in the course and scope of his employment with the second respondent. The appellant further alleged that the sole cause of the collision was the negligent driving of the first respondent. Prior to the issuance of the combined summons on 29 March 2019 the appellant had caused a letter of demand on 22 October 2018 to the Commissioner of Prisons demanding damages in the amount of N$51</w:t>
      </w:r>
      <w:r w:rsidR="00E9294B">
        <w:rPr>
          <w:rFonts w:ascii="Arial" w:hAnsi="Arial" w:cs="Arial"/>
          <w:sz w:val="24"/>
          <w:szCs w:val="24"/>
        </w:rPr>
        <w:t> </w:t>
      </w:r>
      <w:r w:rsidR="006E0FA1">
        <w:rPr>
          <w:rFonts w:ascii="Arial" w:hAnsi="Arial" w:cs="Arial"/>
          <w:sz w:val="24"/>
          <w:szCs w:val="24"/>
        </w:rPr>
        <w:t>487</w:t>
      </w:r>
      <w:r w:rsidR="00E9294B">
        <w:rPr>
          <w:rFonts w:ascii="Arial" w:hAnsi="Arial" w:cs="Arial"/>
          <w:sz w:val="24"/>
          <w:szCs w:val="24"/>
        </w:rPr>
        <w:t>,</w:t>
      </w:r>
      <w:r w:rsidR="006E0FA1">
        <w:rPr>
          <w:rFonts w:ascii="Arial" w:hAnsi="Arial" w:cs="Arial"/>
          <w:sz w:val="24"/>
          <w:szCs w:val="24"/>
        </w:rPr>
        <w:t xml:space="preserve">17 suffered by </w:t>
      </w:r>
      <w:r w:rsidR="00532772">
        <w:rPr>
          <w:rFonts w:ascii="Arial" w:hAnsi="Arial" w:cs="Arial"/>
          <w:sz w:val="24"/>
          <w:szCs w:val="24"/>
        </w:rPr>
        <w:t>him</w:t>
      </w:r>
      <w:r w:rsidR="006E0FA1">
        <w:rPr>
          <w:rFonts w:ascii="Arial" w:hAnsi="Arial" w:cs="Arial"/>
          <w:sz w:val="24"/>
          <w:szCs w:val="24"/>
        </w:rPr>
        <w:t>.</w:t>
      </w:r>
    </w:p>
    <w:p w:rsidR="006E0FA1" w:rsidRDefault="006E0FA1" w:rsidP="00353A17">
      <w:pPr>
        <w:spacing w:after="0" w:line="360" w:lineRule="auto"/>
        <w:jc w:val="both"/>
        <w:rPr>
          <w:rFonts w:ascii="Arial" w:hAnsi="Arial" w:cs="Arial"/>
          <w:sz w:val="24"/>
          <w:szCs w:val="24"/>
        </w:rPr>
      </w:pPr>
    </w:p>
    <w:p w:rsidR="006E0FA1" w:rsidRDefault="006E0FA1" w:rsidP="00E16803">
      <w:pPr>
        <w:spacing w:after="0" w:line="360" w:lineRule="auto"/>
        <w:ind w:right="-518"/>
        <w:jc w:val="both"/>
        <w:rPr>
          <w:rFonts w:ascii="Arial" w:hAnsi="Arial" w:cs="Arial"/>
          <w:sz w:val="24"/>
          <w:szCs w:val="24"/>
        </w:rPr>
      </w:pPr>
      <w:r>
        <w:rPr>
          <w:rFonts w:ascii="Arial" w:hAnsi="Arial" w:cs="Arial"/>
          <w:sz w:val="24"/>
          <w:szCs w:val="24"/>
        </w:rPr>
        <w:t>The respondents among other</w:t>
      </w:r>
      <w:r w:rsidR="00A04AD1">
        <w:rPr>
          <w:rFonts w:ascii="Arial" w:hAnsi="Arial" w:cs="Arial"/>
          <w:sz w:val="24"/>
          <w:szCs w:val="24"/>
        </w:rPr>
        <w:t xml:space="preserve"> things raised a special plea stating that in terms of s 133(3) of the Correctional Service Act 9 of 2012</w:t>
      </w:r>
      <w:r w:rsidR="00E9294B">
        <w:rPr>
          <w:rFonts w:ascii="Arial" w:hAnsi="Arial" w:cs="Arial"/>
          <w:sz w:val="24"/>
          <w:szCs w:val="24"/>
        </w:rPr>
        <w:t xml:space="preserve"> (the Act)</w:t>
      </w:r>
      <w:r w:rsidR="00A04AD1">
        <w:rPr>
          <w:rFonts w:ascii="Arial" w:hAnsi="Arial" w:cs="Arial"/>
          <w:sz w:val="24"/>
          <w:szCs w:val="24"/>
        </w:rPr>
        <w:t>, when calculated</w:t>
      </w:r>
      <w:r w:rsidR="00E16803">
        <w:rPr>
          <w:rFonts w:ascii="Arial" w:hAnsi="Arial" w:cs="Arial"/>
          <w:sz w:val="24"/>
          <w:szCs w:val="24"/>
        </w:rPr>
        <w:t>,</w:t>
      </w:r>
      <w:r w:rsidR="00A04AD1">
        <w:rPr>
          <w:rFonts w:ascii="Arial" w:hAnsi="Arial" w:cs="Arial"/>
          <w:sz w:val="24"/>
          <w:szCs w:val="24"/>
        </w:rPr>
        <w:t xml:space="preserve"> from the date of collision, the appellant’s claim had become </w:t>
      </w:r>
      <w:r w:rsidR="00335379">
        <w:rPr>
          <w:rFonts w:ascii="Arial" w:hAnsi="Arial" w:cs="Arial"/>
          <w:sz w:val="24"/>
          <w:szCs w:val="24"/>
        </w:rPr>
        <w:t>‘</w:t>
      </w:r>
      <w:r w:rsidR="00A04AD1">
        <w:rPr>
          <w:rFonts w:ascii="Arial" w:hAnsi="Arial" w:cs="Arial"/>
          <w:sz w:val="24"/>
          <w:szCs w:val="24"/>
        </w:rPr>
        <w:t>pr</w:t>
      </w:r>
      <w:r w:rsidR="00E16803">
        <w:rPr>
          <w:rFonts w:ascii="Arial" w:hAnsi="Arial" w:cs="Arial"/>
          <w:sz w:val="24"/>
          <w:szCs w:val="24"/>
        </w:rPr>
        <w:t>e</w:t>
      </w:r>
      <w:r w:rsidR="00A04AD1">
        <w:rPr>
          <w:rFonts w:ascii="Arial" w:hAnsi="Arial" w:cs="Arial"/>
          <w:sz w:val="24"/>
          <w:szCs w:val="24"/>
        </w:rPr>
        <w:t>scribed</w:t>
      </w:r>
      <w:r w:rsidR="00335379">
        <w:rPr>
          <w:rFonts w:ascii="Arial" w:hAnsi="Arial" w:cs="Arial"/>
          <w:sz w:val="24"/>
          <w:szCs w:val="24"/>
        </w:rPr>
        <w:t>’</w:t>
      </w:r>
      <w:r w:rsidR="00A04AD1">
        <w:rPr>
          <w:rFonts w:ascii="Arial" w:hAnsi="Arial" w:cs="Arial"/>
          <w:sz w:val="24"/>
          <w:szCs w:val="24"/>
        </w:rPr>
        <w:t>. Respondents</w:t>
      </w:r>
      <w:r w:rsidR="00E16803">
        <w:rPr>
          <w:rFonts w:ascii="Arial" w:hAnsi="Arial" w:cs="Arial"/>
          <w:sz w:val="24"/>
          <w:szCs w:val="24"/>
        </w:rPr>
        <w:t>’</w:t>
      </w:r>
      <w:r w:rsidR="00A04AD1">
        <w:rPr>
          <w:rFonts w:ascii="Arial" w:hAnsi="Arial" w:cs="Arial"/>
          <w:sz w:val="24"/>
          <w:szCs w:val="24"/>
        </w:rPr>
        <w:t xml:space="preserve"> further admitted that the vehicle was driven by the first respondent whilst acting within the course and scope of his employment with the second respondent and/or in pursuance of the Act (regulation 40 of the Regulations made in terms of the Correctional Service Act 9 of 2012) at the time of the collision.</w:t>
      </w:r>
    </w:p>
    <w:p w:rsidR="00A04AD1" w:rsidRDefault="00A04AD1" w:rsidP="00353A17">
      <w:pPr>
        <w:spacing w:after="0" w:line="360" w:lineRule="auto"/>
        <w:jc w:val="both"/>
        <w:rPr>
          <w:rFonts w:ascii="Arial" w:hAnsi="Arial" w:cs="Arial"/>
          <w:sz w:val="24"/>
          <w:szCs w:val="24"/>
        </w:rPr>
      </w:pPr>
    </w:p>
    <w:p w:rsidR="00A04AD1" w:rsidRDefault="00A04AD1" w:rsidP="00353A17">
      <w:pPr>
        <w:spacing w:after="0" w:line="360" w:lineRule="auto"/>
        <w:jc w:val="both"/>
        <w:rPr>
          <w:rFonts w:ascii="Arial" w:hAnsi="Arial" w:cs="Arial"/>
          <w:sz w:val="24"/>
          <w:szCs w:val="24"/>
        </w:rPr>
      </w:pPr>
      <w:r>
        <w:rPr>
          <w:rFonts w:ascii="Arial" w:hAnsi="Arial" w:cs="Arial"/>
          <w:sz w:val="24"/>
          <w:szCs w:val="24"/>
        </w:rPr>
        <w:t xml:space="preserve">In replication the appellant pleaded that, s 133(3) was </w:t>
      </w:r>
      <w:r w:rsidR="00E16803">
        <w:rPr>
          <w:rFonts w:ascii="Arial" w:hAnsi="Arial" w:cs="Arial"/>
          <w:sz w:val="24"/>
          <w:szCs w:val="24"/>
        </w:rPr>
        <w:t xml:space="preserve">not </w:t>
      </w:r>
      <w:r>
        <w:rPr>
          <w:rFonts w:ascii="Arial" w:hAnsi="Arial" w:cs="Arial"/>
          <w:sz w:val="24"/>
          <w:szCs w:val="24"/>
        </w:rPr>
        <w:t>applicable in the circumstances of his case.</w:t>
      </w:r>
    </w:p>
    <w:p w:rsidR="00A04AD1" w:rsidRDefault="00A04AD1" w:rsidP="00353A17">
      <w:pPr>
        <w:spacing w:after="0" w:line="360" w:lineRule="auto"/>
        <w:jc w:val="both"/>
        <w:rPr>
          <w:rFonts w:ascii="Arial" w:hAnsi="Arial" w:cs="Arial"/>
          <w:sz w:val="24"/>
          <w:szCs w:val="24"/>
        </w:rPr>
      </w:pPr>
    </w:p>
    <w:p w:rsidR="00A04AD1" w:rsidRDefault="00A04AD1" w:rsidP="00E16803">
      <w:pPr>
        <w:spacing w:after="0" w:line="360" w:lineRule="auto"/>
        <w:ind w:right="-235"/>
        <w:jc w:val="both"/>
        <w:rPr>
          <w:rFonts w:ascii="Arial" w:hAnsi="Arial" w:cs="Arial"/>
          <w:sz w:val="24"/>
          <w:szCs w:val="24"/>
        </w:rPr>
      </w:pPr>
      <w:r>
        <w:rPr>
          <w:rFonts w:ascii="Arial" w:hAnsi="Arial" w:cs="Arial"/>
          <w:sz w:val="24"/>
          <w:szCs w:val="24"/>
        </w:rPr>
        <w:t xml:space="preserve">In </w:t>
      </w:r>
      <w:r w:rsidR="00532772">
        <w:rPr>
          <w:rFonts w:ascii="Arial" w:hAnsi="Arial" w:cs="Arial"/>
          <w:sz w:val="24"/>
          <w:szCs w:val="24"/>
        </w:rPr>
        <w:t xml:space="preserve">the </w:t>
      </w:r>
      <w:r>
        <w:rPr>
          <w:rFonts w:ascii="Arial" w:hAnsi="Arial" w:cs="Arial"/>
          <w:sz w:val="24"/>
          <w:szCs w:val="24"/>
        </w:rPr>
        <w:t>case management and pre-trial reports the parties had agreed</w:t>
      </w:r>
      <w:r w:rsidR="00335379">
        <w:rPr>
          <w:rFonts w:ascii="Arial" w:hAnsi="Arial" w:cs="Arial"/>
          <w:sz w:val="24"/>
          <w:szCs w:val="24"/>
        </w:rPr>
        <w:t>,</w:t>
      </w:r>
      <w:r>
        <w:rPr>
          <w:rFonts w:ascii="Arial" w:hAnsi="Arial" w:cs="Arial"/>
          <w:sz w:val="24"/>
          <w:szCs w:val="24"/>
        </w:rPr>
        <w:t xml:space="preserve"> and an order was made by the managing judge</w:t>
      </w:r>
      <w:r w:rsidR="00335379">
        <w:rPr>
          <w:rFonts w:ascii="Arial" w:hAnsi="Arial" w:cs="Arial"/>
          <w:sz w:val="24"/>
          <w:szCs w:val="24"/>
        </w:rPr>
        <w:t>,</w:t>
      </w:r>
      <w:r>
        <w:rPr>
          <w:rFonts w:ascii="Arial" w:hAnsi="Arial" w:cs="Arial"/>
          <w:sz w:val="24"/>
          <w:szCs w:val="24"/>
        </w:rPr>
        <w:t xml:space="preserve"> that the special plea would not be heard separately and that evidence should be led on whether the second respondent, at the time of the accident, was acting in pursuance of the Act, specifically regulation 40 and whether the </w:t>
      </w:r>
      <w:r w:rsidR="00E9294B">
        <w:rPr>
          <w:rFonts w:ascii="Arial" w:hAnsi="Arial" w:cs="Arial"/>
          <w:sz w:val="24"/>
          <w:szCs w:val="24"/>
        </w:rPr>
        <w:t>appellant</w:t>
      </w:r>
      <w:r>
        <w:rPr>
          <w:rFonts w:ascii="Arial" w:hAnsi="Arial" w:cs="Arial"/>
          <w:sz w:val="24"/>
          <w:szCs w:val="24"/>
        </w:rPr>
        <w:t xml:space="preserve">’s claim had </w:t>
      </w:r>
      <w:r w:rsidR="00335379">
        <w:rPr>
          <w:rFonts w:ascii="Arial" w:hAnsi="Arial" w:cs="Arial"/>
          <w:sz w:val="24"/>
          <w:szCs w:val="24"/>
        </w:rPr>
        <w:t>expired</w:t>
      </w:r>
      <w:r>
        <w:rPr>
          <w:rFonts w:ascii="Arial" w:hAnsi="Arial" w:cs="Arial"/>
          <w:sz w:val="24"/>
          <w:szCs w:val="24"/>
        </w:rPr>
        <w:t xml:space="preserve"> by virtue of s 133(3).</w:t>
      </w:r>
    </w:p>
    <w:p w:rsidR="00A04AD1" w:rsidRDefault="00A04AD1" w:rsidP="00353A17">
      <w:pPr>
        <w:spacing w:after="0" w:line="360" w:lineRule="auto"/>
        <w:jc w:val="both"/>
        <w:rPr>
          <w:rFonts w:ascii="Arial" w:hAnsi="Arial" w:cs="Arial"/>
          <w:sz w:val="24"/>
          <w:szCs w:val="24"/>
        </w:rPr>
      </w:pPr>
    </w:p>
    <w:p w:rsidR="00A04AD1" w:rsidRDefault="00A04AD1" w:rsidP="00353A17">
      <w:pPr>
        <w:spacing w:after="0" w:line="360" w:lineRule="auto"/>
        <w:jc w:val="both"/>
        <w:rPr>
          <w:rFonts w:ascii="Arial" w:hAnsi="Arial" w:cs="Arial"/>
          <w:sz w:val="24"/>
          <w:szCs w:val="24"/>
        </w:rPr>
      </w:pPr>
      <w:r>
        <w:rPr>
          <w:rFonts w:ascii="Arial" w:hAnsi="Arial" w:cs="Arial"/>
          <w:sz w:val="24"/>
          <w:szCs w:val="24"/>
        </w:rPr>
        <w:t>The High Court contrary to the agreement by the parties, heard the special plea separately and upheld the special plea. The appellant appeals against the whole judgment and order.</w:t>
      </w:r>
    </w:p>
    <w:p w:rsidR="00A04AD1" w:rsidRDefault="00A04AD1" w:rsidP="00353A17">
      <w:pPr>
        <w:spacing w:after="0" w:line="360" w:lineRule="auto"/>
        <w:jc w:val="both"/>
        <w:rPr>
          <w:rFonts w:ascii="Arial" w:hAnsi="Arial" w:cs="Arial"/>
          <w:sz w:val="24"/>
          <w:szCs w:val="24"/>
        </w:rPr>
      </w:pPr>
    </w:p>
    <w:p w:rsidR="009653F8" w:rsidRDefault="00A04AD1" w:rsidP="00353A17">
      <w:pPr>
        <w:spacing w:after="0" w:line="360" w:lineRule="auto"/>
        <w:jc w:val="both"/>
        <w:rPr>
          <w:rFonts w:ascii="Arial" w:hAnsi="Arial" w:cs="Arial"/>
          <w:sz w:val="24"/>
          <w:szCs w:val="24"/>
        </w:rPr>
      </w:pPr>
      <w:r>
        <w:rPr>
          <w:rFonts w:ascii="Arial" w:hAnsi="Arial" w:cs="Arial"/>
          <w:i/>
          <w:sz w:val="24"/>
          <w:szCs w:val="24"/>
        </w:rPr>
        <w:t xml:space="preserve">Held </w:t>
      </w:r>
      <w:r>
        <w:rPr>
          <w:rFonts w:ascii="Arial" w:hAnsi="Arial" w:cs="Arial"/>
          <w:sz w:val="24"/>
          <w:szCs w:val="24"/>
        </w:rPr>
        <w:t>that</w:t>
      </w:r>
      <w:r w:rsidR="00E9294B">
        <w:rPr>
          <w:rFonts w:ascii="Arial" w:hAnsi="Arial" w:cs="Arial"/>
          <w:sz w:val="24"/>
          <w:szCs w:val="24"/>
        </w:rPr>
        <w:t>,</w:t>
      </w:r>
      <w:r>
        <w:rPr>
          <w:rFonts w:ascii="Arial" w:hAnsi="Arial" w:cs="Arial"/>
          <w:sz w:val="24"/>
          <w:szCs w:val="24"/>
        </w:rPr>
        <w:t xml:space="preserve"> regulation 40 which provides for approval and control of official journeys of officers begs the questions, as it were in this case, who approved first respondent</w:t>
      </w:r>
      <w:r w:rsidR="00C151E1">
        <w:rPr>
          <w:rFonts w:ascii="Arial" w:hAnsi="Arial" w:cs="Arial"/>
          <w:sz w:val="24"/>
          <w:szCs w:val="24"/>
        </w:rPr>
        <w:t>’</w:t>
      </w:r>
      <w:r>
        <w:rPr>
          <w:rFonts w:ascii="Arial" w:hAnsi="Arial" w:cs="Arial"/>
          <w:sz w:val="24"/>
          <w:szCs w:val="24"/>
        </w:rPr>
        <w:t xml:space="preserve">s journey, was the journey necessary and in the interest of the Correctional Service, </w:t>
      </w:r>
      <w:r>
        <w:rPr>
          <w:rFonts w:ascii="Arial" w:hAnsi="Arial" w:cs="Arial"/>
          <w:sz w:val="24"/>
          <w:szCs w:val="24"/>
        </w:rPr>
        <w:lastRenderedPageBreak/>
        <w:t>which questions can only be ventilated</w:t>
      </w:r>
      <w:r w:rsidR="009653F8">
        <w:rPr>
          <w:rFonts w:ascii="Arial" w:hAnsi="Arial" w:cs="Arial"/>
          <w:sz w:val="24"/>
          <w:szCs w:val="24"/>
        </w:rPr>
        <w:t xml:space="preserve"> by leading evidence. It was then incumbent upon the respondents to prove that first respondent’s journey was approved, by whom and if the journey was in the interest of Correctional Service </w:t>
      </w:r>
      <w:r w:rsidR="00335379">
        <w:rPr>
          <w:rFonts w:ascii="Arial" w:hAnsi="Arial" w:cs="Arial"/>
          <w:sz w:val="24"/>
          <w:szCs w:val="24"/>
        </w:rPr>
        <w:t>in the sense that</w:t>
      </w:r>
      <w:r w:rsidR="009653F8">
        <w:rPr>
          <w:rFonts w:ascii="Arial" w:hAnsi="Arial" w:cs="Arial"/>
          <w:sz w:val="24"/>
          <w:szCs w:val="24"/>
        </w:rPr>
        <w:t xml:space="preserve"> the journey was in pursuance of the </w:t>
      </w:r>
      <w:r w:rsidR="00E9294B">
        <w:rPr>
          <w:rFonts w:ascii="Arial" w:hAnsi="Arial" w:cs="Arial"/>
          <w:sz w:val="24"/>
          <w:szCs w:val="24"/>
        </w:rPr>
        <w:t>A</w:t>
      </w:r>
      <w:r w:rsidR="009653F8">
        <w:rPr>
          <w:rFonts w:ascii="Arial" w:hAnsi="Arial" w:cs="Arial"/>
          <w:sz w:val="24"/>
          <w:szCs w:val="24"/>
        </w:rPr>
        <w:t>ct.</w:t>
      </w:r>
    </w:p>
    <w:p w:rsidR="009653F8" w:rsidRDefault="009653F8" w:rsidP="00353A17">
      <w:pPr>
        <w:spacing w:after="0" w:line="360" w:lineRule="auto"/>
        <w:jc w:val="both"/>
        <w:rPr>
          <w:rFonts w:ascii="Arial" w:hAnsi="Arial" w:cs="Arial"/>
          <w:sz w:val="24"/>
          <w:szCs w:val="24"/>
        </w:rPr>
      </w:pPr>
    </w:p>
    <w:p w:rsidR="009653F8" w:rsidRDefault="009653F8" w:rsidP="00353A17">
      <w:pPr>
        <w:spacing w:after="0" w:line="360" w:lineRule="auto"/>
        <w:jc w:val="both"/>
        <w:rPr>
          <w:rFonts w:ascii="Arial" w:hAnsi="Arial" w:cs="Arial"/>
          <w:sz w:val="24"/>
          <w:szCs w:val="24"/>
        </w:rPr>
      </w:pPr>
      <w:r>
        <w:rPr>
          <w:rFonts w:ascii="Arial" w:hAnsi="Arial" w:cs="Arial"/>
          <w:i/>
          <w:sz w:val="24"/>
          <w:szCs w:val="24"/>
        </w:rPr>
        <w:t xml:space="preserve">Held </w:t>
      </w:r>
      <w:r w:rsidR="00E9294B">
        <w:rPr>
          <w:rFonts w:ascii="Arial" w:hAnsi="Arial" w:cs="Arial"/>
          <w:sz w:val="24"/>
          <w:szCs w:val="24"/>
        </w:rPr>
        <w:t xml:space="preserve">that, </w:t>
      </w:r>
      <w:r>
        <w:rPr>
          <w:rFonts w:ascii="Arial" w:hAnsi="Arial" w:cs="Arial"/>
          <w:sz w:val="24"/>
          <w:szCs w:val="24"/>
        </w:rPr>
        <w:t>the parties were bound by the issues they had agreed upon as contained in the pre-trial order. The court below did not show good cause or special circumstances arising why it departed from the parties’ agreement.</w:t>
      </w:r>
    </w:p>
    <w:p w:rsidR="009653F8" w:rsidRDefault="009653F8" w:rsidP="00353A17">
      <w:pPr>
        <w:spacing w:after="0" w:line="360" w:lineRule="auto"/>
        <w:jc w:val="both"/>
        <w:rPr>
          <w:rFonts w:ascii="Arial" w:hAnsi="Arial" w:cs="Arial"/>
          <w:sz w:val="24"/>
          <w:szCs w:val="24"/>
        </w:rPr>
      </w:pPr>
    </w:p>
    <w:p w:rsidR="009653F8" w:rsidRPr="009653F8" w:rsidRDefault="009653F8" w:rsidP="00353A17">
      <w:pPr>
        <w:spacing w:after="0" w:line="360" w:lineRule="auto"/>
        <w:jc w:val="both"/>
        <w:rPr>
          <w:rFonts w:ascii="Arial" w:hAnsi="Arial" w:cs="Arial"/>
          <w:sz w:val="24"/>
          <w:szCs w:val="24"/>
        </w:rPr>
      </w:pPr>
      <w:r>
        <w:rPr>
          <w:rFonts w:ascii="Arial" w:hAnsi="Arial" w:cs="Arial"/>
          <w:i/>
          <w:sz w:val="24"/>
          <w:szCs w:val="24"/>
        </w:rPr>
        <w:t xml:space="preserve">Held </w:t>
      </w:r>
      <w:r w:rsidR="00E9294B">
        <w:rPr>
          <w:rFonts w:ascii="Arial" w:hAnsi="Arial" w:cs="Arial"/>
          <w:sz w:val="24"/>
          <w:szCs w:val="24"/>
        </w:rPr>
        <w:t xml:space="preserve">that, </w:t>
      </w:r>
      <w:r>
        <w:rPr>
          <w:rFonts w:ascii="Arial" w:hAnsi="Arial" w:cs="Arial"/>
          <w:sz w:val="24"/>
          <w:szCs w:val="24"/>
        </w:rPr>
        <w:t xml:space="preserve">the proceedings, judgment and order of the court below set aside and </w:t>
      </w:r>
      <w:r w:rsidR="00C151E1">
        <w:rPr>
          <w:rFonts w:ascii="Arial" w:hAnsi="Arial" w:cs="Arial"/>
          <w:sz w:val="24"/>
          <w:szCs w:val="24"/>
        </w:rPr>
        <w:t xml:space="preserve">the </w:t>
      </w:r>
      <w:r>
        <w:rPr>
          <w:rFonts w:ascii="Arial" w:hAnsi="Arial" w:cs="Arial"/>
          <w:sz w:val="24"/>
          <w:szCs w:val="24"/>
        </w:rPr>
        <w:t xml:space="preserve">matter remitted to the High Court for trial to commence </w:t>
      </w:r>
      <w:r>
        <w:rPr>
          <w:rFonts w:ascii="Arial" w:hAnsi="Arial" w:cs="Arial"/>
          <w:i/>
          <w:sz w:val="24"/>
          <w:szCs w:val="24"/>
        </w:rPr>
        <w:t xml:space="preserve">de novo </w:t>
      </w:r>
      <w:r>
        <w:rPr>
          <w:rFonts w:ascii="Arial" w:hAnsi="Arial" w:cs="Arial"/>
          <w:sz w:val="24"/>
          <w:szCs w:val="24"/>
        </w:rPr>
        <w:t>before another judge.</w:t>
      </w:r>
    </w:p>
    <w:p w:rsidR="00FF4712" w:rsidRPr="00B35813" w:rsidRDefault="009653F8" w:rsidP="009653F8">
      <w:pPr>
        <w:spacing w:after="0" w:line="360" w:lineRule="auto"/>
        <w:jc w:val="both"/>
        <w:rPr>
          <w:rFonts w:ascii="Arial" w:hAnsi="Arial" w:cs="Arial"/>
          <w:sz w:val="24"/>
          <w:szCs w:val="24"/>
        </w:rPr>
      </w:pPr>
      <w:r>
        <w:rPr>
          <w:rFonts w:ascii="Arial" w:hAnsi="Arial" w:cs="Arial"/>
          <w:sz w:val="24"/>
          <w:szCs w:val="24"/>
        </w:rPr>
        <w:t xml:space="preserve"> </w:t>
      </w:r>
      <w:r w:rsidR="00A04AD1">
        <w:rPr>
          <w:rFonts w:ascii="Arial" w:hAnsi="Arial" w:cs="Arial"/>
          <w:sz w:val="24"/>
          <w:szCs w:val="24"/>
        </w:rPr>
        <w:t xml:space="preserve">  </w:t>
      </w:r>
      <w:r w:rsidR="00FF4712">
        <w:rPr>
          <w:rFonts w:ascii="Arial" w:hAnsi="Arial" w:cs="Arial"/>
          <w:sz w:val="24"/>
          <w:szCs w:val="24"/>
        </w:rPr>
        <w:t>___________________________________________________________________</w:t>
      </w:r>
    </w:p>
    <w:p w:rsidR="00FF4712" w:rsidRPr="00A9489D" w:rsidRDefault="00FF4712" w:rsidP="00FF4712">
      <w:pPr>
        <w:spacing w:after="0" w:line="240" w:lineRule="auto"/>
        <w:jc w:val="center"/>
        <w:rPr>
          <w:rFonts w:ascii="Arial" w:hAnsi="Arial" w:cs="Arial"/>
          <w:b/>
          <w:sz w:val="24"/>
          <w:szCs w:val="24"/>
        </w:rPr>
      </w:pPr>
      <w:r w:rsidRPr="00A9489D">
        <w:rPr>
          <w:rFonts w:ascii="Arial" w:hAnsi="Arial" w:cs="Arial"/>
          <w:b/>
          <w:sz w:val="24"/>
          <w:szCs w:val="24"/>
        </w:rPr>
        <w:t xml:space="preserve">APPEAL </w:t>
      </w:r>
      <w:r w:rsidR="00225E79" w:rsidRPr="00A9489D">
        <w:rPr>
          <w:rFonts w:ascii="Arial" w:hAnsi="Arial" w:cs="Arial"/>
          <w:b/>
          <w:sz w:val="24"/>
          <w:szCs w:val="24"/>
        </w:rPr>
        <w:t>JUDGMENT</w:t>
      </w:r>
      <w:r w:rsidR="00EB4727">
        <w:rPr>
          <w:rFonts w:ascii="Arial" w:hAnsi="Arial" w:cs="Arial"/>
          <w:b/>
          <w:sz w:val="24"/>
          <w:szCs w:val="24"/>
        </w:rPr>
        <w:t xml:space="preserve"> </w:t>
      </w:r>
    </w:p>
    <w:p w:rsidR="00FF4712" w:rsidRPr="00B35813" w:rsidRDefault="00FF4712" w:rsidP="00FF4712">
      <w:pPr>
        <w:spacing w:after="0" w:line="480" w:lineRule="auto"/>
        <w:jc w:val="both"/>
        <w:rPr>
          <w:rFonts w:ascii="Arial" w:hAnsi="Arial" w:cs="Arial"/>
          <w:sz w:val="24"/>
          <w:szCs w:val="24"/>
        </w:rPr>
      </w:pPr>
      <w:r>
        <w:rPr>
          <w:rFonts w:ascii="Arial" w:hAnsi="Arial" w:cs="Arial"/>
          <w:sz w:val="24"/>
          <w:szCs w:val="24"/>
        </w:rPr>
        <w:t>____________________________________________________________________</w:t>
      </w:r>
    </w:p>
    <w:p w:rsidR="00FF4712" w:rsidRDefault="00FF4712" w:rsidP="00FF4712">
      <w:pPr>
        <w:spacing w:after="0" w:line="480" w:lineRule="auto"/>
        <w:jc w:val="both"/>
        <w:rPr>
          <w:rFonts w:ascii="Arial" w:hAnsi="Arial" w:cs="Arial"/>
          <w:sz w:val="24"/>
          <w:szCs w:val="24"/>
        </w:rPr>
      </w:pPr>
      <w:r w:rsidRPr="00861369">
        <w:rPr>
          <w:rFonts w:ascii="Arial" w:hAnsi="Arial" w:cs="Arial"/>
          <w:sz w:val="24"/>
          <w:szCs w:val="24"/>
        </w:rPr>
        <w:t>MAINGA JA (</w:t>
      </w:r>
      <w:r w:rsidR="00353A17">
        <w:rPr>
          <w:rFonts w:ascii="Arial" w:hAnsi="Arial" w:cs="Arial"/>
          <w:sz w:val="24"/>
          <w:szCs w:val="24"/>
        </w:rPr>
        <w:t>FRANK AJA</w:t>
      </w:r>
      <w:r w:rsidR="00270C55" w:rsidRPr="00861369">
        <w:rPr>
          <w:rFonts w:ascii="Arial" w:hAnsi="Arial" w:cs="Arial"/>
          <w:sz w:val="24"/>
          <w:szCs w:val="24"/>
        </w:rPr>
        <w:t xml:space="preserve"> and </w:t>
      </w:r>
      <w:r w:rsidR="00353A17">
        <w:rPr>
          <w:rFonts w:ascii="Arial" w:hAnsi="Arial" w:cs="Arial"/>
          <w:sz w:val="24"/>
          <w:szCs w:val="24"/>
        </w:rPr>
        <w:t>LIEBENBERG</w:t>
      </w:r>
      <w:r w:rsidR="00225E79">
        <w:rPr>
          <w:rFonts w:ascii="Arial" w:hAnsi="Arial" w:cs="Arial"/>
          <w:sz w:val="24"/>
          <w:szCs w:val="24"/>
        </w:rPr>
        <w:t xml:space="preserve"> </w:t>
      </w:r>
      <w:r w:rsidR="00353A17">
        <w:rPr>
          <w:rFonts w:ascii="Arial" w:hAnsi="Arial" w:cs="Arial"/>
          <w:sz w:val="24"/>
          <w:szCs w:val="24"/>
        </w:rPr>
        <w:t>A</w:t>
      </w:r>
      <w:r w:rsidRPr="00861369">
        <w:rPr>
          <w:rFonts w:ascii="Arial" w:hAnsi="Arial" w:cs="Arial"/>
          <w:sz w:val="24"/>
          <w:szCs w:val="24"/>
        </w:rPr>
        <w:t>JA concurring)</w:t>
      </w:r>
      <w:r w:rsidR="00971F56">
        <w:rPr>
          <w:rFonts w:ascii="Arial" w:hAnsi="Arial" w:cs="Arial"/>
          <w:sz w:val="24"/>
          <w:szCs w:val="24"/>
        </w:rPr>
        <w:t>:</w:t>
      </w:r>
    </w:p>
    <w:p w:rsidR="005807E4" w:rsidRPr="005807E4" w:rsidRDefault="005807E4" w:rsidP="00FF4712">
      <w:pPr>
        <w:spacing w:after="0" w:line="480" w:lineRule="auto"/>
        <w:jc w:val="both"/>
        <w:rPr>
          <w:rFonts w:ascii="Arial" w:hAnsi="Arial" w:cs="Arial"/>
          <w:sz w:val="24"/>
          <w:szCs w:val="24"/>
          <w:u w:val="single"/>
        </w:rPr>
      </w:pPr>
      <w:r w:rsidRPr="005807E4">
        <w:rPr>
          <w:rFonts w:ascii="Arial" w:hAnsi="Arial" w:cs="Arial"/>
          <w:sz w:val="24"/>
          <w:szCs w:val="24"/>
          <w:u w:val="single"/>
        </w:rPr>
        <w:t>Introduction</w:t>
      </w:r>
    </w:p>
    <w:p w:rsidR="00462FE0" w:rsidRDefault="00353A17" w:rsidP="00623669">
      <w:pPr>
        <w:numPr>
          <w:ilvl w:val="0"/>
          <w:numId w:val="28"/>
        </w:numPr>
        <w:tabs>
          <w:tab w:val="left" w:pos="0"/>
        </w:tabs>
        <w:spacing w:after="0" w:line="480" w:lineRule="auto"/>
        <w:ind w:left="0" w:firstLine="0"/>
        <w:jc w:val="both"/>
        <w:rPr>
          <w:rFonts w:ascii="Arial" w:hAnsi="Arial" w:cs="Arial"/>
          <w:sz w:val="24"/>
          <w:szCs w:val="24"/>
        </w:rPr>
      </w:pPr>
      <w:r>
        <w:rPr>
          <w:rFonts w:ascii="Arial" w:hAnsi="Arial" w:cs="Arial"/>
          <w:sz w:val="24"/>
          <w:szCs w:val="24"/>
        </w:rPr>
        <w:t>Appellant</w:t>
      </w:r>
      <w:r w:rsidR="002D0560">
        <w:rPr>
          <w:rFonts w:ascii="Arial" w:hAnsi="Arial" w:cs="Arial"/>
          <w:sz w:val="24"/>
          <w:szCs w:val="24"/>
        </w:rPr>
        <w:t xml:space="preserve"> (</w:t>
      </w:r>
      <w:r w:rsidR="00335379">
        <w:rPr>
          <w:rFonts w:ascii="Arial" w:hAnsi="Arial" w:cs="Arial"/>
          <w:sz w:val="24"/>
          <w:szCs w:val="24"/>
        </w:rPr>
        <w:t xml:space="preserve">as </w:t>
      </w:r>
      <w:r w:rsidR="002D0560">
        <w:rPr>
          <w:rFonts w:ascii="Arial" w:hAnsi="Arial" w:cs="Arial"/>
          <w:sz w:val="24"/>
          <w:szCs w:val="24"/>
        </w:rPr>
        <w:t xml:space="preserve">plaintiff </w:t>
      </w:r>
      <w:r w:rsidR="00335379">
        <w:rPr>
          <w:rFonts w:ascii="Arial" w:hAnsi="Arial" w:cs="Arial"/>
          <w:i/>
          <w:sz w:val="24"/>
          <w:szCs w:val="24"/>
        </w:rPr>
        <w:t>a quo</w:t>
      </w:r>
      <w:r w:rsidR="002D0560">
        <w:rPr>
          <w:rFonts w:ascii="Arial" w:hAnsi="Arial" w:cs="Arial"/>
          <w:sz w:val="24"/>
          <w:szCs w:val="24"/>
        </w:rPr>
        <w:t>)</w:t>
      </w:r>
      <w:r>
        <w:rPr>
          <w:rFonts w:ascii="Arial" w:hAnsi="Arial" w:cs="Arial"/>
          <w:sz w:val="24"/>
          <w:szCs w:val="24"/>
        </w:rPr>
        <w:t xml:space="preserve"> instituted action for damages from the first respondent (</w:t>
      </w:r>
      <w:proofErr w:type="spellStart"/>
      <w:r>
        <w:rPr>
          <w:rFonts w:ascii="Arial" w:hAnsi="Arial" w:cs="Arial"/>
          <w:sz w:val="24"/>
          <w:szCs w:val="24"/>
        </w:rPr>
        <w:t>Nghikomenwa</w:t>
      </w:r>
      <w:proofErr w:type="spellEnd"/>
      <w:r w:rsidR="009F0204">
        <w:rPr>
          <w:rFonts w:ascii="Arial" w:hAnsi="Arial" w:cs="Arial"/>
          <w:sz w:val="24"/>
          <w:szCs w:val="24"/>
        </w:rPr>
        <w:t>) and the second respondent (</w:t>
      </w:r>
      <w:r w:rsidR="00E9294B">
        <w:rPr>
          <w:rFonts w:ascii="Arial" w:hAnsi="Arial" w:cs="Arial"/>
          <w:sz w:val="24"/>
          <w:szCs w:val="24"/>
        </w:rPr>
        <w:t>‘</w:t>
      </w:r>
      <w:r w:rsidR="009F0204">
        <w:rPr>
          <w:rFonts w:ascii="Arial" w:hAnsi="Arial" w:cs="Arial"/>
          <w:sz w:val="24"/>
          <w:szCs w:val="24"/>
        </w:rPr>
        <w:t>the Minister</w:t>
      </w:r>
      <w:r w:rsidR="00E9294B">
        <w:rPr>
          <w:rFonts w:ascii="Arial" w:hAnsi="Arial" w:cs="Arial"/>
          <w:sz w:val="24"/>
          <w:szCs w:val="24"/>
        </w:rPr>
        <w:t>’</w:t>
      </w:r>
      <w:r w:rsidR="009F0204">
        <w:rPr>
          <w:rFonts w:ascii="Arial" w:hAnsi="Arial" w:cs="Arial"/>
          <w:sz w:val="24"/>
          <w:szCs w:val="24"/>
        </w:rPr>
        <w:t>)</w:t>
      </w:r>
      <w:r w:rsidR="002D0560">
        <w:rPr>
          <w:rFonts w:ascii="Arial" w:hAnsi="Arial" w:cs="Arial"/>
          <w:sz w:val="24"/>
          <w:szCs w:val="24"/>
        </w:rPr>
        <w:t xml:space="preserve"> (</w:t>
      </w:r>
      <w:r w:rsidR="00335379">
        <w:rPr>
          <w:rFonts w:ascii="Arial" w:hAnsi="Arial" w:cs="Arial"/>
          <w:sz w:val="24"/>
          <w:szCs w:val="24"/>
        </w:rPr>
        <w:t xml:space="preserve">the </w:t>
      </w:r>
      <w:r w:rsidR="002D0560">
        <w:rPr>
          <w:rFonts w:ascii="Arial" w:hAnsi="Arial" w:cs="Arial"/>
          <w:sz w:val="24"/>
          <w:szCs w:val="24"/>
        </w:rPr>
        <w:t xml:space="preserve">defendants </w:t>
      </w:r>
      <w:r w:rsidR="00335379">
        <w:rPr>
          <w:rFonts w:ascii="Arial" w:hAnsi="Arial" w:cs="Arial"/>
          <w:i/>
          <w:sz w:val="24"/>
          <w:szCs w:val="24"/>
        </w:rPr>
        <w:t>a quo</w:t>
      </w:r>
      <w:r w:rsidR="002D0560">
        <w:rPr>
          <w:rFonts w:ascii="Arial" w:hAnsi="Arial" w:cs="Arial"/>
          <w:sz w:val="24"/>
          <w:szCs w:val="24"/>
        </w:rPr>
        <w:t>)</w:t>
      </w:r>
      <w:r w:rsidR="009F0204">
        <w:rPr>
          <w:rFonts w:ascii="Arial" w:hAnsi="Arial" w:cs="Arial"/>
          <w:sz w:val="24"/>
          <w:szCs w:val="24"/>
        </w:rPr>
        <w:t xml:space="preserve"> jointly and severally the one paying the other to be absolved</w:t>
      </w:r>
      <w:r w:rsidR="00462FE0">
        <w:rPr>
          <w:rFonts w:ascii="Arial" w:hAnsi="Arial" w:cs="Arial"/>
          <w:sz w:val="24"/>
          <w:szCs w:val="24"/>
        </w:rPr>
        <w:t xml:space="preserve">. </w:t>
      </w:r>
      <w:r w:rsidR="002D0560">
        <w:rPr>
          <w:rFonts w:ascii="Arial" w:hAnsi="Arial" w:cs="Arial"/>
          <w:sz w:val="24"/>
          <w:szCs w:val="24"/>
        </w:rPr>
        <w:t>Appellant</w:t>
      </w:r>
      <w:r w:rsidR="00462FE0">
        <w:rPr>
          <w:rFonts w:ascii="Arial" w:hAnsi="Arial" w:cs="Arial"/>
          <w:sz w:val="24"/>
          <w:szCs w:val="24"/>
        </w:rPr>
        <w:t xml:space="preserve"> allege</w:t>
      </w:r>
      <w:r w:rsidR="002D0560">
        <w:rPr>
          <w:rFonts w:ascii="Arial" w:hAnsi="Arial" w:cs="Arial"/>
          <w:sz w:val="24"/>
          <w:szCs w:val="24"/>
        </w:rPr>
        <w:t>s</w:t>
      </w:r>
      <w:r w:rsidR="00462FE0">
        <w:rPr>
          <w:rFonts w:ascii="Arial" w:hAnsi="Arial" w:cs="Arial"/>
          <w:sz w:val="24"/>
          <w:szCs w:val="24"/>
        </w:rPr>
        <w:t xml:space="preserve"> that at all relevant times</w:t>
      </w:r>
      <w:r w:rsidR="00335379">
        <w:rPr>
          <w:rFonts w:ascii="Arial" w:hAnsi="Arial" w:cs="Arial"/>
          <w:sz w:val="24"/>
          <w:szCs w:val="24"/>
        </w:rPr>
        <w:t xml:space="preserve"> he</w:t>
      </w:r>
      <w:r w:rsidR="00462FE0">
        <w:rPr>
          <w:rFonts w:ascii="Arial" w:hAnsi="Arial" w:cs="Arial"/>
          <w:sz w:val="24"/>
          <w:szCs w:val="24"/>
        </w:rPr>
        <w:t xml:space="preserve"> was the owner of a red 2014 Toyota Hilux motor vehicle with registration number N163-887W, in the alternative the </w:t>
      </w:r>
      <w:r w:rsidR="00462FE0" w:rsidRPr="003E3379">
        <w:rPr>
          <w:rFonts w:ascii="Arial" w:hAnsi="Arial" w:cs="Arial"/>
          <w:i/>
          <w:sz w:val="24"/>
          <w:szCs w:val="24"/>
        </w:rPr>
        <w:t>bona fide</w:t>
      </w:r>
      <w:r w:rsidR="00462FE0">
        <w:rPr>
          <w:rFonts w:ascii="Arial" w:hAnsi="Arial" w:cs="Arial"/>
          <w:sz w:val="24"/>
          <w:szCs w:val="24"/>
        </w:rPr>
        <w:t xml:space="preserve"> possessor of the said vehicle, in respect of which the risk of loss and profit had passed to him.</w:t>
      </w:r>
    </w:p>
    <w:p w:rsidR="00462FE0" w:rsidRDefault="00462FE0" w:rsidP="00462FE0">
      <w:pPr>
        <w:tabs>
          <w:tab w:val="left" w:pos="0"/>
        </w:tabs>
        <w:spacing w:after="0" w:line="480" w:lineRule="auto"/>
        <w:jc w:val="both"/>
        <w:rPr>
          <w:rFonts w:ascii="Arial" w:hAnsi="Arial" w:cs="Arial"/>
          <w:sz w:val="24"/>
          <w:szCs w:val="24"/>
        </w:rPr>
      </w:pPr>
    </w:p>
    <w:p w:rsidR="00462FE0" w:rsidRDefault="00335379" w:rsidP="00623669">
      <w:pPr>
        <w:numPr>
          <w:ilvl w:val="0"/>
          <w:numId w:val="28"/>
        </w:numPr>
        <w:tabs>
          <w:tab w:val="left" w:pos="0"/>
        </w:tabs>
        <w:spacing w:after="0" w:line="480" w:lineRule="auto"/>
        <w:ind w:left="0" w:firstLine="0"/>
        <w:jc w:val="both"/>
        <w:rPr>
          <w:rFonts w:ascii="Arial" w:hAnsi="Arial" w:cs="Arial"/>
          <w:sz w:val="24"/>
          <w:szCs w:val="24"/>
        </w:rPr>
      </w:pPr>
      <w:r>
        <w:rPr>
          <w:rFonts w:ascii="Arial" w:hAnsi="Arial" w:cs="Arial"/>
          <w:sz w:val="24"/>
          <w:szCs w:val="24"/>
        </w:rPr>
        <w:t xml:space="preserve">In paras 5 to </w:t>
      </w:r>
      <w:r w:rsidR="00462FE0">
        <w:rPr>
          <w:rFonts w:ascii="Arial" w:hAnsi="Arial" w:cs="Arial"/>
          <w:sz w:val="24"/>
          <w:szCs w:val="24"/>
        </w:rPr>
        <w:t xml:space="preserve">8 of his particulars of claim the </w:t>
      </w:r>
      <w:r w:rsidR="00C151E1">
        <w:rPr>
          <w:rFonts w:ascii="Arial" w:hAnsi="Arial" w:cs="Arial"/>
          <w:sz w:val="24"/>
          <w:szCs w:val="24"/>
        </w:rPr>
        <w:t>appellant</w:t>
      </w:r>
      <w:r w:rsidR="00462FE0">
        <w:rPr>
          <w:rFonts w:ascii="Arial" w:hAnsi="Arial" w:cs="Arial"/>
          <w:sz w:val="24"/>
          <w:szCs w:val="24"/>
        </w:rPr>
        <w:t xml:space="preserve"> alleged:</w:t>
      </w:r>
    </w:p>
    <w:p w:rsidR="00462FE0" w:rsidRDefault="00462FE0" w:rsidP="00462FE0">
      <w:pPr>
        <w:pStyle w:val="ListParagraph"/>
        <w:jc w:val="both"/>
        <w:rPr>
          <w:rFonts w:ascii="Arial" w:hAnsi="Arial" w:cs="Arial"/>
        </w:rPr>
      </w:pPr>
    </w:p>
    <w:p w:rsidR="00462FE0" w:rsidRDefault="00462FE0" w:rsidP="00AA1DEF">
      <w:pPr>
        <w:pStyle w:val="ListParagraph"/>
        <w:spacing w:line="360" w:lineRule="auto"/>
        <w:ind w:left="1440" w:hanging="720"/>
        <w:jc w:val="both"/>
        <w:rPr>
          <w:rFonts w:ascii="Arial" w:hAnsi="Arial" w:cs="Arial"/>
        </w:rPr>
      </w:pPr>
      <w:r>
        <w:rPr>
          <w:rFonts w:ascii="Arial" w:hAnsi="Arial" w:cs="Arial"/>
        </w:rPr>
        <w:t>‘5.</w:t>
      </w:r>
      <w:r>
        <w:rPr>
          <w:rFonts w:ascii="Arial" w:hAnsi="Arial" w:cs="Arial"/>
        </w:rPr>
        <w:tab/>
        <w:t xml:space="preserve">On or about 17 May 2018 at approximately 20h00 in Church Street, Gobabis, a collision occurred between the Plaintiff’s aforesaid motor vehicle and a white </w:t>
      </w:r>
      <w:r>
        <w:rPr>
          <w:rFonts w:ascii="Arial" w:hAnsi="Arial" w:cs="Arial"/>
        </w:rPr>
        <w:lastRenderedPageBreak/>
        <w:t>Volkswagen sedan mot</w:t>
      </w:r>
      <w:r w:rsidR="002D0560">
        <w:rPr>
          <w:rFonts w:ascii="Arial" w:hAnsi="Arial" w:cs="Arial"/>
        </w:rPr>
        <w:t>o</w:t>
      </w:r>
      <w:r>
        <w:rPr>
          <w:rFonts w:ascii="Arial" w:hAnsi="Arial" w:cs="Arial"/>
        </w:rPr>
        <w:t>r vehicle with registration number PS 332, then and there being driven by the First Defendant, whilst acting in the course and scope of his employment with the Second Defendant, alternatively within the ambit of risk created by such employment, further alternatively whilst acting in the furtherance of the interest and with the consent of the Second Defendant.</w:t>
      </w:r>
    </w:p>
    <w:p w:rsidR="003E3379" w:rsidRDefault="003E3379" w:rsidP="00AA1DEF">
      <w:pPr>
        <w:pStyle w:val="ListParagraph"/>
        <w:spacing w:line="360" w:lineRule="auto"/>
        <w:ind w:left="1440" w:hanging="720"/>
        <w:jc w:val="both"/>
        <w:rPr>
          <w:rFonts w:ascii="Arial" w:hAnsi="Arial" w:cs="Arial"/>
        </w:rPr>
      </w:pPr>
    </w:p>
    <w:p w:rsidR="003E3379" w:rsidRDefault="003E3379" w:rsidP="00AA1DEF">
      <w:pPr>
        <w:pStyle w:val="ListParagraph"/>
        <w:spacing w:line="360" w:lineRule="auto"/>
        <w:ind w:left="1440" w:hanging="720"/>
        <w:jc w:val="both"/>
        <w:rPr>
          <w:rFonts w:ascii="Arial" w:hAnsi="Arial" w:cs="Arial"/>
        </w:rPr>
      </w:pPr>
      <w:r>
        <w:rPr>
          <w:rFonts w:ascii="Arial" w:hAnsi="Arial" w:cs="Arial"/>
        </w:rPr>
        <w:t>6.</w:t>
      </w:r>
      <w:r>
        <w:rPr>
          <w:rFonts w:ascii="Arial" w:hAnsi="Arial" w:cs="Arial"/>
        </w:rPr>
        <w:tab/>
        <w:t xml:space="preserve">The sole cause of the collision was the negligent driving of the First Defendant in that </w:t>
      </w:r>
      <w:proofErr w:type="gramStart"/>
      <w:r>
        <w:rPr>
          <w:rFonts w:ascii="Arial" w:hAnsi="Arial" w:cs="Arial"/>
        </w:rPr>
        <w:t>he</w:t>
      </w:r>
      <w:proofErr w:type="gramEnd"/>
      <w:r>
        <w:rPr>
          <w:rFonts w:ascii="Arial" w:hAnsi="Arial" w:cs="Arial"/>
        </w:rPr>
        <w:t xml:space="preserve">, </w:t>
      </w:r>
      <w:r>
        <w:rPr>
          <w:rFonts w:ascii="Arial" w:hAnsi="Arial" w:cs="Arial"/>
          <w:i/>
        </w:rPr>
        <w:t>inter alia</w:t>
      </w:r>
      <w:r>
        <w:rPr>
          <w:rFonts w:ascii="Arial" w:hAnsi="Arial" w:cs="Arial"/>
        </w:rPr>
        <w:t>:</w:t>
      </w:r>
    </w:p>
    <w:p w:rsidR="003E3379" w:rsidRDefault="003E3379" w:rsidP="00AA1DEF">
      <w:pPr>
        <w:pStyle w:val="ListParagraph"/>
        <w:spacing w:line="360" w:lineRule="auto"/>
        <w:ind w:left="1440" w:hanging="720"/>
        <w:jc w:val="both"/>
        <w:rPr>
          <w:rFonts w:ascii="Arial" w:hAnsi="Arial" w:cs="Arial"/>
        </w:rPr>
      </w:pPr>
    </w:p>
    <w:p w:rsidR="003E3379" w:rsidRDefault="003E3379" w:rsidP="00AA1DEF">
      <w:pPr>
        <w:pStyle w:val="ListParagraph"/>
        <w:spacing w:line="360" w:lineRule="auto"/>
        <w:ind w:left="2160" w:hanging="720"/>
        <w:jc w:val="both"/>
        <w:rPr>
          <w:rFonts w:ascii="Arial" w:hAnsi="Arial" w:cs="Arial"/>
        </w:rPr>
      </w:pPr>
      <w:r>
        <w:rPr>
          <w:rFonts w:ascii="Arial" w:hAnsi="Arial" w:cs="Arial"/>
        </w:rPr>
        <w:t>6.1.</w:t>
      </w:r>
      <w:r>
        <w:rPr>
          <w:rFonts w:ascii="Arial" w:hAnsi="Arial" w:cs="Arial"/>
        </w:rPr>
        <w:tab/>
      </w:r>
      <w:proofErr w:type="gramStart"/>
      <w:r>
        <w:rPr>
          <w:rFonts w:ascii="Arial" w:hAnsi="Arial" w:cs="Arial"/>
        </w:rPr>
        <w:t>failed</w:t>
      </w:r>
      <w:proofErr w:type="gramEnd"/>
      <w:r>
        <w:rPr>
          <w:rFonts w:ascii="Arial" w:hAnsi="Arial" w:cs="Arial"/>
        </w:rPr>
        <w:t xml:space="preserve"> to keep a proper lookout, especially for the Plaintiff’s vehicle travelling in the same lane and direction ahead of his vehicle;</w:t>
      </w:r>
    </w:p>
    <w:p w:rsidR="003E3379" w:rsidRDefault="003E3379" w:rsidP="00AA1DEF">
      <w:pPr>
        <w:pStyle w:val="ListParagraph"/>
        <w:spacing w:line="360" w:lineRule="auto"/>
        <w:ind w:left="2160" w:hanging="720"/>
        <w:jc w:val="both"/>
        <w:rPr>
          <w:rFonts w:ascii="Arial" w:hAnsi="Arial" w:cs="Arial"/>
        </w:rPr>
      </w:pPr>
    </w:p>
    <w:p w:rsidR="003E3379" w:rsidRDefault="003E3379" w:rsidP="00AA1DEF">
      <w:pPr>
        <w:pStyle w:val="ListParagraph"/>
        <w:spacing w:line="360" w:lineRule="auto"/>
        <w:ind w:left="2160" w:hanging="720"/>
        <w:jc w:val="both"/>
        <w:rPr>
          <w:rFonts w:ascii="Arial" w:hAnsi="Arial" w:cs="Arial"/>
        </w:rPr>
      </w:pPr>
      <w:r>
        <w:rPr>
          <w:rFonts w:ascii="Arial" w:hAnsi="Arial" w:cs="Arial"/>
        </w:rPr>
        <w:t>6.2.</w:t>
      </w:r>
      <w:r>
        <w:rPr>
          <w:rFonts w:ascii="Arial" w:hAnsi="Arial" w:cs="Arial"/>
        </w:rPr>
        <w:tab/>
      </w:r>
      <w:proofErr w:type="gramStart"/>
      <w:r>
        <w:rPr>
          <w:rFonts w:ascii="Arial" w:hAnsi="Arial" w:cs="Arial"/>
        </w:rPr>
        <w:t>failed</w:t>
      </w:r>
      <w:proofErr w:type="gramEnd"/>
      <w:r>
        <w:rPr>
          <w:rFonts w:ascii="Arial" w:hAnsi="Arial" w:cs="Arial"/>
        </w:rPr>
        <w:t xml:space="preserve"> to take cognizance of the Plaintiff’s vehicle brake lights and decreasing speed;</w:t>
      </w:r>
    </w:p>
    <w:p w:rsidR="003E3379" w:rsidRDefault="003E3379" w:rsidP="00AA1DEF">
      <w:pPr>
        <w:pStyle w:val="ListParagraph"/>
        <w:spacing w:line="360" w:lineRule="auto"/>
        <w:ind w:left="2160" w:hanging="720"/>
        <w:jc w:val="both"/>
        <w:rPr>
          <w:rFonts w:ascii="Arial" w:hAnsi="Arial" w:cs="Arial"/>
        </w:rPr>
      </w:pPr>
    </w:p>
    <w:p w:rsidR="003E3379" w:rsidRDefault="003E3379" w:rsidP="00AA1DEF">
      <w:pPr>
        <w:pStyle w:val="ListParagraph"/>
        <w:spacing w:line="360" w:lineRule="auto"/>
        <w:ind w:left="2160" w:hanging="720"/>
        <w:jc w:val="both"/>
        <w:rPr>
          <w:rFonts w:ascii="Arial" w:hAnsi="Arial" w:cs="Arial"/>
        </w:rPr>
      </w:pPr>
      <w:r>
        <w:rPr>
          <w:rFonts w:ascii="Arial" w:hAnsi="Arial" w:cs="Arial"/>
        </w:rPr>
        <w:t>6.3.</w:t>
      </w:r>
      <w:r w:rsidR="000F0436">
        <w:rPr>
          <w:rFonts w:ascii="Arial" w:hAnsi="Arial" w:cs="Arial"/>
        </w:rPr>
        <w:tab/>
        <w:t>failed to maintain a reasonable and safe driving distance from the Plaintiff’s vehicle;</w:t>
      </w:r>
    </w:p>
    <w:p w:rsidR="00F178EE" w:rsidRDefault="00F178EE" w:rsidP="00AA1DEF">
      <w:pPr>
        <w:pStyle w:val="ListParagraph"/>
        <w:spacing w:line="360" w:lineRule="auto"/>
        <w:ind w:left="2160" w:hanging="720"/>
        <w:jc w:val="both"/>
        <w:rPr>
          <w:rFonts w:ascii="Arial" w:hAnsi="Arial" w:cs="Arial"/>
        </w:rPr>
      </w:pPr>
    </w:p>
    <w:p w:rsidR="000F0436" w:rsidRDefault="000F0436" w:rsidP="00AA1DEF">
      <w:pPr>
        <w:pStyle w:val="ListParagraph"/>
        <w:spacing w:line="360" w:lineRule="auto"/>
        <w:ind w:left="2160" w:hanging="720"/>
        <w:jc w:val="both"/>
        <w:rPr>
          <w:rFonts w:ascii="Arial" w:hAnsi="Arial" w:cs="Arial"/>
        </w:rPr>
      </w:pPr>
      <w:r>
        <w:rPr>
          <w:rFonts w:ascii="Arial" w:hAnsi="Arial" w:cs="Arial"/>
        </w:rPr>
        <w:t>6.4.</w:t>
      </w:r>
      <w:r>
        <w:rPr>
          <w:rFonts w:ascii="Arial" w:hAnsi="Arial" w:cs="Arial"/>
        </w:rPr>
        <w:tab/>
      </w:r>
      <w:proofErr w:type="gramStart"/>
      <w:r>
        <w:rPr>
          <w:rFonts w:ascii="Arial" w:hAnsi="Arial" w:cs="Arial"/>
        </w:rPr>
        <w:t>failed</w:t>
      </w:r>
      <w:proofErr w:type="gramEnd"/>
      <w:r>
        <w:rPr>
          <w:rFonts w:ascii="Arial" w:hAnsi="Arial" w:cs="Arial"/>
        </w:rPr>
        <w:t xml:space="preserve"> to apply his brakes timeously or at all;</w:t>
      </w:r>
    </w:p>
    <w:p w:rsidR="000F0436" w:rsidRDefault="000F0436" w:rsidP="00AA1DEF">
      <w:pPr>
        <w:pStyle w:val="ListParagraph"/>
        <w:spacing w:line="360" w:lineRule="auto"/>
        <w:ind w:left="2160" w:hanging="720"/>
        <w:jc w:val="both"/>
        <w:rPr>
          <w:rFonts w:ascii="Arial" w:hAnsi="Arial" w:cs="Arial"/>
        </w:rPr>
      </w:pPr>
    </w:p>
    <w:p w:rsidR="000F0436" w:rsidRDefault="000F0436" w:rsidP="00AA1DEF">
      <w:pPr>
        <w:pStyle w:val="ListParagraph"/>
        <w:spacing w:line="360" w:lineRule="auto"/>
        <w:ind w:left="2160" w:hanging="720"/>
        <w:jc w:val="both"/>
        <w:rPr>
          <w:rFonts w:ascii="Arial" w:hAnsi="Arial" w:cs="Arial"/>
        </w:rPr>
      </w:pPr>
      <w:r>
        <w:rPr>
          <w:rFonts w:ascii="Arial" w:hAnsi="Arial" w:cs="Arial"/>
        </w:rPr>
        <w:t>6.5.</w:t>
      </w:r>
      <w:r>
        <w:rPr>
          <w:rFonts w:ascii="Arial" w:hAnsi="Arial" w:cs="Arial"/>
        </w:rPr>
        <w:tab/>
      </w:r>
      <w:proofErr w:type="gramStart"/>
      <w:r>
        <w:rPr>
          <w:rFonts w:ascii="Arial" w:hAnsi="Arial" w:cs="Arial"/>
        </w:rPr>
        <w:t>collided</w:t>
      </w:r>
      <w:proofErr w:type="gramEnd"/>
      <w:r>
        <w:rPr>
          <w:rFonts w:ascii="Arial" w:hAnsi="Arial" w:cs="Arial"/>
        </w:rPr>
        <w:t xml:space="preserve"> with the rear-end of the Plaintiff’s vehicle;</w:t>
      </w:r>
    </w:p>
    <w:p w:rsidR="000F0436" w:rsidRDefault="000F0436" w:rsidP="00AA1DEF">
      <w:pPr>
        <w:pStyle w:val="ListParagraph"/>
        <w:spacing w:line="360" w:lineRule="auto"/>
        <w:ind w:left="2160" w:hanging="720"/>
        <w:jc w:val="both"/>
        <w:rPr>
          <w:rFonts w:ascii="Arial" w:hAnsi="Arial" w:cs="Arial"/>
        </w:rPr>
      </w:pPr>
    </w:p>
    <w:p w:rsidR="000F0436" w:rsidRDefault="000F0436" w:rsidP="00AA1DEF">
      <w:pPr>
        <w:pStyle w:val="ListParagraph"/>
        <w:spacing w:line="360" w:lineRule="auto"/>
        <w:ind w:left="2160" w:hanging="720"/>
        <w:jc w:val="both"/>
        <w:rPr>
          <w:rFonts w:ascii="Arial" w:hAnsi="Arial" w:cs="Arial"/>
        </w:rPr>
      </w:pPr>
      <w:r>
        <w:rPr>
          <w:rFonts w:ascii="Arial" w:hAnsi="Arial" w:cs="Arial"/>
        </w:rPr>
        <w:t>6.6.</w:t>
      </w:r>
      <w:r>
        <w:rPr>
          <w:rFonts w:ascii="Arial" w:hAnsi="Arial" w:cs="Arial"/>
        </w:rPr>
        <w:tab/>
      </w:r>
      <w:proofErr w:type="gramStart"/>
      <w:r w:rsidR="00DE7ABA">
        <w:rPr>
          <w:rFonts w:ascii="Arial" w:hAnsi="Arial" w:cs="Arial"/>
        </w:rPr>
        <w:t>failed</w:t>
      </w:r>
      <w:proofErr w:type="gramEnd"/>
      <w:r w:rsidR="00DE7ABA">
        <w:rPr>
          <w:rFonts w:ascii="Arial" w:hAnsi="Arial" w:cs="Arial"/>
        </w:rPr>
        <w:t xml:space="preserve"> to avoid a collision when by the exercise of reasonable care he could have and should have been able to do so.</w:t>
      </w:r>
    </w:p>
    <w:p w:rsidR="00DE7ABA" w:rsidRDefault="00DE7ABA" w:rsidP="00AA1DEF">
      <w:pPr>
        <w:pStyle w:val="ListParagraph"/>
        <w:spacing w:line="360" w:lineRule="auto"/>
        <w:ind w:left="2160" w:hanging="720"/>
        <w:jc w:val="both"/>
        <w:rPr>
          <w:rFonts w:ascii="Arial" w:hAnsi="Arial" w:cs="Arial"/>
        </w:rPr>
      </w:pPr>
    </w:p>
    <w:p w:rsidR="00DE7ABA" w:rsidRDefault="00DE7ABA" w:rsidP="00AA1DEF">
      <w:pPr>
        <w:pStyle w:val="ListParagraph"/>
        <w:spacing w:line="360" w:lineRule="auto"/>
        <w:ind w:left="1440" w:hanging="720"/>
        <w:jc w:val="both"/>
        <w:rPr>
          <w:rFonts w:ascii="Arial" w:hAnsi="Arial" w:cs="Arial"/>
        </w:rPr>
      </w:pPr>
      <w:r>
        <w:rPr>
          <w:rFonts w:ascii="Arial" w:hAnsi="Arial" w:cs="Arial"/>
        </w:rPr>
        <w:t>7.</w:t>
      </w:r>
      <w:r>
        <w:rPr>
          <w:rFonts w:ascii="Arial" w:hAnsi="Arial" w:cs="Arial"/>
        </w:rPr>
        <w:tab/>
        <w:t xml:space="preserve">As a result of the negligence of the First Defendant as aforesaid, the Plaintiff’s motor vehicle was damaged and did the Plaintiff suffer damages in the total amount of </w:t>
      </w:r>
      <w:r>
        <w:rPr>
          <w:rFonts w:ascii="Arial" w:hAnsi="Arial" w:cs="Arial"/>
          <w:b/>
        </w:rPr>
        <w:t xml:space="preserve">N$51, 487.17, </w:t>
      </w:r>
      <w:r>
        <w:rPr>
          <w:rFonts w:ascii="Arial" w:hAnsi="Arial" w:cs="Arial"/>
        </w:rPr>
        <w:t>being the fair and reasonable costs (</w:t>
      </w:r>
      <w:r w:rsidR="00195AA8">
        <w:rPr>
          <w:rFonts w:ascii="Arial" w:hAnsi="Arial" w:cs="Arial"/>
        </w:rPr>
        <w:t xml:space="preserve">N$34, 997.17) to repair the Plaintiff’s vehicle to its pre-collision condition, </w:t>
      </w:r>
      <w:r w:rsidR="002D0560">
        <w:rPr>
          <w:rFonts w:ascii="Arial" w:hAnsi="Arial" w:cs="Arial"/>
        </w:rPr>
        <w:t xml:space="preserve">. . . </w:t>
      </w:r>
      <w:r w:rsidR="00195AA8">
        <w:rPr>
          <w:rFonts w:ascii="Arial" w:hAnsi="Arial" w:cs="Arial"/>
        </w:rPr>
        <w:t xml:space="preserve"> together with the fair and reasonable rental (N$14,880.00) of a replacement vehicle for the Plaintiff for a period of thirteen days,</w:t>
      </w:r>
      <w:r w:rsidR="002D0560">
        <w:rPr>
          <w:rFonts w:ascii="Arial" w:hAnsi="Arial" w:cs="Arial"/>
        </w:rPr>
        <w:t xml:space="preserve"> . . . </w:t>
      </w:r>
      <w:r w:rsidR="00195AA8">
        <w:rPr>
          <w:rFonts w:ascii="Arial" w:hAnsi="Arial" w:cs="Arial"/>
        </w:rPr>
        <w:t xml:space="preserve"> and the fair and reasonable assessor’s fee incurred to assess the damage to the Plaintiff’s vehicle in the amount of N$1,610.00, </w:t>
      </w:r>
      <w:r w:rsidR="002D0560">
        <w:rPr>
          <w:rFonts w:ascii="Arial" w:hAnsi="Arial" w:cs="Arial"/>
        </w:rPr>
        <w:t xml:space="preserve">. . . </w:t>
      </w:r>
      <w:r w:rsidR="00195AA8">
        <w:rPr>
          <w:rFonts w:ascii="Arial" w:hAnsi="Arial" w:cs="Arial"/>
        </w:rPr>
        <w:t>.</w:t>
      </w:r>
    </w:p>
    <w:p w:rsidR="00195AA8" w:rsidRDefault="00195AA8" w:rsidP="00AA1DEF">
      <w:pPr>
        <w:pStyle w:val="ListParagraph"/>
        <w:spacing w:line="360" w:lineRule="auto"/>
        <w:ind w:left="1440" w:hanging="720"/>
        <w:jc w:val="both"/>
        <w:rPr>
          <w:rFonts w:ascii="Arial" w:hAnsi="Arial" w:cs="Arial"/>
        </w:rPr>
      </w:pPr>
    </w:p>
    <w:p w:rsidR="00195AA8" w:rsidRPr="00DE7ABA" w:rsidRDefault="00195AA8" w:rsidP="00AA1DEF">
      <w:pPr>
        <w:pStyle w:val="ListParagraph"/>
        <w:spacing w:line="360" w:lineRule="auto"/>
        <w:ind w:left="1440" w:hanging="720"/>
        <w:jc w:val="both"/>
        <w:rPr>
          <w:rFonts w:ascii="Arial" w:hAnsi="Arial" w:cs="Arial"/>
        </w:rPr>
      </w:pPr>
      <w:r>
        <w:rPr>
          <w:rFonts w:ascii="Arial" w:hAnsi="Arial" w:cs="Arial"/>
        </w:rPr>
        <w:t>8.</w:t>
      </w:r>
      <w:r>
        <w:rPr>
          <w:rFonts w:ascii="Arial" w:hAnsi="Arial" w:cs="Arial"/>
        </w:rPr>
        <w:tab/>
        <w:t xml:space="preserve">Despite proper statutory demand, </w:t>
      </w:r>
      <w:r w:rsidR="002D0560">
        <w:rPr>
          <w:rFonts w:ascii="Arial" w:hAnsi="Arial" w:cs="Arial"/>
        </w:rPr>
        <w:t xml:space="preserve">. . . </w:t>
      </w:r>
      <w:r>
        <w:rPr>
          <w:rFonts w:ascii="Arial" w:hAnsi="Arial" w:cs="Arial"/>
        </w:rPr>
        <w:t xml:space="preserve"> the Defendants refuse and/or neglect to pay the aforesaid amount of </w:t>
      </w:r>
      <w:r w:rsidRPr="00195AA8">
        <w:rPr>
          <w:rFonts w:ascii="Arial" w:hAnsi="Arial" w:cs="Arial"/>
          <w:b/>
        </w:rPr>
        <w:t>N$51, 487.17</w:t>
      </w:r>
      <w:r>
        <w:rPr>
          <w:rFonts w:ascii="Arial" w:hAnsi="Arial" w:cs="Arial"/>
        </w:rPr>
        <w:t xml:space="preserve"> or any part thereof, to the Plaintiff.’</w:t>
      </w:r>
    </w:p>
    <w:p w:rsidR="00462FE0" w:rsidRPr="00462FE0" w:rsidRDefault="00462FE0" w:rsidP="00462FE0">
      <w:pPr>
        <w:pStyle w:val="ListParagraph"/>
        <w:spacing w:after="0" w:line="480" w:lineRule="auto"/>
        <w:ind w:left="1440" w:hanging="720"/>
        <w:jc w:val="both"/>
        <w:rPr>
          <w:rFonts w:ascii="Arial" w:hAnsi="Arial" w:cs="Arial"/>
          <w:sz w:val="24"/>
          <w:szCs w:val="24"/>
        </w:rPr>
      </w:pPr>
    </w:p>
    <w:p w:rsidR="00462FE0" w:rsidRDefault="00195AA8" w:rsidP="00623669">
      <w:pPr>
        <w:numPr>
          <w:ilvl w:val="0"/>
          <w:numId w:val="28"/>
        </w:numPr>
        <w:tabs>
          <w:tab w:val="left" w:pos="0"/>
        </w:tabs>
        <w:spacing w:after="0" w:line="480" w:lineRule="auto"/>
        <w:ind w:left="0" w:firstLine="0"/>
        <w:jc w:val="both"/>
        <w:rPr>
          <w:rFonts w:ascii="Arial" w:hAnsi="Arial" w:cs="Arial"/>
          <w:sz w:val="24"/>
          <w:szCs w:val="24"/>
        </w:rPr>
      </w:pPr>
      <w:r>
        <w:rPr>
          <w:rFonts w:ascii="Arial" w:hAnsi="Arial" w:cs="Arial"/>
          <w:sz w:val="24"/>
          <w:szCs w:val="24"/>
        </w:rPr>
        <w:t>Prior to the issue of the combined summons on 29 March 2019 the appellant had authored a letter of demand on 22 October 2018 to the Commissioner of Prisons in terms of s 126(2) of the Prisons Act 17 of 1998 which Act was repealed by the Correctional Service Act 9 of 2012 (‘the Act’).</w:t>
      </w:r>
    </w:p>
    <w:p w:rsidR="00195AA8" w:rsidRDefault="00195AA8" w:rsidP="00195AA8">
      <w:pPr>
        <w:tabs>
          <w:tab w:val="left" w:pos="0"/>
        </w:tabs>
        <w:spacing w:after="0" w:line="480" w:lineRule="auto"/>
        <w:jc w:val="both"/>
        <w:rPr>
          <w:rFonts w:ascii="Arial" w:hAnsi="Arial" w:cs="Arial"/>
          <w:sz w:val="24"/>
          <w:szCs w:val="24"/>
        </w:rPr>
      </w:pPr>
    </w:p>
    <w:p w:rsidR="00195AA8" w:rsidRDefault="00195AA8" w:rsidP="00623669">
      <w:pPr>
        <w:numPr>
          <w:ilvl w:val="0"/>
          <w:numId w:val="28"/>
        </w:numPr>
        <w:tabs>
          <w:tab w:val="left" w:pos="0"/>
        </w:tabs>
        <w:spacing w:after="0" w:line="480" w:lineRule="auto"/>
        <w:ind w:left="0" w:firstLine="0"/>
        <w:jc w:val="both"/>
        <w:rPr>
          <w:rFonts w:ascii="Arial" w:hAnsi="Arial" w:cs="Arial"/>
          <w:sz w:val="24"/>
          <w:szCs w:val="24"/>
        </w:rPr>
      </w:pPr>
      <w:r>
        <w:rPr>
          <w:rFonts w:ascii="Arial" w:hAnsi="Arial" w:cs="Arial"/>
          <w:sz w:val="24"/>
          <w:szCs w:val="24"/>
        </w:rPr>
        <w:t>The respondents raised a special plea, pleaded to the appellant’s allegations on the merits and counterclaimed. The special plea reads:</w:t>
      </w:r>
    </w:p>
    <w:p w:rsidR="00195AA8" w:rsidRDefault="00195AA8" w:rsidP="00195AA8">
      <w:pPr>
        <w:pStyle w:val="ListParagraph"/>
        <w:rPr>
          <w:rFonts w:ascii="Arial" w:hAnsi="Arial" w:cs="Arial"/>
          <w:sz w:val="24"/>
          <w:szCs w:val="24"/>
        </w:rPr>
      </w:pPr>
    </w:p>
    <w:p w:rsidR="00195AA8" w:rsidRDefault="00195AA8" w:rsidP="00A35967">
      <w:pPr>
        <w:tabs>
          <w:tab w:val="left" w:pos="0"/>
        </w:tabs>
        <w:spacing w:after="0" w:line="360" w:lineRule="auto"/>
        <w:ind w:left="1440" w:hanging="731"/>
        <w:jc w:val="both"/>
        <w:rPr>
          <w:rFonts w:ascii="Arial" w:hAnsi="Arial" w:cs="Arial"/>
        </w:rPr>
      </w:pPr>
      <w:r>
        <w:rPr>
          <w:rFonts w:ascii="Arial" w:hAnsi="Arial" w:cs="Arial"/>
        </w:rPr>
        <w:t>‘1.1.</w:t>
      </w:r>
      <w:r>
        <w:rPr>
          <w:rFonts w:ascii="Arial" w:hAnsi="Arial" w:cs="Arial"/>
        </w:rPr>
        <w:tab/>
        <w:t>Plaintiff’s summons and particulars of claim were served on the second and first defendant on the 4</w:t>
      </w:r>
      <w:r w:rsidRPr="00195AA8">
        <w:rPr>
          <w:rFonts w:ascii="Arial" w:hAnsi="Arial" w:cs="Arial"/>
          <w:vertAlign w:val="superscript"/>
        </w:rPr>
        <w:t>th</w:t>
      </w:r>
      <w:r>
        <w:rPr>
          <w:rFonts w:ascii="Arial" w:hAnsi="Arial" w:cs="Arial"/>
        </w:rPr>
        <w:t xml:space="preserve"> and 15</w:t>
      </w:r>
      <w:r w:rsidRPr="00195AA8">
        <w:rPr>
          <w:rFonts w:ascii="Arial" w:hAnsi="Arial" w:cs="Arial"/>
          <w:vertAlign w:val="superscript"/>
        </w:rPr>
        <w:t>th</w:t>
      </w:r>
      <w:r>
        <w:rPr>
          <w:rFonts w:ascii="Arial" w:hAnsi="Arial" w:cs="Arial"/>
        </w:rPr>
        <w:t xml:space="preserve"> of April 2019 respectively.</w:t>
      </w:r>
    </w:p>
    <w:p w:rsidR="00A35967" w:rsidRDefault="00A35967" w:rsidP="00A35967">
      <w:pPr>
        <w:tabs>
          <w:tab w:val="left" w:pos="0"/>
        </w:tabs>
        <w:spacing w:after="0" w:line="360" w:lineRule="auto"/>
        <w:ind w:left="1440" w:hanging="731"/>
        <w:jc w:val="both"/>
        <w:rPr>
          <w:rFonts w:ascii="Arial" w:hAnsi="Arial" w:cs="Arial"/>
        </w:rPr>
      </w:pPr>
    </w:p>
    <w:p w:rsidR="00A35967" w:rsidRDefault="00A35967" w:rsidP="00A35967">
      <w:pPr>
        <w:tabs>
          <w:tab w:val="left" w:pos="0"/>
        </w:tabs>
        <w:spacing w:after="0" w:line="360" w:lineRule="auto"/>
        <w:ind w:left="1440" w:hanging="731"/>
        <w:jc w:val="both"/>
        <w:rPr>
          <w:rFonts w:ascii="Arial" w:hAnsi="Arial" w:cs="Arial"/>
        </w:rPr>
      </w:pPr>
      <w:r>
        <w:rPr>
          <w:rFonts w:ascii="Arial" w:hAnsi="Arial" w:cs="Arial"/>
        </w:rPr>
        <w:t>1.2.</w:t>
      </w:r>
      <w:r>
        <w:rPr>
          <w:rFonts w:ascii="Arial" w:hAnsi="Arial" w:cs="Arial"/>
        </w:rPr>
        <w:tab/>
        <w:t>Plaintiff’s alleged cause of action arose on 17 May 2018 as per paragraph 5 of his particulars of claim.</w:t>
      </w:r>
    </w:p>
    <w:p w:rsidR="00F178EE" w:rsidRDefault="00F178EE" w:rsidP="00A35967">
      <w:pPr>
        <w:tabs>
          <w:tab w:val="left" w:pos="0"/>
        </w:tabs>
        <w:spacing w:after="0" w:line="360" w:lineRule="auto"/>
        <w:ind w:left="1440" w:hanging="731"/>
        <w:jc w:val="both"/>
        <w:rPr>
          <w:rFonts w:ascii="Arial" w:hAnsi="Arial" w:cs="Arial"/>
        </w:rPr>
      </w:pPr>
    </w:p>
    <w:p w:rsidR="00A35967" w:rsidRDefault="00A35967" w:rsidP="00A35967">
      <w:pPr>
        <w:tabs>
          <w:tab w:val="left" w:pos="0"/>
        </w:tabs>
        <w:spacing w:after="0" w:line="360" w:lineRule="auto"/>
        <w:ind w:left="1440" w:hanging="731"/>
        <w:jc w:val="both"/>
        <w:rPr>
          <w:rFonts w:ascii="Arial" w:hAnsi="Arial" w:cs="Arial"/>
        </w:rPr>
      </w:pPr>
      <w:r>
        <w:rPr>
          <w:rFonts w:ascii="Arial" w:hAnsi="Arial" w:cs="Arial"/>
        </w:rPr>
        <w:t>1.3.</w:t>
      </w:r>
      <w:r>
        <w:rPr>
          <w:rFonts w:ascii="Arial" w:hAnsi="Arial" w:cs="Arial"/>
        </w:rPr>
        <w:tab/>
        <w:t>The approximate time period between the aforementioned dates is about 11 months.</w:t>
      </w:r>
    </w:p>
    <w:p w:rsidR="00A35967" w:rsidRDefault="00A35967" w:rsidP="00A35967">
      <w:pPr>
        <w:tabs>
          <w:tab w:val="left" w:pos="0"/>
        </w:tabs>
        <w:spacing w:after="0" w:line="360" w:lineRule="auto"/>
        <w:ind w:left="1440" w:hanging="731"/>
        <w:jc w:val="both"/>
        <w:rPr>
          <w:rFonts w:ascii="Arial" w:hAnsi="Arial" w:cs="Arial"/>
        </w:rPr>
      </w:pPr>
    </w:p>
    <w:p w:rsidR="00A35967" w:rsidRDefault="00A35967" w:rsidP="00A35967">
      <w:pPr>
        <w:tabs>
          <w:tab w:val="left" w:pos="0"/>
        </w:tabs>
        <w:spacing w:after="0" w:line="360" w:lineRule="auto"/>
        <w:ind w:left="1440" w:hanging="731"/>
        <w:jc w:val="both"/>
        <w:rPr>
          <w:rFonts w:ascii="Arial" w:hAnsi="Arial" w:cs="Arial"/>
        </w:rPr>
      </w:pPr>
      <w:r>
        <w:rPr>
          <w:rFonts w:ascii="Arial" w:hAnsi="Arial" w:cs="Arial"/>
        </w:rPr>
        <w:t>1.4.</w:t>
      </w:r>
      <w:r>
        <w:rPr>
          <w:rFonts w:ascii="Arial" w:hAnsi="Arial" w:cs="Arial"/>
        </w:rPr>
        <w:tab/>
        <w:t>In terms of section 133(3) of the Correctional Service Act 9 of 2012, plaintiff’s claim, when calculated from the date when his alleged cause of action arose, has become prescribed.</w:t>
      </w:r>
    </w:p>
    <w:p w:rsidR="00A35967" w:rsidRDefault="00A35967" w:rsidP="00A35967">
      <w:pPr>
        <w:tabs>
          <w:tab w:val="left" w:pos="0"/>
        </w:tabs>
        <w:spacing w:after="0" w:line="360" w:lineRule="auto"/>
        <w:ind w:left="1440" w:hanging="731"/>
        <w:jc w:val="both"/>
        <w:rPr>
          <w:rFonts w:ascii="Arial" w:hAnsi="Arial" w:cs="Arial"/>
        </w:rPr>
      </w:pPr>
    </w:p>
    <w:p w:rsidR="00A35967" w:rsidRDefault="00A35967" w:rsidP="00A35967">
      <w:pPr>
        <w:tabs>
          <w:tab w:val="left" w:pos="0"/>
        </w:tabs>
        <w:spacing w:after="0" w:line="360" w:lineRule="auto"/>
        <w:ind w:left="1440" w:hanging="731"/>
        <w:jc w:val="both"/>
        <w:rPr>
          <w:rFonts w:ascii="Arial" w:hAnsi="Arial" w:cs="Arial"/>
        </w:rPr>
      </w:pPr>
      <w:r>
        <w:rPr>
          <w:rFonts w:ascii="Arial" w:hAnsi="Arial" w:cs="Arial"/>
        </w:rPr>
        <w:t>1.5.</w:t>
      </w:r>
      <w:r>
        <w:rPr>
          <w:rFonts w:ascii="Arial" w:hAnsi="Arial" w:cs="Arial"/>
        </w:rPr>
        <w:tab/>
        <w:t xml:space="preserve">Section 133(3) of the Correctional Service Act 9 of 2012 clearly states that ‘No civil action against the State or any person for anything done or omitted in pursuance of any provision of this Act may be entered into after the expiration of six months immediately succeeding the act or omission in question or in the </w:t>
      </w:r>
      <w:r>
        <w:rPr>
          <w:rFonts w:ascii="Arial" w:hAnsi="Arial" w:cs="Arial"/>
        </w:rPr>
        <w:lastRenderedPageBreak/>
        <w:t>case of an offender, after the expiration of six months immediately succeeding the date of his or her release from correctional facility, but in no case may any such action be entered into after the expiration of one year from the date of the act or omission in question’.</w:t>
      </w:r>
    </w:p>
    <w:p w:rsidR="00A35967" w:rsidRDefault="00A35967" w:rsidP="00A35967">
      <w:pPr>
        <w:tabs>
          <w:tab w:val="left" w:pos="0"/>
        </w:tabs>
        <w:spacing w:after="0" w:line="360" w:lineRule="auto"/>
        <w:ind w:left="1440" w:hanging="731"/>
        <w:jc w:val="both"/>
        <w:rPr>
          <w:rFonts w:ascii="Arial" w:hAnsi="Arial" w:cs="Arial"/>
        </w:rPr>
      </w:pPr>
    </w:p>
    <w:p w:rsidR="00A35967" w:rsidRDefault="00A35967" w:rsidP="00A35967">
      <w:pPr>
        <w:tabs>
          <w:tab w:val="left" w:pos="0"/>
        </w:tabs>
        <w:spacing w:after="0" w:line="360" w:lineRule="auto"/>
        <w:ind w:left="1440" w:hanging="731"/>
        <w:jc w:val="both"/>
        <w:rPr>
          <w:rFonts w:ascii="Arial" w:hAnsi="Arial" w:cs="Arial"/>
        </w:rPr>
      </w:pPr>
      <w:r>
        <w:rPr>
          <w:rFonts w:ascii="Arial" w:hAnsi="Arial" w:cs="Arial"/>
        </w:rPr>
        <w:t>1.6.</w:t>
      </w:r>
      <w:r>
        <w:rPr>
          <w:rFonts w:ascii="Arial" w:hAnsi="Arial" w:cs="Arial"/>
        </w:rPr>
        <w:tab/>
        <w:t>As a result of the above the plaintiff’s claim has therefore prescribed due to the fact that his claim was instituted outside of the six month period provided for under Section 133(3) of the Correctional Services Act No. 9 of 2012.</w:t>
      </w:r>
    </w:p>
    <w:p w:rsidR="009C07E3" w:rsidRDefault="009C07E3" w:rsidP="00A35967">
      <w:pPr>
        <w:tabs>
          <w:tab w:val="left" w:pos="0"/>
        </w:tabs>
        <w:spacing w:after="0" w:line="360" w:lineRule="auto"/>
        <w:ind w:left="1440" w:hanging="731"/>
        <w:jc w:val="both"/>
        <w:rPr>
          <w:rFonts w:ascii="Arial" w:hAnsi="Arial" w:cs="Arial"/>
        </w:rPr>
      </w:pPr>
    </w:p>
    <w:p w:rsidR="009C07E3" w:rsidRDefault="009C07E3" w:rsidP="00A35967">
      <w:pPr>
        <w:tabs>
          <w:tab w:val="left" w:pos="0"/>
        </w:tabs>
        <w:spacing w:after="0" w:line="360" w:lineRule="auto"/>
        <w:ind w:left="1440" w:hanging="731"/>
        <w:jc w:val="both"/>
        <w:rPr>
          <w:rFonts w:ascii="Arial" w:hAnsi="Arial" w:cs="Arial"/>
        </w:rPr>
      </w:pPr>
      <w:r>
        <w:rPr>
          <w:rFonts w:ascii="Arial" w:hAnsi="Arial" w:cs="Arial"/>
        </w:rPr>
        <w:t>1.7.</w:t>
      </w:r>
      <w:r>
        <w:rPr>
          <w:rFonts w:ascii="Arial" w:hAnsi="Arial" w:cs="Arial"/>
        </w:rPr>
        <w:tab/>
        <w:t>The Second Defendant’s vehicle bearing registration number PS 332 was driven by the First Defendant, whilst acting within the course and scope of his employment and/or within the risk created by his employment with the First Defendant in pursuance of Act (regulation 40 of the Namibian Correctional Service Regulations made in terms of the Correctional Service Act No. 9 of 2012), at the time it was involved in an accident.</w:t>
      </w:r>
    </w:p>
    <w:p w:rsidR="009C07E3" w:rsidRDefault="009C07E3" w:rsidP="00A35967">
      <w:pPr>
        <w:tabs>
          <w:tab w:val="left" w:pos="0"/>
        </w:tabs>
        <w:spacing w:after="0" w:line="360" w:lineRule="auto"/>
        <w:ind w:left="1440" w:hanging="731"/>
        <w:jc w:val="both"/>
        <w:rPr>
          <w:rFonts w:ascii="Arial" w:hAnsi="Arial" w:cs="Arial"/>
        </w:rPr>
      </w:pPr>
    </w:p>
    <w:p w:rsidR="009C07E3" w:rsidRPr="009C07E3" w:rsidRDefault="009C07E3" w:rsidP="009C07E3">
      <w:pPr>
        <w:tabs>
          <w:tab w:val="left" w:pos="0"/>
        </w:tabs>
        <w:spacing w:after="0" w:line="360" w:lineRule="auto"/>
        <w:ind w:left="709"/>
        <w:jc w:val="both"/>
        <w:rPr>
          <w:rFonts w:ascii="Arial" w:hAnsi="Arial" w:cs="Arial"/>
          <w:b/>
        </w:rPr>
      </w:pPr>
      <w:r>
        <w:rPr>
          <w:rFonts w:ascii="Arial" w:hAnsi="Arial" w:cs="Arial"/>
          <w:b/>
        </w:rPr>
        <w:t>AS A RESULT THEREOF THE DEFENDANTS PRAY THAT BASED ON THE SPECIAL PLEA THAT THE PLAINTIFF’S CLAIM BE DISMISSED WITH COSTS.’</w:t>
      </w:r>
    </w:p>
    <w:p w:rsidR="00A35967" w:rsidRPr="009653F8" w:rsidRDefault="00A35967" w:rsidP="009653F8">
      <w:pPr>
        <w:tabs>
          <w:tab w:val="left" w:pos="0"/>
        </w:tabs>
        <w:spacing w:after="0" w:line="480" w:lineRule="auto"/>
        <w:ind w:left="709" w:hanging="709"/>
        <w:jc w:val="both"/>
        <w:rPr>
          <w:rFonts w:ascii="Arial" w:hAnsi="Arial" w:cs="Arial"/>
          <w:sz w:val="24"/>
          <w:szCs w:val="24"/>
        </w:rPr>
      </w:pPr>
    </w:p>
    <w:p w:rsidR="00195AA8" w:rsidRDefault="009C07E3" w:rsidP="00623669">
      <w:pPr>
        <w:numPr>
          <w:ilvl w:val="0"/>
          <w:numId w:val="28"/>
        </w:numPr>
        <w:tabs>
          <w:tab w:val="left" w:pos="0"/>
        </w:tabs>
        <w:spacing w:after="0" w:line="480" w:lineRule="auto"/>
        <w:ind w:left="0" w:firstLine="0"/>
        <w:jc w:val="both"/>
        <w:rPr>
          <w:rFonts w:ascii="Arial" w:hAnsi="Arial" w:cs="Arial"/>
          <w:sz w:val="24"/>
          <w:szCs w:val="24"/>
        </w:rPr>
      </w:pPr>
      <w:r>
        <w:rPr>
          <w:rFonts w:ascii="Arial" w:hAnsi="Arial" w:cs="Arial"/>
          <w:sz w:val="24"/>
          <w:szCs w:val="24"/>
        </w:rPr>
        <w:t>The appellant filed a replication. He admitted paras 1.1, 1.2 and 1.3 above of the special plea. He also admitted the provisions of s 133 of the Act</w:t>
      </w:r>
      <w:r w:rsidR="00AA1DEF">
        <w:rPr>
          <w:rFonts w:ascii="Arial" w:hAnsi="Arial" w:cs="Arial"/>
          <w:sz w:val="24"/>
          <w:szCs w:val="24"/>
        </w:rPr>
        <w:t>,</w:t>
      </w:r>
      <w:r>
        <w:rPr>
          <w:rFonts w:ascii="Arial" w:hAnsi="Arial" w:cs="Arial"/>
          <w:sz w:val="24"/>
          <w:szCs w:val="24"/>
        </w:rPr>
        <w:t xml:space="preserve"> but pleaded that s 133 was not applicab</w:t>
      </w:r>
      <w:r w:rsidR="001A35C8">
        <w:rPr>
          <w:rFonts w:ascii="Arial" w:hAnsi="Arial" w:cs="Arial"/>
          <w:sz w:val="24"/>
          <w:szCs w:val="24"/>
        </w:rPr>
        <w:t>le in the circumstances of the appellant’s case other than admitting the provisions of s 133, he denied all allegations contained in paras 1.4, 1.5 and 1.6 of the special plea. He further denied that his claim had prescribed. He admitted that the first respondent was acting within the course and scope of his employment with</w:t>
      </w:r>
      <w:r w:rsidR="00234EC1">
        <w:rPr>
          <w:rFonts w:ascii="Arial" w:hAnsi="Arial" w:cs="Arial"/>
          <w:sz w:val="24"/>
          <w:szCs w:val="24"/>
        </w:rPr>
        <w:t xml:space="preserve"> the second </w:t>
      </w:r>
      <w:r w:rsidR="00C151E1">
        <w:rPr>
          <w:rFonts w:ascii="Arial" w:hAnsi="Arial" w:cs="Arial"/>
          <w:sz w:val="24"/>
          <w:szCs w:val="24"/>
        </w:rPr>
        <w:t>respondent</w:t>
      </w:r>
      <w:r w:rsidR="00234EC1">
        <w:rPr>
          <w:rFonts w:ascii="Arial" w:hAnsi="Arial" w:cs="Arial"/>
          <w:sz w:val="24"/>
          <w:szCs w:val="24"/>
        </w:rPr>
        <w:t xml:space="preserve"> at the time of the accident which is the subject matter of appellant’s claim but specifically denied that the first respondent was acting in pursuance of any of the provisions of that Act at the time of the accident and reiterated the non-applicability </w:t>
      </w:r>
      <w:r w:rsidR="00234EC1">
        <w:rPr>
          <w:rFonts w:ascii="Arial" w:hAnsi="Arial" w:cs="Arial"/>
          <w:sz w:val="24"/>
          <w:szCs w:val="24"/>
        </w:rPr>
        <w:lastRenderedPageBreak/>
        <w:t>of s 133 to the circumstances of appellant’s claim and prayed for the special plea to be dismissed with costs.</w:t>
      </w:r>
    </w:p>
    <w:p w:rsidR="00234EC1" w:rsidRDefault="00234EC1" w:rsidP="00234EC1">
      <w:pPr>
        <w:tabs>
          <w:tab w:val="left" w:pos="0"/>
        </w:tabs>
        <w:spacing w:after="0" w:line="480" w:lineRule="auto"/>
        <w:jc w:val="both"/>
        <w:rPr>
          <w:rFonts w:ascii="Arial" w:hAnsi="Arial" w:cs="Arial"/>
          <w:sz w:val="24"/>
          <w:szCs w:val="24"/>
        </w:rPr>
      </w:pPr>
    </w:p>
    <w:p w:rsidR="00234EC1" w:rsidRDefault="00171EA7" w:rsidP="00623669">
      <w:pPr>
        <w:numPr>
          <w:ilvl w:val="0"/>
          <w:numId w:val="28"/>
        </w:numPr>
        <w:tabs>
          <w:tab w:val="left" w:pos="0"/>
        </w:tabs>
        <w:spacing w:after="0" w:line="480" w:lineRule="auto"/>
        <w:ind w:left="0" w:firstLine="0"/>
        <w:jc w:val="both"/>
        <w:rPr>
          <w:rFonts w:ascii="Arial" w:hAnsi="Arial" w:cs="Arial"/>
          <w:sz w:val="24"/>
          <w:szCs w:val="24"/>
        </w:rPr>
      </w:pPr>
      <w:r>
        <w:rPr>
          <w:rFonts w:ascii="Arial" w:hAnsi="Arial" w:cs="Arial"/>
          <w:sz w:val="24"/>
          <w:szCs w:val="24"/>
        </w:rPr>
        <w:t>On 29 August 2019 the parties filed a status report wherein the parties agreed that the special plea must be determined separately</w:t>
      </w:r>
      <w:r w:rsidR="00C151E1">
        <w:rPr>
          <w:rFonts w:ascii="Arial" w:hAnsi="Arial" w:cs="Arial"/>
          <w:sz w:val="24"/>
          <w:szCs w:val="24"/>
        </w:rPr>
        <w:t>,</w:t>
      </w:r>
      <w:r>
        <w:rPr>
          <w:rFonts w:ascii="Arial" w:hAnsi="Arial" w:cs="Arial"/>
          <w:sz w:val="24"/>
          <w:szCs w:val="24"/>
        </w:rPr>
        <w:t xml:space="preserve"> prior to the merits and quantum being determined. In the same report it is recorded that the appellant held the view that the evidence would have to be led in that regard and the appellant proposed that the </w:t>
      </w:r>
      <w:r w:rsidR="00C151E1">
        <w:rPr>
          <w:rFonts w:ascii="Arial" w:hAnsi="Arial" w:cs="Arial"/>
          <w:sz w:val="24"/>
          <w:szCs w:val="24"/>
        </w:rPr>
        <w:t>managing j</w:t>
      </w:r>
      <w:r>
        <w:rPr>
          <w:rFonts w:ascii="Arial" w:hAnsi="Arial" w:cs="Arial"/>
          <w:sz w:val="24"/>
          <w:szCs w:val="24"/>
        </w:rPr>
        <w:t xml:space="preserve">udge allocate a date for the hearing of evidence in respect of the special plea and that one court day was sufficient and that the parties must file witness statements in respect of the special plea 15 court days prior to the date allocated for the hearing of evidence in the special plea. The respondents held </w:t>
      </w:r>
      <w:r w:rsidR="006D6870">
        <w:rPr>
          <w:rFonts w:ascii="Arial" w:hAnsi="Arial" w:cs="Arial"/>
          <w:sz w:val="24"/>
          <w:szCs w:val="24"/>
        </w:rPr>
        <w:t>an</w:t>
      </w:r>
      <w:r>
        <w:rPr>
          <w:rFonts w:ascii="Arial" w:hAnsi="Arial" w:cs="Arial"/>
          <w:sz w:val="24"/>
          <w:szCs w:val="24"/>
        </w:rPr>
        <w:t xml:space="preserve"> opposite view that a special plea of prescription is a point of law and parties should only file their heads of argument and the matter must be set down for hearing. In view of the divergent views on the point</w:t>
      </w:r>
      <w:r w:rsidR="002D0560">
        <w:rPr>
          <w:rFonts w:ascii="Arial" w:hAnsi="Arial" w:cs="Arial"/>
          <w:sz w:val="24"/>
          <w:szCs w:val="24"/>
        </w:rPr>
        <w:t>,</w:t>
      </w:r>
      <w:r>
        <w:rPr>
          <w:rFonts w:ascii="Arial" w:hAnsi="Arial" w:cs="Arial"/>
          <w:sz w:val="24"/>
          <w:szCs w:val="24"/>
        </w:rPr>
        <w:t xml:space="preserve"> the parties sought direction from the court on whether or not it was necessary to lead evidence on a point of law.</w:t>
      </w:r>
    </w:p>
    <w:p w:rsidR="00171EA7" w:rsidRDefault="00171EA7" w:rsidP="00C151E1">
      <w:pPr>
        <w:pStyle w:val="ListParagraph"/>
        <w:spacing w:after="0" w:line="480" w:lineRule="auto"/>
        <w:jc w:val="both"/>
        <w:rPr>
          <w:rFonts w:ascii="Arial" w:hAnsi="Arial" w:cs="Arial"/>
          <w:sz w:val="24"/>
          <w:szCs w:val="24"/>
        </w:rPr>
      </w:pPr>
    </w:p>
    <w:p w:rsidR="00171EA7" w:rsidRDefault="00171EA7" w:rsidP="00623669">
      <w:pPr>
        <w:numPr>
          <w:ilvl w:val="0"/>
          <w:numId w:val="28"/>
        </w:numPr>
        <w:tabs>
          <w:tab w:val="left" w:pos="0"/>
        </w:tabs>
        <w:spacing w:after="0" w:line="480" w:lineRule="auto"/>
        <w:ind w:left="0" w:firstLine="0"/>
        <w:jc w:val="both"/>
        <w:rPr>
          <w:rFonts w:ascii="Arial" w:hAnsi="Arial" w:cs="Arial"/>
          <w:sz w:val="24"/>
          <w:szCs w:val="24"/>
        </w:rPr>
      </w:pPr>
      <w:r>
        <w:rPr>
          <w:rFonts w:ascii="Arial" w:hAnsi="Arial" w:cs="Arial"/>
          <w:sz w:val="24"/>
          <w:szCs w:val="24"/>
        </w:rPr>
        <w:t>On 18 September 2019 the case was postponed to 2 October 2019 for status hearing – the reason for the postponement being that the court were to consider the papers filed by the parties and give directions as to the hearing of the special plea.</w:t>
      </w:r>
    </w:p>
    <w:p w:rsidR="002D0560" w:rsidRDefault="002D0560" w:rsidP="002D0560">
      <w:pPr>
        <w:pStyle w:val="ListParagraph"/>
        <w:spacing w:after="0" w:line="480" w:lineRule="auto"/>
        <w:jc w:val="both"/>
        <w:rPr>
          <w:rFonts w:ascii="Arial" w:hAnsi="Arial" w:cs="Arial"/>
          <w:sz w:val="24"/>
          <w:szCs w:val="24"/>
        </w:rPr>
      </w:pPr>
    </w:p>
    <w:p w:rsidR="00171EA7" w:rsidRPr="002D0560" w:rsidRDefault="00171EA7" w:rsidP="00171EA7">
      <w:pPr>
        <w:numPr>
          <w:ilvl w:val="0"/>
          <w:numId w:val="28"/>
        </w:numPr>
        <w:tabs>
          <w:tab w:val="left" w:pos="0"/>
        </w:tabs>
        <w:spacing w:after="0" w:line="480" w:lineRule="auto"/>
        <w:ind w:left="0" w:firstLine="0"/>
        <w:jc w:val="both"/>
        <w:rPr>
          <w:rFonts w:ascii="Arial" w:hAnsi="Arial" w:cs="Arial"/>
          <w:sz w:val="24"/>
          <w:szCs w:val="24"/>
        </w:rPr>
      </w:pPr>
      <w:r w:rsidRPr="002D0560">
        <w:rPr>
          <w:rFonts w:ascii="Arial" w:hAnsi="Arial" w:cs="Arial"/>
          <w:sz w:val="24"/>
          <w:szCs w:val="24"/>
        </w:rPr>
        <w:t xml:space="preserve">On 2 October 2019 the parties filed a status report agreeing that the special plea must be determined separately and a proposal that the </w:t>
      </w:r>
      <w:r w:rsidR="00D0579D" w:rsidRPr="002D0560">
        <w:rPr>
          <w:rFonts w:ascii="Arial" w:hAnsi="Arial" w:cs="Arial"/>
          <w:sz w:val="24"/>
          <w:szCs w:val="24"/>
        </w:rPr>
        <w:t>m</w:t>
      </w:r>
      <w:r w:rsidRPr="002D0560">
        <w:rPr>
          <w:rFonts w:ascii="Arial" w:hAnsi="Arial" w:cs="Arial"/>
          <w:sz w:val="24"/>
          <w:szCs w:val="24"/>
        </w:rPr>
        <w:t xml:space="preserve">anaging </w:t>
      </w:r>
      <w:r w:rsidR="00D0579D" w:rsidRPr="002D0560">
        <w:rPr>
          <w:rFonts w:ascii="Arial" w:hAnsi="Arial" w:cs="Arial"/>
          <w:sz w:val="24"/>
          <w:szCs w:val="24"/>
        </w:rPr>
        <w:t>j</w:t>
      </w:r>
      <w:r w:rsidRPr="002D0560">
        <w:rPr>
          <w:rFonts w:ascii="Arial" w:hAnsi="Arial" w:cs="Arial"/>
          <w:sz w:val="24"/>
          <w:szCs w:val="24"/>
        </w:rPr>
        <w:t xml:space="preserve">udge allocate a date of hearing. The parties also sought directions on whether or not it is necessary that </w:t>
      </w:r>
      <w:r w:rsidRPr="002D0560">
        <w:rPr>
          <w:rFonts w:ascii="Arial" w:hAnsi="Arial" w:cs="Arial"/>
          <w:sz w:val="24"/>
          <w:szCs w:val="24"/>
        </w:rPr>
        <w:lastRenderedPageBreak/>
        <w:t>evidence be led on a point of law. On that date the matter</w:t>
      </w:r>
      <w:r w:rsidR="00A3295D" w:rsidRPr="002D0560">
        <w:rPr>
          <w:rFonts w:ascii="Arial" w:hAnsi="Arial" w:cs="Arial"/>
          <w:sz w:val="24"/>
          <w:szCs w:val="24"/>
        </w:rPr>
        <w:t xml:space="preserve"> was postponed to 23 October 2019 for </w:t>
      </w:r>
      <w:r w:rsidR="00D0579D" w:rsidRPr="002D0560">
        <w:rPr>
          <w:rFonts w:ascii="Arial" w:hAnsi="Arial" w:cs="Arial"/>
          <w:sz w:val="24"/>
          <w:szCs w:val="24"/>
        </w:rPr>
        <w:t>c</w:t>
      </w:r>
      <w:r w:rsidR="00A3295D" w:rsidRPr="002D0560">
        <w:rPr>
          <w:rFonts w:ascii="Arial" w:hAnsi="Arial" w:cs="Arial"/>
          <w:sz w:val="24"/>
          <w:szCs w:val="24"/>
        </w:rPr>
        <w:t xml:space="preserve">ase </w:t>
      </w:r>
      <w:r w:rsidR="00D0579D" w:rsidRPr="002D0560">
        <w:rPr>
          <w:rFonts w:ascii="Arial" w:hAnsi="Arial" w:cs="Arial"/>
          <w:sz w:val="24"/>
          <w:szCs w:val="24"/>
        </w:rPr>
        <w:t>m</w:t>
      </w:r>
      <w:r w:rsidR="00A3295D" w:rsidRPr="002D0560">
        <w:rPr>
          <w:rFonts w:ascii="Arial" w:hAnsi="Arial" w:cs="Arial"/>
          <w:sz w:val="24"/>
          <w:szCs w:val="24"/>
        </w:rPr>
        <w:t xml:space="preserve">anagement </w:t>
      </w:r>
      <w:r w:rsidR="00D0579D" w:rsidRPr="002D0560">
        <w:rPr>
          <w:rFonts w:ascii="Arial" w:hAnsi="Arial" w:cs="Arial"/>
          <w:sz w:val="24"/>
          <w:szCs w:val="24"/>
        </w:rPr>
        <w:t>c</w:t>
      </w:r>
      <w:r w:rsidR="00A3295D" w:rsidRPr="002D0560">
        <w:rPr>
          <w:rFonts w:ascii="Arial" w:hAnsi="Arial" w:cs="Arial"/>
          <w:sz w:val="24"/>
          <w:szCs w:val="24"/>
        </w:rPr>
        <w:t xml:space="preserve">onference </w:t>
      </w:r>
      <w:r w:rsidR="00D0579D" w:rsidRPr="002D0560">
        <w:rPr>
          <w:rFonts w:ascii="Arial" w:hAnsi="Arial" w:cs="Arial"/>
          <w:sz w:val="24"/>
          <w:szCs w:val="24"/>
        </w:rPr>
        <w:t>h</w:t>
      </w:r>
      <w:r w:rsidR="00A3295D" w:rsidRPr="002D0560">
        <w:rPr>
          <w:rFonts w:ascii="Arial" w:hAnsi="Arial" w:cs="Arial"/>
          <w:sz w:val="24"/>
          <w:szCs w:val="24"/>
        </w:rPr>
        <w:t xml:space="preserve">earing. The parties were to file </w:t>
      </w:r>
      <w:r w:rsidR="00F84737">
        <w:rPr>
          <w:rFonts w:ascii="Arial" w:hAnsi="Arial" w:cs="Arial"/>
          <w:sz w:val="24"/>
          <w:szCs w:val="24"/>
        </w:rPr>
        <w:t xml:space="preserve">the </w:t>
      </w:r>
      <w:r w:rsidR="00D0579D" w:rsidRPr="002D0560">
        <w:rPr>
          <w:rFonts w:ascii="Arial" w:hAnsi="Arial" w:cs="Arial"/>
          <w:sz w:val="24"/>
          <w:szCs w:val="24"/>
        </w:rPr>
        <w:t>c</w:t>
      </w:r>
      <w:r w:rsidR="00A3295D" w:rsidRPr="002D0560">
        <w:rPr>
          <w:rFonts w:ascii="Arial" w:hAnsi="Arial" w:cs="Arial"/>
          <w:sz w:val="24"/>
          <w:szCs w:val="24"/>
        </w:rPr>
        <w:t xml:space="preserve">ase </w:t>
      </w:r>
      <w:r w:rsidR="00D0579D" w:rsidRPr="002D0560">
        <w:rPr>
          <w:rFonts w:ascii="Arial" w:hAnsi="Arial" w:cs="Arial"/>
          <w:sz w:val="24"/>
          <w:szCs w:val="24"/>
        </w:rPr>
        <w:t>m</w:t>
      </w:r>
      <w:r w:rsidR="00A3295D" w:rsidRPr="002D0560">
        <w:rPr>
          <w:rFonts w:ascii="Arial" w:hAnsi="Arial" w:cs="Arial"/>
          <w:sz w:val="24"/>
          <w:szCs w:val="24"/>
        </w:rPr>
        <w:t xml:space="preserve">anagement </w:t>
      </w:r>
      <w:r w:rsidR="00D0579D" w:rsidRPr="002D0560">
        <w:rPr>
          <w:rFonts w:ascii="Arial" w:hAnsi="Arial" w:cs="Arial"/>
          <w:sz w:val="24"/>
          <w:szCs w:val="24"/>
        </w:rPr>
        <w:t>c</w:t>
      </w:r>
      <w:r w:rsidR="00A3295D" w:rsidRPr="002D0560">
        <w:rPr>
          <w:rFonts w:ascii="Arial" w:hAnsi="Arial" w:cs="Arial"/>
          <w:sz w:val="24"/>
          <w:szCs w:val="24"/>
        </w:rPr>
        <w:t xml:space="preserve">onference </w:t>
      </w:r>
      <w:r w:rsidR="00D0579D" w:rsidRPr="002D0560">
        <w:rPr>
          <w:rFonts w:ascii="Arial" w:hAnsi="Arial" w:cs="Arial"/>
          <w:sz w:val="24"/>
          <w:szCs w:val="24"/>
        </w:rPr>
        <w:t>r</w:t>
      </w:r>
      <w:r w:rsidR="00A3295D" w:rsidRPr="002D0560">
        <w:rPr>
          <w:rFonts w:ascii="Arial" w:hAnsi="Arial" w:cs="Arial"/>
          <w:sz w:val="24"/>
          <w:szCs w:val="24"/>
        </w:rPr>
        <w:t>eport on or before 18 October 2019.</w:t>
      </w:r>
    </w:p>
    <w:p w:rsidR="00171EA7" w:rsidRDefault="00171EA7" w:rsidP="00A3295D">
      <w:pPr>
        <w:pStyle w:val="ListParagraph"/>
        <w:spacing w:after="0" w:line="480" w:lineRule="auto"/>
        <w:jc w:val="both"/>
        <w:rPr>
          <w:rFonts w:ascii="Arial" w:hAnsi="Arial" w:cs="Arial"/>
          <w:sz w:val="24"/>
          <w:szCs w:val="24"/>
        </w:rPr>
      </w:pPr>
    </w:p>
    <w:p w:rsidR="00171EA7" w:rsidRDefault="00A3295D" w:rsidP="00623669">
      <w:pPr>
        <w:numPr>
          <w:ilvl w:val="0"/>
          <w:numId w:val="28"/>
        </w:numPr>
        <w:tabs>
          <w:tab w:val="left" w:pos="0"/>
        </w:tabs>
        <w:spacing w:after="0" w:line="480" w:lineRule="auto"/>
        <w:ind w:left="0" w:firstLine="0"/>
        <w:jc w:val="both"/>
        <w:rPr>
          <w:rFonts w:ascii="Arial" w:hAnsi="Arial" w:cs="Arial"/>
          <w:sz w:val="24"/>
          <w:szCs w:val="24"/>
        </w:rPr>
      </w:pPr>
      <w:r>
        <w:rPr>
          <w:rFonts w:ascii="Arial" w:hAnsi="Arial" w:cs="Arial"/>
          <w:sz w:val="24"/>
          <w:szCs w:val="24"/>
        </w:rPr>
        <w:t xml:space="preserve">On 18 October 2019 the parties filed the </w:t>
      </w:r>
      <w:r w:rsidR="00D0579D">
        <w:rPr>
          <w:rFonts w:ascii="Arial" w:hAnsi="Arial" w:cs="Arial"/>
          <w:sz w:val="24"/>
          <w:szCs w:val="24"/>
        </w:rPr>
        <w:t>c</w:t>
      </w:r>
      <w:r w:rsidR="006D6870">
        <w:rPr>
          <w:rFonts w:ascii="Arial" w:hAnsi="Arial" w:cs="Arial"/>
          <w:sz w:val="24"/>
          <w:szCs w:val="24"/>
        </w:rPr>
        <w:t xml:space="preserve">ase </w:t>
      </w:r>
      <w:r w:rsidR="00D0579D">
        <w:rPr>
          <w:rFonts w:ascii="Arial" w:hAnsi="Arial" w:cs="Arial"/>
          <w:sz w:val="24"/>
          <w:szCs w:val="24"/>
        </w:rPr>
        <w:t>m</w:t>
      </w:r>
      <w:r>
        <w:rPr>
          <w:rFonts w:ascii="Arial" w:hAnsi="Arial" w:cs="Arial"/>
          <w:sz w:val="24"/>
          <w:szCs w:val="24"/>
        </w:rPr>
        <w:t xml:space="preserve">anagement </w:t>
      </w:r>
      <w:r w:rsidR="00D0579D">
        <w:rPr>
          <w:rFonts w:ascii="Arial" w:hAnsi="Arial" w:cs="Arial"/>
          <w:sz w:val="24"/>
          <w:szCs w:val="24"/>
        </w:rPr>
        <w:t>r</w:t>
      </w:r>
      <w:r>
        <w:rPr>
          <w:rFonts w:ascii="Arial" w:hAnsi="Arial" w:cs="Arial"/>
          <w:sz w:val="24"/>
          <w:szCs w:val="24"/>
        </w:rPr>
        <w:t>eport. Paragraphs (J) and (K) of that report headed, ‘The Determination Of Any Objection On Points Of Law, If Applicable, And Giving Orders Or Directions For A Separate Hearing In Respect Of Any Relevant Issues’ respectively, reveals that the court had taken the decision not to hear the special plea by the respondents separately.</w:t>
      </w:r>
    </w:p>
    <w:p w:rsidR="00A3295D" w:rsidRDefault="00A3295D" w:rsidP="00A3295D">
      <w:pPr>
        <w:tabs>
          <w:tab w:val="left" w:pos="0"/>
        </w:tabs>
        <w:spacing w:after="0" w:line="480" w:lineRule="auto"/>
        <w:jc w:val="both"/>
        <w:rPr>
          <w:rFonts w:ascii="Arial" w:hAnsi="Arial" w:cs="Arial"/>
          <w:sz w:val="24"/>
          <w:szCs w:val="24"/>
        </w:rPr>
      </w:pPr>
    </w:p>
    <w:p w:rsidR="00A3295D" w:rsidRDefault="00A3295D" w:rsidP="00623669">
      <w:pPr>
        <w:numPr>
          <w:ilvl w:val="0"/>
          <w:numId w:val="28"/>
        </w:numPr>
        <w:tabs>
          <w:tab w:val="left" w:pos="0"/>
        </w:tabs>
        <w:spacing w:after="0" w:line="480" w:lineRule="auto"/>
        <w:ind w:left="0" w:firstLine="0"/>
        <w:jc w:val="both"/>
        <w:rPr>
          <w:rFonts w:ascii="Arial" w:hAnsi="Arial" w:cs="Arial"/>
          <w:sz w:val="24"/>
          <w:szCs w:val="24"/>
        </w:rPr>
      </w:pPr>
      <w:r>
        <w:rPr>
          <w:rFonts w:ascii="Arial" w:hAnsi="Arial" w:cs="Arial"/>
          <w:sz w:val="24"/>
          <w:szCs w:val="24"/>
        </w:rPr>
        <w:t xml:space="preserve">On 21 October 2019, during the </w:t>
      </w:r>
      <w:r w:rsidR="00D0579D">
        <w:rPr>
          <w:rFonts w:ascii="Arial" w:hAnsi="Arial" w:cs="Arial"/>
          <w:sz w:val="24"/>
          <w:szCs w:val="24"/>
        </w:rPr>
        <w:t>c</w:t>
      </w:r>
      <w:r>
        <w:rPr>
          <w:rFonts w:ascii="Arial" w:hAnsi="Arial" w:cs="Arial"/>
          <w:sz w:val="24"/>
          <w:szCs w:val="24"/>
        </w:rPr>
        <w:t xml:space="preserve">ase </w:t>
      </w:r>
      <w:r w:rsidR="00D0579D">
        <w:rPr>
          <w:rFonts w:ascii="Arial" w:hAnsi="Arial" w:cs="Arial"/>
          <w:sz w:val="24"/>
          <w:szCs w:val="24"/>
        </w:rPr>
        <w:t>m</w:t>
      </w:r>
      <w:r>
        <w:rPr>
          <w:rFonts w:ascii="Arial" w:hAnsi="Arial" w:cs="Arial"/>
          <w:sz w:val="24"/>
          <w:szCs w:val="24"/>
        </w:rPr>
        <w:t xml:space="preserve">anagement </w:t>
      </w:r>
      <w:r w:rsidR="00D0579D">
        <w:rPr>
          <w:rFonts w:ascii="Arial" w:hAnsi="Arial" w:cs="Arial"/>
          <w:sz w:val="24"/>
          <w:szCs w:val="24"/>
        </w:rPr>
        <w:t>c</w:t>
      </w:r>
      <w:r>
        <w:rPr>
          <w:rFonts w:ascii="Arial" w:hAnsi="Arial" w:cs="Arial"/>
          <w:sz w:val="24"/>
          <w:szCs w:val="24"/>
        </w:rPr>
        <w:t xml:space="preserve">onference in chambers and in the absence of the parties the court considered the </w:t>
      </w:r>
      <w:r w:rsidR="00D0579D">
        <w:rPr>
          <w:rFonts w:ascii="Arial" w:hAnsi="Arial" w:cs="Arial"/>
          <w:sz w:val="24"/>
          <w:szCs w:val="24"/>
        </w:rPr>
        <w:t>c</w:t>
      </w:r>
      <w:r>
        <w:rPr>
          <w:rFonts w:ascii="Arial" w:hAnsi="Arial" w:cs="Arial"/>
          <w:sz w:val="24"/>
          <w:szCs w:val="24"/>
        </w:rPr>
        <w:t xml:space="preserve">ase </w:t>
      </w:r>
      <w:r w:rsidR="00D0579D">
        <w:rPr>
          <w:rFonts w:ascii="Arial" w:hAnsi="Arial" w:cs="Arial"/>
          <w:sz w:val="24"/>
          <w:szCs w:val="24"/>
        </w:rPr>
        <w:t>m</w:t>
      </w:r>
      <w:r>
        <w:rPr>
          <w:rFonts w:ascii="Arial" w:hAnsi="Arial" w:cs="Arial"/>
          <w:sz w:val="24"/>
          <w:szCs w:val="24"/>
        </w:rPr>
        <w:t xml:space="preserve">anagement </w:t>
      </w:r>
      <w:r w:rsidR="00D0579D">
        <w:rPr>
          <w:rFonts w:ascii="Arial" w:hAnsi="Arial" w:cs="Arial"/>
          <w:sz w:val="24"/>
          <w:szCs w:val="24"/>
        </w:rPr>
        <w:t>r</w:t>
      </w:r>
      <w:r>
        <w:rPr>
          <w:rFonts w:ascii="Arial" w:hAnsi="Arial" w:cs="Arial"/>
          <w:sz w:val="24"/>
          <w:szCs w:val="24"/>
        </w:rPr>
        <w:t xml:space="preserve">eport and made an order adopting same, ordered parties to file witness statements, expert reports and summaries on or before 20 November 2019, discovery affidavits on or before 26 November 2019, a joint </w:t>
      </w:r>
      <w:r w:rsidR="00D0579D">
        <w:rPr>
          <w:rFonts w:ascii="Arial" w:hAnsi="Arial" w:cs="Arial"/>
          <w:sz w:val="24"/>
          <w:szCs w:val="24"/>
        </w:rPr>
        <w:t>p</w:t>
      </w:r>
      <w:r>
        <w:rPr>
          <w:rFonts w:ascii="Arial" w:hAnsi="Arial" w:cs="Arial"/>
          <w:sz w:val="24"/>
          <w:szCs w:val="24"/>
        </w:rPr>
        <w:t>re-</w:t>
      </w:r>
      <w:r w:rsidR="00D0579D">
        <w:rPr>
          <w:rFonts w:ascii="Arial" w:hAnsi="Arial" w:cs="Arial"/>
          <w:sz w:val="24"/>
          <w:szCs w:val="24"/>
        </w:rPr>
        <w:t>t</w:t>
      </w:r>
      <w:r>
        <w:rPr>
          <w:rFonts w:ascii="Arial" w:hAnsi="Arial" w:cs="Arial"/>
          <w:sz w:val="24"/>
          <w:szCs w:val="24"/>
        </w:rPr>
        <w:t xml:space="preserve">rial </w:t>
      </w:r>
      <w:r w:rsidR="00D0579D">
        <w:rPr>
          <w:rFonts w:ascii="Arial" w:hAnsi="Arial" w:cs="Arial"/>
          <w:sz w:val="24"/>
          <w:szCs w:val="24"/>
        </w:rPr>
        <w:t>r</w:t>
      </w:r>
      <w:r>
        <w:rPr>
          <w:rFonts w:ascii="Arial" w:hAnsi="Arial" w:cs="Arial"/>
          <w:sz w:val="24"/>
          <w:szCs w:val="24"/>
        </w:rPr>
        <w:t>eport on or before 29 November 2019 and the matter was postponed to 4 December 2019.</w:t>
      </w:r>
    </w:p>
    <w:p w:rsidR="009653F8" w:rsidRDefault="009653F8" w:rsidP="009653F8">
      <w:pPr>
        <w:pStyle w:val="ListParagraph"/>
        <w:spacing w:after="0" w:line="480" w:lineRule="auto"/>
        <w:jc w:val="both"/>
        <w:rPr>
          <w:rFonts w:ascii="Arial" w:hAnsi="Arial" w:cs="Arial"/>
          <w:sz w:val="24"/>
          <w:szCs w:val="24"/>
        </w:rPr>
      </w:pPr>
    </w:p>
    <w:p w:rsidR="00A3295D" w:rsidRDefault="006D6870" w:rsidP="00623669">
      <w:pPr>
        <w:numPr>
          <w:ilvl w:val="0"/>
          <w:numId w:val="28"/>
        </w:numPr>
        <w:tabs>
          <w:tab w:val="left" w:pos="0"/>
        </w:tabs>
        <w:spacing w:after="0" w:line="480" w:lineRule="auto"/>
        <w:ind w:left="0" w:firstLine="0"/>
        <w:jc w:val="both"/>
        <w:rPr>
          <w:rFonts w:ascii="Arial" w:hAnsi="Arial" w:cs="Arial"/>
          <w:sz w:val="24"/>
          <w:szCs w:val="24"/>
        </w:rPr>
      </w:pPr>
      <w:r>
        <w:rPr>
          <w:rFonts w:ascii="Arial" w:hAnsi="Arial" w:cs="Arial"/>
          <w:sz w:val="24"/>
          <w:szCs w:val="24"/>
        </w:rPr>
        <w:t xml:space="preserve">The </w:t>
      </w:r>
      <w:r w:rsidR="00D0579D">
        <w:rPr>
          <w:rFonts w:ascii="Arial" w:hAnsi="Arial" w:cs="Arial"/>
          <w:sz w:val="24"/>
          <w:szCs w:val="24"/>
        </w:rPr>
        <w:t>p</w:t>
      </w:r>
      <w:r>
        <w:rPr>
          <w:rFonts w:ascii="Arial" w:hAnsi="Arial" w:cs="Arial"/>
          <w:sz w:val="24"/>
          <w:szCs w:val="24"/>
        </w:rPr>
        <w:t>re-</w:t>
      </w:r>
      <w:r w:rsidR="00D0579D">
        <w:rPr>
          <w:rFonts w:ascii="Arial" w:hAnsi="Arial" w:cs="Arial"/>
          <w:sz w:val="24"/>
          <w:szCs w:val="24"/>
        </w:rPr>
        <w:t>t</w:t>
      </w:r>
      <w:r>
        <w:rPr>
          <w:rFonts w:ascii="Arial" w:hAnsi="Arial" w:cs="Arial"/>
          <w:sz w:val="24"/>
          <w:szCs w:val="24"/>
        </w:rPr>
        <w:t xml:space="preserve">rial </w:t>
      </w:r>
      <w:r w:rsidR="00D0579D">
        <w:rPr>
          <w:rFonts w:ascii="Arial" w:hAnsi="Arial" w:cs="Arial"/>
          <w:sz w:val="24"/>
          <w:szCs w:val="24"/>
        </w:rPr>
        <w:t>r</w:t>
      </w:r>
      <w:r>
        <w:rPr>
          <w:rFonts w:ascii="Arial" w:hAnsi="Arial" w:cs="Arial"/>
          <w:sz w:val="24"/>
          <w:szCs w:val="24"/>
        </w:rPr>
        <w:t xml:space="preserve">eport was filed on 25 November 2019 and was made an order of court on 4 December 2019. The matter was postponed to 11 March 2020 for allocation of trial date hearing. It is not apparent from the record as to what transpired on 11 March 2020 but on </w:t>
      </w:r>
      <w:r w:rsidR="00C151E1">
        <w:rPr>
          <w:rFonts w:ascii="Arial" w:hAnsi="Arial" w:cs="Arial"/>
          <w:sz w:val="24"/>
          <w:szCs w:val="24"/>
        </w:rPr>
        <w:t>26</w:t>
      </w:r>
      <w:r>
        <w:rPr>
          <w:rFonts w:ascii="Arial" w:hAnsi="Arial" w:cs="Arial"/>
          <w:sz w:val="24"/>
          <w:szCs w:val="24"/>
        </w:rPr>
        <w:t xml:space="preserve"> </w:t>
      </w:r>
      <w:r w:rsidR="00C151E1">
        <w:rPr>
          <w:rFonts w:ascii="Arial" w:hAnsi="Arial" w:cs="Arial"/>
          <w:sz w:val="24"/>
          <w:szCs w:val="24"/>
        </w:rPr>
        <w:t>May</w:t>
      </w:r>
      <w:r>
        <w:rPr>
          <w:rFonts w:ascii="Arial" w:hAnsi="Arial" w:cs="Arial"/>
          <w:sz w:val="24"/>
          <w:szCs w:val="24"/>
        </w:rPr>
        <w:t xml:space="preserve"> 2020 a court order was made, ordering the parties to appear at the roll call of 4 September 2020 at 8H30 and </w:t>
      </w:r>
      <w:r w:rsidR="001D641E">
        <w:rPr>
          <w:rFonts w:ascii="Arial" w:hAnsi="Arial" w:cs="Arial"/>
          <w:sz w:val="24"/>
          <w:szCs w:val="24"/>
        </w:rPr>
        <w:t xml:space="preserve">on </w:t>
      </w:r>
      <w:r>
        <w:rPr>
          <w:rFonts w:ascii="Arial" w:hAnsi="Arial" w:cs="Arial"/>
          <w:sz w:val="24"/>
          <w:szCs w:val="24"/>
        </w:rPr>
        <w:t xml:space="preserve">that date the matter </w:t>
      </w:r>
      <w:r w:rsidR="00F178EE">
        <w:rPr>
          <w:rFonts w:ascii="Arial" w:hAnsi="Arial" w:cs="Arial"/>
          <w:sz w:val="24"/>
          <w:szCs w:val="24"/>
        </w:rPr>
        <w:t>wa</w:t>
      </w:r>
      <w:r>
        <w:rPr>
          <w:rFonts w:ascii="Arial" w:hAnsi="Arial" w:cs="Arial"/>
          <w:sz w:val="24"/>
          <w:szCs w:val="24"/>
        </w:rPr>
        <w:t xml:space="preserve">s postponed to 7 – 11 September 2020 at 10H00 for trial on the </w:t>
      </w:r>
      <w:r w:rsidR="00D0579D">
        <w:rPr>
          <w:rFonts w:ascii="Arial" w:hAnsi="Arial" w:cs="Arial"/>
          <w:sz w:val="24"/>
          <w:szCs w:val="24"/>
        </w:rPr>
        <w:t>a</w:t>
      </w:r>
      <w:r>
        <w:rPr>
          <w:rFonts w:ascii="Arial" w:hAnsi="Arial" w:cs="Arial"/>
          <w:sz w:val="24"/>
          <w:szCs w:val="24"/>
        </w:rPr>
        <w:t xml:space="preserve">ction </w:t>
      </w:r>
      <w:r w:rsidR="00D0579D">
        <w:rPr>
          <w:rFonts w:ascii="Arial" w:hAnsi="Arial" w:cs="Arial"/>
          <w:sz w:val="24"/>
          <w:szCs w:val="24"/>
        </w:rPr>
        <w:t>f</w:t>
      </w:r>
      <w:r>
        <w:rPr>
          <w:rFonts w:ascii="Arial" w:hAnsi="Arial" w:cs="Arial"/>
          <w:sz w:val="24"/>
          <w:szCs w:val="24"/>
        </w:rPr>
        <w:t xml:space="preserve">loating </w:t>
      </w:r>
      <w:r w:rsidR="00D0579D">
        <w:rPr>
          <w:rFonts w:ascii="Arial" w:hAnsi="Arial" w:cs="Arial"/>
          <w:sz w:val="24"/>
          <w:szCs w:val="24"/>
        </w:rPr>
        <w:t>r</w:t>
      </w:r>
      <w:r>
        <w:rPr>
          <w:rFonts w:ascii="Arial" w:hAnsi="Arial" w:cs="Arial"/>
          <w:sz w:val="24"/>
          <w:szCs w:val="24"/>
        </w:rPr>
        <w:t>oll.</w:t>
      </w:r>
    </w:p>
    <w:p w:rsidR="001D641E" w:rsidRDefault="001D641E" w:rsidP="001D641E">
      <w:pPr>
        <w:tabs>
          <w:tab w:val="left" w:pos="0"/>
        </w:tabs>
        <w:spacing w:after="0" w:line="480" w:lineRule="auto"/>
        <w:jc w:val="both"/>
        <w:rPr>
          <w:rFonts w:ascii="Arial" w:hAnsi="Arial" w:cs="Arial"/>
          <w:sz w:val="24"/>
          <w:szCs w:val="24"/>
        </w:rPr>
      </w:pPr>
    </w:p>
    <w:p w:rsidR="006D6870" w:rsidRPr="001D641E" w:rsidRDefault="006D6870" w:rsidP="00335379">
      <w:pPr>
        <w:numPr>
          <w:ilvl w:val="0"/>
          <w:numId w:val="28"/>
        </w:numPr>
        <w:tabs>
          <w:tab w:val="left" w:pos="0"/>
        </w:tabs>
        <w:spacing w:after="0" w:line="480" w:lineRule="auto"/>
        <w:ind w:left="0" w:right="-93" w:firstLine="0"/>
        <w:jc w:val="both"/>
        <w:rPr>
          <w:rFonts w:ascii="Arial" w:hAnsi="Arial" w:cs="Arial"/>
          <w:sz w:val="24"/>
          <w:szCs w:val="24"/>
        </w:rPr>
      </w:pPr>
      <w:r w:rsidRPr="001D641E">
        <w:rPr>
          <w:rFonts w:ascii="Arial" w:hAnsi="Arial" w:cs="Arial"/>
          <w:sz w:val="24"/>
          <w:szCs w:val="24"/>
        </w:rPr>
        <w:t>On 11 September 2020 Unengu AJ without hearing evidence as agreed by the parties</w:t>
      </w:r>
      <w:r w:rsidR="00F84737">
        <w:rPr>
          <w:rFonts w:ascii="Arial" w:hAnsi="Arial" w:cs="Arial"/>
          <w:sz w:val="24"/>
          <w:szCs w:val="24"/>
        </w:rPr>
        <w:t xml:space="preserve"> </w:t>
      </w:r>
      <w:r w:rsidR="0074364A">
        <w:rPr>
          <w:rFonts w:ascii="Arial" w:hAnsi="Arial" w:cs="Arial"/>
          <w:sz w:val="24"/>
          <w:szCs w:val="24"/>
        </w:rPr>
        <w:t>ordered by the managing judge,</w:t>
      </w:r>
      <w:r w:rsidRPr="001D641E">
        <w:rPr>
          <w:rFonts w:ascii="Arial" w:hAnsi="Arial" w:cs="Arial"/>
          <w:sz w:val="24"/>
          <w:szCs w:val="24"/>
        </w:rPr>
        <w:t xml:space="preserve"> heard arguments </w:t>
      </w:r>
      <w:r w:rsidR="00335379">
        <w:rPr>
          <w:rFonts w:ascii="Arial" w:hAnsi="Arial" w:cs="Arial"/>
          <w:sz w:val="24"/>
          <w:szCs w:val="24"/>
        </w:rPr>
        <w:t>in respect of</w:t>
      </w:r>
      <w:r w:rsidRPr="001D641E">
        <w:rPr>
          <w:rFonts w:ascii="Arial" w:hAnsi="Arial" w:cs="Arial"/>
          <w:sz w:val="24"/>
          <w:szCs w:val="24"/>
        </w:rPr>
        <w:t xml:space="preserve"> the special plea separately</w:t>
      </w:r>
      <w:r w:rsidR="00335379">
        <w:rPr>
          <w:rFonts w:ascii="Arial" w:hAnsi="Arial" w:cs="Arial"/>
          <w:sz w:val="24"/>
          <w:szCs w:val="24"/>
        </w:rPr>
        <w:t xml:space="preserve"> and</w:t>
      </w:r>
      <w:r w:rsidRPr="001D641E">
        <w:rPr>
          <w:rFonts w:ascii="Arial" w:hAnsi="Arial" w:cs="Arial"/>
          <w:sz w:val="24"/>
          <w:szCs w:val="24"/>
        </w:rPr>
        <w:t xml:space="preserve"> upheld the special plea with costs. He held the view that by giving notice in terms of s 133(4) </w:t>
      </w:r>
      <w:r w:rsidR="004C4137" w:rsidRPr="001D641E">
        <w:rPr>
          <w:rFonts w:ascii="Arial" w:hAnsi="Arial" w:cs="Arial"/>
          <w:sz w:val="24"/>
          <w:szCs w:val="24"/>
        </w:rPr>
        <w:t xml:space="preserve">the plaintiff had brought himself in the realm of s 133(3) and contrary to the appellant’s argument, the learned judge found that s 133(3) was applicable under the circumstances and consequently the </w:t>
      </w:r>
      <w:r w:rsidR="00C151E1">
        <w:rPr>
          <w:rFonts w:ascii="Arial" w:hAnsi="Arial" w:cs="Arial"/>
          <w:sz w:val="24"/>
          <w:szCs w:val="24"/>
        </w:rPr>
        <w:t>appellant</w:t>
      </w:r>
      <w:r w:rsidR="004C4137" w:rsidRPr="001D641E">
        <w:rPr>
          <w:rFonts w:ascii="Arial" w:hAnsi="Arial" w:cs="Arial"/>
          <w:sz w:val="24"/>
          <w:szCs w:val="24"/>
        </w:rPr>
        <w:t xml:space="preserve">’s claim was </w:t>
      </w:r>
      <w:r w:rsidR="00335379">
        <w:rPr>
          <w:rFonts w:ascii="Arial" w:hAnsi="Arial" w:cs="Arial"/>
          <w:sz w:val="24"/>
          <w:szCs w:val="24"/>
        </w:rPr>
        <w:t>time</w:t>
      </w:r>
      <w:r w:rsidR="00B94AA7">
        <w:rPr>
          <w:rFonts w:ascii="Arial" w:hAnsi="Arial" w:cs="Arial"/>
          <w:sz w:val="24"/>
          <w:szCs w:val="24"/>
        </w:rPr>
        <w:t>-</w:t>
      </w:r>
      <w:r w:rsidR="004C4137" w:rsidRPr="001D641E">
        <w:rPr>
          <w:rFonts w:ascii="Arial" w:hAnsi="Arial" w:cs="Arial"/>
          <w:sz w:val="24"/>
          <w:szCs w:val="24"/>
        </w:rPr>
        <w:t xml:space="preserve">barred or had prescribed </w:t>
      </w:r>
      <w:r w:rsidR="001D641E" w:rsidRPr="001D641E">
        <w:rPr>
          <w:rFonts w:ascii="Arial" w:hAnsi="Arial" w:cs="Arial"/>
          <w:sz w:val="24"/>
          <w:szCs w:val="24"/>
        </w:rPr>
        <w:t>in</w:t>
      </w:r>
      <w:r w:rsidR="004C4137" w:rsidRPr="001D641E">
        <w:rPr>
          <w:rFonts w:ascii="Arial" w:hAnsi="Arial" w:cs="Arial"/>
          <w:sz w:val="24"/>
          <w:szCs w:val="24"/>
        </w:rPr>
        <w:t xml:space="preserve"> the Judge</w:t>
      </w:r>
      <w:r w:rsidR="001D641E" w:rsidRPr="001D641E">
        <w:rPr>
          <w:rFonts w:ascii="Arial" w:hAnsi="Arial" w:cs="Arial"/>
          <w:sz w:val="24"/>
          <w:szCs w:val="24"/>
        </w:rPr>
        <w:t>’</w:t>
      </w:r>
      <w:r w:rsidR="004C4137" w:rsidRPr="001D641E">
        <w:rPr>
          <w:rFonts w:ascii="Arial" w:hAnsi="Arial" w:cs="Arial"/>
          <w:sz w:val="24"/>
          <w:szCs w:val="24"/>
        </w:rPr>
        <w:t>s words.</w:t>
      </w:r>
    </w:p>
    <w:p w:rsidR="006D6870" w:rsidRDefault="006D6870" w:rsidP="004C4137">
      <w:pPr>
        <w:pStyle w:val="ListParagraph"/>
        <w:spacing w:after="0" w:line="480" w:lineRule="auto"/>
        <w:jc w:val="both"/>
        <w:rPr>
          <w:rFonts w:ascii="Arial" w:hAnsi="Arial" w:cs="Arial"/>
          <w:sz w:val="24"/>
          <w:szCs w:val="24"/>
        </w:rPr>
      </w:pPr>
    </w:p>
    <w:p w:rsidR="006D6870" w:rsidRDefault="004C4137" w:rsidP="00623669">
      <w:pPr>
        <w:numPr>
          <w:ilvl w:val="0"/>
          <w:numId w:val="28"/>
        </w:numPr>
        <w:tabs>
          <w:tab w:val="left" w:pos="0"/>
        </w:tabs>
        <w:spacing w:after="0" w:line="480" w:lineRule="auto"/>
        <w:ind w:left="0" w:firstLine="0"/>
        <w:jc w:val="both"/>
        <w:rPr>
          <w:rFonts w:ascii="Arial" w:hAnsi="Arial" w:cs="Arial"/>
          <w:sz w:val="24"/>
          <w:szCs w:val="24"/>
        </w:rPr>
      </w:pPr>
      <w:r>
        <w:rPr>
          <w:rFonts w:ascii="Arial" w:hAnsi="Arial" w:cs="Arial"/>
          <w:sz w:val="24"/>
          <w:szCs w:val="24"/>
        </w:rPr>
        <w:t>Appellant appeals against the whole judgment and orders of the court below.</w:t>
      </w:r>
    </w:p>
    <w:p w:rsidR="004C4137" w:rsidRDefault="004C4137" w:rsidP="004C4137">
      <w:pPr>
        <w:tabs>
          <w:tab w:val="left" w:pos="0"/>
        </w:tabs>
        <w:spacing w:after="0" w:line="480" w:lineRule="auto"/>
        <w:jc w:val="both"/>
        <w:rPr>
          <w:rFonts w:ascii="Arial" w:hAnsi="Arial" w:cs="Arial"/>
          <w:sz w:val="24"/>
          <w:szCs w:val="24"/>
        </w:rPr>
      </w:pPr>
    </w:p>
    <w:p w:rsidR="00E9294B" w:rsidRDefault="00E9294B" w:rsidP="004C4137">
      <w:pPr>
        <w:tabs>
          <w:tab w:val="left" w:pos="0"/>
        </w:tabs>
        <w:spacing w:after="0" w:line="480" w:lineRule="auto"/>
        <w:jc w:val="both"/>
        <w:rPr>
          <w:rFonts w:ascii="Arial" w:hAnsi="Arial" w:cs="Arial"/>
          <w:sz w:val="24"/>
          <w:szCs w:val="24"/>
        </w:rPr>
      </w:pPr>
      <w:r w:rsidRPr="004C4137">
        <w:rPr>
          <w:rFonts w:ascii="Arial" w:hAnsi="Arial" w:cs="Arial"/>
          <w:sz w:val="24"/>
          <w:szCs w:val="24"/>
          <w:u w:val="single"/>
        </w:rPr>
        <w:t>The grounds of appeal</w:t>
      </w:r>
    </w:p>
    <w:p w:rsidR="004C4137" w:rsidRPr="00E9294B" w:rsidRDefault="004C4137" w:rsidP="004C4137">
      <w:pPr>
        <w:numPr>
          <w:ilvl w:val="0"/>
          <w:numId w:val="28"/>
        </w:numPr>
        <w:tabs>
          <w:tab w:val="left" w:pos="0"/>
        </w:tabs>
        <w:spacing w:after="0" w:line="480" w:lineRule="auto"/>
        <w:ind w:left="0" w:firstLine="0"/>
        <w:jc w:val="both"/>
        <w:rPr>
          <w:rFonts w:ascii="Arial" w:hAnsi="Arial" w:cs="Arial"/>
          <w:sz w:val="24"/>
          <w:szCs w:val="24"/>
        </w:rPr>
      </w:pPr>
      <w:r w:rsidRPr="00E9294B">
        <w:rPr>
          <w:rFonts w:ascii="Arial" w:hAnsi="Arial" w:cs="Arial"/>
          <w:sz w:val="24"/>
          <w:szCs w:val="24"/>
        </w:rPr>
        <w:t xml:space="preserve">The . . . court </w:t>
      </w:r>
      <w:r w:rsidRPr="00E9294B">
        <w:rPr>
          <w:rFonts w:ascii="Arial" w:hAnsi="Arial" w:cs="Arial"/>
          <w:i/>
          <w:sz w:val="24"/>
          <w:szCs w:val="24"/>
        </w:rPr>
        <w:t xml:space="preserve">a quo </w:t>
      </w:r>
      <w:r w:rsidRPr="00E9294B">
        <w:rPr>
          <w:rFonts w:ascii="Arial" w:hAnsi="Arial" w:cs="Arial"/>
          <w:sz w:val="24"/>
          <w:szCs w:val="24"/>
        </w:rPr>
        <w:t>erred in law and on the facts, alternatively, misdirected itself:</w:t>
      </w:r>
    </w:p>
    <w:p w:rsidR="004C4137" w:rsidRPr="00255089" w:rsidRDefault="004C4137" w:rsidP="00255089">
      <w:pPr>
        <w:tabs>
          <w:tab w:val="left" w:pos="0"/>
        </w:tabs>
        <w:spacing w:after="0" w:line="360" w:lineRule="auto"/>
        <w:jc w:val="both"/>
        <w:rPr>
          <w:rFonts w:ascii="Arial" w:hAnsi="Arial" w:cs="Arial"/>
        </w:rPr>
      </w:pPr>
    </w:p>
    <w:p w:rsidR="004C4137" w:rsidRDefault="00255089" w:rsidP="00255089">
      <w:pPr>
        <w:tabs>
          <w:tab w:val="left" w:pos="0"/>
          <w:tab w:val="left" w:pos="709"/>
        </w:tabs>
        <w:spacing w:after="0" w:line="360" w:lineRule="auto"/>
        <w:ind w:left="1418" w:hanging="1440"/>
        <w:jc w:val="both"/>
        <w:rPr>
          <w:rFonts w:ascii="Arial" w:hAnsi="Arial" w:cs="Arial"/>
        </w:rPr>
      </w:pPr>
      <w:r>
        <w:rPr>
          <w:rFonts w:ascii="Arial" w:hAnsi="Arial" w:cs="Arial"/>
        </w:rPr>
        <w:tab/>
      </w:r>
      <w:r>
        <w:rPr>
          <w:rFonts w:ascii="Arial" w:hAnsi="Arial" w:cs="Arial"/>
        </w:rPr>
        <w:tab/>
        <w:t>‘(i)</w:t>
      </w:r>
      <w:r>
        <w:rPr>
          <w:rFonts w:ascii="Arial" w:hAnsi="Arial" w:cs="Arial"/>
        </w:rPr>
        <w:tab/>
      </w:r>
      <w:r w:rsidR="004C4137" w:rsidRPr="00255089">
        <w:rPr>
          <w:rFonts w:ascii="Arial" w:hAnsi="Arial" w:cs="Arial"/>
        </w:rPr>
        <w:t>by hearing argument on the special plea raised by the Respondents contrary to the Pre-Trial Order made on 4</w:t>
      </w:r>
      <w:r w:rsidR="004C4137" w:rsidRPr="00255089">
        <w:rPr>
          <w:rFonts w:ascii="Arial" w:hAnsi="Arial" w:cs="Arial"/>
          <w:vertAlign w:val="superscript"/>
        </w:rPr>
        <w:t>th</w:t>
      </w:r>
      <w:r w:rsidR="004C4137" w:rsidRPr="00255089">
        <w:rPr>
          <w:rFonts w:ascii="Arial" w:hAnsi="Arial" w:cs="Arial"/>
        </w:rPr>
        <w:t xml:space="preserve"> day of December 2019 and without any evidence having been led on the merits in the Court </w:t>
      </w:r>
      <w:r w:rsidR="004C4137" w:rsidRPr="00255089">
        <w:rPr>
          <w:rFonts w:ascii="Arial" w:hAnsi="Arial" w:cs="Arial"/>
          <w:i/>
        </w:rPr>
        <w:t>a quo</w:t>
      </w:r>
      <w:r w:rsidRPr="00255089">
        <w:rPr>
          <w:rFonts w:ascii="Arial" w:hAnsi="Arial" w:cs="Arial"/>
        </w:rPr>
        <w:t>.</w:t>
      </w:r>
    </w:p>
    <w:p w:rsidR="00255089" w:rsidRDefault="00255089" w:rsidP="00255089">
      <w:pPr>
        <w:tabs>
          <w:tab w:val="left" w:pos="0"/>
          <w:tab w:val="left" w:pos="709"/>
        </w:tabs>
        <w:spacing w:after="0" w:line="360" w:lineRule="auto"/>
        <w:ind w:left="1418" w:hanging="1440"/>
        <w:jc w:val="both"/>
        <w:rPr>
          <w:rFonts w:ascii="Arial" w:hAnsi="Arial" w:cs="Arial"/>
        </w:rPr>
      </w:pPr>
    </w:p>
    <w:p w:rsidR="00255089" w:rsidRPr="00255089" w:rsidRDefault="00255089" w:rsidP="00255089">
      <w:pPr>
        <w:numPr>
          <w:ilvl w:val="0"/>
          <w:numId w:val="38"/>
        </w:numPr>
        <w:tabs>
          <w:tab w:val="left" w:pos="0"/>
          <w:tab w:val="left" w:pos="709"/>
        </w:tabs>
        <w:spacing w:after="0" w:line="360" w:lineRule="auto"/>
        <w:jc w:val="both"/>
        <w:rPr>
          <w:rFonts w:ascii="Arial" w:hAnsi="Arial" w:cs="Arial"/>
        </w:rPr>
      </w:pPr>
      <w:proofErr w:type="gramStart"/>
      <w:r w:rsidRPr="00255089">
        <w:rPr>
          <w:rFonts w:ascii="Arial" w:hAnsi="Arial" w:cs="Arial"/>
        </w:rPr>
        <w:t>by</w:t>
      </w:r>
      <w:proofErr w:type="gramEnd"/>
      <w:r w:rsidRPr="00255089">
        <w:rPr>
          <w:rFonts w:ascii="Arial" w:hAnsi="Arial" w:cs="Arial"/>
        </w:rPr>
        <w:t xml:space="preserve"> holding that because the Appellant complied with section 134(3) of the Correctional Service Act remedies notice on the repealed Prison Act that therefore the Correctional Service Act was invoked by the Appellant.</w:t>
      </w:r>
    </w:p>
    <w:p w:rsidR="00255089" w:rsidRPr="00255089" w:rsidRDefault="00255089" w:rsidP="001D7A7E">
      <w:pPr>
        <w:pStyle w:val="ListParagraph"/>
        <w:spacing w:after="0" w:line="360" w:lineRule="auto"/>
        <w:jc w:val="both"/>
        <w:rPr>
          <w:rFonts w:ascii="Arial" w:hAnsi="Arial" w:cs="Arial"/>
        </w:rPr>
      </w:pPr>
    </w:p>
    <w:p w:rsidR="00255089" w:rsidRPr="00255089" w:rsidRDefault="00255089" w:rsidP="00255089">
      <w:pPr>
        <w:numPr>
          <w:ilvl w:val="0"/>
          <w:numId w:val="38"/>
        </w:numPr>
        <w:tabs>
          <w:tab w:val="left" w:pos="0"/>
        </w:tabs>
        <w:spacing w:after="0" w:line="360" w:lineRule="auto"/>
        <w:jc w:val="both"/>
        <w:rPr>
          <w:rFonts w:ascii="Arial" w:hAnsi="Arial" w:cs="Arial"/>
        </w:rPr>
      </w:pPr>
      <w:proofErr w:type="gramStart"/>
      <w:r w:rsidRPr="00255089">
        <w:rPr>
          <w:rFonts w:ascii="Arial" w:hAnsi="Arial" w:cs="Arial"/>
        </w:rPr>
        <w:t>by</w:t>
      </w:r>
      <w:proofErr w:type="gramEnd"/>
      <w:r w:rsidRPr="00255089">
        <w:rPr>
          <w:rFonts w:ascii="Arial" w:hAnsi="Arial" w:cs="Arial"/>
        </w:rPr>
        <w:t xml:space="preserve"> holding that the Appellant had the onus in respect of the special plea raised by the Respondents in the Court </w:t>
      </w:r>
      <w:r w:rsidRPr="00255089">
        <w:rPr>
          <w:rFonts w:ascii="Arial" w:hAnsi="Arial" w:cs="Arial"/>
          <w:i/>
        </w:rPr>
        <w:t>a quo</w:t>
      </w:r>
      <w:r w:rsidRPr="00255089">
        <w:rPr>
          <w:rFonts w:ascii="Arial" w:hAnsi="Arial" w:cs="Arial"/>
        </w:rPr>
        <w:t>.</w:t>
      </w:r>
    </w:p>
    <w:p w:rsidR="00255089" w:rsidRPr="00255089" w:rsidRDefault="00255089" w:rsidP="001D7A7E">
      <w:pPr>
        <w:pStyle w:val="ListParagraph"/>
        <w:spacing w:after="0" w:line="360" w:lineRule="auto"/>
        <w:jc w:val="both"/>
        <w:rPr>
          <w:rFonts w:ascii="Arial" w:hAnsi="Arial" w:cs="Arial"/>
        </w:rPr>
      </w:pPr>
    </w:p>
    <w:p w:rsidR="00255089" w:rsidRPr="00255089" w:rsidRDefault="00255089" w:rsidP="00255089">
      <w:pPr>
        <w:numPr>
          <w:ilvl w:val="0"/>
          <w:numId w:val="38"/>
        </w:numPr>
        <w:tabs>
          <w:tab w:val="left" w:pos="0"/>
        </w:tabs>
        <w:spacing w:after="0" w:line="360" w:lineRule="auto"/>
        <w:ind w:hanging="731"/>
        <w:jc w:val="both"/>
        <w:rPr>
          <w:rFonts w:ascii="Arial" w:hAnsi="Arial" w:cs="Arial"/>
        </w:rPr>
      </w:pPr>
      <w:proofErr w:type="gramStart"/>
      <w:r w:rsidRPr="00255089">
        <w:rPr>
          <w:rFonts w:ascii="Arial" w:hAnsi="Arial" w:cs="Arial"/>
        </w:rPr>
        <w:t>by</w:t>
      </w:r>
      <w:proofErr w:type="gramEnd"/>
      <w:r w:rsidRPr="00255089">
        <w:rPr>
          <w:rFonts w:ascii="Arial" w:hAnsi="Arial" w:cs="Arial"/>
        </w:rPr>
        <w:t xml:space="preserve"> holding that there was no defense to the special plea raised against the claim of the plaintiff by the Respondents in the Court </w:t>
      </w:r>
      <w:r w:rsidRPr="00255089">
        <w:rPr>
          <w:rFonts w:ascii="Arial" w:hAnsi="Arial" w:cs="Arial"/>
          <w:i/>
        </w:rPr>
        <w:t>a quo</w:t>
      </w:r>
      <w:r w:rsidRPr="00255089">
        <w:rPr>
          <w:rFonts w:ascii="Arial" w:hAnsi="Arial" w:cs="Arial"/>
        </w:rPr>
        <w:t>.</w:t>
      </w:r>
    </w:p>
    <w:p w:rsidR="00255089" w:rsidRPr="00255089" w:rsidRDefault="00255089" w:rsidP="001D7A7E">
      <w:pPr>
        <w:pStyle w:val="ListParagraph"/>
        <w:spacing w:after="0" w:line="360" w:lineRule="auto"/>
        <w:jc w:val="both"/>
        <w:rPr>
          <w:rFonts w:ascii="Arial" w:hAnsi="Arial" w:cs="Arial"/>
        </w:rPr>
      </w:pPr>
    </w:p>
    <w:p w:rsidR="00255089" w:rsidRDefault="00255089" w:rsidP="00255089">
      <w:pPr>
        <w:numPr>
          <w:ilvl w:val="0"/>
          <w:numId w:val="38"/>
        </w:numPr>
        <w:tabs>
          <w:tab w:val="left" w:pos="0"/>
        </w:tabs>
        <w:spacing w:after="0" w:line="360" w:lineRule="auto"/>
        <w:ind w:hanging="731"/>
        <w:jc w:val="both"/>
        <w:rPr>
          <w:rFonts w:ascii="Arial" w:hAnsi="Arial" w:cs="Arial"/>
        </w:rPr>
      </w:pPr>
      <w:proofErr w:type="gramStart"/>
      <w:r w:rsidRPr="00255089">
        <w:rPr>
          <w:rFonts w:ascii="Arial" w:hAnsi="Arial" w:cs="Arial"/>
        </w:rPr>
        <w:t>by</w:t>
      </w:r>
      <w:proofErr w:type="gramEnd"/>
      <w:r w:rsidRPr="00255089">
        <w:rPr>
          <w:rFonts w:ascii="Arial" w:hAnsi="Arial" w:cs="Arial"/>
        </w:rPr>
        <w:t xml:space="preserve"> holding that section 133(3) of the Correctional Service Act is applicable to the claim of the Appellant without any evidence having been led to that effect by the Respondents in support of the special plea as raised by them in the Court </w:t>
      </w:r>
      <w:r w:rsidRPr="00255089">
        <w:rPr>
          <w:rFonts w:ascii="Arial" w:hAnsi="Arial" w:cs="Arial"/>
          <w:i/>
        </w:rPr>
        <w:t>a quo</w:t>
      </w:r>
      <w:r w:rsidRPr="00255089">
        <w:rPr>
          <w:rFonts w:ascii="Arial" w:hAnsi="Arial" w:cs="Arial"/>
        </w:rPr>
        <w:t>.</w:t>
      </w:r>
    </w:p>
    <w:p w:rsidR="001D641E" w:rsidRDefault="001D641E" w:rsidP="001D641E">
      <w:pPr>
        <w:pStyle w:val="ListParagraph"/>
        <w:spacing w:after="0" w:line="360" w:lineRule="auto"/>
        <w:jc w:val="both"/>
        <w:rPr>
          <w:rFonts w:ascii="Arial" w:hAnsi="Arial" w:cs="Arial"/>
        </w:rPr>
      </w:pPr>
    </w:p>
    <w:p w:rsidR="004C4137" w:rsidRPr="001D641E" w:rsidRDefault="001D7A7E" w:rsidP="001D641E">
      <w:pPr>
        <w:numPr>
          <w:ilvl w:val="0"/>
          <w:numId w:val="38"/>
        </w:numPr>
        <w:tabs>
          <w:tab w:val="left" w:pos="0"/>
        </w:tabs>
        <w:spacing w:after="0" w:line="360" w:lineRule="auto"/>
        <w:ind w:hanging="731"/>
        <w:jc w:val="both"/>
        <w:rPr>
          <w:rFonts w:ascii="Arial" w:hAnsi="Arial" w:cs="Arial"/>
        </w:rPr>
      </w:pPr>
      <w:r w:rsidRPr="001D641E">
        <w:rPr>
          <w:rFonts w:ascii="Arial" w:hAnsi="Arial" w:cs="Arial"/>
        </w:rPr>
        <w:t>He submits that there was a failure of justice and that the appellant’s rights a</w:t>
      </w:r>
      <w:r w:rsidR="00C151E1">
        <w:rPr>
          <w:rFonts w:ascii="Arial" w:hAnsi="Arial" w:cs="Arial"/>
        </w:rPr>
        <w:t>s</w:t>
      </w:r>
      <w:r w:rsidRPr="001D641E">
        <w:rPr>
          <w:rFonts w:ascii="Arial" w:hAnsi="Arial" w:cs="Arial"/>
        </w:rPr>
        <w:t xml:space="preserve"> contained in Article 12(1) were trampled on. He is seeking the proceedings of the court </w:t>
      </w:r>
      <w:r w:rsidRPr="001D641E">
        <w:rPr>
          <w:rFonts w:ascii="Arial" w:hAnsi="Arial" w:cs="Arial"/>
          <w:i/>
        </w:rPr>
        <w:t xml:space="preserve">a quo </w:t>
      </w:r>
      <w:r w:rsidRPr="001D641E">
        <w:rPr>
          <w:rFonts w:ascii="Arial" w:hAnsi="Arial" w:cs="Arial"/>
        </w:rPr>
        <w:t>to be set aside and the matter to be remitted to the High Court for trial before another judge with costs of appeal including the costs of one instructing and one instructed counsel.</w:t>
      </w:r>
      <w:r w:rsidR="001D641E">
        <w:rPr>
          <w:rFonts w:ascii="Arial" w:hAnsi="Arial" w:cs="Arial"/>
        </w:rPr>
        <w:t>’</w:t>
      </w:r>
    </w:p>
    <w:p w:rsidR="001D7A7E" w:rsidRDefault="001D7A7E" w:rsidP="001D7A7E">
      <w:pPr>
        <w:tabs>
          <w:tab w:val="left" w:pos="0"/>
        </w:tabs>
        <w:spacing w:after="0" w:line="480" w:lineRule="auto"/>
        <w:jc w:val="both"/>
        <w:rPr>
          <w:rFonts w:ascii="Arial" w:hAnsi="Arial" w:cs="Arial"/>
          <w:sz w:val="24"/>
          <w:szCs w:val="24"/>
        </w:rPr>
      </w:pPr>
    </w:p>
    <w:p w:rsidR="001D7A7E" w:rsidRDefault="00F6154D" w:rsidP="00623669">
      <w:pPr>
        <w:numPr>
          <w:ilvl w:val="0"/>
          <w:numId w:val="28"/>
        </w:numPr>
        <w:tabs>
          <w:tab w:val="left" w:pos="0"/>
        </w:tabs>
        <w:spacing w:after="0" w:line="480" w:lineRule="auto"/>
        <w:ind w:left="0" w:firstLine="0"/>
        <w:jc w:val="both"/>
        <w:rPr>
          <w:rFonts w:ascii="Arial" w:hAnsi="Arial" w:cs="Arial"/>
          <w:sz w:val="24"/>
          <w:szCs w:val="24"/>
        </w:rPr>
      </w:pPr>
      <w:r>
        <w:rPr>
          <w:rFonts w:ascii="Arial" w:hAnsi="Arial" w:cs="Arial"/>
          <w:sz w:val="24"/>
          <w:szCs w:val="24"/>
        </w:rPr>
        <w:t xml:space="preserve">In his oral argument counsel for the appellant makes reference to the </w:t>
      </w:r>
      <w:r w:rsidR="00D0579D">
        <w:rPr>
          <w:rFonts w:ascii="Arial" w:hAnsi="Arial" w:cs="Arial"/>
          <w:sz w:val="24"/>
          <w:szCs w:val="24"/>
        </w:rPr>
        <w:t>c</w:t>
      </w:r>
      <w:r>
        <w:rPr>
          <w:rFonts w:ascii="Arial" w:hAnsi="Arial" w:cs="Arial"/>
          <w:sz w:val="24"/>
          <w:szCs w:val="24"/>
        </w:rPr>
        <w:t xml:space="preserve">ase </w:t>
      </w:r>
      <w:r w:rsidR="00D0579D">
        <w:rPr>
          <w:rFonts w:ascii="Arial" w:hAnsi="Arial" w:cs="Arial"/>
          <w:sz w:val="24"/>
          <w:szCs w:val="24"/>
        </w:rPr>
        <w:t>m</w:t>
      </w:r>
      <w:r>
        <w:rPr>
          <w:rFonts w:ascii="Arial" w:hAnsi="Arial" w:cs="Arial"/>
          <w:sz w:val="24"/>
          <w:szCs w:val="24"/>
        </w:rPr>
        <w:t xml:space="preserve">anagement </w:t>
      </w:r>
      <w:r w:rsidR="00D0579D">
        <w:rPr>
          <w:rFonts w:ascii="Arial" w:hAnsi="Arial" w:cs="Arial"/>
          <w:sz w:val="24"/>
          <w:szCs w:val="24"/>
        </w:rPr>
        <w:t>r</w:t>
      </w:r>
      <w:r>
        <w:rPr>
          <w:rFonts w:ascii="Arial" w:hAnsi="Arial" w:cs="Arial"/>
          <w:sz w:val="24"/>
          <w:szCs w:val="24"/>
        </w:rPr>
        <w:t>eport of 18 October 2019 particularly paras (J) and (K) where the parties jointly recorded that ‘in the view of the court’s decision that it will not hear the special plea raised by the defendants separately, this aspect is not foreseen by the parties at this stage’.</w:t>
      </w:r>
    </w:p>
    <w:p w:rsidR="00F6154D" w:rsidRDefault="00F6154D" w:rsidP="00F6154D">
      <w:pPr>
        <w:pStyle w:val="ListParagraph"/>
        <w:spacing w:after="0" w:line="480" w:lineRule="auto"/>
        <w:jc w:val="both"/>
        <w:rPr>
          <w:rFonts w:ascii="Arial" w:hAnsi="Arial" w:cs="Arial"/>
          <w:sz w:val="24"/>
          <w:szCs w:val="24"/>
        </w:rPr>
      </w:pPr>
    </w:p>
    <w:p w:rsidR="00F6154D" w:rsidRDefault="00F6154D" w:rsidP="00623669">
      <w:pPr>
        <w:numPr>
          <w:ilvl w:val="0"/>
          <w:numId w:val="28"/>
        </w:numPr>
        <w:tabs>
          <w:tab w:val="left" w:pos="0"/>
        </w:tabs>
        <w:spacing w:after="0" w:line="480" w:lineRule="auto"/>
        <w:ind w:left="0" w:firstLine="0"/>
        <w:jc w:val="both"/>
        <w:rPr>
          <w:rFonts w:ascii="Arial" w:hAnsi="Arial" w:cs="Arial"/>
          <w:sz w:val="24"/>
          <w:szCs w:val="24"/>
        </w:rPr>
      </w:pPr>
      <w:r>
        <w:rPr>
          <w:rFonts w:ascii="Arial" w:hAnsi="Arial" w:cs="Arial"/>
          <w:sz w:val="24"/>
          <w:szCs w:val="24"/>
        </w:rPr>
        <w:t xml:space="preserve">Counsel further referred to the joint proposed </w:t>
      </w:r>
      <w:r w:rsidR="00D0579D">
        <w:rPr>
          <w:rFonts w:ascii="Arial" w:hAnsi="Arial" w:cs="Arial"/>
          <w:sz w:val="24"/>
          <w:szCs w:val="24"/>
        </w:rPr>
        <w:t>p</w:t>
      </w:r>
      <w:r>
        <w:rPr>
          <w:rFonts w:ascii="Arial" w:hAnsi="Arial" w:cs="Arial"/>
          <w:sz w:val="24"/>
          <w:szCs w:val="24"/>
        </w:rPr>
        <w:t>re-</w:t>
      </w:r>
      <w:r w:rsidR="00D0579D">
        <w:rPr>
          <w:rFonts w:ascii="Arial" w:hAnsi="Arial" w:cs="Arial"/>
          <w:sz w:val="24"/>
          <w:szCs w:val="24"/>
        </w:rPr>
        <w:t>t</w:t>
      </w:r>
      <w:r>
        <w:rPr>
          <w:rFonts w:ascii="Arial" w:hAnsi="Arial" w:cs="Arial"/>
          <w:sz w:val="24"/>
          <w:szCs w:val="24"/>
        </w:rPr>
        <w:t xml:space="preserve">rial </w:t>
      </w:r>
      <w:r w:rsidR="00D0579D">
        <w:rPr>
          <w:rFonts w:ascii="Arial" w:hAnsi="Arial" w:cs="Arial"/>
          <w:sz w:val="24"/>
          <w:szCs w:val="24"/>
        </w:rPr>
        <w:t>r</w:t>
      </w:r>
      <w:r>
        <w:rPr>
          <w:rFonts w:ascii="Arial" w:hAnsi="Arial" w:cs="Arial"/>
          <w:sz w:val="24"/>
          <w:szCs w:val="24"/>
        </w:rPr>
        <w:t xml:space="preserve">eport where the parties agreed that the issues of fact and law to be resolved at the trial would be </w:t>
      </w:r>
      <w:r>
        <w:rPr>
          <w:rFonts w:ascii="Arial" w:hAnsi="Arial" w:cs="Arial"/>
          <w:i/>
          <w:sz w:val="24"/>
          <w:szCs w:val="24"/>
        </w:rPr>
        <w:t>inter alia</w:t>
      </w:r>
      <w:r w:rsidR="001D641E">
        <w:rPr>
          <w:rFonts w:ascii="Arial" w:hAnsi="Arial" w:cs="Arial"/>
          <w:sz w:val="24"/>
          <w:szCs w:val="24"/>
        </w:rPr>
        <w:t>,</w:t>
      </w:r>
      <w:r>
        <w:rPr>
          <w:rFonts w:ascii="Arial" w:hAnsi="Arial" w:cs="Arial"/>
          <w:i/>
          <w:sz w:val="24"/>
          <w:szCs w:val="24"/>
        </w:rPr>
        <w:t xml:space="preserve"> </w:t>
      </w:r>
      <w:r>
        <w:rPr>
          <w:rFonts w:ascii="Arial" w:hAnsi="Arial" w:cs="Arial"/>
          <w:sz w:val="24"/>
          <w:szCs w:val="24"/>
        </w:rPr>
        <w:t xml:space="preserve">whether the first respondent was, at the time of the accident, acting in pursuance of the provisions of the Act, specifically </w:t>
      </w:r>
      <w:proofErr w:type="spellStart"/>
      <w:r>
        <w:rPr>
          <w:rFonts w:ascii="Arial" w:hAnsi="Arial" w:cs="Arial"/>
          <w:sz w:val="24"/>
          <w:szCs w:val="24"/>
        </w:rPr>
        <w:t>reg</w:t>
      </w:r>
      <w:proofErr w:type="spellEnd"/>
      <w:r>
        <w:rPr>
          <w:rFonts w:ascii="Arial" w:hAnsi="Arial" w:cs="Arial"/>
          <w:sz w:val="24"/>
          <w:szCs w:val="24"/>
        </w:rPr>
        <w:t xml:space="preserve"> 40 of the Regulations and, further, whether the appellant’s claim against the second respondent had become </w:t>
      </w:r>
      <w:r w:rsidR="00335379">
        <w:rPr>
          <w:rFonts w:ascii="Arial" w:hAnsi="Arial" w:cs="Arial"/>
          <w:sz w:val="24"/>
          <w:szCs w:val="24"/>
        </w:rPr>
        <w:t>‘</w:t>
      </w:r>
      <w:r>
        <w:rPr>
          <w:rFonts w:ascii="Arial" w:hAnsi="Arial" w:cs="Arial"/>
          <w:sz w:val="24"/>
          <w:szCs w:val="24"/>
        </w:rPr>
        <w:t>prescribed</w:t>
      </w:r>
      <w:r w:rsidR="00335379">
        <w:rPr>
          <w:rFonts w:ascii="Arial" w:hAnsi="Arial" w:cs="Arial"/>
          <w:sz w:val="24"/>
          <w:szCs w:val="24"/>
        </w:rPr>
        <w:t>’</w:t>
      </w:r>
      <w:r>
        <w:rPr>
          <w:rFonts w:ascii="Arial" w:hAnsi="Arial" w:cs="Arial"/>
          <w:sz w:val="24"/>
          <w:szCs w:val="24"/>
        </w:rPr>
        <w:t xml:space="preserve"> by virtue of the provisions of s </w:t>
      </w:r>
      <w:r w:rsidR="00C151E1">
        <w:rPr>
          <w:rFonts w:ascii="Arial" w:hAnsi="Arial" w:cs="Arial"/>
          <w:sz w:val="24"/>
          <w:szCs w:val="24"/>
        </w:rPr>
        <w:t>1</w:t>
      </w:r>
      <w:r>
        <w:rPr>
          <w:rFonts w:ascii="Arial" w:hAnsi="Arial" w:cs="Arial"/>
          <w:sz w:val="24"/>
          <w:szCs w:val="24"/>
        </w:rPr>
        <w:t xml:space="preserve">33(3) of the Act and that the respondents agreed that the first respondent acted within the course and scope of employment with the second respondent and that it is notionally distinct from </w:t>
      </w:r>
      <w:r w:rsidR="00D0579D">
        <w:rPr>
          <w:rFonts w:ascii="Arial" w:hAnsi="Arial" w:cs="Arial"/>
          <w:sz w:val="24"/>
          <w:szCs w:val="24"/>
        </w:rPr>
        <w:t>‘</w:t>
      </w:r>
      <w:r w:rsidR="00D0579D">
        <w:rPr>
          <w:rFonts w:ascii="Arial" w:hAnsi="Arial" w:cs="Arial"/>
          <w:i/>
          <w:sz w:val="24"/>
          <w:szCs w:val="24"/>
        </w:rPr>
        <w:t>acting in pursuance of the provisions of the Act</w:t>
      </w:r>
      <w:r w:rsidR="00D0579D">
        <w:rPr>
          <w:rFonts w:ascii="Arial" w:hAnsi="Arial" w:cs="Arial"/>
          <w:sz w:val="24"/>
          <w:szCs w:val="24"/>
        </w:rPr>
        <w:t>’.</w:t>
      </w:r>
    </w:p>
    <w:p w:rsidR="00D0579D" w:rsidRDefault="00D0579D" w:rsidP="009653F8">
      <w:pPr>
        <w:pStyle w:val="ListParagraph"/>
        <w:spacing w:after="0" w:line="480" w:lineRule="auto"/>
        <w:jc w:val="both"/>
        <w:rPr>
          <w:rFonts w:ascii="Arial" w:hAnsi="Arial" w:cs="Arial"/>
          <w:sz w:val="24"/>
          <w:szCs w:val="24"/>
        </w:rPr>
      </w:pPr>
    </w:p>
    <w:p w:rsidR="00D0579D" w:rsidRDefault="00D0579D" w:rsidP="00623669">
      <w:pPr>
        <w:numPr>
          <w:ilvl w:val="0"/>
          <w:numId w:val="28"/>
        </w:numPr>
        <w:tabs>
          <w:tab w:val="left" w:pos="0"/>
        </w:tabs>
        <w:spacing w:after="0" w:line="480" w:lineRule="auto"/>
        <w:ind w:left="0" w:firstLine="0"/>
        <w:jc w:val="both"/>
        <w:rPr>
          <w:rFonts w:ascii="Arial" w:hAnsi="Arial" w:cs="Arial"/>
          <w:sz w:val="24"/>
          <w:szCs w:val="24"/>
        </w:rPr>
      </w:pPr>
      <w:r>
        <w:rPr>
          <w:rFonts w:ascii="Arial" w:hAnsi="Arial" w:cs="Arial"/>
          <w:sz w:val="24"/>
          <w:szCs w:val="24"/>
        </w:rPr>
        <w:t>Therefore, so counsel argued</w:t>
      </w:r>
      <w:r w:rsidR="001D641E">
        <w:rPr>
          <w:rFonts w:ascii="Arial" w:hAnsi="Arial" w:cs="Arial"/>
          <w:sz w:val="24"/>
          <w:szCs w:val="24"/>
        </w:rPr>
        <w:t>,</w:t>
      </w:r>
      <w:r>
        <w:rPr>
          <w:rFonts w:ascii="Arial" w:hAnsi="Arial" w:cs="Arial"/>
          <w:sz w:val="24"/>
          <w:szCs w:val="24"/>
        </w:rPr>
        <w:t xml:space="preserve"> on the pleadings, read with the pre-trial order, there were two issues of fact and law to be determined at the trial (in respect of the special plea)</w:t>
      </w:r>
      <w:r w:rsidR="00335379">
        <w:rPr>
          <w:rFonts w:ascii="Arial" w:hAnsi="Arial" w:cs="Arial"/>
          <w:sz w:val="24"/>
          <w:szCs w:val="24"/>
        </w:rPr>
        <w:t>; namely</w:t>
      </w:r>
      <w:r>
        <w:rPr>
          <w:rFonts w:ascii="Arial" w:hAnsi="Arial" w:cs="Arial"/>
          <w:sz w:val="24"/>
          <w:szCs w:val="24"/>
        </w:rPr>
        <w:t>:</w:t>
      </w:r>
    </w:p>
    <w:p w:rsidR="001E4864" w:rsidRDefault="001E4864" w:rsidP="00532772">
      <w:pPr>
        <w:pStyle w:val="ListParagraph"/>
        <w:spacing w:after="0" w:line="480" w:lineRule="auto"/>
        <w:jc w:val="both"/>
        <w:rPr>
          <w:rFonts w:ascii="Arial" w:hAnsi="Arial" w:cs="Arial"/>
          <w:sz w:val="24"/>
          <w:szCs w:val="24"/>
        </w:rPr>
      </w:pPr>
    </w:p>
    <w:p w:rsidR="001E4864" w:rsidRDefault="001E4864" w:rsidP="001E4864">
      <w:pPr>
        <w:tabs>
          <w:tab w:val="left" w:pos="0"/>
        </w:tabs>
        <w:spacing w:after="0" w:line="480" w:lineRule="auto"/>
        <w:ind w:left="720" w:hanging="720"/>
        <w:jc w:val="both"/>
        <w:rPr>
          <w:rFonts w:ascii="Arial" w:hAnsi="Arial" w:cs="Arial"/>
          <w:sz w:val="24"/>
          <w:szCs w:val="24"/>
        </w:rPr>
      </w:pPr>
      <w:r>
        <w:rPr>
          <w:rFonts w:ascii="Arial" w:hAnsi="Arial" w:cs="Arial"/>
          <w:sz w:val="24"/>
          <w:szCs w:val="24"/>
        </w:rPr>
        <w:t>1</w:t>
      </w:r>
      <w:r w:rsidR="00C151E1">
        <w:rPr>
          <w:rFonts w:ascii="Arial" w:hAnsi="Arial" w:cs="Arial"/>
          <w:sz w:val="24"/>
          <w:szCs w:val="24"/>
        </w:rPr>
        <w:t>7</w:t>
      </w:r>
      <w:r>
        <w:rPr>
          <w:rFonts w:ascii="Arial" w:hAnsi="Arial" w:cs="Arial"/>
          <w:sz w:val="24"/>
          <w:szCs w:val="24"/>
        </w:rPr>
        <w:t>.1</w:t>
      </w:r>
      <w:r>
        <w:rPr>
          <w:rFonts w:ascii="Arial" w:hAnsi="Arial" w:cs="Arial"/>
          <w:sz w:val="24"/>
          <w:szCs w:val="24"/>
        </w:rPr>
        <w:tab/>
        <w:t>Whether the first respondent was, at the time of the accident, acting in pursuance of the provisio</w:t>
      </w:r>
      <w:r w:rsidR="00E9294B">
        <w:rPr>
          <w:rFonts w:ascii="Arial" w:hAnsi="Arial" w:cs="Arial"/>
          <w:sz w:val="24"/>
          <w:szCs w:val="24"/>
        </w:rPr>
        <w:t xml:space="preserve">ns of the Act, specifically </w:t>
      </w:r>
      <w:proofErr w:type="spellStart"/>
      <w:r w:rsidR="00E9294B">
        <w:rPr>
          <w:rFonts w:ascii="Arial" w:hAnsi="Arial" w:cs="Arial"/>
          <w:sz w:val="24"/>
          <w:szCs w:val="24"/>
        </w:rPr>
        <w:t>reg</w:t>
      </w:r>
      <w:proofErr w:type="spellEnd"/>
      <w:r>
        <w:rPr>
          <w:rFonts w:ascii="Arial" w:hAnsi="Arial" w:cs="Arial"/>
          <w:sz w:val="24"/>
          <w:szCs w:val="24"/>
        </w:rPr>
        <w:t xml:space="preserve"> 40 of the Regulations promulgated in terms of the aforesaid Act; and</w:t>
      </w:r>
    </w:p>
    <w:p w:rsidR="001E4864" w:rsidRDefault="001E4864" w:rsidP="001E4864">
      <w:pPr>
        <w:tabs>
          <w:tab w:val="left" w:pos="0"/>
        </w:tabs>
        <w:spacing w:after="0" w:line="480" w:lineRule="auto"/>
        <w:ind w:left="720" w:hanging="720"/>
        <w:jc w:val="both"/>
        <w:rPr>
          <w:rFonts w:ascii="Arial" w:hAnsi="Arial" w:cs="Arial"/>
          <w:sz w:val="24"/>
          <w:szCs w:val="24"/>
        </w:rPr>
      </w:pPr>
    </w:p>
    <w:p w:rsidR="001E4864" w:rsidRDefault="001E4864" w:rsidP="001E4864">
      <w:pPr>
        <w:tabs>
          <w:tab w:val="left" w:pos="0"/>
        </w:tabs>
        <w:spacing w:after="0" w:line="480" w:lineRule="auto"/>
        <w:ind w:left="720" w:hanging="720"/>
        <w:jc w:val="both"/>
        <w:rPr>
          <w:rFonts w:ascii="Arial" w:hAnsi="Arial" w:cs="Arial"/>
          <w:sz w:val="24"/>
          <w:szCs w:val="24"/>
        </w:rPr>
      </w:pPr>
      <w:r>
        <w:rPr>
          <w:rFonts w:ascii="Arial" w:hAnsi="Arial" w:cs="Arial"/>
          <w:sz w:val="24"/>
          <w:szCs w:val="24"/>
        </w:rPr>
        <w:t>1</w:t>
      </w:r>
      <w:r w:rsidR="00C151E1">
        <w:rPr>
          <w:rFonts w:ascii="Arial" w:hAnsi="Arial" w:cs="Arial"/>
          <w:sz w:val="24"/>
          <w:szCs w:val="24"/>
        </w:rPr>
        <w:t>7</w:t>
      </w:r>
      <w:r>
        <w:rPr>
          <w:rFonts w:ascii="Arial" w:hAnsi="Arial" w:cs="Arial"/>
          <w:sz w:val="24"/>
          <w:szCs w:val="24"/>
        </w:rPr>
        <w:t>.2</w:t>
      </w:r>
      <w:r>
        <w:rPr>
          <w:rFonts w:ascii="Arial" w:hAnsi="Arial" w:cs="Arial"/>
          <w:sz w:val="24"/>
          <w:szCs w:val="24"/>
        </w:rPr>
        <w:tab/>
        <w:t>Whether the appellant’s claim against the second respondent had become prescribed by virtue of the provisions of s</w:t>
      </w:r>
      <w:r w:rsidR="00C151E1">
        <w:rPr>
          <w:rFonts w:ascii="Arial" w:hAnsi="Arial" w:cs="Arial"/>
          <w:sz w:val="24"/>
          <w:szCs w:val="24"/>
        </w:rPr>
        <w:t xml:space="preserve"> </w:t>
      </w:r>
      <w:r>
        <w:rPr>
          <w:rFonts w:ascii="Arial" w:hAnsi="Arial" w:cs="Arial"/>
          <w:sz w:val="24"/>
          <w:szCs w:val="24"/>
        </w:rPr>
        <w:t>133(3) of the Act</w:t>
      </w:r>
      <w:r w:rsidR="00E9294B">
        <w:rPr>
          <w:rFonts w:ascii="Arial" w:hAnsi="Arial" w:cs="Arial"/>
          <w:sz w:val="24"/>
          <w:szCs w:val="24"/>
        </w:rPr>
        <w:t>?</w:t>
      </w:r>
    </w:p>
    <w:p w:rsidR="001E4864" w:rsidRDefault="001E4864" w:rsidP="001E4864">
      <w:pPr>
        <w:tabs>
          <w:tab w:val="left" w:pos="0"/>
        </w:tabs>
        <w:spacing w:after="0" w:line="480" w:lineRule="auto"/>
        <w:jc w:val="both"/>
        <w:rPr>
          <w:rFonts w:ascii="Arial" w:hAnsi="Arial" w:cs="Arial"/>
          <w:sz w:val="24"/>
          <w:szCs w:val="24"/>
        </w:rPr>
      </w:pPr>
    </w:p>
    <w:p w:rsidR="001E4864" w:rsidRDefault="001E4864" w:rsidP="00623669">
      <w:pPr>
        <w:numPr>
          <w:ilvl w:val="0"/>
          <w:numId w:val="28"/>
        </w:numPr>
        <w:tabs>
          <w:tab w:val="left" w:pos="0"/>
        </w:tabs>
        <w:spacing w:after="0" w:line="480" w:lineRule="auto"/>
        <w:ind w:left="0" w:firstLine="0"/>
        <w:jc w:val="both"/>
        <w:rPr>
          <w:rFonts w:ascii="Arial" w:hAnsi="Arial" w:cs="Arial"/>
          <w:sz w:val="24"/>
          <w:szCs w:val="24"/>
        </w:rPr>
      </w:pPr>
      <w:r>
        <w:rPr>
          <w:rFonts w:ascii="Arial" w:hAnsi="Arial" w:cs="Arial"/>
          <w:sz w:val="24"/>
          <w:szCs w:val="24"/>
        </w:rPr>
        <w:t xml:space="preserve">Counsel submits that evidence must be led in order to establish in what capacity or purpose the first respondent was operating the Government motor vehicle and whether he was duly </w:t>
      </w:r>
      <w:proofErr w:type="spellStart"/>
      <w:r>
        <w:rPr>
          <w:rFonts w:ascii="Arial" w:hAnsi="Arial" w:cs="Arial"/>
          <w:sz w:val="24"/>
          <w:szCs w:val="24"/>
        </w:rPr>
        <w:t>authorised</w:t>
      </w:r>
      <w:proofErr w:type="spellEnd"/>
      <w:r>
        <w:rPr>
          <w:rFonts w:ascii="Arial" w:hAnsi="Arial" w:cs="Arial"/>
          <w:sz w:val="24"/>
          <w:szCs w:val="24"/>
        </w:rPr>
        <w:t xml:space="preserve"> to operate the vehicle as per </w:t>
      </w:r>
      <w:proofErr w:type="spellStart"/>
      <w:r>
        <w:rPr>
          <w:rFonts w:ascii="Arial" w:hAnsi="Arial" w:cs="Arial"/>
          <w:sz w:val="24"/>
          <w:szCs w:val="24"/>
        </w:rPr>
        <w:t>reg</w:t>
      </w:r>
      <w:proofErr w:type="spellEnd"/>
      <w:r>
        <w:rPr>
          <w:rFonts w:ascii="Arial" w:hAnsi="Arial" w:cs="Arial"/>
          <w:sz w:val="24"/>
          <w:szCs w:val="24"/>
        </w:rPr>
        <w:t xml:space="preserve"> 40 of the Regulations. Counsel reiterates the prayers as per </w:t>
      </w:r>
      <w:r w:rsidR="0038409F">
        <w:rPr>
          <w:rFonts w:ascii="Arial" w:hAnsi="Arial" w:cs="Arial"/>
          <w:sz w:val="24"/>
          <w:szCs w:val="24"/>
        </w:rPr>
        <w:t xml:space="preserve">the </w:t>
      </w:r>
      <w:r>
        <w:rPr>
          <w:rFonts w:ascii="Arial" w:hAnsi="Arial" w:cs="Arial"/>
          <w:sz w:val="24"/>
          <w:szCs w:val="24"/>
        </w:rPr>
        <w:t>notice of motion.</w:t>
      </w:r>
    </w:p>
    <w:p w:rsidR="001E4864" w:rsidRDefault="001E4864" w:rsidP="001E4864">
      <w:pPr>
        <w:tabs>
          <w:tab w:val="left" w:pos="0"/>
        </w:tabs>
        <w:spacing w:after="0" w:line="480" w:lineRule="auto"/>
        <w:jc w:val="both"/>
        <w:rPr>
          <w:rFonts w:ascii="Arial" w:hAnsi="Arial" w:cs="Arial"/>
          <w:sz w:val="24"/>
          <w:szCs w:val="24"/>
        </w:rPr>
      </w:pPr>
    </w:p>
    <w:p w:rsidR="001E4864" w:rsidRDefault="001E4864" w:rsidP="00623669">
      <w:pPr>
        <w:numPr>
          <w:ilvl w:val="0"/>
          <w:numId w:val="28"/>
        </w:numPr>
        <w:tabs>
          <w:tab w:val="left" w:pos="0"/>
        </w:tabs>
        <w:spacing w:after="0" w:line="480" w:lineRule="auto"/>
        <w:ind w:left="0" w:firstLine="0"/>
        <w:jc w:val="both"/>
        <w:rPr>
          <w:rFonts w:ascii="Arial" w:hAnsi="Arial" w:cs="Arial"/>
          <w:sz w:val="24"/>
          <w:szCs w:val="24"/>
        </w:rPr>
      </w:pPr>
      <w:r>
        <w:rPr>
          <w:rFonts w:ascii="Arial" w:hAnsi="Arial" w:cs="Arial"/>
          <w:sz w:val="24"/>
          <w:szCs w:val="24"/>
        </w:rPr>
        <w:t>Counsel for the respondents</w:t>
      </w:r>
      <w:r w:rsidR="0038409F">
        <w:rPr>
          <w:rFonts w:ascii="Arial" w:hAnsi="Arial" w:cs="Arial"/>
          <w:sz w:val="24"/>
          <w:szCs w:val="24"/>
        </w:rPr>
        <w:t xml:space="preserve"> supports</w:t>
      </w:r>
      <w:r>
        <w:rPr>
          <w:rFonts w:ascii="Arial" w:hAnsi="Arial" w:cs="Arial"/>
          <w:sz w:val="24"/>
          <w:szCs w:val="24"/>
        </w:rPr>
        <w:t xml:space="preserve"> the judgment of the court </w:t>
      </w:r>
      <w:r>
        <w:rPr>
          <w:rFonts w:ascii="Arial" w:hAnsi="Arial" w:cs="Arial"/>
          <w:i/>
          <w:sz w:val="24"/>
          <w:szCs w:val="24"/>
        </w:rPr>
        <w:t>a quo</w:t>
      </w:r>
      <w:r>
        <w:rPr>
          <w:rFonts w:ascii="Arial" w:hAnsi="Arial" w:cs="Arial"/>
          <w:sz w:val="24"/>
          <w:szCs w:val="24"/>
        </w:rPr>
        <w:t>, contending that by giving notice in terms of s 134(4) the appellant brought himself in</w:t>
      </w:r>
      <w:r w:rsidR="0038409F">
        <w:rPr>
          <w:rFonts w:ascii="Arial" w:hAnsi="Arial" w:cs="Arial"/>
          <w:sz w:val="24"/>
          <w:szCs w:val="24"/>
        </w:rPr>
        <w:t xml:space="preserve"> the </w:t>
      </w:r>
      <w:r>
        <w:rPr>
          <w:rFonts w:ascii="Arial" w:hAnsi="Arial" w:cs="Arial"/>
          <w:sz w:val="24"/>
          <w:szCs w:val="24"/>
        </w:rPr>
        <w:t>purview of s 133(3) and therefore admitt</w:t>
      </w:r>
      <w:r w:rsidR="00D13378">
        <w:rPr>
          <w:rFonts w:ascii="Arial" w:hAnsi="Arial" w:cs="Arial"/>
          <w:sz w:val="24"/>
          <w:szCs w:val="24"/>
        </w:rPr>
        <w:t>ed that s 133(3) was applicable.</w:t>
      </w:r>
    </w:p>
    <w:p w:rsidR="00D13378" w:rsidRDefault="00D13378" w:rsidP="00532772">
      <w:pPr>
        <w:pStyle w:val="ListParagraph"/>
        <w:spacing w:after="0" w:line="480" w:lineRule="auto"/>
        <w:jc w:val="both"/>
        <w:rPr>
          <w:rFonts w:ascii="Arial" w:hAnsi="Arial" w:cs="Arial"/>
          <w:sz w:val="24"/>
          <w:szCs w:val="24"/>
        </w:rPr>
      </w:pPr>
    </w:p>
    <w:p w:rsidR="00D13378" w:rsidRDefault="00D13378" w:rsidP="00623669">
      <w:pPr>
        <w:numPr>
          <w:ilvl w:val="0"/>
          <w:numId w:val="28"/>
        </w:numPr>
        <w:tabs>
          <w:tab w:val="left" w:pos="0"/>
        </w:tabs>
        <w:spacing w:after="0" w:line="480" w:lineRule="auto"/>
        <w:ind w:left="0" w:firstLine="0"/>
        <w:jc w:val="both"/>
        <w:rPr>
          <w:rFonts w:ascii="Arial" w:hAnsi="Arial" w:cs="Arial"/>
          <w:sz w:val="24"/>
          <w:szCs w:val="24"/>
        </w:rPr>
      </w:pPr>
      <w:r>
        <w:rPr>
          <w:rFonts w:ascii="Arial" w:hAnsi="Arial" w:cs="Arial"/>
          <w:sz w:val="24"/>
          <w:szCs w:val="24"/>
        </w:rPr>
        <w:t xml:space="preserve">The issue before us for determination is whether in the light of the agreement between the parties to lead evidence on the issues of whether the first respondent was </w:t>
      </w:r>
      <w:r>
        <w:rPr>
          <w:rFonts w:ascii="Arial" w:hAnsi="Arial" w:cs="Arial"/>
          <w:sz w:val="24"/>
          <w:szCs w:val="24"/>
        </w:rPr>
        <w:lastRenderedPageBreak/>
        <w:t>acting in pursu</w:t>
      </w:r>
      <w:r w:rsidR="00335379">
        <w:rPr>
          <w:rFonts w:ascii="Arial" w:hAnsi="Arial" w:cs="Arial"/>
          <w:sz w:val="24"/>
          <w:szCs w:val="24"/>
        </w:rPr>
        <w:t>ance</w:t>
      </w:r>
      <w:r>
        <w:rPr>
          <w:rFonts w:ascii="Arial" w:hAnsi="Arial" w:cs="Arial"/>
          <w:sz w:val="24"/>
          <w:szCs w:val="24"/>
        </w:rPr>
        <w:t xml:space="preserve"> of the Act and whether the appellant’s claim was </w:t>
      </w:r>
      <w:r w:rsidR="00335379">
        <w:rPr>
          <w:rFonts w:ascii="Arial" w:hAnsi="Arial" w:cs="Arial"/>
          <w:sz w:val="24"/>
          <w:szCs w:val="24"/>
        </w:rPr>
        <w:t>time-</w:t>
      </w:r>
      <w:r>
        <w:rPr>
          <w:rFonts w:ascii="Arial" w:hAnsi="Arial" w:cs="Arial"/>
          <w:sz w:val="24"/>
          <w:szCs w:val="24"/>
        </w:rPr>
        <w:t>barred</w:t>
      </w:r>
      <w:r w:rsidR="00B94AA7">
        <w:rPr>
          <w:rFonts w:ascii="Arial" w:hAnsi="Arial" w:cs="Arial"/>
          <w:sz w:val="24"/>
          <w:szCs w:val="24"/>
        </w:rPr>
        <w:t xml:space="preserve"> and</w:t>
      </w:r>
      <w:r>
        <w:rPr>
          <w:rFonts w:ascii="Arial" w:hAnsi="Arial" w:cs="Arial"/>
          <w:sz w:val="24"/>
          <w:szCs w:val="24"/>
        </w:rPr>
        <w:t xml:space="preserve"> </w:t>
      </w:r>
      <w:r w:rsidR="00A94C08">
        <w:rPr>
          <w:rFonts w:ascii="Arial" w:hAnsi="Arial" w:cs="Arial"/>
          <w:sz w:val="24"/>
          <w:szCs w:val="24"/>
        </w:rPr>
        <w:t>further</w:t>
      </w:r>
      <w:r w:rsidR="00570D69">
        <w:rPr>
          <w:rFonts w:ascii="Arial" w:hAnsi="Arial" w:cs="Arial"/>
          <w:sz w:val="24"/>
          <w:szCs w:val="24"/>
        </w:rPr>
        <w:t>,</w:t>
      </w:r>
      <w:r w:rsidR="00A94C08">
        <w:rPr>
          <w:rFonts w:ascii="Arial" w:hAnsi="Arial" w:cs="Arial"/>
          <w:sz w:val="24"/>
          <w:szCs w:val="24"/>
        </w:rPr>
        <w:t xml:space="preserve"> whether </w:t>
      </w:r>
      <w:r>
        <w:rPr>
          <w:rFonts w:ascii="Arial" w:hAnsi="Arial" w:cs="Arial"/>
          <w:sz w:val="24"/>
          <w:szCs w:val="24"/>
        </w:rPr>
        <w:t xml:space="preserve">the decision of the </w:t>
      </w:r>
      <w:r w:rsidR="00E9294B">
        <w:rPr>
          <w:rFonts w:ascii="Arial" w:hAnsi="Arial" w:cs="Arial"/>
          <w:sz w:val="24"/>
          <w:szCs w:val="24"/>
        </w:rPr>
        <w:t>m</w:t>
      </w:r>
      <w:r>
        <w:rPr>
          <w:rFonts w:ascii="Arial" w:hAnsi="Arial" w:cs="Arial"/>
          <w:sz w:val="24"/>
          <w:szCs w:val="24"/>
        </w:rPr>
        <w:t xml:space="preserve">anaging </w:t>
      </w:r>
      <w:r w:rsidR="00E9294B">
        <w:rPr>
          <w:rFonts w:ascii="Arial" w:hAnsi="Arial" w:cs="Arial"/>
          <w:sz w:val="24"/>
          <w:szCs w:val="24"/>
        </w:rPr>
        <w:t>j</w:t>
      </w:r>
      <w:r>
        <w:rPr>
          <w:rFonts w:ascii="Arial" w:hAnsi="Arial" w:cs="Arial"/>
          <w:sz w:val="24"/>
          <w:szCs w:val="24"/>
        </w:rPr>
        <w:t xml:space="preserve">udge not to hear the special plea separately, </w:t>
      </w:r>
      <w:r w:rsidR="00B94AA7">
        <w:rPr>
          <w:rFonts w:ascii="Arial" w:hAnsi="Arial" w:cs="Arial"/>
          <w:sz w:val="24"/>
          <w:szCs w:val="24"/>
        </w:rPr>
        <w:t xml:space="preserve">meant that he </w:t>
      </w:r>
      <w:r>
        <w:rPr>
          <w:rFonts w:ascii="Arial" w:hAnsi="Arial" w:cs="Arial"/>
          <w:sz w:val="24"/>
          <w:szCs w:val="24"/>
        </w:rPr>
        <w:t xml:space="preserve">could </w:t>
      </w:r>
      <w:r w:rsidR="00B94AA7">
        <w:rPr>
          <w:rFonts w:ascii="Arial" w:hAnsi="Arial" w:cs="Arial"/>
          <w:sz w:val="24"/>
          <w:szCs w:val="24"/>
        </w:rPr>
        <w:t>determine the</w:t>
      </w:r>
      <w:r>
        <w:rPr>
          <w:rFonts w:ascii="Arial" w:hAnsi="Arial" w:cs="Arial"/>
          <w:sz w:val="24"/>
          <w:szCs w:val="24"/>
        </w:rPr>
        <w:t xml:space="preserve"> special plea without hearing evidence.</w:t>
      </w:r>
    </w:p>
    <w:p w:rsidR="00D13378" w:rsidRDefault="00D13378" w:rsidP="000A6107">
      <w:pPr>
        <w:pStyle w:val="ListParagraph"/>
        <w:spacing w:after="0" w:line="480" w:lineRule="auto"/>
        <w:jc w:val="both"/>
        <w:rPr>
          <w:rFonts w:ascii="Arial" w:hAnsi="Arial" w:cs="Arial"/>
          <w:sz w:val="24"/>
          <w:szCs w:val="24"/>
        </w:rPr>
      </w:pPr>
    </w:p>
    <w:p w:rsidR="00D13378" w:rsidRDefault="000A6107" w:rsidP="00623669">
      <w:pPr>
        <w:numPr>
          <w:ilvl w:val="0"/>
          <w:numId w:val="28"/>
        </w:numPr>
        <w:tabs>
          <w:tab w:val="left" w:pos="0"/>
        </w:tabs>
        <w:spacing w:after="0" w:line="480" w:lineRule="auto"/>
        <w:ind w:left="0" w:firstLine="0"/>
        <w:jc w:val="both"/>
        <w:rPr>
          <w:rFonts w:ascii="Arial" w:hAnsi="Arial" w:cs="Arial"/>
          <w:sz w:val="24"/>
          <w:szCs w:val="24"/>
        </w:rPr>
      </w:pPr>
      <w:r>
        <w:rPr>
          <w:rFonts w:ascii="Arial" w:hAnsi="Arial" w:cs="Arial"/>
          <w:sz w:val="24"/>
          <w:szCs w:val="24"/>
        </w:rPr>
        <w:t xml:space="preserve">The question should be answered in the negative. In </w:t>
      </w:r>
      <w:r w:rsidR="00B94AA7">
        <w:rPr>
          <w:rFonts w:ascii="Arial" w:hAnsi="Arial" w:cs="Arial"/>
          <w:sz w:val="24"/>
          <w:szCs w:val="24"/>
        </w:rPr>
        <w:t xml:space="preserve">view of the pleadings, the case management and the pre-trial order </w:t>
      </w:r>
      <w:r w:rsidR="00A94C08">
        <w:rPr>
          <w:rFonts w:ascii="Arial" w:hAnsi="Arial" w:cs="Arial"/>
          <w:sz w:val="24"/>
          <w:szCs w:val="24"/>
        </w:rPr>
        <w:t xml:space="preserve">a dispute of fact arose, </w:t>
      </w:r>
      <w:r w:rsidR="00B94AA7">
        <w:rPr>
          <w:rFonts w:ascii="Arial" w:hAnsi="Arial" w:cs="Arial"/>
          <w:sz w:val="24"/>
          <w:szCs w:val="24"/>
        </w:rPr>
        <w:t xml:space="preserve">namely did the </w:t>
      </w:r>
      <w:r w:rsidR="00A94C08">
        <w:rPr>
          <w:rFonts w:ascii="Arial" w:hAnsi="Arial" w:cs="Arial"/>
          <w:sz w:val="24"/>
          <w:szCs w:val="24"/>
        </w:rPr>
        <w:t>first</w:t>
      </w:r>
      <w:r w:rsidR="00B94AA7">
        <w:rPr>
          <w:rFonts w:ascii="Arial" w:hAnsi="Arial" w:cs="Arial"/>
          <w:sz w:val="24"/>
          <w:szCs w:val="24"/>
        </w:rPr>
        <w:t xml:space="preserve"> respondent drive the vehicle </w:t>
      </w:r>
      <w:r w:rsidR="00A94C08">
        <w:rPr>
          <w:rFonts w:ascii="Arial" w:hAnsi="Arial" w:cs="Arial"/>
          <w:sz w:val="24"/>
          <w:szCs w:val="24"/>
        </w:rPr>
        <w:t xml:space="preserve">involved </w:t>
      </w:r>
      <w:r w:rsidR="00B94AA7">
        <w:rPr>
          <w:rFonts w:ascii="Arial" w:hAnsi="Arial" w:cs="Arial"/>
          <w:sz w:val="24"/>
          <w:szCs w:val="24"/>
        </w:rPr>
        <w:t xml:space="preserve">in pursuance of the Correctional Service Act 9 of 2012. Whereas the </w:t>
      </w:r>
      <w:r w:rsidR="00A94C08">
        <w:rPr>
          <w:rFonts w:ascii="Arial" w:hAnsi="Arial" w:cs="Arial"/>
          <w:sz w:val="24"/>
          <w:szCs w:val="24"/>
        </w:rPr>
        <w:t xml:space="preserve">notice given of the intended action could cause some confusion it did not detract from the fact that an issue developed between the parties as to whether the vehicle was driven in pursuance of the </w:t>
      </w:r>
      <w:r w:rsidR="006F3114">
        <w:rPr>
          <w:rFonts w:ascii="Arial" w:hAnsi="Arial" w:cs="Arial"/>
          <w:sz w:val="24"/>
          <w:szCs w:val="24"/>
        </w:rPr>
        <w:t>A</w:t>
      </w:r>
      <w:r w:rsidR="00A94C08">
        <w:rPr>
          <w:rFonts w:ascii="Arial" w:hAnsi="Arial" w:cs="Arial"/>
          <w:sz w:val="24"/>
          <w:szCs w:val="24"/>
        </w:rPr>
        <w:t>ct.</w:t>
      </w:r>
      <w:r w:rsidR="00B94AA7">
        <w:rPr>
          <w:rFonts w:ascii="Arial" w:hAnsi="Arial" w:cs="Arial"/>
          <w:sz w:val="24"/>
          <w:szCs w:val="24"/>
        </w:rPr>
        <w:t xml:space="preserve"> </w:t>
      </w:r>
    </w:p>
    <w:p w:rsidR="000A6107" w:rsidRDefault="000A6107" w:rsidP="000A6107">
      <w:pPr>
        <w:pStyle w:val="ListParagraph"/>
        <w:spacing w:after="0" w:line="480" w:lineRule="auto"/>
        <w:jc w:val="both"/>
        <w:rPr>
          <w:rFonts w:ascii="Arial" w:hAnsi="Arial" w:cs="Arial"/>
          <w:sz w:val="24"/>
          <w:szCs w:val="24"/>
        </w:rPr>
      </w:pPr>
    </w:p>
    <w:p w:rsidR="000A6107" w:rsidRDefault="000A6107" w:rsidP="00623669">
      <w:pPr>
        <w:numPr>
          <w:ilvl w:val="0"/>
          <w:numId w:val="28"/>
        </w:numPr>
        <w:tabs>
          <w:tab w:val="left" w:pos="0"/>
        </w:tabs>
        <w:spacing w:after="0" w:line="480" w:lineRule="auto"/>
        <w:ind w:left="0" w:firstLine="0"/>
        <w:jc w:val="both"/>
        <w:rPr>
          <w:rFonts w:ascii="Arial" w:hAnsi="Arial" w:cs="Arial"/>
          <w:sz w:val="24"/>
          <w:szCs w:val="24"/>
        </w:rPr>
      </w:pPr>
      <w:r>
        <w:rPr>
          <w:rFonts w:ascii="Arial" w:hAnsi="Arial" w:cs="Arial"/>
          <w:sz w:val="24"/>
          <w:szCs w:val="24"/>
        </w:rPr>
        <w:t>Regulation 40 provides:</w:t>
      </w:r>
    </w:p>
    <w:p w:rsidR="000A6107" w:rsidRPr="000A6107" w:rsidRDefault="000A6107" w:rsidP="0038409F">
      <w:pPr>
        <w:pStyle w:val="ListParagraph"/>
        <w:spacing w:after="0" w:line="480" w:lineRule="auto"/>
        <w:jc w:val="both"/>
        <w:rPr>
          <w:rFonts w:ascii="Arial" w:hAnsi="Arial" w:cs="Arial"/>
        </w:rPr>
      </w:pPr>
    </w:p>
    <w:p w:rsidR="000A6107" w:rsidRDefault="000A6107" w:rsidP="000A6107">
      <w:pPr>
        <w:tabs>
          <w:tab w:val="left" w:pos="0"/>
        </w:tabs>
        <w:spacing w:after="0" w:line="360" w:lineRule="auto"/>
        <w:jc w:val="both"/>
        <w:rPr>
          <w:rFonts w:ascii="Arial" w:hAnsi="Arial" w:cs="Arial"/>
        </w:rPr>
      </w:pPr>
      <w:r>
        <w:rPr>
          <w:rFonts w:ascii="Arial" w:hAnsi="Arial" w:cs="Arial"/>
        </w:rPr>
        <w:tab/>
        <w:t>‘Approval and control of official journeys of officers-</w:t>
      </w:r>
    </w:p>
    <w:p w:rsidR="000A6107" w:rsidRDefault="000A6107" w:rsidP="000A6107">
      <w:pPr>
        <w:tabs>
          <w:tab w:val="left" w:pos="0"/>
        </w:tabs>
        <w:spacing w:after="0" w:line="360" w:lineRule="auto"/>
        <w:ind w:left="1440" w:hanging="731"/>
        <w:jc w:val="both"/>
        <w:rPr>
          <w:rFonts w:ascii="Arial" w:hAnsi="Arial" w:cs="Arial"/>
        </w:rPr>
      </w:pPr>
      <w:r>
        <w:rPr>
          <w:rFonts w:ascii="Arial" w:hAnsi="Arial" w:cs="Arial"/>
        </w:rPr>
        <w:t>40.</w:t>
      </w:r>
      <w:r>
        <w:rPr>
          <w:rFonts w:ascii="Arial" w:hAnsi="Arial" w:cs="Arial"/>
        </w:rPr>
        <w:tab/>
        <w:t>Every official journey of an officer must be approved by the Commissioner-General, the officer in charge or head of office or work place who must ensure that the journey is necessary and in the interest of the Correctional Service.’</w:t>
      </w:r>
    </w:p>
    <w:p w:rsidR="009653F8" w:rsidRPr="009653F8" w:rsidRDefault="009653F8" w:rsidP="009653F8">
      <w:pPr>
        <w:tabs>
          <w:tab w:val="left" w:pos="0"/>
        </w:tabs>
        <w:spacing w:after="0" w:line="480" w:lineRule="auto"/>
        <w:ind w:left="1440" w:hanging="731"/>
        <w:jc w:val="both"/>
        <w:rPr>
          <w:rFonts w:ascii="Arial" w:hAnsi="Arial" w:cs="Arial"/>
          <w:sz w:val="24"/>
          <w:szCs w:val="24"/>
        </w:rPr>
      </w:pPr>
    </w:p>
    <w:p w:rsidR="001E4864" w:rsidRDefault="000A6107" w:rsidP="00623669">
      <w:pPr>
        <w:numPr>
          <w:ilvl w:val="0"/>
          <w:numId w:val="28"/>
        </w:numPr>
        <w:tabs>
          <w:tab w:val="left" w:pos="0"/>
        </w:tabs>
        <w:spacing w:after="0" w:line="480" w:lineRule="auto"/>
        <w:ind w:left="0" w:firstLine="0"/>
        <w:jc w:val="both"/>
        <w:rPr>
          <w:rFonts w:ascii="Arial" w:hAnsi="Arial" w:cs="Arial"/>
          <w:sz w:val="24"/>
          <w:szCs w:val="24"/>
        </w:rPr>
      </w:pPr>
      <w:r>
        <w:rPr>
          <w:rFonts w:ascii="Arial" w:hAnsi="Arial" w:cs="Arial"/>
          <w:sz w:val="24"/>
          <w:szCs w:val="24"/>
        </w:rPr>
        <w:t xml:space="preserve">The provision begs the questions, namely, was the first respondent’s journey </w:t>
      </w:r>
      <w:proofErr w:type="spellStart"/>
      <w:r>
        <w:rPr>
          <w:rFonts w:ascii="Arial" w:hAnsi="Arial" w:cs="Arial"/>
          <w:sz w:val="24"/>
          <w:szCs w:val="24"/>
        </w:rPr>
        <w:t>authorised</w:t>
      </w:r>
      <w:proofErr w:type="spellEnd"/>
      <w:r w:rsidR="00D97179">
        <w:rPr>
          <w:rFonts w:ascii="Arial" w:hAnsi="Arial" w:cs="Arial"/>
          <w:sz w:val="24"/>
          <w:szCs w:val="24"/>
        </w:rPr>
        <w:t>,</w:t>
      </w:r>
      <w:r>
        <w:rPr>
          <w:rFonts w:ascii="Arial" w:hAnsi="Arial" w:cs="Arial"/>
          <w:sz w:val="24"/>
          <w:szCs w:val="24"/>
        </w:rPr>
        <w:t xml:space="preserve"> </w:t>
      </w:r>
      <w:r w:rsidR="00D97179">
        <w:rPr>
          <w:rFonts w:ascii="Arial" w:hAnsi="Arial" w:cs="Arial"/>
          <w:sz w:val="24"/>
          <w:szCs w:val="24"/>
        </w:rPr>
        <w:t>b</w:t>
      </w:r>
      <w:r>
        <w:rPr>
          <w:rFonts w:ascii="Arial" w:hAnsi="Arial" w:cs="Arial"/>
          <w:sz w:val="24"/>
          <w:szCs w:val="24"/>
        </w:rPr>
        <w:t>y whom</w:t>
      </w:r>
      <w:r w:rsidR="00D97179">
        <w:rPr>
          <w:rFonts w:ascii="Arial" w:hAnsi="Arial" w:cs="Arial"/>
          <w:sz w:val="24"/>
          <w:szCs w:val="24"/>
        </w:rPr>
        <w:t>, was the journey necessary and in the interest of the Correctional Service?</w:t>
      </w:r>
    </w:p>
    <w:p w:rsidR="00D97179" w:rsidRDefault="00D97179" w:rsidP="00D97179">
      <w:pPr>
        <w:tabs>
          <w:tab w:val="left" w:pos="0"/>
        </w:tabs>
        <w:spacing w:after="0" w:line="480" w:lineRule="auto"/>
        <w:jc w:val="both"/>
        <w:rPr>
          <w:rFonts w:ascii="Arial" w:hAnsi="Arial" w:cs="Arial"/>
          <w:sz w:val="24"/>
          <w:szCs w:val="24"/>
        </w:rPr>
      </w:pPr>
    </w:p>
    <w:p w:rsidR="00D97179" w:rsidRDefault="00D97179" w:rsidP="00623669">
      <w:pPr>
        <w:numPr>
          <w:ilvl w:val="0"/>
          <w:numId w:val="28"/>
        </w:numPr>
        <w:tabs>
          <w:tab w:val="left" w:pos="0"/>
        </w:tabs>
        <w:spacing w:after="0" w:line="480" w:lineRule="auto"/>
        <w:ind w:left="0" w:firstLine="0"/>
        <w:jc w:val="both"/>
        <w:rPr>
          <w:rFonts w:ascii="Arial" w:hAnsi="Arial" w:cs="Arial"/>
          <w:sz w:val="24"/>
          <w:szCs w:val="24"/>
        </w:rPr>
      </w:pPr>
      <w:r>
        <w:rPr>
          <w:rFonts w:ascii="Arial" w:hAnsi="Arial" w:cs="Arial"/>
          <w:sz w:val="24"/>
          <w:szCs w:val="24"/>
        </w:rPr>
        <w:lastRenderedPageBreak/>
        <w:t>In my opinion</w:t>
      </w:r>
      <w:r w:rsidR="00570D69">
        <w:rPr>
          <w:rFonts w:ascii="Arial" w:hAnsi="Arial" w:cs="Arial"/>
          <w:sz w:val="24"/>
          <w:szCs w:val="24"/>
        </w:rPr>
        <w:t>,</w:t>
      </w:r>
      <w:r>
        <w:rPr>
          <w:rFonts w:ascii="Arial" w:hAnsi="Arial" w:cs="Arial"/>
          <w:sz w:val="24"/>
          <w:szCs w:val="24"/>
        </w:rPr>
        <w:t xml:space="preserve"> the questions above are best ventilated by leading evidence. In this regard I share the sentiments of </w:t>
      </w:r>
      <w:r w:rsidR="00C151E1">
        <w:rPr>
          <w:rFonts w:ascii="Arial" w:hAnsi="Arial" w:cs="Arial"/>
          <w:sz w:val="24"/>
          <w:szCs w:val="24"/>
        </w:rPr>
        <w:t xml:space="preserve">the </w:t>
      </w:r>
      <w:r>
        <w:rPr>
          <w:rFonts w:ascii="Arial" w:hAnsi="Arial" w:cs="Arial"/>
          <w:sz w:val="24"/>
          <w:szCs w:val="24"/>
        </w:rPr>
        <w:t xml:space="preserve">Supreme Court of South Africa (SCA) where </w:t>
      </w:r>
      <w:proofErr w:type="spellStart"/>
      <w:r>
        <w:rPr>
          <w:rFonts w:ascii="Arial" w:hAnsi="Arial" w:cs="Arial"/>
          <w:sz w:val="24"/>
          <w:szCs w:val="24"/>
        </w:rPr>
        <w:t>Smallb</w:t>
      </w:r>
      <w:r w:rsidR="00671A08">
        <w:rPr>
          <w:rFonts w:ascii="Arial" w:hAnsi="Arial" w:cs="Arial"/>
          <w:sz w:val="24"/>
          <w:szCs w:val="24"/>
        </w:rPr>
        <w:t>u</w:t>
      </w:r>
      <w:r>
        <w:rPr>
          <w:rFonts w:ascii="Arial" w:hAnsi="Arial" w:cs="Arial"/>
          <w:sz w:val="24"/>
          <w:szCs w:val="24"/>
        </w:rPr>
        <w:t>rger</w:t>
      </w:r>
      <w:proofErr w:type="spellEnd"/>
      <w:r w:rsidR="006F3114">
        <w:rPr>
          <w:rFonts w:ascii="Arial" w:hAnsi="Arial" w:cs="Arial"/>
          <w:sz w:val="24"/>
          <w:szCs w:val="24"/>
        </w:rPr>
        <w:t xml:space="preserve"> JA</w:t>
      </w:r>
      <w:r>
        <w:rPr>
          <w:rFonts w:ascii="Arial" w:hAnsi="Arial" w:cs="Arial"/>
          <w:sz w:val="24"/>
          <w:szCs w:val="24"/>
        </w:rPr>
        <w:t xml:space="preserve"> writing for the majority said:</w:t>
      </w:r>
    </w:p>
    <w:p w:rsidR="00D97179" w:rsidRDefault="00D97179" w:rsidP="009653F8">
      <w:pPr>
        <w:pStyle w:val="ListParagraph"/>
        <w:spacing w:after="0" w:line="480" w:lineRule="auto"/>
        <w:jc w:val="both"/>
        <w:rPr>
          <w:rFonts w:ascii="Arial" w:hAnsi="Arial" w:cs="Arial"/>
          <w:sz w:val="24"/>
          <w:szCs w:val="24"/>
        </w:rPr>
      </w:pPr>
    </w:p>
    <w:p w:rsidR="00D97179" w:rsidRDefault="00D97179" w:rsidP="00D97179">
      <w:pPr>
        <w:tabs>
          <w:tab w:val="left" w:pos="0"/>
        </w:tabs>
        <w:spacing w:after="0" w:line="360" w:lineRule="auto"/>
        <w:ind w:left="720"/>
        <w:jc w:val="both"/>
        <w:rPr>
          <w:rFonts w:ascii="Arial" w:hAnsi="Arial" w:cs="Arial"/>
        </w:rPr>
      </w:pPr>
      <w:r>
        <w:rPr>
          <w:rFonts w:ascii="Arial" w:hAnsi="Arial" w:cs="Arial"/>
        </w:rPr>
        <w:t xml:space="preserve">‘In my view, one cannot determine the issue before us </w:t>
      </w:r>
      <w:r w:rsidRPr="00D97179">
        <w:rPr>
          <w:rFonts w:ascii="Arial" w:hAnsi="Arial" w:cs="Arial"/>
          <w:i/>
        </w:rPr>
        <w:t xml:space="preserve">in </w:t>
      </w:r>
      <w:proofErr w:type="spellStart"/>
      <w:r w:rsidRPr="00D97179">
        <w:rPr>
          <w:rFonts w:ascii="Arial" w:hAnsi="Arial" w:cs="Arial"/>
          <w:i/>
        </w:rPr>
        <w:t>vacuo</w:t>
      </w:r>
      <w:proofErr w:type="spellEnd"/>
      <w:r>
        <w:rPr>
          <w:rFonts w:ascii="Arial" w:hAnsi="Arial" w:cs="Arial"/>
        </w:rPr>
        <w:t>. It is impossible to lay down precise rules governing the meaning of each of the concepts. Notionally they differ. Their application must inevitably depend upon the facts and circumstances of each particular case, which in the nature of things can vary radically and cover a myriad of situations.</w:t>
      </w:r>
    </w:p>
    <w:p w:rsidR="00D97179" w:rsidRDefault="00D97179" w:rsidP="00D97179">
      <w:pPr>
        <w:tabs>
          <w:tab w:val="left" w:pos="0"/>
        </w:tabs>
        <w:spacing w:after="0" w:line="360" w:lineRule="auto"/>
        <w:ind w:left="720"/>
        <w:jc w:val="both"/>
        <w:rPr>
          <w:rFonts w:ascii="Arial" w:hAnsi="Arial" w:cs="Arial"/>
        </w:rPr>
      </w:pPr>
      <w:r>
        <w:rPr>
          <w:rFonts w:ascii="Arial" w:hAnsi="Arial" w:cs="Arial"/>
        </w:rPr>
        <w:t xml:space="preserve">Only once the relevant facts have been established will it be possible to determine, applying </w:t>
      </w:r>
      <w:proofErr w:type="spellStart"/>
      <w:r>
        <w:rPr>
          <w:rFonts w:ascii="Arial" w:hAnsi="Arial" w:cs="Arial"/>
        </w:rPr>
        <w:t>recognised</w:t>
      </w:r>
      <w:proofErr w:type="spellEnd"/>
      <w:r>
        <w:rPr>
          <w:rFonts w:ascii="Arial" w:hAnsi="Arial" w:cs="Arial"/>
        </w:rPr>
        <w:t xml:space="preserve"> principles, whether the acts complained of amount to conduct ‘within the course and scope of employment’ or ‘in pursuance of’ the Act, or both, or neither. While the concepts clearly overlap, one cannot predict with certainty that they will necessarily always be co-extensive.</w:t>
      </w:r>
    </w:p>
    <w:p w:rsidR="00D97179" w:rsidRDefault="00D97179" w:rsidP="00D97179">
      <w:pPr>
        <w:tabs>
          <w:tab w:val="left" w:pos="0"/>
        </w:tabs>
        <w:spacing w:after="0" w:line="360" w:lineRule="auto"/>
        <w:ind w:left="720"/>
        <w:jc w:val="both"/>
        <w:rPr>
          <w:rFonts w:ascii="Arial" w:hAnsi="Arial" w:cs="Arial"/>
        </w:rPr>
      </w:pPr>
      <w:r>
        <w:rPr>
          <w:rFonts w:ascii="Arial" w:hAnsi="Arial" w:cs="Arial"/>
        </w:rPr>
        <w:t xml:space="preserve">In the result the particulars of claim were, at worst for the plaintiffs, equivocal. For the defendants to have succeeded in their special pleas, which was in the nature of a special </w:t>
      </w:r>
      <w:proofErr w:type="spellStart"/>
      <w:r>
        <w:rPr>
          <w:rFonts w:ascii="Arial" w:hAnsi="Arial" w:cs="Arial"/>
        </w:rPr>
        <w:t>defence</w:t>
      </w:r>
      <w:proofErr w:type="spellEnd"/>
      <w:r>
        <w:rPr>
          <w:rFonts w:ascii="Arial" w:hAnsi="Arial" w:cs="Arial"/>
        </w:rPr>
        <w:t xml:space="preserve"> </w:t>
      </w:r>
      <w:r w:rsidR="00154629">
        <w:rPr>
          <w:rFonts w:ascii="Arial" w:hAnsi="Arial" w:cs="Arial"/>
        </w:rPr>
        <w:t xml:space="preserve">(see </w:t>
      </w:r>
      <w:r w:rsidR="00154629">
        <w:rPr>
          <w:rFonts w:ascii="Arial" w:hAnsi="Arial" w:cs="Arial"/>
          <w:i/>
        </w:rPr>
        <w:t xml:space="preserve">Minister of Police and Another v </w:t>
      </w:r>
      <w:proofErr w:type="spellStart"/>
      <w:r w:rsidR="00154629">
        <w:rPr>
          <w:rFonts w:ascii="Arial" w:hAnsi="Arial" w:cs="Arial"/>
          <w:i/>
        </w:rPr>
        <w:t>Gasa</w:t>
      </w:r>
      <w:proofErr w:type="spellEnd"/>
      <w:r w:rsidR="00154629">
        <w:rPr>
          <w:rFonts w:ascii="Arial" w:hAnsi="Arial" w:cs="Arial"/>
          <w:i/>
        </w:rPr>
        <w:t xml:space="preserve"> </w:t>
      </w:r>
      <w:r w:rsidR="00154629">
        <w:rPr>
          <w:rFonts w:ascii="Arial" w:hAnsi="Arial" w:cs="Arial"/>
        </w:rPr>
        <w:t xml:space="preserve">1980 (3) (N) at 388G-H; </w:t>
      </w:r>
      <w:proofErr w:type="spellStart"/>
      <w:r w:rsidR="00154629">
        <w:rPr>
          <w:rFonts w:ascii="Arial" w:hAnsi="Arial" w:cs="Arial"/>
          <w:i/>
        </w:rPr>
        <w:t>Gericke</w:t>
      </w:r>
      <w:proofErr w:type="spellEnd"/>
      <w:r w:rsidR="00154629">
        <w:rPr>
          <w:rFonts w:ascii="Arial" w:hAnsi="Arial" w:cs="Arial"/>
          <w:i/>
        </w:rPr>
        <w:t xml:space="preserve"> v Sack </w:t>
      </w:r>
      <w:r w:rsidR="00154629">
        <w:rPr>
          <w:rFonts w:ascii="Arial" w:hAnsi="Arial" w:cs="Arial"/>
        </w:rPr>
        <w:t xml:space="preserve">1978 (1) SA 821 (A) at 826B </w:t>
      </w:r>
      <w:r w:rsidR="00154629">
        <w:rPr>
          <w:rFonts w:ascii="Arial" w:hAnsi="Arial" w:cs="Arial"/>
          <w:i/>
        </w:rPr>
        <w:t xml:space="preserve">et </w:t>
      </w:r>
      <w:proofErr w:type="spellStart"/>
      <w:r w:rsidR="00154629">
        <w:rPr>
          <w:rFonts w:ascii="Arial" w:hAnsi="Arial" w:cs="Arial"/>
          <w:i/>
        </w:rPr>
        <w:t>seq</w:t>
      </w:r>
      <w:proofErr w:type="spellEnd"/>
      <w:r w:rsidR="00154629">
        <w:rPr>
          <w:rFonts w:ascii="Arial" w:hAnsi="Arial" w:cs="Arial"/>
        </w:rPr>
        <w:t xml:space="preserve">), it was incumbent upon them to prove that the first defendant’s conduct on which the plaintiffs’ action was founded, was in pursuance of the Act (compare </w:t>
      </w:r>
      <w:proofErr w:type="spellStart"/>
      <w:r w:rsidR="00154629">
        <w:rPr>
          <w:rFonts w:ascii="Arial" w:hAnsi="Arial" w:cs="Arial"/>
          <w:i/>
        </w:rPr>
        <w:t>Matlou</w:t>
      </w:r>
      <w:proofErr w:type="spellEnd"/>
      <w:r w:rsidR="00154629">
        <w:rPr>
          <w:rFonts w:ascii="Arial" w:hAnsi="Arial" w:cs="Arial"/>
          <w:i/>
        </w:rPr>
        <w:t xml:space="preserve"> v </w:t>
      </w:r>
      <w:proofErr w:type="spellStart"/>
      <w:r w:rsidR="00154629">
        <w:rPr>
          <w:rFonts w:ascii="Arial" w:hAnsi="Arial" w:cs="Arial"/>
          <w:i/>
        </w:rPr>
        <w:t>Makhubedu</w:t>
      </w:r>
      <w:proofErr w:type="spellEnd"/>
      <w:r w:rsidR="00154629">
        <w:rPr>
          <w:rFonts w:ascii="Arial" w:hAnsi="Arial" w:cs="Arial"/>
          <w:i/>
        </w:rPr>
        <w:t xml:space="preserve"> </w:t>
      </w:r>
      <w:r w:rsidR="00154629">
        <w:rPr>
          <w:rFonts w:ascii="Arial" w:hAnsi="Arial" w:cs="Arial"/>
        </w:rPr>
        <w:t xml:space="preserve">1978 (1) SA 946 (A) at 955E </w:t>
      </w:r>
      <w:r w:rsidR="00154629">
        <w:rPr>
          <w:rFonts w:ascii="Arial" w:hAnsi="Arial" w:cs="Arial"/>
          <w:i/>
        </w:rPr>
        <w:t xml:space="preserve">et </w:t>
      </w:r>
      <w:proofErr w:type="spellStart"/>
      <w:r w:rsidR="00154629">
        <w:rPr>
          <w:rFonts w:ascii="Arial" w:hAnsi="Arial" w:cs="Arial"/>
          <w:i/>
        </w:rPr>
        <w:t>seq</w:t>
      </w:r>
      <w:proofErr w:type="spellEnd"/>
      <w:r w:rsidR="00154629">
        <w:rPr>
          <w:rFonts w:ascii="Arial" w:hAnsi="Arial" w:cs="Arial"/>
        </w:rPr>
        <w:t>). This they failed to do. The appeal accordingly cannot succeed.’</w:t>
      </w:r>
      <w:r w:rsidR="00490D0C">
        <w:rPr>
          <w:rStyle w:val="FootnoteReference"/>
          <w:rFonts w:ascii="Arial" w:hAnsi="Arial" w:cs="Arial"/>
        </w:rPr>
        <w:footnoteReference w:id="1"/>
      </w:r>
    </w:p>
    <w:p w:rsidR="00490D0C" w:rsidRPr="00490D0C" w:rsidRDefault="00490D0C" w:rsidP="00490D0C">
      <w:pPr>
        <w:tabs>
          <w:tab w:val="left" w:pos="0"/>
        </w:tabs>
        <w:spacing w:after="0" w:line="480" w:lineRule="auto"/>
        <w:ind w:left="720"/>
        <w:jc w:val="both"/>
        <w:rPr>
          <w:rFonts w:ascii="Arial" w:hAnsi="Arial" w:cs="Arial"/>
          <w:sz w:val="24"/>
          <w:szCs w:val="24"/>
        </w:rPr>
      </w:pPr>
    </w:p>
    <w:p w:rsidR="00D97179" w:rsidRDefault="00154629" w:rsidP="00623669">
      <w:pPr>
        <w:numPr>
          <w:ilvl w:val="0"/>
          <w:numId w:val="28"/>
        </w:numPr>
        <w:tabs>
          <w:tab w:val="left" w:pos="0"/>
        </w:tabs>
        <w:spacing w:after="0" w:line="480" w:lineRule="auto"/>
        <w:ind w:left="0" w:firstLine="0"/>
        <w:jc w:val="both"/>
        <w:rPr>
          <w:rFonts w:ascii="Arial" w:hAnsi="Arial" w:cs="Arial"/>
          <w:sz w:val="24"/>
          <w:szCs w:val="24"/>
        </w:rPr>
      </w:pPr>
      <w:r>
        <w:rPr>
          <w:rFonts w:ascii="Arial" w:hAnsi="Arial" w:cs="Arial"/>
          <w:sz w:val="24"/>
          <w:szCs w:val="24"/>
        </w:rPr>
        <w:t>In this particular case the parties agreed to lead evidence, but counsel for the respondents argued that the respondents always opposed the leading of evidence because the appellant by giving notice in terms of s 134(4) brought himself in the realm of the Act – admitting that s 133(3) was applicable. What counsel omits to consider is, despite respondents</w:t>
      </w:r>
      <w:r w:rsidR="0038409F">
        <w:rPr>
          <w:rFonts w:ascii="Arial" w:hAnsi="Arial" w:cs="Arial"/>
          <w:sz w:val="24"/>
          <w:szCs w:val="24"/>
        </w:rPr>
        <w:t>’</w:t>
      </w:r>
      <w:r>
        <w:rPr>
          <w:rFonts w:ascii="Arial" w:hAnsi="Arial" w:cs="Arial"/>
          <w:sz w:val="24"/>
          <w:szCs w:val="24"/>
        </w:rPr>
        <w:t xml:space="preserve"> protestations</w:t>
      </w:r>
      <w:r w:rsidR="0038409F">
        <w:rPr>
          <w:rFonts w:ascii="Arial" w:hAnsi="Arial" w:cs="Arial"/>
          <w:sz w:val="24"/>
          <w:szCs w:val="24"/>
        </w:rPr>
        <w:t>,</w:t>
      </w:r>
      <w:r>
        <w:rPr>
          <w:rFonts w:ascii="Arial" w:hAnsi="Arial" w:cs="Arial"/>
          <w:sz w:val="24"/>
          <w:szCs w:val="24"/>
        </w:rPr>
        <w:t xml:space="preserve"> on 18 October 2019 the parties filed the case </w:t>
      </w:r>
      <w:r>
        <w:rPr>
          <w:rFonts w:ascii="Arial" w:hAnsi="Arial" w:cs="Arial"/>
          <w:sz w:val="24"/>
          <w:szCs w:val="24"/>
        </w:rPr>
        <w:lastRenderedPageBreak/>
        <w:t>management report and paragraphs (J) and (K) records that the court had taken the decision not to hear the special plea separately. On 21 October 2019 the court considered and adopted the said report and among other things</w:t>
      </w:r>
      <w:r w:rsidR="00F178EE">
        <w:rPr>
          <w:rFonts w:ascii="Arial" w:hAnsi="Arial" w:cs="Arial"/>
          <w:sz w:val="24"/>
          <w:szCs w:val="24"/>
        </w:rPr>
        <w:t>,</w:t>
      </w:r>
      <w:r>
        <w:rPr>
          <w:rFonts w:ascii="Arial" w:hAnsi="Arial" w:cs="Arial"/>
          <w:sz w:val="24"/>
          <w:szCs w:val="24"/>
        </w:rPr>
        <w:t xml:space="preserve"> the court ordered the parties to file witness statements on or before 20 November 2019. Eventually dates </w:t>
      </w:r>
      <w:r w:rsidR="00490D0C">
        <w:rPr>
          <w:rFonts w:ascii="Arial" w:hAnsi="Arial" w:cs="Arial"/>
          <w:sz w:val="24"/>
          <w:szCs w:val="24"/>
        </w:rPr>
        <w:t>were set for trial.</w:t>
      </w:r>
      <w:r w:rsidR="00B94AA7">
        <w:rPr>
          <w:rFonts w:ascii="Arial" w:hAnsi="Arial" w:cs="Arial"/>
          <w:sz w:val="24"/>
          <w:szCs w:val="24"/>
        </w:rPr>
        <w:t xml:space="preserve"> Furthermore, as indicated above, </w:t>
      </w:r>
      <w:r w:rsidR="00A94C08">
        <w:rPr>
          <w:rFonts w:ascii="Arial" w:hAnsi="Arial" w:cs="Arial"/>
          <w:sz w:val="24"/>
          <w:szCs w:val="24"/>
        </w:rPr>
        <w:t xml:space="preserve">a factual issue </w:t>
      </w:r>
      <w:r w:rsidR="00A152C2">
        <w:rPr>
          <w:rFonts w:ascii="Arial" w:hAnsi="Arial" w:cs="Arial"/>
          <w:sz w:val="24"/>
          <w:szCs w:val="24"/>
        </w:rPr>
        <w:t xml:space="preserve">arose </w:t>
      </w:r>
      <w:r w:rsidR="00A94C08">
        <w:rPr>
          <w:rFonts w:ascii="Arial" w:hAnsi="Arial" w:cs="Arial"/>
          <w:sz w:val="24"/>
          <w:szCs w:val="24"/>
        </w:rPr>
        <w:t>which could not be determined without hearing evidence.</w:t>
      </w:r>
    </w:p>
    <w:p w:rsidR="00570D69" w:rsidRDefault="00570D69" w:rsidP="00570D69">
      <w:pPr>
        <w:tabs>
          <w:tab w:val="left" w:pos="0"/>
        </w:tabs>
        <w:spacing w:after="0" w:line="480" w:lineRule="auto"/>
        <w:jc w:val="both"/>
        <w:rPr>
          <w:rFonts w:ascii="Arial" w:hAnsi="Arial" w:cs="Arial"/>
          <w:sz w:val="24"/>
          <w:szCs w:val="24"/>
        </w:rPr>
      </w:pPr>
    </w:p>
    <w:p w:rsidR="00490D0C" w:rsidRDefault="00490D0C" w:rsidP="00623669">
      <w:pPr>
        <w:numPr>
          <w:ilvl w:val="0"/>
          <w:numId w:val="28"/>
        </w:numPr>
        <w:tabs>
          <w:tab w:val="left" w:pos="0"/>
        </w:tabs>
        <w:spacing w:after="0" w:line="480" w:lineRule="auto"/>
        <w:ind w:left="0" w:firstLine="0"/>
        <w:jc w:val="both"/>
        <w:rPr>
          <w:rFonts w:ascii="Arial" w:hAnsi="Arial" w:cs="Arial"/>
          <w:sz w:val="24"/>
          <w:szCs w:val="24"/>
        </w:rPr>
      </w:pPr>
      <w:r>
        <w:rPr>
          <w:rFonts w:ascii="Arial" w:hAnsi="Arial" w:cs="Arial"/>
          <w:sz w:val="24"/>
          <w:szCs w:val="24"/>
        </w:rPr>
        <w:t xml:space="preserve">There is nothing before us why the trial judge departed from </w:t>
      </w:r>
      <w:r w:rsidR="0038409F">
        <w:rPr>
          <w:rFonts w:ascii="Arial" w:hAnsi="Arial" w:cs="Arial"/>
          <w:sz w:val="24"/>
          <w:szCs w:val="24"/>
        </w:rPr>
        <w:t xml:space="preserve">the </w:t>
      </w:r>
      <w:r>
        <w:rPr>
          <w:rFonts w:ascii="Arial" w:hAnsi="Arial" w:cs="Arial"/>
          <w:sz w:val="24"/>
          <w:szCs w:val="24"/>
        </w:rPr>
        <w:t xml:space="preserve">agreement by the parties </w:t>
      </w:r>
      <w:r w:rsidR="00532772">
        <w:rPr>
          <w:rFonts w:ascii="Arial" w:hAnsi="Arial" w:cs="Arial"/>
          <w:sz w:val="24"/>
          <w:szCs w:val="24"/>
        </w:rPr>
        <w:t>n</w:t>
      </w:r>
      <w:r w:rsidR="00570D69">
        <w:rPr>
          <w:rFonts w:ascii="Arial" w:hAnsi="Arial" w:cs="Arial"/>
          <w:sz w:val="24"/>
          <w:szCs w:val="24"/>
        </w:rPr>
        <w:t xml:space="preserve">or is there an order varying the prior agreement and order, </w:t>
      </w:r>
      <w:r>
        <w:rPr>
          <w:rFonts w:ascii="Arial" w:hAnsi="Arial" w:cs="Arial"/>
          <w:sz w:val="24"/>
          <w:szCs w:val="24"/>
        </w:rPr>
        <w:t>when he heard the special plea without evidence. Counsel for the respondents confirmed that the witness statements were available, so were the witnesses.</w:t>
      </w:r>
    </w:p>
    <w:p w:rsidR="006F3114" w:rsidRDefault="006F3114" w:rsidP="006F3114">
      <w:pPr>
        <w:tabs>
          <w:tab w:val="left" w:pos="0"/>
        </w:tabs>
        <w:spacing w:after="0" w:line="480" w:lineRule="auto"/>
        <w:jc w:val="both"/>
        <w:rPr>
          <w:rFonts w:ascii="Arial" w:hAnsi="Arial" w:cs="Arial"/>
          <w:sz w:val="24"/>
          <w:szCs w:val="24"/>
        </w:rPr>
      </w:pPr>
    </w:p>
    <w:p w:rsidR="00490D0C" w:rsidRPr="006F3114" w:rsidRDefault="00490D0C" w:rsidP="00F84737">
      <w:pPr>
        <w:numPr>
          <w:ilvl w:val="0"/>
          <w:numId w:val="28"/>
        </w:numPr>
        <w:tabs>
          <w:tab w:val="left" w:pos="0"/>
        </w:tabs>
        <w:spacing w:after="0" w:line="480" w:lineRule="auto"/>
        <w:ind w:left="0" w:firstLine="0"/>
        <w:jc w:val="both"/>
        <w:rPr>
          <w:rFonts w:ascii="Arial" w:hAnsi="Arial" w:cs="Arial"/>
          <w:sz w:val="24"/>
          <w:szCs w:val="24"/>
        </w:rPr>
      </w:pPr>
      <w:r w:rsidRPr="006F3114">
        <w:rPr>
          <w:rFonts w:ascii="Arial" w:hAnsi="Arial" w:cs="Arial"/>
          <w:sz w:val="24"/>
          <w:szCs w:val="24"/>
        </w:rPr>
        <w:t>On the agreements between the parties I do no better than to refer with appro</w:t>
      </w:r>
      <w:r w:rsidR="0038409F" w:rsidRPr="006F3114">
        <w:rPr>
          <w:rFonts w:ascii="Arial" w:hAnsi="Arial" w:cs="Arial"/>
          <w:sz w:val="24"/>
          <w:szCs w:val="24"/>
        </w:rPr>
        <w:t>val</w:t>
      </w:r>
      <w:r w:rsidRPr="006F3114">
        <w:rPr>
          <w:rFonts w:ascii="Arial" w:hAnsi="Arial" w:cs="Arial"/>
          <w:sz w:val="24"/>
          <w:szCs w:val="24"/>
        </w:rPr>
        <w:t xml:space="preserve"> the sentiments of </w:t>
      </w:r>
      <w:proofErr w:type="spellStart"/>
      <w:r w:rsidRPr="006F3114">
        <w:rPr>
          <w:rFonts w:ascii="Arial" w:hAnsi="Arial" w:cs="Arial"/>
          <w:sz w:val="24"/>
          <w:szCs w:val="24"/>
        </w:rPr>
        <w:t>Damaseb</w:t>
      </w:r>
      <w:proofErr w:type="spellEnd"/>
      <w:r w:rsidRPr="006F3114">
        <w:rPr>
          <w:rFonts w:ascii="Arial" w:hAnsi="Arial" w:cs="Arial"/>
          <w:sz w:val="24"/>
          <w:szCs w:val="24"/>
        </w:rPr>
        <w:t xml:space="preserve"> AJA</w:t>
      </w:r>
      <w:r w:rsidR="006F3114">
        <w:rPr>
          <w:rFonts w:ascii="Arial" w:hAnsi="Arial" w:cs="Arial"/>
          <w:sz w:val="24"/>
          <w:szCs w:val="24"/>
        </w:rPr>
        <w:t xml:space="preserve"> (as </w:t>
      </w:r>
      <w:r w:rsidR="00570D69">
        <w:rPr>
          <w:rFonts w:ascii="Arial" w:hAnsi="Arial" w:cs="Arial"/>
          <w:sz w:val="24"/>
          <w:szCs w:val="24"/>
        </w:rPr>
        <w:t xml:space="preserve">he </w:t>
      </w:r>
      <w:r w:rsidR="006F3114">
        <w:rPr>
          <w:rFonts w:ascii="Arial" w:hAnsi="Arial" w:cs="Arial"/>
          <w:sz w:val="24"/>
          <w:szCs w:val="24"/>
        </w:rPr>
        <w:t>then was),</w:t>
      </w:r>
      <w:r w:rsidRPr="006F3114">
        <w:rPr>
          <w:rFonts w:ascii="Arial" w:hAnsi="Arial" w:cs="Arial"/>
          <w:sz w:val="24"/>
          <w:szCs w:val="24"/>
        </w:rPr>
        <w:t xml:space="preserve"> </w:t>
      </w:r>
      <w:r w:rsidR="006F3114">
        <w:rPr>
          <w:rFonts w:ascii="Arial" w:hAnsi="Arial" w:cs="Arial"/>
          <w:sz w:val="24"/>
          <w:szCs w:val="24"/>
        </w:rPr>
        <w:t xml:space="preserve">in </w:t>
      </w:r>
      <w:r w:rsidR="006F3114" w:rsidRPr="00532772">
        <w:rPr>
          <w:rFonts w:ascii="Arial" w:hAnsi="Arial" w:cs="Arial"/>
          <w:i/>
          <w:sz w:val="24"/>
          <w:szCs w:val="24"/>
        </w:rPr>
        <w:t xml:space="preserve">Stuurman v Mutual </w:t>
      </w:r>
      <w:r w:rsidR="00532772" w:rsidRPr="00532772">
        <w:rPr>
          <w:rFonts w:ascii="Arial" w:hAnsi="Arial" w:cs="Arial"/>
          <w:i/>
          <w:sz w:val="24"/>
          <w:szCs w:val="24"/>
        </w:rPr>
        <w:t>&amp;</w:t>
      </w:r>
      <w:r w:rsidR="006F3114" w:rsidRPr="00532772">
        <w:rPr>
          <w:rFonts w:ascii="Arial" w:hAnsi="Arial" w:cs="Arial"/>
          <w:i/>
          <w:sz w:val="24"/>
          <w:szCs w:val="24"/>
        </w:rPr>
        <w:t xml:space="preserve"> Federal </w:t>
      </w:r>
      <w:r w:rsidR="00532772" w:rsidRPr="00532772">
        <w:rPr>
          <w:rFonts w:ascii="Arial" w:hAnsi="Arial" w:cs="Arial"/>
          <w:i/>
          <w:sz w:val="24"/>
          <w:szCs w:val="24"/>
        </w:rPr>
        <w:t xml:space="preserve">Insurance </w:t>
      </w:r>
      <w:r w:rsidR="006F3114" w:rsidRPr="00532772">
        <w:rPr>
          <w:rFonts w:ascii="Arial" w:hAnsi="Arial" w:cs="Arial"/>
          <w:i/>
          <w:sz w:val="24"/>
          <w:szCs w:val="24"/>
        </w:rPr>
        <w:t>Company of Namibia Ltd</w:t>
      </w:r>
      <w:r w:rsidR="006F3114">
        <w:rPr>
          <w:rFonts w:ascii="Arial" w:hAnsi="Arial" w:cs="Arial"/>
          <w:sz w:val="24"/>
          <w:szCs w:val="24"/>
        </w:rPr>
        <w:t xml:space="preserve"> 2009 (1) NR 331, </w:t>
      </w:r>
      <w:r w:rsidRPr="006F3114">
        <w:rPr>
          <w:rFonts w:ascii="Arial" w:hAnsi="Arial" w:cs="Arial"/>
          <w:sz w:val="24"/>
          <w:szCs w:val="24"/>
        </w:rPr>
        <w:t>when he said:</w:t>
      </w:r>
    </w:p>
    <w:p w:rsidR="00490D0C" w:rsidRDefault="00490D0C" w:rsidP="0074364A">
      <w:pPr>
        <w:pStyle w:val="ListParagraph"/>
        <w:spacing w:after="0" w:line="360" w:lineRule="auto"/>
        <w:jc w:val="both"/>
        <w:rPr>
          <w:rFonts w:ascii="Arial" w:hAnsi="Arial" w:cs="Arial"/>
          <w:sz w:val="24"/>
          <w:szCs w:val="24"/>
        </w:rPr>
      </w:pPr>
    </w:p>
    <w:p w:rsidR="00490D0C" w:rsidRDefault="00490D0C" w:rsidP="00490D0C">
      <w:pPr>
        <w:tabs>
          <w:tab w:val="left" w:pos="0"/>
        </w:tabs>
        <w:spacing w:after="0" w:line="360" w:lineRule="auto"/>
        <w:ind w:left="720"/>
        <w:jc w:val="both"/>
        <w:rPr>
          <w:rFonts w:ascii="Arial" w:hAnsi="Arial" w:cs="Arial"/>
        </w:rPr>
      </w:pPr>
      <w:r>
        <w:rPr>
          <w:rFonts w:ascii="Arial" w:hAnsi="Arial" w:cs="Arial"/>
        </w:rPr>
        <w:t xml:space="preserve">‘[20] For his part, the defendant relies on the agreement reached between the parties’ legal practitioners to limit the issues to be decided by the trial court and recorded at the commencement of the hearing by Mainga J and argues that the plaintiff was not entitled </w:t>
      </w:r>
      <w:r w:rsidR="00330168">
        <w:rPr>
          <w:rFonts w:ascii="Arial" w:hAnsi="Arial" w:cs="Arial"/>
          <w:i/>
        </w:rPr>
        <w:t xml:space="preserve">a quo </w:t>
      </w:r>
      <w:r w:rsidR="00330168">
        <w:rPr>
          <w:rFonts w:ascii="Arial" w:hAnsi="Arial" w:cs="Arial"/>
        </w:rPr>
        <w:t>(and is not entitled on appeal), to raise the issue of the ineffectiveness of the repudiation as that was not an issue before the trial court in view of the agreement limiting the issues.</w:t>
      </w:r>
    </w:p>
    <w:p w:rsidR="006F3114" w:rsidRDefault="006F3114" w:rsidP="0074364A">
      <w:pPr>
        <w:tabs>
          <w:tab w:val="left" w:pos="0"/>
        </w:tabs>
        <w:spacing w:after="0" w:line="360" w:lineRule="auto"/>
        <w:ind w:left="720"/>
        <w:jc w:val="both"/>
        <w:rPr>
          <w:rFonts w:ascii="Arial" w:hAnsi="Arial" w:cs="Arial"/>
        </w:rPr>
      </w:pPr>
    </w:p>
    <w:p w:rsidR="00330168" w:rsidRDefault="00330168" w:rsidP="00490D0C">
      <w:pPr>
        <w:tabs>
          <w:tab w:val="left" w:pos="0"/>
        </w:tabs>
        <w:spacing w:after="0" w:line="360" w:lineRule="auto"/>
        <w:ind w:left="720"/>
        <w:jc w:val="both"/>
        <w:rPr>
          <w:rFonts w:ascii="Arial" w:hAnsi="Arial" w:cs="Arial"/>
        </w:rPr>
      </w:pPr>
      <w:r>
        <w:rPr>
          <w:rFonts w:ascii="Arial" w:hAnsi="Arial" w:cs="Arial"/>
        </w:rPr>
        <w:t>[21] Parties engaged in litigation are bound by the agreements they enter into limiting or defining the scope of the issues</w:t>
      </w:r>
      <w:r w:rsidR="00F34C87">
        <w:rPr>
          <w:rFonts w:ascii="Arial" w:hAnsi="Arial" w:cs="Arial"/>
        </w:rPr>
        <w:t xml:space="preserve"> to be decided by the tribunal before which they appear, to the extent that what they have agreed is clear or reasonably ascertainable. </w:t>
      </w:r>
      <w:r w:rsidR="00F34C87">
        <w:rPr>
          <w:rFonts w:ascii="Arial" w:hAnsi="Arial" w:cs="Arial"/>
        </w:rPr>
        <w:lastRenderedPageBreak/>
        <w:t xml:space="preserve">If any one of them want to </w:t>
      </w:r>
      <w:proofErr w:type="spellStart"/>
      <w:r w:rsidR="00F34C87">
        <w:rPr>
          <w:rFonts w:ascii="Arial" w:hAnsi="Arial" w:cs="Arial"/>
        </w:rPr>
        <w:t>resile</w:t>
      </w:r>
      <w:proofErr w:type="spellEnd"/>
      <w:r w:rsidR="00F34C87">
        <w:rPr>
          <w:rFonts w:ascii="Arial" w:hAnsi="Arial" w:cs="Arial"/>
        </w:rPr>
        <w:t xml:space="preserve"> from such agreement it would require the acquiescence of the other side, or the approval of the tribunal seized with the matter, on good cause shown. As was held by the Supreme Court of South Africa in </w:t>
      </w:r>
      <w:proofErr w:type="spellStart"/>
      <w:r w:rsidR="008F22A3">
        <w:rPr>
          <w:rFonts w:ascii="Arial" w:hAnsi="Arial" w:cs="Arial"/>
          <w:i/>
        </w:rPr>
        <w:t>Filta-Matix</w:t>
      </w:r>
      <w:proofErr w:type="spellEnd"/>
      <w:r w:rsidR="008F22A3">
        <w:rPr>
          <w:rFonts w:ascii="Arial" w:hAnsi="Arial" w:cs="Arial"/>
          <w:i/>
        </w:rPr>
        <w:t xml:space="preserve"> (Pty) Ltd v Freudenberg and Others </w:t>
      </w:r>
      <w:r w:rsidR="008F22A3">
        <w:rPr>
          <w:rFonts w:ascii="Arial" w:hAnsi="Arial" w:cs="Arial"/>
        </w:rPr>
        <w:t>1998 (1) SA 606 (SCA) ([1998] 1 All SA 239) at 614B-D:</w:t>
      </w:r>
    </w:p>
    <w:p w:rsidR="00D92541" w:rsidRDefault="00D92541" w:rsidP="00490D0C">
      <w:pPr>
        <w:tabs>
          <w:tab w:val="left" w:pos="0"/>
        </w:tabs>
        <w:spacing w:after="0" w:line="360" w:lineRule="auto"/>
        <w:ind w:left="720"/>
        <w:jc w:val="both"/>
        <w:rPr>
          <w:rFonts w:ascii="Arial" w:hAnsi="Arial" w:cs="Arial"/>
        </w:rPr>
      </w:pPr>
    </w:p>
    <w:p w:rsidR="008F22A3" w:rsidRDefault="006F3114" w:rsidP="008F22A3">
      <w:pPr>
        <w:tabs>
          <w:tab w:val="left" w:pos="0"/>
        </w:tabs>
        <w:spacing w:after="0" w:line="360" w:lineRule="auto"/>
        <w:ind w:left="1440"/>
        <w:jc w:val="both"/>
        <w:rPr>
          <w:rFonts w:ascii="Arial" w:hAnsi="Arial" w:cs="Arial"/>
        </w:rPr>
      </w:pPr>
      <w:r>
        <w:rPr>
          <w:rFonts w:ascii="Arial" w:hAnsi="Arial" w:cs="Arial"/>
        </w:rPr>
        <w:t>“</w:t>
      </w:r>
      <w:r w:rsidR="008F22A3">
        <w:rPr>
          <w:rFonts w:ascii="Arial" w:hAnsi="Arial" w:cs="Arial"/>
        </w:rPr>
        <w:t xml:space="preserve">To allow a party, without special circumstances, to </w:t>
      </w:r>
      <w:proofErr w:type="spellStart"/>
      <w:r w:rsidR="008F22A3">
        <w:rPr>
          <w:rFonts w:ascii="Arial" w:hAnsi="Arial" w:cs="Arial"/>
        </w:rPr>
        <w:t>resile</w:t>
      </w:r>
      <w:proofErr w:type="spellEnd"/>
      <w:r w:rsidR="008F22A3">
        <w:rPr>
          <w:rFonts w:ascii="Arial" w:hAnsi="Arial" w:cs="Arial"/>
        </w:rPr>
        <w:t xml:space="preserve"> from an agreement deliberately reached at a pre-trial conference would be to negate the object of Rule 37, which is to limit issues and to curtail the scope of the litigation. If a party elects to limit the ambit of his case, th</w:t>
      </w:r>
      <w:r>
        <w:rPr>
          <w:rFonts w:ascii="Arial" w:hAnsi="Arial" w:cs="Arial"/>
        </w:rPr>
        <w:t xml:space="preserve">e election is usually binding.’” </w:t>
      </w:r>
      <w:r w:rsidR="008F22A3">
        <w:rPr>
          <w:rFonts w:ascii="Arial" w:hAnsi="Arial" w:cs="Arial"/>
        </w:rPr>
        <w:t>[Footnotes omitted.]</w:t>
      </w:r>
    </w:p>
    <w:p w:rsidR="00D92541" w:rsidRDefault="00D92541" w:rsidP="008F22A3">
      <w:pPr>
        <w:tabs>
          <w:tab w:val="left" w:pos="0"/>
        </w:tabs>
        <w:spacing w:after="0" w:line="360" w:lineRule="auto"/>
        <w:ind w:left="1440"/>
        <w:jc w:val="both"/>
        <w:rPr>
          <w:rFonts w:ascii="Arial" w:hAnsi="Arial" w:cs="Arial"/>
        </w:rPr>
      </w:pPr>
    </w:p>
    <w:p w:rsidR="008F22A3" w:rsidRDefault="008F22A3" w:rsidP="00D92541">
      <w:pPr>
        <w:tabs>
          <w:tab w:val="left" w:pos="0"/>
        </w:tabs>
        <w:spacing w:after="0" w:line="360" w:lineRule="auto"/>
        <w:ind w:left="720"/>
        <w:jc w:val="both"/>
        <w:rPr>
          <w:rFonts w:ascii="Arial" w:hAnsi="Arial" w:cs="Arial"/>
        </w:rPr>
      </w:pPr>
      <w:r>
        <w:rPr>
          <w:rFonts w:ascii="Arial" w:hAnsi="Arial" w:cs="Arial"/>
        </w:rPr>
        <w:t xml:space="preserve">In </w:t>
      </w:r>
      <w:r>
        <w:rPr>
          <w:rFonts w:ascii="Arial" w:hAnsi="Arial" w:cs="Arial"/>
          <w:i/>
        </w:rPr>
        <w:t xml:space="preserve">F &amp; I advisors </w:t>
      </w:r>
      <w:r w:rsidR="00D92541">
        <w:rPr>
          <w:rFonts w:ascii="Arial" w:hAnsi="Arial" w:cs="Arial"/>
          <w:i/>
        </w:rPr>
        <w:t>(</w:t>
      </w:r>
      <w:proofErr w:type="spellStart"/>
      <w:r w:rsidR="00D92541">
        <w:rPr>
          <w:rFonts w:ascii="Arial" w:hAnsi="Arial" w:cs="Arial"/>
          <w:i/>
        </w:rPr>
        <w:t>Edms</w:t>
      </w:r>
      <w:proofErr w:type="spellEnd"/>
      <w:r w:rsidR="00D92541">
        <w:rPr>
          <w:rFonts w:ascii="Arial" w:hAnsi="Arial" w:cs="Arial"/>
          <w:i/>
        </w:rPr>
        <w:t xml:space="preserve">) </w:t>
      </w:r>
      <w:proofErr w:type="spellStart"/>
      <w:r w:rsidR="00D92541">
        <w:rPr>
          <w:rFonts w:ascii="Arial" w:hAnsi="Arial" w:cs="Arial"/>
          <w:i/>
        </w:rPr>
        <w:t>Bpk</w:t>
      </w:r>
      <w:proofErr w:type="spellEnd"/>
      <w:r w:rsidR="00D92541">
        <w:rPr>
          <w:rFonts w:ascii="Arial" w:hAnsi="Arial" w:cs="Arial"/>
          <w:i/>
        </w:rPr>
        <w:t xml:space="preserve"> en ‘n Ander v </w:t>
      </w:r>
      <w:proofErr w:type="spellStart"/>
      <w:r w:rsidR="00D92541">
        <w:rPr>
          <w:rFonts w:ascii="Arial" w:hAnsi="Arial" w:cs="Arial"/>
          <w:i/>
        </w:rPr>
        <w:t>Eerste</w:t>
      </w:r>
      <w:proofErr w:type="spellEnd"/>
      <w:r w:rsidR="00D92541">
        <w:rPr>
          <w:rFonts w:ascii="Arial" w:hAnsi="Arial" w:cs="Arial"/>
          <w:i/>
        </w:rPr>
        <w:t xml:space="preserve"> Nasional Bank van </w:t>
      </w:r>
      <w:proofErr w:type="spellStart"/>
      <w:r w:rsidR="00D92541">
        <w:rPr>
          <w:rFonts w:ascii="Arial" w:hAnsi="Arial" w:cs="Arial"/>
          <w:i/>
        </w:rPr>
        <w:t>Suidelike</w:t>
      </w:r>
      <w:proofErr w:type="spellEnd"/>
      <w:r w:rsidR="00D92541">
        <w:rPr>
          <w:rFonts w:ascii="Arial" w:hAnsi="Arial" w:cs="Arial"/>
          <w:i/>
        </w:rPr>
        <w:t xml:space="preserve"> </w:t>
      </w:r>
      <w:proofErr w:type="spellStart"/>
      <w:r w:rsidR="00D92541">
        <w:rPr>
          <w:rFonts w:ascii="Arial" w:hAnsi="Arial" w:cs="Arial"/>
          <w:i/>
        </w:rPr>
        <w:t>Afrika</w:t>
      </w:r>
      <w:proofErr w:type="spellEnd"/>
      <w:r w:rsidR="00D92541">
        <w:rPr>
          <w:rFonts w:ascii="Arial" w:hAnsi="Arial" w:cs="Arial"/>
          <w:i/>
        </w:rPr>
        <w:t xml:space="preserve"> </w:t>
      </w:r>
      <w:proofErr w:type="spellStart"/>
      <w:r w:rsidR="00D92541">
        <w:rPr>
          <w:rFonts w:ascii="Arial" w:hAnsi="Arial" w:cs="Arial"/>
          <w:i/>
        </w:rPr>
        <w:t>Bpk</w:t>
      </w:r>
      <w:proofErr w:type="spellEnd"/>
      <w:r w:rsidR="00D92541">
        <w:rPr>
          <w:rFonts w:ascii="Arial" w:hAnsi="Arial" w:cs="Arial"/>
          <w:i/>
        </w:rPr>
        <w:t xml:space="preserve"> </w:t>
      </w:r>
      <w:r w:rsidR="00D92541">
        <w:rPr>
          <w:rFonts w:ascii="Arial" w:hAnsi="Arial" w:cs="Arial"/>
        </w:rPr>
        <w:t>1999 (1) SA 515 (SCA) ([1998] 4 All SA 480) at 524F-H this principle was reiterated. The judgment is in Afrikaans and the headnote to the judgment will suffice (at 519D):</w:t>
      </w:r>
    </w:p>
    <w:p w:rsidR="00D92541" w:rsidRDefault="00D92541" w:rsidP="00D92541">
      <w:pPr>
        <w:tabs>
          <w:tab w:val="left" w:pos="0"/>
        </w:tabs>
        <w:spacing w:after="0" w:line="360" w:lineRule="auto"/>
        <w:ind w:left="720"/>
        <w:jc w:val="both"/>
        <w:rPr>
          <w:rFonts w:ascii="Arial" w:hAnsi="Arial" w:cs="Arial"/>
        </w:rPr>
      </w:pPr>
    </w:p>
    <w:p w:rsidR="00D92541" w:rsidRDefault="006F3114" w:rsidP="00D92541">
      <w:pPr>
        <w:tabs>
          <w:tab w:val="left" w:pos="0"/>
        </w:tabs>
        <w:spacing w:after="0" w:line="360" w:lineRule="auto"/>
        <w:ind w:left="1440"/>
        <w:jc w:val="both"/>
        <w:rPr>
          <w:rFonts w:ascii="Arial" w:hAnsi="Arial" w:cs="Arial"/>
        </w:rPr>
      </w:pPr>
      <w:r>
        <w:rPr>
          <w:rFonts w:ascii="Arial" w:hAnsi="Arial" w:cs="Arial"/>
        </w:rPr>
        <w:t>“</w:t>
      </w:r>
      <w:r w:rsidR="00D92541">
        <w:rPr>
          <w:rFonts w:ascii="Arial" w:hAnsi="Arial" w:cs="Arial"/>
        </w:rPr>
        <w:t xml:space="preserve">. . . </w:t>
      </w:r>
      <w:proofErr w:type="gramStart"/>
      <w:r w:rsidR="00D92541">
        <w:rPr>
          <w:rFonts w:ascii="Arial" w:hAnsi="Arial" w:cs="Arial"/>
        </w:rPr>
        <w:t>a</w:t>
      </w:r>
      <w:proofErr w:type="gramEnd"/>
      <w:r w:rsidR="00D92541">
        <w:rPr>
          <w:rFonts w:ascii="Arial" w:hAnsi="Arial" w:cs="Arial"/>
        </w:rPr>
        <w:t xml:space="preserve"> party was bound by an agreement limiting issues in litigation. As was the case with any settlement, it obviated the underlying disputes, including those relating to the validity of a cause of action. Circumstances could exist where a Court would not hold a party to such an agreement, but in the instant case no reasons had been advanced why the appellants should be released from their agreement.’’</w:t>
      </w:r>
      <w:r>
        <w:rPr>
          <w:rFonts w:ascii="Arial" w:hAnsi="Arial" w:cs="Arial"/>
        </w:rPr>
        <w:t>’</w:t>
      </w:r>
      <w:r w:rsidR="0038409F">
        <w:rPr>
          <w:rStyle w:val="FootnoteReference"/>
          <w:rFonts w:ascii="Arial" w:hAnsi="Arial" w:cs="Arial"/>
        </w:rPr>
        <w:footnoteReference w:id="2"/>
      </w:r>
    </w:p>
    <w:p w:rsidR="00D92541" w:rsidRPr="00D92541" w:rsidRDefault="00D92541" w:rsidP="00D92541">
      <w:pPr>
        <w:tabs>
          <w:tab w:val="left" w:pos="0"/>
        </w:tabs>
        <w:spacing w:after="0" w:line="480" w:lineRule="auto"/>
        <w:jc w:val="both"/>
        <w:rPr>
          <w:rFonts w:ascii="Arial" w:hAnsi="Arial" w:cs="Arial"/>
          <w:sz w:val="24"/>
          <w:szCs w:val="24"/>
        </w:rPr>
      </w:pPr>
    </w:p>
    <w:p w:rsidR="002E5345" w:rsidRDefault="0038409F" w:rsidP="00623669">
      <w:pPr>
        <w:numPr>
          <w:ilvl w:val="0"/>
          <w:numId w:val="28"/>
        </w:numPr>
        <w:tabs>
          <w:tab w:val="left" w:pos="0"/>
        </w:tabs>
        <w:spacing w:after="0" w:line="480" w:lineRule="auto"/>
        <w:ind w:left="0" w:firstLine="0"/>
        <w:jc w:val="both"/>
        <w:rPr>
          <w:rFonts w:ascii="Arial" w:hAnsi="Arial" w:cs="Arial"/>
          <w:sz w:val="24"/>
          <w:szCs w:val="24"/>
        </w:rPr>
      </w:pPr>
      <w:r>
        <w:rPr>
          <w:rFonts w:ascii="Arial" w:hAnsi="Arial" w:cs="Arial"/>
          <w:sz w:val="24"/>
          <w:szCs w:val="24"/>
        </w:rPr>
        <w:t>The parties were bound by the issues they</w:t>
      </w:r>
      <w:r w:rsidR="002E5345">
        <w:rPr>
          <w:rFonts w:ascii="Arial" w:hAnsi="Arial" w:cs="Arial"/>
          <w:sz w:val="24"/>
          <w:szCs w:val="24"/>
        </w:rPr>
        <w:t xml:space="preserve"> had agreed upon as contained in the pre-trial order. There is no good cause shown or special circumstances arising why the court </w:t>
      </w:r>
      <w:r w:rsidR="002E5345">
        <w:rPr>
          <w:rFonts w:ascii="Arial" w:hAnsi="Arial" w:cs="Arial"/>
          <w:i/>
          <w:sz w:val="24"/>
          <w:szCs w:val="24"/>
        </w:rPr>
        <w:t xml:space="preserve">a quo </w:t>
      </w:r>
      <w:r w:rsidR="002E5345">
        <w:rPr>
          <w:rFonts w:ascii="Arial" w:hAnsi="Arial" w:cs="Arial"/>
          <w:sz w:val="24"/>
          <w:szCs w:val="24"/>
        </w:rPr>
        <w:t>hea</w:t>
      </w:r>
      <w:r w:rsidR="006E0FA1">
        <w:rPr>
          <w:rFonts w:ascii="Arial" w:hAnsi="Arial" w:cs="Arial"/>
          <w:sz w:val="24"/>
          <w:szCs w:val="24"/>
        </w:rPr>
        <w:t>r</w:t>
      </w:r>
      <w:r w:rsidR="002E5345">
        <w:rPr>
          <w:rFonts w:ascii="Arial" w:hAnsi="Arial" w:cs="Arial"/>
          <w:sz w:val="24"/>
          <w:szCs w:val="24"/>
        </w:rPr>
        <w:t>d the special plea contrary to the parties’ agreement</w:t>
      </w:r>
      <w:r w:rsidR="00570D69">
        <w:rPr>
          <w:rFonts w:ascii="Arial" w:hAnsi="Arial" w:cs="Arial"/>
          <w:sz w:val="24"/>
          <w:szCs w:val="24"/>
        </w:rPr>
        <w:t xml:space="preserve"> and court order</w:t>
      </w:r>
      <w:r w:rsidR="002E5345">
        <w:rPr>
          <w:rFonts w:ascii="Arial" w:hAnsi="Arial" w:cs="Arial"/>
          <w:sz w:val="24"/>
          <w:szCs w:val="24"/>
        </w:rPr>
        <w:t xml:space="preserve">. </w:t>
      </w:r>
      <w:r w:rsidR="00A152C2">
        <w:rPr>
          <w:rFonts w:ascii="Arial" w:hAnsi="Arial" w:cs="Arial"/>
          <w:sz w:val="24"/>
          <w:szCs w:val="24"/>
        </w:rPr>
        <w:t xml:space="preserve">On the contrary, in view of the </w:t>
      </w:r>
      <w:r w:rsidR="00A94C08">
        <w:rPr>
          <w:rFonts w:ascii="Arial" w:hAnsi="Arial" w:cs="Arial"/>
          <w:sz w:val="24"/>
          <w:szCs w:val="24"/>
        </w:rPr>
        <w:t>factual</w:t>
      </w:r>
      <w:r w:rsidR="00A152C2">
        <w:rPr>
          <w:rFonts w:ascii="Arial" w:hAnsi="Arial" w:cs="Arial"/>
          <w:sz w:val="24"/>
          <w:szCs w:val="24"/>
        </w:rPr>
        <w:t xml:space="preserve"> dispute as </w:t>
      </w:r>
      <w:r w:rsidR="00A94C08">
        <w:rPr>
          <w:rFonts w:ascii="Arial" w:hAnsi="Arial" w:cs="Arial"/>
          <w:sz w:val="24"/>
          <w:szCs w:val="24"/>
        </w:rPr>
        <w:t xml:space="preserve">to </w:t>
      </w:r>
      <w:r w:rsidR="00A152C2">
        <w:rPr>
          <w:rFonts w:ascii="Arial" w:hAnsi="Arial" w:cs="Arial"/>
          <w:sz w:val="24"/>
          <w:szCs w:val="24"/>
        </w:rPr>
        <w:t xml:space="preserve">whether the vehicle was driven in pursuance of the </w:t>
      </w:r>
      <w:r w:rsidR="00F178EE">
        <w:rPr>
          <w:rFonts w:ascii="Arial" w:hAnsi="Arial" w:cs="Arial"/>
          <w:sz w:val="24"/>
          <w:szCs w:val="24"/>
        </w:rPr>
        <w:t>A</w:t>
      </w:r>
      <w:r w:rsidR="00A152C2">
        <w:rPr>
          <w:rFonts w:ascii="Arial" w:hAnsi="Arial" w:cs="Arial"/>
          <w:sz w:val="24"/>
          <w:szCs w:val="24"/>
        </w:rPr>
        <w:t>ct</w:t>
      </w:r>
      <w:r w:rsidR="00F178EE">
        <w:rPr>
          <w:rFonts w:ascii="Arial" w:hAnsi="Arial" w:cs="Arial"/>
          <w:sz w:val="24"/>
          <w:szCs w:val="24"/>
        </w:rPr>
        <w:t>,</w:t>
      </w:r>
      <w:r w:rsidR="00A152C2">
        <w:rPr>
          <w:rFonts w:ascii="Arial" w:hAnsi="Arial" w:cs="Arial"/>
          <w:sz w:val="24"/>
          <w:szCs w:val="24"/>
        </w:rPr>
        <w:t xml:space="preserve"> the special plea </w:t>
      </w:r>
      <w:r w:rsidR="00A94C08">
        <w:rPr>
          <w:rFonts w:ascii="Arial" w:hAnsi="Arial" w:cs="Arial"/>
          <w:sz w:val="24"/>
          <w:szCs w:val="24"/>
        </w:rPr>
        <w:t>could not be dealt with without rec</w:t>
      </w:r>
      <w:r w:rsidR="00E42110">
        <w:rPr>
          <w:rFonts w:ascii="Arial" w:hAnsi="Arial" w:cs="Arial"/>
          <w:sz w:val="24"/>
          <w:szCs w:val="24"/>
        </w:rPr>
        <w:t>o</w:t>
      </w:r>
      <w:r w:rsidR="00A94C08">
        <w:rPr>
          <w:rFonts w:ascii="Arial" w:hAnsi="Arial" w:cs="Arial"/>
          <w:sz w:val="24"/>
          <w:szCs w:val="24"/>
        </w:rPr>
        <w:t>u</w:t>
      </w:r>
      <w:r w:rsidR="00E42110">
        <w:rPr>
          <w:rFonts w:ascii="Arial" w:hAnsi="Arial" w:cs="Arial"/>
          <w:sz w:val="24"/>
          <w:szCs w:val="24"/>
        </w:rPr>
        <w:t>r</w:t>
      </w:r>
      <w:r w:rsidR="00A94C08">
        <w:rPr>
          <w:rFonts w:ascii="Arial" w:hAnsi="Arial" w:cs="Arial"/>
          <w:sz w:val="24"/>
          <w:szCs w:val="24"/>
        </w:rPr>
        <w:t>se to evidence. I</w:t>
      </w:r>
      <w:r w:rsidR="00A152C2">
        <w:rPr>
          <w:rFonts w:ascii="Arial" w:hAnsi="Arial" w:cs="Arial"/>
          <w:sz w:val="24"/>
          <w:szCs w:val="24"/>
        </w:rPr>
        <w:t xml:space="preserve">t was not simply a matter for legal argument. </w:t>
      </w:r>
      <w:r w:rsidR="002E5345">
        <w:rPr>
          <w:rFonts w:ascii="Arial" w:hAnsi="Arial" w:cs="Arial"/>
          <w:sz w:val="24"/>
          <w:szCs w:val="24"/>
        </w:rPr>
        <w:t xml:space="preserve">Counsel for the respondents’ </w:t>
      </w:r>
      <w:r w:rsidR="002E5345">
        <w:rPr>
          <w:rFonts w:ascii="Arial" w:hAnsi="Arial" w:cs="Arial"/>
          <w:sz w:val="24"/>
          <w:szCs w:val="24"/>
        </w:rPr>
        <w:lastRenderedPageBreak/>
        <w:t xml:space="preserve">contention that the court </w:t>
      </w:r>
      <w:r w:rsidR="002E5345">
        <w:rPr>
          <w:rFonts w:ascii="Arial" w:hAnsi="Arial" w:cs="Arial"/>
          <w:i/>
          <w:sz w:val="24"/>
          <w:szCs w:val="24"/>
        </w:rPr>
        <w:t xml:space="preserve">a quo </w:t>
      </w:r>
      <w:r w:rsidR="002E5345">
        <w:rPr>
          <w:rFonts w:ascii="Arial" w:hAnsi="Arial" w:cs="Arial"/>
          <w:sz w:val="24"/>
          <w:szCs w:val="24"/>
        </w:rPr>
        <w:t>had a discretion to do so, has no substance in the circumstances of this case.</w:t>
      </w:r>
    </w:p>
    <w:p w:rsidR="002E5345" w:rsidRDefault="002E5345" w:rsidP="0074364A">
      <w:pPr>
        <w:tabs>
          <w:tab w:val="left" w:pos="0"/>
        </w:tabs>
        <w:spacing w:after="0" w:line="360" w:lineRule="auto"/>
        <w:jc w:val="both"/>
        <w:rPr>
          <w:rFonts w:ascii="Arial" w:hAnsi="Arial" w:cs="Arial"/>
          <w:sz w:val="24"/>
          <w:szCs w:val="24"/>
        </w:rPr>
      </w:pPr>
    </w:p>
    <w:p w:rsidR="00490D0C" w:rsidRDefault="00D92541" w:rsidP="00623669">
      <w:pPr>
        <w:numPr>
          <w:ilvl w:val="0"/>
          <w:numId w:val="28"/>
        </w:numPr>
        <w:tabs>
          <w:tab w:val="left" w:pos="0"/>
        </w:tabs>
        <w:spacing w:after="0" w:line="480" w:lineRule="auto"/>
        <w:ind w:left="0" w:firstLine="0"/>
        <w:jc w:val="both"/>
        <w:rPr>
          <w:rFonts w:ascii="Arial" w:hAnsi="Arial" w:cs="Arial"/>
          <w:sz w:val="24"/>
          <w:szCs w:val="24"/>
        </w:rPr>
      </w:pPr>
      <w:r>
        <w:rPr>
          <w:rFonts w:ascii="Arial" w:hAnsi="Arial" w:cs="Arial"/>
          <w:sz w:val="24"/>
          <w:szCs w:val="24"/>
        </w:rPr>
        <w:t xml:space="preserve">For the reasons above, I make the </w:t>
      </w:r>
      <w:r w:rsidR="006F3114">
        <w:rPr>
          <w:rFonts w:ascii="Arial" w:hAnsi="Arial" w:cs="Arial"/>
          <w:sz w:val="24"/>
          <w:szCs w:val="24"/>
        </w:rPr>
        <w:t>following order:</w:t>
      </w:r>
    </w:p>
    <w:p w:rsidR="0042765C" w:rsidRDefault="0042765C" w:rsidP="00F95665">
      <w:pPr>
        <w:tabs>
          <w:tab w:val="left" w:pos="0"/>
        </w:tabs>
        <w:spacing w:after="0"/>
        <w:jc w:val="both"/>
        <w:rPr>
          <w:rFonts w:ascii="Arial" w:hAnsi="Arial" w:cs="Arial"/>
          <w:sz w:val="24"/>
          <w:szCs w:val="24"/>
        </w:rPr>
      </w:pPr>
    </w:p>
    <w:p w:rsidR="00E049B5" w:rsidRDefault="0042765C" w:rsidP="00A66C20">
      <w:pPr>
        <w:numPr>
          <w:ilvl w:val="0"/>
          <w:numId w:val="36"/>
        </w:numPr>
        <w:tabs>
          <w:tab w:val="left" w:pos="709"/>
          <w:tab w:val="left" w:pos="851"/>
        </w:tabs>
        <w:spacing w:after="0" w:line="480" w:lineRule="auto"/>
        <w:ind w:right="-518"/>
        <w:jc w:val="both"/>
        <w:rPr>
          <w:rFonts w:ascii="Arial" w:hAnsi="Arial" w:cs="Arial"/>
          <w:sz w:val="24"/>
          <w:szCs w:val="24"/>
        </w:rPr>
      </w:pPr>
      <w:r>
        <w:rPr>
          <w:rFonts w:ascii="Arial" w:hAnsi="Arial" w:cs="Arial"/>
          <w:sz w:val="24"/>
          <w:szCs w:val="24"/>
        </w:rPr>
        <w:t>The appeal succeeds with costs, including costs occasioned by the employment of one instructing and one instructed counsel.</w:t>
      </w:r>
    </w:p>
    <w:p w:rsidR="00820C53" w:rsidRDefault="00820C53" w:rsidP="00F95665">
      <w:pPr>
        <w:tabs>
          <w:tab w:val="left" w:pos="709"/>
          <w:tab w:val="left" w:pos="851"/>
        </w:tabs>
        <w:spacing w:after="0"/>
        <w:ind w:left="1440" w:right="-518"/>
        <w:jc w:val="both"/>
        <w:rPr>
          <w:rFonts w:ascii="Arial" w:hAnsi="Arial" w:cs="Arial"/>
          <w:sz w:val="24"/>
          <w:szCs w:val="24"/>
        </w:rPr>
      </w:pPr>
    </w:p>
    <w:p w:rsidR="0042765C" w:rsidRDefault="00E049B5" w:rsidP="00A66C20">
      <w:pPr>
        <w:numPr>
          <w:ilvl w:val="0"/>
          <w:numId w:val="36"/>
        </w:numPr>
        <w:tabs>
          <w:tab w:val="left" w:pos="709"/>
          <w:tab w:val="left" w:pos="851"/>
        </w:tabs>
        <w:spacing w:after="0" w:line="480" w:lineRule="auto"/>
        <w:ind w:right="-518"/>
        <w:jc w:val="both"/>
        <w:rPr>
          <w:rFonts w:ascii="Arial" w:hAnsi="Arial" w:cs="Arial"/>
          <w:sz w:val="24"/>
          <w:szCs w:val="24"/>
        </w:rPr>
      </w:pPr>
      <w:r w:rsidRPr="00A66C20">
        <w:rPr>
          <w:rFonts w:ascii="Arial" w:hAnsi="Arial" w:cs="Arial"/>
          <w:sz w:val="24"/>
          <w:szCs w:val="24"/>
        </w:rPr>
        <w:t xml:space="preserve">The </w:t>
      </w:r>
      <w:r w:rsidR="0042765C">
        <w:rPr>
          <w:rFonts w:ascii="Arial" w:hAnsi="Arial" w:cs="Arial"/>
          <w:sz w:val="24"/>
          <w:szCs w:val="24"/>
        </w:rPr>
        <w:t>proceedings dated 9 September 2020 and the judgment and order of the court below dated 22 October 2020 are set aside.</w:t>
      </w:r>
    </w:p>
    <w:p w:rsidR="00671A08" w:rsidRDefault="00671A08" w:rsidP="00F95665">
      <w:pPr>
        <w:pStyle w:val="ListParagraph"/>
        <w:spacing w:after="0"/>
        <w:jc w:val="both"/>
        <w:rPr>
          <w:rFonts w:ascii="Arial" w:hAnsi="Arial" w:cs="Arial"/>
          <w:sz w:val="24"/>
          <w:szCs w:val="24"/>
        </w:rPr>
      </w:pPr>
    </w:p>
    <w:p w:rsidR="0042765C" w:rsidRDefault="0042765C" w:rsidP="00A66C20">
      <w:pPr>
        <w:numPr>
          <w:ilvl w:val="0"/>
          <w:numId w:val="36"/>
        </w:numPr>
        <w:tabs>
          <w:tab w:val="left" w:pos="709"/>
          <w:tab w:val="left" w:pos="851"/>
        </w:tabs>
        <w:spacing w:after="0" w:line="480" w:lineRule="auto"/>
        <w:ind w:right="-518"/>
        <w:jc w:val="both"/>
        <w:rPr>
          <w:rFonts w:ascii="Arial" w:hAnsi="Arial" w:cs="Arial"/>
          <w:sz w:val="24"/>
          <w:szCs w:val="24"/>
        </w:rPr>
      </w:pPr>
      <w:r>
        <w:rPr>
          <w:rFonts w:ascii="Arial" w:hAnsi="Arial" w:cs="Arial"/>
          <w:sz w:val="24"/>
          <w:szCs w:val="24"/>
        </w:rPr>
        <w:t xml:space="preserve">The matter is remitted to the High Court for the trial to commence </w:t>
      </w:r>
      <w:r>
        <w:rPr>
          <w:rFonts w:ascii="Arial" w:hAnsi="Arial" w:cs="Arial"/>
          <w:i/>
          <w:sz w:val="24"/>
          <w:szCs w:val="24"/>
        </w:rPr>
        <w:t xml:space="preserve">de novo </w:t>
      </w:r>
      <w:r>
        <w:rPr>
          <w:rFonts w:ascii="Arial" w:hAnsi="Arial" w:cs="Arial"/>
          <w:sz w:val="24"/>
          <w:szCs w:val="24"/>
        </w:rPr>
        <w:t>before another judge.</w:t>
      </w:r>
    </w:p>
    <w:p w:rsidR="00671A08" w:rsidRDefault="00671A08" w:rsidP="00E341CC">
      <w:pPr>
        <w:tabs>
          <w:tab w:val="left" w:pos="1134"/>
        </w:tabs>
        <w:spacing w:after="0" w:line="240" w:lineRule="auto"/>
        <w:jc w:val="both"/>
        <w:rPr>
          <w:rFonts w:ascii="Arial" w:hAnsi="Arial" w:cs="Arial"/>
          <w:sz w:val="24"/>
          <w:szCs w:val="24"/>
        </w:rPr>
      </w:pPr>
    </w:p>
    <w:p w:rsidR="0074364A" w:rsidRDefault="0074364A" w:rsidP="00E341CC">
      <w:pPr>
        <w:tabs>
          <w:tab w:val="left" w:pos="1134"/>
        </w:tabs>
        <w:spacing w:after="0" w:line="240" w:lineRule="auto"/>
        <w:jc w:val="both"/>
        <w:rPr>
          <w:rFonts w:ascii="Arial" w:hAnsi="Arial" w:cs="Arial"/>
          <w:sz w:val="24"/>
          <w:szCs w:val="24"/>
        </w:rPr>
      </w:pPr>
    </w:p>
    <w:p w:rsidR="006373D0" w:rsidRDefault="006373D0" w:rsidP="00E341CC">
      <w:pPr>
        <w:tabs>
          <w:tab w:val="left" w:pos="1134"/>
        </w:tabs>
        <w:spacing w:after="0" w:line="240" w:lineRule="auto"/>
        <w:jc w:val="both"/>
        <w:rPr>
          <w:rFonts w:ascii="Arial" w:hAnsi="Arial" w:cs="Arial"/>
          <w:sz w:val="24"/>
          <w:szCs w:val="24"/>
        </w:rPr>
      </w:pPr>
    </w:p>
    <w:p w:rsidR="00FF4712" w:rsidRPr="00B35813" w:rsidRDefault="00FF4712" w:rsidP="00D36262">
      <w:pPr>
        <w:spacing w:after="0" w:line="240" w:lineRule="auto"/>
        <w:jc w:val="both"/>
        <w:rPr>
          <w:rFonts w:ascii="Arial" w:hAnsi="Arial" w:cs="Arial"/>
          <w:sz w:val="24"/>
          <w:szCs w:val="24"/>
        </w:rPr>
      </w:pPr>
      <w:r>
        <w:rPr>
          <w:rFonts w:ascii="Arial" w:hAnsi="Arial" w:cs="Arial"/>
          <w:sz w:val="24"/>
          <w:szCs w:val="24"/>
        </w:rPr>
        <w:t>_______________</w:t>
      </w:r>
      <w:r w:rsidR="00D36262">
        <w:rPr>
          <w:rFonts w:ascii="Arial" w:hAnsi="Arial" w:cs="Arial"/>
          <w:sz w:val="24"/>
          <w:szCs w:val="24"/>
        </w:rPr>
        <w:t>____</w:t>
      </w:r>
    </w:p>
    <w:p w:rsidR="00FF4712" w:rsidRDefault="00E55E04" w:rsidP="00D36262">
      <w:pPr>
        <w:spacing w:after="0" w:line="240" w:lineRule="auto"/>
        <w:jc w:val="both"/>
        <w:rPr>
          <w:rFonts w:ascii="Arial" w:hAnsi="Arial" w:cs="Arial"/>
          <w:b/>
          <w:sz w:val="24"/>
          <w:szCs w:val="24"/>
        </w:rPr>
      </w:pPr>
      <w:r>
        <w:rPr>
          <w:rFonts w:ascii="Arial" w:hAnsi="Arial" w:cs="Arial"/>
          <w:b/>
          <w:sz w:val="24"/>
          <w:szCs w:val="24"/>
        </w:rPr>
        <w:t xml:space="preserve">MAINGA </w:t>
      </w:r>
      <w:r w:rsidR="00FF4712">
        <w:rPr>
          <w:rFonts w:ascii="Arial" w:hAnsi="Arial" w:cs="Arial"/>
          <w:b/>
          <w:sz w:val="24"/>
          <w:szCs w:val="24"/>
        </w:rPr>
        <w:t>JA</w:t>
      </w:r>
    </w:p>
    <w:p w:rsidR="00B77F9B" w:rsidRDefault="00B77F9B" w:rsidP="00D36262">
      <w:pPr>
        <w:spacing w:after="0" w:line="240" w:lineRule="auto"/>
        <w:jc w:val="both"/>
        <w:rPr>
          <w:rFonts w:ascii="Arial" w:hAnsi="Arial" w:cs="Arial"/>
          <w:b/>
          <w:sz w:val="24"/>
          <w:szCs w:val="24"/>
        </w:rPr>
      </w:pPr>
    </w:p>
    <w:p w:rsidR="00B77F9B" w:rsidRDefault="00B77F9B" w:rsidP="00D36262">
      <w:pPr>
        <w:spacing w:after="0" w:line="240" w:lineRule="auto"/>
        <w:jc w:val="both"/>
        <w:rPr>
          <w:rFonts w:ascii="Arial" w:hAnsi="Arial" w:cs="Arial"/>
          <w:sz w:val="24"/>
          <w:szCs w:val="24"/>
        </w:rPr>
      </w:pPr>
    </w:p>
    <w:p w:rsidR="00371205" w:rsidRDefault="00371205" w:rsidP="00D36262">
      <w:pPr>
        <w:spacing w:after="0" w:line="240" w:lineRule="auto"/>
        <w:jc w:val="both"/>
        <w:rPr>
          <w:rFonts w:ascii="Arial" w:hAnsi="Arial" w:cs="Arial"/>
          <w:sz w:val="24"/>
          <w:szCs w:val="24"/>
        </w:rPr>
      </w:pPr>
    </w:p>
    <w:p w:rsidR="00F95665" w:rsidRDefault="00F95665" w:rsidP="00D36262">
      <w:pPr>
        <w:spacing w:after="0" w:line="240" w:lineRule="auto"/>
        <w:jc w:val="both"/>
        <w:rPr>
          <w:rFonts w:ascii="Arial" w:hAnsi="Arial" w:cs="Arial"/>
          <w:sz w:val="24"/>
          <w:szCs w:val="24"/>
        </w:rPr>
      </w:pPr>
    </w:p>
    <w:p w:rsidR="00B77F9B" w:rsidRPr="00B53471" w:rsidRDefault="00D36262" w:rsidP="00D36262">
      <w:pPr>
        <w:spacing w:after="0" w:line="240" w:lineRule="auto"/>
        <w:jc w:val="both"/>
        <w:rPr>
          <w:rFonts w:ascii="Arial" w:hAnsi="Arial" w:cs="Arial"/>
          <w:sz w:val="24"/>
          <w:szCs w:val="24"/>
        </w:rPr>
      </w:pPr>
      <w:r>
        <w:rPr>
          <w:rFonts w:ascii="Arial" w:hAnsi="Arial" w:cs="Arial"/>
          <w:sz w:val="24"/>
          <w:szCs w:val="24"/>
        </w:rPr>
        <w:t>___________________</w:t>
      </w:r>
    </w:p>
    <w:p w:rsidR="00B77F9B" w:rsidRDefault="003A63BD" w:rsidP="00D36262">
      <w:pPr>
        <w:spacing w:after="0" w:line="240" w:lineRule="auto"/>
        <w:jc w:val="both"/>
        <w:rPr>
          <w:rFonts w:ascii="Arial" w:hAnsi="Arial" w:cs="Arial"/>
          <w:b/>
          <w:sz w:val="24"/>
          <w:szCs w:val="24"/>
        </w:rPr>
      </w:pPr>
      <w:r>
        <w:rPr>
          <w:rFonts w:ascii="Arial" w:hAnsi="Arial" w:cs="Arial"/>
          <w:b/>
          <w:sz w:val="24"/>
          <w:szCs w:val="24"/>
        </w:rPr>
        <w:t>LIEBENBERG</w:t>
      </w:r>
      <w:r w:rsidR="0042765C">
        <w:rPr>
          <w:rFonts w:ascii="Arial" w:hAnsi="Arial" w:cs="Arial"/>
          <w:b/>
          <w:sz w:val="24"/>
          <w:szCs w:val="24"/>
        </w:rPr>
        <w:t xml:space="preserve"> AJA</w:t>
      </w:r>
    </w:p>
    <w:p w:rsidR="004D0ADA" w:rsidRDefault="004D0ADA" w:rsidP="00D36262">
      <w:pPr>
        <w:spacing w:after="0" w:line="240" w:lineRule="auto"/>
        <w:jc w:val="both"/>
        <w:rPr>
          <w:rFonts w:ascii="Arial" w:hAnsi="Arial" w:cs="Arial"/>
          <w:sz w:val="24"/>
          <w:szCs w:val="24"/>
        </w:rPr>
      </w:pPr>
    </w:p>
    <w:p w:rsidR="004D0ADA" w:rsidRDefault="004D0ADA" w:rsidP="00D36262">
      <w:pPr>
        <w:spacing w:after="0" w:line="240" w:lineRule="auto"/>
        <w:jc w:val="both"/>
        <w:rPr>
          <w:rFonts w:ascii="Arial" w:hAnsi="Arial" w:cs="Arial"/>
          <w:sz w:val="24"/>
          <w:szCs w:val="24"/>
        </w:rPr>
      </w:pPr>
    </w:p>
    <w:p w:rsidR="003A63BD" w:rsidRDefault="003A63BD" w:rsidP="00D36262">
      <w:pPr>
        <w:spacing w:after="0" w:line="240" w:lineRule="auto"/>
        <w:jc w:val="both"/>
        <w:rPr>
          <w:rFonts w:ascii="Arial" w:hAnsi="Arial" w:cs="Arial"/>
          <w:sz w:val="24"/>
          <w:szCs w:val="24"/>
        </w:rPr>
      </w:pPr>
      <w:bookmarkStart w:id="0" w:name="_GoBack"/>
      <w:bookmarkEnd w:id="0"/>
      <w:r>
        <w:rPr>
          <w:rFonts w:ascii="Arial" w:hAnsi="Arial" w:cs="Arial"/>
          <w:sz w:val="24"/>
          <w:szCs w:val="24"/>
        </w:rPr>
        <w:t xml:space="preserve">FRANK AJA: </w:t>
      </w:r>
    </w:p>
    <w:p w:rsidR="003A63BD" w:rsidRDefault="003A63BD" w:rsidP="00D36262">
      <w:pPr>
        <w:spacing w:after="0" w:line="240" w:lineRule="auto"/>
        <w:jc w:val="both"/>
        <w:rPr>
          <w:rFonts w:ascii="Arial" w:hAnsi="Arial" w:cs="Arial"/>
          <w:sz w:val="24"/>
          <w:szCs w:val="24"/>
        </w:rPr>
      </w:pPr>
    </w:p>
    <w:p w:rsidR="003A63BD" w:rsidRDefault="003A63BD" w:rsidP="003A63BD">
      <w:pPr>
        <w:numPr>
          <w:ilvl w:val="0"/>
          <w:numId w:val="28"/>
        </w:numPr>
        <w:tabs>
          <w:tab w:val="left" w:pos="0"/>
        </w:tabs>
        <w:spacing w:after="0" w:line="480" w:lineRule="auto"/>
        <w:ind w:left="0" w:firstLine="0"/>
        <w:jc w:val="both"/>
        <w:rPr>
          <w:rFonts w:ascii="Arial" w:hAnsi="Arial" w:cs="Arial"/>
          <w:sz w:val="24"/>
          <w:szCs w:val="24"/>
        </w:rPr>
      </w:pPr>
      <w:r>
        <w:rPr>
          <w:rFonts w:ascii="Arial" w:hAnsi="Arial" w:cs="Arial"/>
          <w:sz w:val="24"/>
          <w:szCs w:val="24"/>
        </w:rPr>
        <w:t>I have read the judgment of my brother Mainga JA (the main judgment) and concur with the order proposed by him.</w:t>
      </w:r>
    </w:p>
    <w:p w:rsidR="003A63BD" w:rsidRDefault="003A63BD" w:rsidP="003A63BD">
      <w:pPr>
        <w:tabs>
          <w:tab w:val="left" w:pos="0"/>
        </w:tabs>
        <w:spacing w:after="0" w:line="480" w:lineRule="auto"/>
        <w:jc w:val="both"/>
        <w:rPr>
          <w:rFonts w:ascii="Arial" w:hAnsi="Arial" w:cs="Arial"/>
          <w:sz w:val="24"/>
          <w:szCs w:val="24"/>
        </w:rPr>
      </w:pPr>
    </w:p>
    <w:p w:rsidR="00206785" w:rsidRDefault="003A63BD" w:rsidP="003A63BD">
      <w:pPr>
        <w:numPr>
          <w:ilvl w:val="0"/>
          <w:numId w:val="28"/>
        </w:numPr>
        <w:tabs>
          <w:tab w:val="left" w:pos="0"/>
        </w:tabs>
        <w:spacing w:after="0" w:line="480" w:lineRule="auto"/>
        <w:ind w:left="0" w:firstLine="0"/>
        <w:jc w:val="both"/>
        <w:rPr>
          <w:rFonts w:ascii="Arial" w:hAnsi="Arial" w:cs="Arial"/>
          <w:sz w:val="24"/>
          <w:szCs w:val="24"/>
        </w:rPr>
      </w:pPr>
      <w:r>
        <w:rPr>
          <w:rFonts w:ascii="Arial" w:hAnsi="Arial" w:cs="Arial"/>
          <w:sz w:val="24"/>
          <w:szCs w:val="24"/>
        </w:rPr>
        <w:lastRenderedPageBreak/>
        <w:t xml:space="preserve"> In view of how the matter was pleaded and </w:t>
      </w:r>
      <w:r w:rsidR="00D46C30">
        <w:rPr>
          <w:rFonts w:ascii="Arial" w:hAnsi="Arial" w:cs="Arial"/>
          <w:sz w:val="24"/>
          <w:szCs w:val="24"/>
        </w:rPr>
        <w:t xml:space="preserve">informed </w:t>
      </w:r>
      <w:r>
        <w:rPr>
          <w:rFonts w:ascii="Arial" w:hAnsi="Arial" w:cs="Arial"/>
          <w:sz w:val="24"/>
          <w:szCs w:val="24"/>
        </w:rPr>
        <w:t xml:space="preserve">the plea-trial order </w:t>
      </w:r>
      <w:r w:rsidR="00206785">
        <w:rPr>
          <w:rFonts w:ascii="Arial" w:hAnsi="Arial" w:cs="Arial"/>
          <w:sz w:val="24"/>
          <w:szCs w:val="24"/>
        </w:rPr>
        <w:t>a factual dispute was clearly contemplated by the parties in respect of whether or not the first respondent when driving the vehicle acted in pursuance of the Correctional Service Act</w:t>
      </w:r>
      <w:r w:rsidR="006F3114">
        <w:rPr>
          <w:rFonts w:ascii="Arial" w:hAnsi="Arial" w:cs="Arial"/>
          <w:sz w:val="24"/>
          <w:szCs w:val="24"/>
        </w:rPr>
        <w:t xml:space="preserve"> 9 of 2012</w:t>
      </w:r>
      <w:r w:rsidR="00206785">
        <w:rPr>
          <w:rFonts w:ascii="Arial" w:hAnsi="Arial" w:cs="Arial"/>
          <w:sz w:val="24"/>
          <w:szCs w:val="24"/>
        </w:rPr>
        <w:t xml:space="preserve"> (the Act).</w:t>
      </w:r>
    </w:p>
    <w:p w:rsidR="006F3114" w:rsidRDefault="006F3114" w:rsidP="006F3114">
      <w:pPr>
        <w:pStyle w:val="ListParagraph"/>
        <w:spacing w:after="0" w:line="480" w:lineRule="auto"/>
        <w:jc w:val="both"/>
        <w:rPr>
          <w:rFonts w:ascii="Arial" w:hAnsi="Arial" w:cs="Arial"/>
          <w:sz w:val="24"/>
          <w:szCs w:val="24"/>
        </w:rPr>
      </w:pPr>
    </w:p>
    <w:p w:rsidR="003A63BD" w:rsidRDefault="00206785" w:rsidP="003A63BD">
      <w:pPr>
        <w:numPr>
          <w:ilvl w:val="0"/>
          <w:numId w:val="28"/>
        </w:numPr>
        <w:tabs>
          <w:tab w:val="left" w:pos="0"/>
        </w:tabs>
        <w:spacing w:after="0" w:line="480" w:lineRule="auto"/>
        <w:ind w:left="0" w:firstLine="0"/>
        <w:jc w:val="both"/>
        <w:rPr>
          <w:rFonts w:ascii="Arial" w:hAnsi="Arial" w:cs="Arial"/>
          <w:sz w:val="24"/>
          <w:szCs w:val="24"/>
        </w:rPr>
      </w:pPr>
      <w:r>
        <w:rPr>
          <w:rFonts w:ascii="Arial" w:hAnsi="Arial" w:cs="Arial"/>
          <w:sz w:val="24"/>
          <w:szCs w:val="24"/>
        </w:rPr>
        <w:t xml:space="preserve"> The stance on behalf of the respondents in the court </w:t>
      </w:r>
      <w:r>
        <w:rPr>
          <w:rFonts w:ascii="Arial" w:hAnsi="Arial" w:cs="Arial"/>
          <w:i/>
          <w:sz w:val="24"/>
          <w:szCs w:val="24"/>
        </w:rPr>
        <w:t xml:space="preserve">a quo </w:t>
      </w:r>
      <w:r>
        <w:rPr>
          <w:rFonts w:ascii="Arial" w:hAnsi="Arial" w:cs="Arial"/>
          <w:sz w:val="24"/>
          <w:szCs w:val="24"/>
        </w:rPr>
        <w:t>and in this court was</w:t>
      </w:r>
      <w:r w:rsidR="00E61889">
        <w:rPr>
          <w:rFonts w:ascii="Arial" w:hAnsi="Arial" w:cs="Arial"/>
          <w:sz w:val="24"/>
          <w:szCs w:val="24"/>
        </w:rPr>
        <w:t>,</w:t>
      </w:r>
      <w:r>
        <w:rPr>
          <w:rFonts w:ascii="Arial" w:hAnsi="Arial" w:cs="Arial"/>
          <w:sz w:val="24"/>
          <w:szCs w:val="24"/>
        </w:rPr>
        <w:t xml:space="preserve"> as the appellant gave notice of his intended action, he admitted that s 133(3) of the Act was applicable and hence admitted implicitly that the first respondent drove the vehicle in pursuance of the </w:t>
      </w:r>
      <w:r w:rsidR="00A613EA">
        <w:rPr>
          <w:rFonts w:ascii="Arial" w:hAnsi="Arial" w:cs="Arial"/>
          <w:sz w:val="24"/>
          <w:szCs w:val="24"/>
        </w:rPr>
        <w:t>A</w:t>
      </w:r>
      <w:r>
        <w:rPr>
          <w:rFonts w:ascii="Arial" w:hAnsi="Arial" w:cs="Arial"/>
          <w:sz w:val="24"/>
          <w:szCs w:val="24"/>
        </w:rPr>
        <w:t>ct. For the reasons mentioned in the judgment of my brother Mainga J</w:t>
      </w:r>
      <w:r w:rsidR="006F3114">
        <w:rPr>
          <w:rFonts w:ascii="Arial" w:hAnsi="Arial" w:cs="Arial"/>
          <w:sz w:val="24"/>
          <w:szCs w:val="24"/>
        </w:rPr>
        <w:t>A</w:t>
      </w:r>
      <w:r>
        <w:rPr>
          <w:rFonts w:ascii="Arial" w:hAnsi="Arial" w:cs="Arial"/>
          <w:sz w:val="24"/>
          <w:szCs w:val="24"/>
        </w:rPr>
        <w:t xml:space="preserve"> th</w:t>
      </w:r>
      <w:r w:rsidR="00A613EA">
        <w:rPr>
          <w:rFonts w:ascii="Arial" w:hAnsi="Arial" w:cs="Arial"/>
          <w:sz w:val="24"/>
          <w:szCs w:val="24"/>
        </w:rPr>
        <w:t>is</w:t>
      </w:r>
      <w:r>
        <w:rPr>
          <w:rFonts w:ascii="Arial" w:hAnsi="Arial" w:cs="Arial"/>
          <w:sz w:val="24"/>
          <w:szCs w:val="24"/>
        </w:rPr>
        <w:t xml:space="preserve"> submission, in view of the pleadings</w:t>
      </w:r>
      <w:r w:rsidR="00A613EA">
        <w:rPr>
          <w:rFonts w:ascii="Arial" w:hAnsi="Arial" w:cs="Arial"/>
          <w:sz w:val="24"/>
          <w:szCs w:val="24"/>
        </w:rPr>
        <w:t xml:space="preserve"> and pre-trial order</w:t>
      </w:r>
      <w:r w:rsidR="00D46C30">
        <w:rPr>
          <w:rFonts w:ascii="Arial" w:hAnsi="Arial" w:cs="Arial"/>
          <w:sz w:val="24"/>
          <w:szCs w:val="24"/>
        </w:rPr>
        <w:t>,</w:t>
      </w:r>
      <w:r w:rsidR="00A613EA">
        <w:rPr>
          <w:rFonts w:ascii="Arial" w:hAnsi="Arial" w:cs="Arial"/>
          <w:sz w:val="24"/>
          <w:szCs w:val="24"/>
        </w:rPr>
        <w:t xml:space="preserve"> cannot be sustained. In short, </w:t>
      </w:r>
      <w:r w:rsidR="00D46C30">
        <w:rPr>
          <w:rFonts w:ascii="Arial" w:hAnsi="Arial" w:cs="Arial"/>
          <w:sz w:val="24"/>
          <w:szCs w:val="24"/>
        </w:rPr>
        <w:t>the</w:t>
      </w:r>
      <w:r w:rsidR="00A613EA">
        <w:rPr>
          <w:rFonts w:ascii="Arial" w:hAnsi="Arial" w:cs="Arial"/>
          <w:sz w:val="24"/>
          <w:szCs w:val="24"/>
        </w:rPr>
        <w:t xml:space="preserve"> notice given in this case, could not be const</w:t>
      </w:r>
      <w:r w:rsidR="00D46C30">
        <w:rPr>
          <w:rFonts w:ascii="Arial" w:hAnsi="Arial" w:cs="Arial"/>
          <w:sz w:val="24"/>
          <w:szCs w:val="24"/>
        </w:rPr>
        <w:t>rued</w:t>
      </w:r>
      <w:r w:rsidR="00A613EA">
        <w:rPr>
          <w:rFonts w:ascii="Arial" w:hAnsi="Arial" w:cs="Arial"/>
          <w:sz w:val="24"/>
          <w:szCs w:val="24"/>
        </w:rPr>
        <w:t xml:space="preserve"> as an admission that the </w:t>
      </w:r>
      <w:r w:rsidR="006373D0">
        <w:rPr>
          <w:rFonts w:ascii="Arial" w:hAnsi="Arial" w:cs="Arial"/>
          <w:sz w:val="24"/>
          <w:szCs w:val="24"/>
        </w:rPr>
        <w:t>A</w:t>
      </w:r>
      <w:r w:rsidR="00A613EA">
        <w:rPr>
          <w:rFonts w:ascii="Arial" w:hAnsi="Arial" w:cs="Arial"/>
          <w:sz w:val="24"/>
          <w:szCs w:val="24"/>
        </w:rPr>
        <w:t>ct complained o</w:t>
      </w:r>
      <w:r w:rsidR="00D46C30">
        <w:rPr>
          <w:rFonts w:ascii="Arial" w:hAnsi="Arial" w:cs="Arial"/>
          <w:sz w:val="24"/>
          <w:szCs w:val="24"/>
        </w:rPr>
        <w:t>f</w:t>
      </w:r>
      <w:r w:rsidR="00A613EA">
        <w:rPr>
          <w:rFonts w:ascii="Arial" w:hAnsi="Arial" w:cs="Arial"/>
          <w:sz w:val="24"/>
          <w:szCs w:val="24"/>
        </w:rPr>
        <w:t xml:space="preserve"> was in pursuance of the Act.</w:t>
      </w:r>
    </w:p>
    <w:p w:rsidR="00A613EA" w:rsidRDefault="00A613EA" w:rsidP="00A613EA">
      <w:pPr>
        <w:pStyle w:val="ListParagraph"/>
        <w:rPr>
          <w:rFonts w:ascii="Arial" w:hAnsi="Arial" w:cs="Arial"/>
          <w:sz w:val="24"/>
          <w:szCs w:val="24"/>
        </w:rPr>
      </w:pPr>
    </w:p>
    <w:p w:rsidR="00A613EA" w:rsidRDefault="00A613EA" w:rsidP="003A63BD">
      <w:pPr>
        <w:numPr>
          <w:ilvl w:val="0"/>
          <w:numId w:val="28"/>
        </w:numPr>
        <w:tabs>
          <w:tab w:val="left" w:pos="0"/>
        </w:tabs>
        <w:spacing w:after="0" w:line="480" w:lineRule="auto"/>
        <w:ind w:left="0" w:firstLine="0"/>
        <w:jc w:val="both"/>
        <w:rPr>
          <w:rFonts w:ascii="Arial" w:hAnsi="Arial" w:cs="Arial"/>
          <w:sz w:val="24"/>
          <w:szCs w:val="24"/>
        </w:rPr>
      </w:pPr>
      <w:r>
        <w:rPr>
          <w:rFonts w:ascii="Arial" w:hAnsi="Arial" w:cs="Arial"/>
          <w:sz w:val="24"/>
          <w:szCs w:val="24"/>
        </w:rPr>
        <w:t xml:space="preserve">In </w:t>
      </w:r>
      <w:proofErr w:type="spellStart"/>
      <w:r w:rsidRPr="006F3114">
        <w:rPr>
          <w:rFonts w:ascii="Arial" w:hAnsi="Arial" w:cs="Arial"/>
          <w:i/>
          <w:sz w:val="24"/>
          <w:szCs w:val="24"/>
        </w:rPr>
        <w:t>Masuku</w:t>
      </w:r>
      <w:proofErr w:type="spellEnd"/>
      <w:r>
        <w:rPr>
          <w:rFonts w:ascii="Arial" w:hAnsi="Arial" w:cs="Arial"/>
          <w:sz w:val="24"/>
          <w:szCs w:val="24"/>
        </w:rPr>
        <w:t xml:space="preserve"> referred to in the main judgment </w:t>
      </w:r>
      <w:proofErr w:type="spellStart"/>
      <w:r>
        <w:rPr>
          <w:rFonts w:ascii="Arial" w:hAnsi="Arial" w:cs="Arial"/>
          <w:sz w:val="24"/>
          <w:szCs w:val="24"/>
        </w:rPr>
        <w:t>Smallburger</w:t>
      </w:r>
      <w:proofErr w:type="spellEnd"/>
      <w:r>
        <w:rPr>
          <w:rFonts w:ascii="Arial" w:hAnsi="Arial" w:cs="Arial"/>
          <w:sz w:val="24"/>
          <w:szCs w:val="24"/>
        </w:rPr>
        <w:t xml:space="preserve"> JA defined the issue arising in that appeal as follows:</w:t>
      </w:r>
    </w:p>
    <w:p w:rsidR="00A613EA" w:rsidRDefault="00A613EA" w:rsidP="00A613EA">
      <w:pPr>
        <w:pStyle w:val="ListParagraph"/>
        <w:rPr>
          <w:rFonts w:ascii="Arial" w:hAnsi="Arial" w:cs="Arial"/>
          <w:sz w:val="24"/>
          <w:szCs w:val="24"/>
        </w:rPr>
      </w:pPr>
    </w:p>
    <w:p w:rsidR="00A613EA" w:rsidRDefault="00A613EA" w:rsidP="00A613EA">
      <w:pPr>
        <w:pStyle w:val="ListParagraph"/>
        <w:spacing w:line="360" w:lineRule="auto"/>
        <w:jc w:val="both"/>
        <w:rPr>
          <w:rFonts w:ascii="Arial" w:hAnsi="Arial" w:cs="Arial"/>
        </w:rPr>
      </w:pPr>
      <w:r>
        <w:rPr>
          <w:rFonts w:ascii="Arial" w:hAnsi="Arial" w:cs="Arial"/>
        </w:rPr>
        <w:t>‘The fundamental issue arising in th</w:t>
      </w:r>
      <w:r w:rsidR="000908B3">
        <w:rPr>
          <w:rFonts w:ascii="Arial" w:hAnsi="Arial" w:cs="Arial"/>
        </w:rPr>
        <w:t>is</w:t>
      </w:r>
      <w:r>
        <w:rPr>
          <w:rFonts w:ascii="Arial" w:hAnsi="Arial" w:cs="Arial"/>
        </w:rPr>
        <w:t xml:space="preserve"> appeal is whether a policeman who acts “</w:t>
      </w:r>
      <w:r w:rsidR="000908B3">
        <w:rPr>
          <w:rFonts w:ascii="Arial" w:hAnsi="Arial" w:cs="Arial"/>
        </w:rPr>
        <w:t xml:space="preserve">in </w:t>
      </w:r>
      <w:r w:rsidR="00E42110">
        <w:rPr>
          <w:rFonts w:ascii="Arial" w:hAnsi="Arial" w:cs="Arial"/>
        </w:rPr>
        <w:t>the</w:t>
      </w:r>
      <w:r w:rsidR="000908B3">
        <w:rPr>
          <w:rFonts w:ascii="Arial" w:hAnsi="Arial" w:cs="Arial"/>
        </w:rPr>
        <w:t xml:space="preserve"> course and scope of his employment”</w:t>
      </w:r>
      <w:r w:rsidR="00E42110">
        <w:rPr>
          <w:rFonts w:ascii="Arial" w:hAnsi="Arial" w:cs="Arial"/>
        </w:rPr>
        <w:t xml:space="preserve"> </w:t>
      </w:r>
      <w:r w:rsidR="000908B3">
        <w:rPr>
          <w:rFonts w:ascii="Arial" w:hAnsi="Arial" w:cs="Arial"/>
        </w:rPr>
        <w:t xml:space="preserve">as servant of the State is invariably acting </w:t>
      </w:r>
      <w:r w:rsidR="006F3114">
        <w:rPr>
          <w:rFonts w:ascii="Arial" w:hAnsi="Arial" w:cs="Arial"/>
        </w:rPr>
        <w:t>“</w:t>
      </w:r>
      <w:r w:rsidR="000908B3">
        <w:rPr>
          <w:rFonts w:ascii="Arial" w:hAnsi="Arial" w:cs="Arial"/>
        </w:rPr>
        <w:t>in pursuance of</w:t>
      </w:r>
      <w:r w:rsidR="006F3114">
        <w:rPr>
          <w:rFonts w:ascii="Arial" w:hAnsi="Arial" w:cs="Arial"/>
        </w:rPr>
        <w:t>”</w:t>
      </w:r>
      <w:r w:rsidR="000908B3">
        <w:rPr>
          <w:rFonts w:ascii="Arial" w:hAnsi="Arial" w:cs="Arial"/>
        </w:rPr>
        <w:t xml:space="preserve"> the </w:t>
      </w:r>
      <w:r w:rsidR="00E42110">
        <w:rPr>
          <w:rFonts w:ascii="Arial" w:hAnsi="Arial" w:cs="Arial"/>
        </w:rPr>
        <w:t xml:space="preserve">Police Act </w:t>
      </w:r>
      <w:r w:rsidR="000908B3">
        <w:rPr>
          <w:rFonts w:ascii="Arial" w:hAnsi="Arial" w:cs="Arial"/>
        </w:rPr>
        <w:t xml:space="preserve">7 </w:t>
      </w:r>
      <w:r w:rsidR="00E42110">
        <w:rPr>
          <w:rFonts w:ascii="Arial" w:hAnsi="Arial" w:cs="Arial"/>
        </w:rPr>
        <w:t xml:space="preserve">of 1958 . . . Differently put, </w:t>
      </w:r>
      <w:r w:rsidR="000908B3">
        <w:rPr>
          <w:rFonts w:ascii="Arial" w:hAnsi="Arial" w:cs="Arial"/>
        </w:rPr>
        <w:t>are the two concepts necessarily coextensive.’</w:t>
      </w:r>
    </w:p>
    <w:p w:rsidR="000908B3" w:rsidRPr="000908B3" w:rsidRDefault="000908B3" w:rsidP="000908B3">
      <w:pPr>
        <w:pStyle w:val="ListParagraph"/>
        <w:spacing w:after="0" w:line="480" w:lineRule="auto"/>
        <w:jc w:val="both"/>
        <w:rPr>
          <w:rFonts w:ascii="Arial" w:hAnsi="Arial" w:cs="Arial"/>
          <w:sz w:val="24"/>
          <w:szCs w:val="24"/>
        </w:rPr>
      </w:pPr>
    </w:p>
    <w:p w:rsidR="00A613EA" w:rsidRDefault="000908B3" w:rsidP="003A63BD">
      <w:pPr>
        <w:numPr>
          <w:ilvl w:val="0"/>
          <w:numId w:val="28"/>
        </w:numPr>
        <w:tabs>
          <w:tab w:val="left" w:pos="0"/>
        </w:tabs>
        <w:spacing w:after="0" w:line="480" w:lineRule="auto"/>
        <w:ind w:left="0" w:firstLine="0"/>
        <w:jc w:val="both"/>
        <w:rPr>
          <w:rFonts w:ascii="Arial" w:hAnsi="Arial" w:cs="Arial"/>
          <w:sz w:val="24"/>
          <w:szCs w:val="24"/>
        </w:rPr>
      </w:pPr>
      <w:proofErr w:type="spellStart"/>
      <w:r>
        <w:rPr>
          <w:rFonts w:ascii="Arial" w:hAnsi="Arial" w:cs="Arial"/>
          <w:sz w:val="24"/>
          <w:szCs w:val="24"/>
        </w:rPr>
        <w:t>Smallburger</w:t>
      </w:r>
      <w:proofErr w:type="spellEnd"/>
      <w:r>
        <w:rPr>
          <w:rFonts w:ascii="Arial" w:hAnsi="Arial" w:cs="Arial"/>
          <w:sz w:val="24"/>
          <w:szCs w:val="24"/>
        </w:rPr>
        <w:t xml:space="preserve"> JA who wrote for the majority</w:t>
      </w:r>
      <w:r w:rsidR="00BF481F">
        <w:rPr>
          <w:rFonts w:ascii="Arial" w:hAnsi="Arial" w:cs="Arial"/>
          <w:sz w:val="24"/>
          <w:szCs w:val="24"/>
        </w:rPr>
        <w:t xml:space="preserve"> found that the concepts were notionally distinct and hence that situations could arise where a member of the </w:t>
      </w:r>
      <w:r w:rsidR="001646E3">
        <w:rPr>
          <w:rFonts w:ascii="Arial" w:hAnsi="Arial" w:cs="Arial"/>
          <w:sz w:val="24"/>
          <w:szCs w:val="24"/>
        </w:rPr>
        <w:t>police force</w:t>
      </w:r>
      <w:r w:rsidR="00BF481F">
        <w:rPr>
          <w:rFonts w:ascii="Arial" w:hAnsi="Arial" w:cs="Arial"/>
          <w:sz w:val="24"/>
          <w:szCs w:val="24"/>
        </w:rPr>
        <w:t xml:space="preserve"> </w:t>
      </w:r>
      <w:r w:rsidR="001646E3">
        <w:rPr>
          <w:rFonts w:ascii="Arial" w:hAnsi="Arial" w:cs="Arial"/>
          <w:sz w:val="24"/>
          <w:szCs w:val="24"/>
        </w:rPr>
        <w:t>would be acting within the scope</w:t>
      </w:r>
      <w:r w:rsidR="00BF481F">
        <w:rPr>
          <w:rFonts w:ascii="Arial" w:hAnsi="Arial" w:cs="Arial"/>
          <w:sz w:val="24"/>
          <w:szCs w:val="24"/>
        </w:rPr>
        <w:t xml:space="preserve"> </w:t>
      </w:r>
      <w:r w:rsidR="001646E3">
        <w:rPr>
          <w:rFonts w:ascii="Arial" w:hAnsi="Arial" w:cs="Arial"/>
          <w:sz w:val="24"/>
          <w:szCs w:val="24"/>
        </w:rPr>
        <w:t>of his or her employment but not in pursuance of the Police Act</w:t>
      </w:r>
      <w:r w:rsidR="006F3114">
        <w:rPr>
          <w:rFonts w:ascii="Arial" w:hAnsi="Arial" w:cs="Arial"/>
          <w:sz w:val="24"/>
          <w:szCs w:val="24"/>
        </w:rPr>
        <w:t xml:space="preserve"> 7 0f 1958 (the Police Act)</w:t>
      </w:r>
      <w:r w:rsidR="001646E3">
        <w:rPr>
          <w:rFonts w:ascii="Arial" w:hAnsi="Arial" w:cs="Arial"/>
          <w:sz w:val="24"/>
          <w:szCs w:val="24"/>
        </w:rPr>
        <w:t>.</w:t>
      </w:r>
    </w:p>
    <w:p w:rsidR="00D46C30" w:rsidRDefault="00D46C30" w:rsidP="00D46C30">
      <w:pPr>
        <w:tabs>
          <w:tab w:val="left" w:pos="0"/>
        </w:tabs>
        <w:spacing w:after="0" w:line="480" w:lineRule="auto"/>
        <w:jc w:val="both"/>
        <w:rPr>
          <w:rFonts w:ascii="Arial" w:hAnsi="Arial" w:cs="Arial"/>
          <w:sz w:val="24"/>
          <w:szCs w:val="24"/>
        </w:rPr>
      </w:pPr>
    </w:p>
    <w:p w:rsidR="001646E3" w:rsidRDefault="001646E3" w:rsidP="003A63BD">
      <w:pPr>
        <w:numPr>
          <w:ilvl w:val="0"/>
          <w:numId w:val="28"/>
        </w:numPr>
        <w:tabs>
          <w:tab w:val="left" w:pos="0"/>
        </w:tabs>
        <w:spacing w:after="0" w:line="480" w:lineRule="auto"/>
        <w:ind w:left="0" w:firstLine="0"/>
        <w:jc w:val="both"/>
        <w:rPr>
          <w:rFonts w:ascii="Arial" w:hAnsi="Arial" w:cs="Arial"/>
          <w:sz w:val="24"/>
          <w:szCs w:val="24"/>
        </w:rPr>
      </w:pPr>
      <w:r>
        <w:rPr>
          <w:rFonts w:ascii="Arial" w:hAnsi="Arial" w:cs="Arial"/>
          <w:sz w:val="24"/>
          <w:szCs w:val="24"/>
        </w:rPr>
        <w:t>It must be born</w:t>
      </w:r>
      <w:r w:rsidR="00E91E4A">
        <w:rPr>
          <w:rFonts w:ascii="Arial" w:hAnsi="Arial" w:cs="Arial"/>
          <w:sz w:val="24"/>
          <w:szCs w:val="24"/>
        </w:rPr>
        <w:t>e</w:t>
      </w:r>
      <w:r>
        <w:rPr>
          <w:rFonts w:ascii="Arial" w:hAnsi="Arial" w:cs="Arial"/>
          <w:sz w:val="24"/>
          <w:szCs w:val="24"/>
        </w:rPr>
        <w:t xml:space="preserve"> in mind that members of the police force get their powers from both the common law and the Police Act or some other legislation.</w:t>
      </w:r>
    </w:p>
    <w:p w:rsidR="00CD3009" w:rsidRPr="00CD3009" w:rsidRDefault="00CD3009" w:rsidP="00CD3009">
      <w:pPr>
        <w:tabs>
          <w:tab w:val="left" w:pos="0"/>
        </w:tabs>
        <w:spacing w:after="0" w:line="360" w:lineRule="auto"/>
        <w:jc w:val="both"/>
        <w:rPr>
          <w:rFonts w:ascii="Arial" w:hAnsi="Arial" w:cs="Arial"/>
        </w:rPr>
      </w:pPr>
    </w:p>
    <w:p w:rsidR="00065B89" w:rsidRDefault="001646E3" w:rsidP="00CF70CA">
      <w:pPr>
        <w:tabs>
          <w:tab w:val="left" w:pos="0"/>
        </w:tabs>
        <w:spacing w:after="0" w:line="360" w:lineRule="auto"/>
        <w:ind w:left="720"/>
        <w:jc w:val="both"/>
        <w:rPr>
          <w:rFonts w:ascii="Arial" w:hAnsi="Arial" w:cs="Arial"/>
        </w:rPr>
      </w:pPr>
      <w:r>
        <w:rPr>
          <w:rFonts w:ascii="Arial" w:hAnsi="Arial" w:cs="Arial"/>
        </w:rPr>
        <w:t>‘In English Law the duties and rights of the police were a creation of the common law and of legisla</w:t>
      </w:r>
      <w:r w:rsidR="00CF70CA">
        <w:rPr>
          <w:rFonts w:ascii="Arial" w:hAnsi="Arial" w:cs="Arial"/>
        </w:rPr>
        <w:t xml:space="preserve">tion enacted from time to time. </w:t>
      </w:r>
      <w:r>
        <w:rPr>
          <w:rFonts w:ascii="Arial" w:hAnsi="Arial" w:cs="Arial"/>
        </w:rPr>
        <w:t>In general the Police as a civil force is a very old institution in society that can already be found in the Egypti</w:t>
      </w:r>
      <w:r w:rsidR="00E91E4A">
        <w:rPr>
          <w:rFonts w:ascii="Arial" w:hAnsi="Arial" w:cs="Arial"/>
        </w:rPr>
        <w:t>a</w:t>
      </w:r>
      <w:r w:rsidR="00CF70CA">
        <w:rPr>
          <w:rFonts w:ascii="Arial" w:hAnsi="Arial" w:cs="Arial"/>
        </w:rPr>
        <w:t xml:space="preserve">n, Greek and Roman law. </w:t>
      </w:r>
      <w:r>
        <w:rPr>
          <w:rFonts w:ascii="Arial" w:hAnsi="Arial" w:cs="Arial"/>
        </w:rPr>
        <w:t>The form of the organization and the powers exercised by the Police is not something that remain static</w:t>
      </w:r>
      <w:r w:rsidR="00CF70CA">
        <w:rPr>
          <w:rFonts w:ascii="Arial" w:hAnsi="Arial" w:cs="Arial"/>
        </w:rPr>
        <w:t xml:space="preserve"> through the centuries . . . .  </w:t>
      </w:r>
      <w:r>
        <w:rPr>
          <w:rFonts w:ascii="Arial" w:hAnsi="Arial" w:cs="Arial"/>
        </w:rPr>
        <w:t>The basic duties of the Police in England is the same as on the continent and the basic duties applies also in my view in the Union of South Africa.</w:t>
      </w:r>
      <w:r w:rsidR="00CF70CA">
        <w:rPr>
          <w:rFonts w:ascii="Arial" w:hAnsi="Arial" w:cs="Arial"/>
        </w:rPr>
        <w:t xml:space="preserve"> </w:t>
      </w:r>
      <w:r w:rsidR="00CD3009">
        <w:rPr>
          <w:rFonts w:ascii="Arial" w:hAnsi="Arial" w:cs="Arial"/>
        </w:rPr>
        <w:t>It is the duty of the Police, from the natur</w:t>
      </w:r>
      <w:r w:rsidR="00065B89">
        <w:rPr>
          <w:rFonts w:ascii="Arial" w:hAnsi="Arial" w:cs="Arial"/>
        </w:rPr>
        <w:t>e</w:t>
      </w:r>
      <w:r w:rsidR="00CD3009">
        <w:rPr>
          <w:rFonts w:ascii="Arial" w:hAnsi="Arial" w:cs="Arial"/>
        </w:rPr>
        <w:t xml:space="preserve"> of their position</w:t>
      </w:r>
      <w:r w:rsidR="00065B89">
        <w:rPr>
          <w:rFonts w:ascii="Arial" w:hAnsi="Arial" w:cs="Arial"/>
        </w:rPr>
        <w:t>, to maintain the internal security of the State, to safeguard the public peace and to prevent crime . . . .</w:t>
      </w:r>
      <w:r w:rsidR="00CF70CA">
        <w:rPr>
          <w:rFonts w:ascii="Arial" w:hAnsi="Arial" w:cs="Arial"/>
        </w:rPr>
        <w:t xml:space="preserve"> </w:t>
      </w:r>
      <w:r w:rsidR="00065B89">
        <w:rPr>
          <w:rFonts w:ascii="Arial" w:hAnsi="Arial" w:cs="Arial"/>
        </w:rPr>
        <w:t>In my opinion it was not the intention of the legislature with the set section 7 to remove the basic duties of the Police and to replace it with statutory duties.’</w:t>
      </w:r>
      <w:r w:rsidR="00065B89">
        <w:rPr>
          <w:rStyle w:val="FootnoteReference"/>
          <w:rFonts w:ascii="Arial" w:hAnsi="Arial" w:cs="Arial"/>
        </w:rPr>
        <w:footnoteReference w:id="3"/>
      </w:r>
    </w:p>
    <w:p w:rsidR="00794440" w:rsidRPr="00794440" w:rsidRDefault="00794440" w:rsidP="00794440">
      <w:pPr>
        <w:tabs>
          <w:tab w:val="left" w:pos="0"/>
        </w:tabs>
        <w:spacing w:after="0" w:line="480" w:lineRule="auto"/>
        <w:ind w:left="720"/>
        <w:jc w:val="both"/>
        <w:rPr>
          <w:rFonts w:ascii="Arial" w:hAnsi="Arial" w:cs="Arial"/>
          <w:sz w:val="24"/>
          <w:szCs w:val="24"/>
        </w:rPr>
      </w:pPr>
    </w:p>
    <w:p w:rsidR="001646E3" w:rsidRDefault="00794440" w:rsidP="003A63BD">
      <w:pPr>
        <w:numPr>
          <w:ilvl w:val="0"/>
          <w:numId w:val="28"/>
        </w:numPr>
        <w:tabs>
          <w:tab w:val="left" w:pos="0"/>
        </w:tabs>
        <w:spacing w:after="0" w:line="480" w:lineRule="auto"/>
        <w:ind w:left="0" w:firstLine="0"/>
        <w:jc w:val="both"/>
        <w:rPr>
          <w:rFonts w:ascii="Arial" w:hAnsi="Arial" w:cs="Arial"/>
          <w:sz w:val="24"/>
          <w:szCs w:val="24"/>
        </w:rPr>
      </w:pPr>
      <w:r>
        <w:rPr>
          <w:rFonts w:ascii="Arial" w:hAnsi="Arial" w:cs="Arial"/>
          <w:sz w:val="24"/>
          <w:szCs w:val="24"/>
        </w:rPr>
        <w:t>It thus follows that</w:t>
      </w:r>
      <w:r w:rsidR="00E61889">
        <w:rPr>
          <w:rFonts w:ascii="Arial" w:hAnsi="Arial" w:cs="Arial"/>
          <w:sz w:val="24"/>
          <w:szCs w:val="24"/>
        </w:rPr>
        <w:t>,</w:t>
      </w:r>
      <w:r>
        <w:rPr>
          <w:rFonts w:ascii="Arial" w:hAnsi="Arial" w:cs="Arial"/>
          <w:sz w:val="24"/>
          <w:szCs w:val="24"/>
        </w:rPr>
        <w:t xml:space="preserve"> where a member of the police force exercises police powers</w:t>
      </w:r>
      <w:r w:rsidR="00E61889">
        <w:rPr>
          <w:rFonts w:ascii="Arial" w:hAnsi="Arial" w:cs="Arial"/>
          <w:sz w:val="24"/>
          <w:szCs w:val="24"/>
        </w:rPr>
        <w:t>,</w:t>
      </w:r>
      <w:r>
        <w:rPr>
          <w:rFonts w:ascii="Arial" w:hAnsi="Arial" w:cs="Arial"/>
          <w:sz w:val="24"/>
          <w:szCs w:val="24"/>
        </w:rPr>
        <w:t xml:space="preserve"> it is done either in terms of the common law or some statutory instrument (</w:t>
      </w:r>
      <w:r w:rsidR="00CF70CA">
        <w:rPr>
          <w:rFonts w:ascii="Arial" w:hAnsi="Arial" w:cs="Arial"/>
          <w:sz w:val="24"/>
          <w:szCs w:val="24"/>
        </w:rPr>
        <w:t>i</w:t>
      </w:r>
      <w:r>
        <w:rPr>
          <w:rFonts w:ascii="Arial" w:hAnsi="Arial" w:cs="Arial"/>
          <w:sz w:val="24"/>
          <w:szCs w:val="24"/>
        </w:rPr>
        <w:t>.</w:t>
      </w:r>
      <w:r w:rsidR="00CF70CA">
        <w:rPr>
          <w:rFonts w:ascii="Arial" w:hAnsi="Arial" w:cs="Arial"/>
          <w:sz w:val="24"/>
          <w:szCs w:val="24"/>
        </w:rPr>
        <w:t>e</w:t>
      </w:r>
      <w:r>
        <w:rPr>
          <w:rFonts w:ascii="Arial" w:hAnsi="Arial" w:cs="Arial"/>
          <w:sz w:val="24"/>
          <w:szCs w:val="24"/>
        </w:rPr>
        <w:t xml:space="preserve">. </w:t>
      </w:r>
      <w:r w:rsidR="00CF70CA">
        <w:rPr>
          <w:rFonts w:ascii="Arial" w:hAnsi="Arial" w:cs="Arial"/>
          <w:sz w:val="24"/>
          <w:szCs w:val="24"/>
        </w:rPr>
        <w:t>the</w:t>
      </w:r>
      <w:r>
        <w:rPr>
          <w:rFonts w:ascii="Arial" w:hAnsi="Arial" w:cs="Arial"/>
          <w:sz w:val="24"/>
          <w:szCs w:val="24"/>
        </w:rPr>
        <w:t xml:space="preserve"> Police Act). In either event such member will also act in the course and scope of his or her employment. Where a member of the police force </w:t>
      </w:r>
      <w:r w:rsidR="00506610">
        <w:rPr>
          <w:rFonts w:ascii="Arial" w:hAnsi="Arial" w:cs="Arial"/>
          <w:sz w:val="24"/>
          <w:szCs w:val="24"/>
        </w:rPr>
        <w:t>acts in terms of the common law</w:t>
      </w:r>
      <w:r w:rsidR="00E61889">
        <w:rPr>
          <w:rFonts w:ascii="Arial" w:hAnsi="Arial" w:cs="Arial"/>
          <w:sz w:val="24"/>
          <w:szCs w:val="24"/>
        </w:rPr>
        <w:t>,</w:t>
      </w:r>
      <w:r w:rsidR="00506610">
        <w:rPr>
          <w:rFonts w:ascii="Arial" w:hAnsi="Arial" w:cs="Arial"/>
          <w:sz w:val="24"/>
          <w:szCs w:val="24"/>
        </w:rPr>
        <w:t xml:space="preserve"> then such member obviously does not act in pursuance of the Police Act and </w:t>
      </w:r>
      <w:r w:rsidR="00506610" w:rsidRPr="00410198">
        <w:rPr>
          <w:rFonts w:ascii="Arial" w:hAnsi="Arial" w:cs="Arial"/>
          <w:i/>
          <w:sz w:val="24"/>
          <w:szCs w:val="24"/>
        </w:rPr>
        <w:t>vice versa</w:t>
      </w:r>
      <w:r w:rsidR="00506610">
        <w:rPr>
          <w:rFonts w:ascii="Arial" w:hAnsi="Arial" w:cs="Arial"/>
          <w:sz w:val="24"/>
          <w:szCs w:val="24"/>
        </w:rPr>
        <w:t>.</w:t>
      </w:r>
    </w:p>
    <w:p w:rsidR="00506610" w:rsidRDefault="00506610" w:rsidP="00506610">
      <w:pPr>
        <w:tabs>
          <w:tab w:val="left" w:pos="0"/>
        </w:tabs>
        <w:spacing w:after="0" w:line="480" w:lineRule="auto"/>
        <w:jc w:val="both"/>
        <w:rPr>
          <w:rFonts w:ascii="Arial" w:hAnsi="Arial" w:cs="Arial"/>
          <w:sz w:val="24"/>
          <w:szCs w:val="24"/>
        </w:rPr>
      </w:pPr>
    </w:p>
    <w:p w:rsidR="00506610" w:rsidRPr="001973F0" w:rsidRDefault="00410198" w:rsidP="003A63BD">
      <w:pPr>
        <w:numPr>
          <w:ilvl w:val="0"/>
          <w:numId w:val="28"/>
        </w:numPr>
        <w:tabs>
          <w:tab w:val="left" w:pos="0"/>
        </w:tabs>
        <w:spacing w:after="0" w:line="480" w:lineRule="auto"/>
        <w:ind w:left="0" w:firstLine="0"/>
        <w:jc w:val="both"/>
        <w:rPr>
          <w:rFonts w:ascii="Arial" w:hAnsi="Arial" w:cs="Arial"/>
          <w:i/>
          <w:sz w:val="24"/>
          <w:szCs w:val="24"/>
        </w:rPr>
      </w:pPr>
      <w:r>
        <w:rPr>
          <w:rFonts w:ascii="Arial" w:hAnsi="Arial" w:cs="Arial"/>
          <w:sz w:val="24"/>
          <w:szCs w:val="24"/>
        </w:rPr>
        <w:t xml:space="preserve">A similar situation can arise where the powers and functions of an official is contained in different statutes. An example of this is evident from the facts in </w:t>
      </w:r>
      <w:r w:rsidRPr="00410198">
        <w:rPr>
          <w:rFonts w:ascii="Arial" w:hAnsi="Arial" w:cs="Arial"/>
          <w:i/>
          <w:sz w:val="24"/>
          <w:szCs w:val="24"/>
        </w:rPr>
        <w:t>Dixon v Government of the Republic of Namibia</w:t>
      </w:r>
      <w:r>
        <w:rPr>
          <w:rFonts w:ascii="Arial" w:hAnsi="Arial" w:cs="Arial"/>
          <w:i/>
          <w:sz w:val="24"/>
          <w:szCs w:val="24"/>
        </w:rPr>
        <w:t xml:space="preserve"> </w:t>
      </w:r>
      <w:r>
        <w:rPr>
          <w:rFonts w:ascii="Arial" w:hAnsi="Arial" w:cs="Arial"/>
          <w:sz w:val="24"/>
          <w:szCs w:val="24"/>
        </w:rPr>
        <w:t>(</w:t>
      </w:r>
      <w:r w:rsidRPr="00410198">
        <w:rPr>
          <w:rFonts w:ascii="Arial" w:hAnsi="Arial" w:cs="Arial"/>
          <w:i/>
          <w:sz w:val="24"/>
          <w:szCs w:val="24"/>
        </w:rPr>
        <w:t>Ministry of Education</w:t>
      </w:r>
      <w:r>
        <w:rPr>
          <w:rFonts w:ascii="Arial" w:hAnsi="Arial" w:cs="Arial"/>
          <w:sz w:val="24"/>
          <w:szCs w:val="24"/>
        </w:rPr>
        <w:t xml:space="preserve">) </w:t>
      </w:r>
      <w:r w:rsidR="00CF70CA">
        <w:rPr>
          <w:rFonts w:ascii="Arial" w:hAnsi="Arial" w:cs="Arial"/>
          <w:sz w:val="24"/>
          <w:szCs w:val="24"/>
        </w:rPr>
        <w:t>&amp;</w:t>
      </w:r>
      <w:r w:rsidRPr="00410198">
        <w:rPr>
          <w:rFonts w:ascii="Arial" w:hAnsi="Arial" w:cs="Arial"/>
          <w:i/>
          <w:sz w:val="24"/>
          <w:szCs w:val="24"/>
        </w:rPr>
        <w:t xml:space="preserve"> </w:t>
      </w:r>
      <w:r>
        <w:rPr>
          <w:rFonts w:ascii="Arial" w:hAnsi="Arial" w:cs="Arial"/>
          <w:i/>
          <w:sz w:val="24"/>
          <w:szCs w:val="24"/>
        </w:rPr>
        <w:t>another</w:t>
      </w:r>
      <w:r w:rsidRPr="00CF70CA">
        <w:rPr>
          <w:rStyle w:val="FootnoteReference"/>
          <w:rFonts w:ascii="Arial" w:hAnsi="Arial" w:cs="Arial"/>
          <w:sz w:val="24"/>
          <w:szCs w:val="24"/>
        </w:rPr>
        <w:footnoteReference w:id="4"/>
      </w:r>
      <w:r>
        <w:rPr>
          <w:rFonts w:ascii="Arial" w:hAnsi="Arial" w:cs="Arial"/>
          <w:i/>
          <w:sz w:val="24"/>
          <w:szCs w:val="24"/>
        </w:rPr>
        <w:t xml:space="preserve"> </w:t>
      </w:r>
      <w:r>
        <w:rPr>
          <w:rFonts w:ascii="Arial" w:hAnsi="Arial" w:cs="Arial"/>
          <w:sz w:val="24"/>
          <w:szCs w:val="24"/>
        </w:rPr>
        <w:t xml:space="preserve">where a </w:t>
      </w:r>
      <w:r>
        <w:rPr>
          <w:rFonts w:ascii="Arial" w:hAnsi="Arial" w:cs="Arial"/>
          <w:sz w:val="24"/>
          <w:szCs w:val="24"/>
        </w:rPr>
        <w:lastRenderedPageBreak/>
        <w:t xml:space="preserve">damages claim was instituted against the State and a teacher flowing from the alleged negligent driving of the teacher when she was </w:t>
      </w:r>
      <w:r w:rsidR="00CF70CA">
        <w:rPr>
          <w:rFonts w:ascii="Arial" w:hAnsi="Arial" w:cs="Arial"/>
          <w:sz w:val="24"/>
          <w:szCs w:val="24"/>
        </w:rPr>
        <w:t>e</w:t>
      </w:r>
      <w:r w:rsidR="00D46C30">
        <w:rPr>
          <w:rFonts w:ascii="Arial" w:hAnsi="Arial" w:cs="Arial"/>
          <w:sz w:val="24"/>
          <w:szCs w:val="24"/>
        </w:rPr>
        <w:t>n route</w:t>
      </w:r>
      <w:r>
        <w:rPr>
          <w:rFonts w:ascii="Arial" w:hAnsi="Arial" w:cs="Arial"/>
          <w:sz w:val="24"/>
          <w:szCs w:val="24"/>
        </w:rPr>
        <w:t xml:space="preserve"> to a teacher’s workshop. In a special plea filed in the claim it was averred that the claim has expired (was time-ba</w:t>
      </w:r>
      <w:r w:rsidR="00D46C30">
        <w:rPr>
          <w:rFonts w:ascii="Arial" w:hAnsi="Arial" w:cs="Arial"/>
          <w:sz w:val="24"/>
          <w:szCs w:val="24"/>
        </w:rPr>
        <w:t>rr</w:t>
      </w:r>
      <w:r>
        <w:rPr>
          <w:rFonts w:ascii="Arial" w:hAnsi="Arial" w:cs="Arial"/>
          <w:sz w:val="24"/>
          <w:szCs w:val="24"/>
        </w:rPr>
        <w:t xml:space="preserve">ed) pursuant to the </w:t>
      </w:r>
      <w:r w:rsidR="001973F0">
        <w:rPr>
          <w:rFonts w:ascii="Arial" w:hAnsi="Arial" w:cs="Arial"/>
          <w:sz w:val="24"/>
          <w:szCs w:val="24"/>
        </w:rPr>
        <w:t xml:space="preserve">provisions of s 33 of the Public Service Act 13 of 1995 which covered situations relating to ‘anything done in terms of this </w:t>
      </w:r>
      <w:r w:rsidR="00E61889">
        <w:rPr>
          <w:rFonts w:ascii="Arial" w:hAnsi="Arial" w:cs="Arial"/>
          <w:sz w:val="24"/>
          <w:szCs w:val="24"/>
        </w:rPr>
        <w:t>A</w:t>
      </w:r>
      <w:r w:rsidR="001973F0">
        <w:rPr>
          <w:rFonts w:ascii="Arial" w:hAnsi="Arial" w:cs="Arial"/>
          <w:sz w:val="24"/>
          <w:szCs w:val="24"/>
        </w:rPr>
        <w:t>ct’. The court f</w:t>
      </w:r>
      <w:r w:rsidR="00E61889">
        <w:rPr>
          <w:rFonts w:ascii="Arial" w:hAnsi="Arial" w:cs="Arial"/>
          <w:sz w:val="24"/>
          <w:szCs w:val="24"/>
        </w:rPr>
        <w:t>ou</w:t>
      </w:r>
      <w:r w:rsidR="001973F0">
        <w:rPr>
          <w:rFonts w:ascii="Arial" w:hAnsi="Arial" w:cs="Arial"/>
          <w:sz w:val="24"/>
          <w:szCs w:val="24"/>
        </w:rPr>
        <w:t>nd that</w:t>
      </w:r>
      <w:r w:rsidR="00E61889">
        <w:rPr>
          <w:rFonts w:ascii="Arial" w:hAnsi="Arial" w:cs="Arial"/>
          <w:sz w:val="24"/>
          <w:szCs w:val="24"/>
        </w:rPr>
        <w:t>,</w:t>
      </w:r>
      <w:r w:rsidR="001973F0">
        <w:rPr>
          <w:rFonts w:ascii="Arial" w:hAnsi="Arial" w:cs="Arial"/>
          <w:sz w:val="24"/>
          <w:szCs w:val="24"/>
        </w:rPr>
        <w:t xml:space="preserve"> at the time the teacher drove the vehicle</w:t>
      </w:r>
      <w:r w:rsidR="00E61889">
        <w:rPr>
          <w:rFonts w:ascii="Arial" w:hAnsi="Arial" w:cs="Arial"/>
          <w:sz w:val="24"/>
          <w:szCs w:val="24"/>
        </w:rPr>
        <w:t>,</w:t>
      </w:r>
      <w:r w:rsidR="001973F0">
        <w:rPr>
          <w:rFonts w:ascii="Arial" w:hAnsi="Arial" w:cs="Arial"/>
          <w:sz w:val="24"/>
          <w:szCs w:val="24"/>
        </w:rPr>
        <w:t xml:space="preserve"> she ‘exercise</w:t>
      </w:r>
      <w:r w:rsidR="00D46C30">
        <w:rPr>
          <w:rFonts w:ascii="Arial" w:hAnsi="Arial" w:cs="Arial"/>
          <w:sz w:val="24"/>
          <w:szCs w:val="24"/>
        </w:rPr>
        <w:t>d</w:t>
      </w:r>
      <w:r w:rsidR="001973F0">
        <w:rPr>
          <w:rFonts w:ascii="Arial" w:hAnsi="Arial" w:cs="Arial"/>
          <w:sz w:val="24"/>
          <w:szCs w:val="24"/>
        </w:rPr>
        <w:t xml:space="preserve"> the powers conferred by the Education Act and not the powers given by the Public Service Act and hence the special plea was dismissed</w:t>
      </w:r>
      <w:r w:rsidR="00F178EE">
        <w:rPr>
          <w:rFonts w:ascii="Arial" w:hAnsi="Arial" w:cs="Arial"/>
          <w:sz w:val="24"/>
          <w:szCs w:val="24"/>
        </w:rPr>
        <w:t>’</w:t>
      </w:r>
      <w:r w:rsidR="001973F0">
        <w:rPr>
          <w:rFonts w:ascii="Arial" w:hAnsi="Arial" w:cs="Arial"/>
          <w:sz w:val="24"/>
          <w:szCs w:val="24"/>
        </w:rPr>
        <w:t>.</w:t>
      </w:r>
      <w:r w:rsidR="001973F0">
        <w:rPr>
          <w:rStyle w:val="FootnoteReference"/>
          <w:rFonts w:ascii="Arial" w:hAnsi="Arial" w:cs="Arial"/>
          <w:sz w:val="24"/>
          <w:szCs w:val="24"/>
        </w:rPr>
        <w:footnoteReference w:id="5"/>
      </w:r>
      <w:r w:rsidR="001973F0">
        <w:rPr>
          <w:rFonts w:ascii="Arial" w:hAnsi="Arial" w:cs="Arial"/>
          <w:sz w:val="24"/>
          <w:szCs w:val="24"/>
        </w:rPr>
        <w:t xml:space="preserve"> I should mention in passing that in this case it was also accepted that the teacher acted within the course and scope of he</w:t>
      </w:r>
      <w:r w:rsidR="00E61889">
        <w:rPr>
          <w:rFonts w:ascii="Arial" w:hAnsi="Arial" w:cs="Arial"/>
          <w:sz w:val="24"/>
          <w:szCs w:val="24"/>
        </w:rPr>
        <w:t>r</w:t>
      </w:r>
      <w:r w:rsidR="001973F0">
        <w:rPr>
          <w:rFonts w:ascii="Arial" w:hAnsi="Arial" w:cs="Arial"/>
          <w:sz w:val="24"/>
          <w:szCs w:val="24"/>
        </w:rPr>
        <w:t xml:space="preserve"> employment when she drove the car.</w:t>
      </w:r>
    </w:p>
    <w:p w:rsidR="001973F0" w:rsidRPr="001973F0" w:rsidRDefault="001973F0" w:rsidP="001973F0">
      <w:pPr>
        <w:pStyle w:val="ListParagraph"/>
        <w:spacing w:after="0" w:line="480" w:lineRule="auto"/>
        <w:jc w:val="both"/>
        <w:rPr>
          <w:rFonts w:ascii="Arial" w:hAnsi="Arial" w:cs="Arial"/>
          <w:sz w:val="24"/>
          <w:szCs w:val="24"/>
        </w:rPr>
      </w:pPr>
    </w:p>
    <w:p w:rsidR="001973F0" w:rsidRPr="006F359F" w:rsidRDefault="001973F0" w:rsidP="003A63BD">
      <w:pPr>
        <w:numPr>
          <w:ilvl w:val="0"/>
          <w:numId w:val="28"/>
        </w:numPr>
        <w:tabs>
          <w:tab w:val="left" w:pos="0"/>
        </w:tabs>
        <w:spacing w:after="0" w:line="480" w:lineRule="auto"/>
        <w:ind w:left="0" w:firstLine="0"/>
        <w:jc w:val="both"/>
        <w:rPr>
          <w:rFonts w:ascii="Arial" w:hAnsi="Arial" w:cs="Arial"/>
          <w:i/>
          <w:sz w:val="24"/>
          <w:szCs w:val="24"/>
        </w:rPr>
      </w:pPr>
      <w:r>
        <w:rPr>
          <w:rFonts w:ascii="Arial" w:hAnsi="Arial" w:cs="Arial"/>
          <w:sz w:val="24"/>
          <w:szCs w:val="24"/>
        </w:rPr>
        <w:t>When it comes to member</w:t>
      </w:r>
      <w:r w:rsidR="00D46C30">
        <w:rPr>
          <w:rFonts w:ascii="Arial" w:hAnsi="Arial" w:cs="Arial"/>
          <w:sz w:val="24"/>
          <w:szCs w:val="24"/>
        </w:rPr>
        <w:t>s</w:t>
      </w:r>
      <w:r>
        <w:rPr>
          <w:rFonts w:ascii="Arial" w:hAnsi="Arial" w:cs="Arial"/>
          <w:sz w:val="24"/>
          <w:szCs w:val="24"/>
        </w:rPr>
        <w:t xml:space="preserve"> of the correctional service</w:t>
      </w:r>
      <w:r w:rsidR="00E61889">
        <w:rPr>
          <w:rFonts w:ascii="Arial" w:hAnsi="Arial" w:cs="Arial"/>
          <w:sz w:val="24"/>
          <w:szCs w:val="24"/>
        </w:rPr>
        <w:t>,</w:t>
      </w:r>
      <w:r>
        <w:rPr>
          <w:rFonts w:ascii="Arial" w:hAnsi="Arial" w:cs="Arial"/>
          <w:sz w:val="24"/>
          <w:szCs w:val="24"/>
        </w:rPr>
        <w:t xml:space="preserve"> they have no common law power</w:t>
      </w:r>
      <w:r w:rsidR="00E61889">
        <w:rPr>
          <w:rFonts w:ascii="Arial" w:hAnsi="Arial" w:cs="Arial"/>
          <w:sz w:val="24"/>
          <w:szCs w:val="24"/>
        </w:rPr>
        <w:t>,</w:t>
      </w:r>
      <w:r>
        <w:rPr>
          <w:rFonts w:ascii="Arial" w:hAnsi="Arial" w:cs="Arial"/>
          <w:sz w:val="24"/>
          <w:szCs w:val="24"/>
        </w:rPr>
        <w:t xml:space="preserve"> nor is there any Act apart from the Correctional Service Act that confers them with powers </w:t>
      </w:r>
      <w:r w:rsidR="006F359F">
        <w:rPr>
          <w:rFonts w:ascii="Arial" w:hAnsi="Arial" w:cs="Arial"/>
          <w:sz w:val="24"/>
          <w:szCs w:val="24"/>
        </w:rPr>
        <w:t>as far as I am aware of. This means their powers will exclusively be found in this Act. It thus follows that when they act within the course and scope of their employment they also act in pursuance with the Correction</w:t>
      </w:r>
      <w:r w:rsidR="00D46C30">
        <w:rPr>
          <w:rFonts w:ascii="Arial" w:hAnsi="Arial" w:cs="Arial"/>
          <w:sz w:val="24"/>
          <w:szCs w:val="24"/>
        </w:rPr>
        <w:t>al</w:t>
      </w:r>
      <w:r w:rsidR="006F359F">
        <w:rPr>
          <w:rFonts w:ascii="Arial" w:hAnsi="Arial" w:cs="Arial"/>
          <w:sz w:val="24"/>
          <w:szCs w:val="24"/>
        </w:rPr>
        <w:t xml:space="preserve"> Service Act. It thus seems to me that when it comes to </w:t>
      </w:r>
      <w:r w:rsidR="00D46C30">
        <w:rPr>
          <w:rFonts w:ascii="Arial" w:hAnsi="Arial" w:cs="Arial"/>
          <w:sz w:val="24"/>
          <w:szCs w:val="24"/>
        </w:rPr>
        <w:t xml:space="preserve">the </w:t>
      </w:r>
      <w:r w:rsidR="006F359F">
        <w:rPr>
          <w:rFonts w:ascii="Arial" w:hAnsi="Arial" w:cs="Arial"/>
          <w:sz w:val="24"/>
          <w:szCs w:val="24"/>
        </w:rPr>
        <w:t>Correctional Service Act</w:t>
      </w:r>
      <w:r w:rsidR="00F178EE">
        <w:rPr>
          <w:rFonts w:ascii="Arial" w:hAnsi="Arial" w:cs="Arial"/>
          <w:sz w:val="24"/>
          <w:szCs w:val="24"/>
        </w:rPr>
        <w:t>,</w:t>
      </w:r>
      <w:r w:rsidR="006F359F">
        <w:rPr>
          <w:rFonts w:ascii="Arial" w:hAnsi="Arial" w:cs="Arial"/>
          <w:sz w:val="24"/>
          <w:szCs w:val="24"/>
        </w:rPr>
        <w:t xml:space="preserve"> a distinction cannot be drawn between ‘acting within the scope and course’ of employment and acting ‘in pursuance’ of the said Act.</w:t>
      </w:r>
    </w:p>
    <w:p w:rsidR="006F359F" w:rsidRPr="006373D0" w:rsidRDefault="006F359F" w:rsidP="006373D0">
      <w:pPr>
        <w:pStyle w:val="ListParagraph"/>
        <w:spacing w:after="0" w:line="480" w:lineRule="auto"/>
        <w:jc w:val="both"/>
        <w:rPr>
          <w:rFonts w:ascii="Arial" w:hAnsi="Arial" w:cs="Arial"/>
          <w:sz w:val="24"/>
          <w:szCs w:val="24"/>
        </w:rPr>
      </w:pPr>
    </w:p>
    <w:p w:rsidR="006F359F" w:rsidRPr="00CF70CA" w:rsidRDefault="006F359F" w:rsidP="003A63BD">
      <w:pPr>
        <w:numPr>
          <w:ilvl w:val="0"/>
          <w:numId w:val="28"/>
        </w:numPr>
        <w:tabs>
          <w:tab w:val="left" w:pos="0"/>
        </w:tabs>
        <w:spacing w:after="0" w:line="480" w:lineRule="auto"/>
        <w:ind w:left="0" w:firstLine="0"/>
        <w:jc w:val="both"/>
        <w:rPr>
          <w:rFonts w:ascii="Arial" w:hAnsi="Arial" w:cs="Arial"/>
          <w:i/>
          <w:sz w:val="24"/>
          <w:szCs w:val="24"/>
        </w:rPr>
      </w:pPr>
      <w:r>
        <w:rPr>
          <w:rFonts w:ascii="Arial" w:hAnsi="Arial" w:cs="Arial"/>
          <w:sz w:val="24"/>
          <w:szCs w:val="24"/>
        </w:rPr>
        <w:t>Because of the manner in which the matter was pleaded</w:t>
      </w:r>
      <w:r w:rsidR="00D46C30">
        <w:rPr>
          <w:rFonts w:ascii="Arial" w:hAnsi="Arial" w:cs="Arial"/>
          <w:sz w:val="24"/>
          <w:szCs w:val="24"/>
        </w:rPr>
        <w:t xml:space="preserve"> and</w:t>
      </w:r>
      <w:r>
        <w:rPr>
          <w:rFonts w:ascii="Arial" w:hAnsi="Arial" w:cs="Arial"/>
          <w:sz w:val="24"/>
          <w:szCs w:val="24"/>
        </w:rPr>
        <w:t xml:space="preserve"> the</w:t>
      </w:r>
      <w:r w:rsidR="00D46C30">
        <w:rPr>
          <w:rFonts w:ascii="Arial" w:hAnsi="Arial" w:cs="Arial"/>
          <w:sz w:val="24"/>
          <w:szCs w:val="24"/>
        </w:rPr>
        <w:t xml:space="preserve"> resulting</w:t>
      </w:r>
      <w:r>
        <w:rPr>
          <w:rFonts w:ascii="Arial" w:hAnsi="Arial" w:cs="Arial"/>
          <w:sz w:val="24"/>
          <w:szCs w:val="24"/>
        </w:rPr>
        <w:t xml:space="preserve"> pre-trial order coupled with the fact that neither the </w:t>
      </w:r>
      <w:r w:rsidR="00F178EE">
        <w:rPr>
          <w:rFonts w:ascii="Arial" w:hAnsi="Arial" w:cs="Arial"/>
          <w:sz w:val="24"/>
          <w:szCs w:val="24"/>
        </w:rPr>
        <w:t>j</w:t>
      </w:r>
      <w:r>
        <w:rPr>
          <w:rFonts w:ascii="Arial" w:hAnsi="Arial" w:cs="Arial"/>
          <w:sz w:val="24"/>
          <w:szCs w:val="24"/>
        </w:rPr>
        <w:t xml:space="preserve">udge </w:t>
      </w:r>
      <w:r>
        <w:rPr>
          <w:rFonts w:ascii="Arial" w:hAnsi="Arial" w:cs="Arial"/>
          <w:i/>
          <w:sz w:val="24"/>
          <w:szCs w:val="24"/>
        </w:rPr>
        <w:t xml:space="preserve">a quo </w:t>
      </w:r>
      <w:r w:rsidR="00D46C30">
        <w:rPr>
          <w:rFonts w:ascii="Arial" w:hAnsi="Arial" w:cs="Arial"/>
          <w:sz w:val="24"/>
          <w:szCs w:val="24"/>
        </w:rPr>
        <w:t>n</w:t>
      </w:r>
      <w:r>
        <w:rPr>
          <w:rFonts w:ascii="Arial" w:hAnsi="Arial" w:cs="Arial"/>
          <w:sz w:val="24"/>
          <w:szCs w:val="24"/>
        </w:rPr>
        <w:t xml:space="preserve">or counsel for the </w:t>
      </w:r>
      <w:r>
        <w:rPr>
          <w:rFonts w:ascii="Arial" w:hAnsi="Arial" w:cs="Arial"/>
          <w:sz w:val="24"/>
          <w:szCs w:val="24"/>
        </w:rPr>
        <w:lastRenderedPageBreak/>
        <w:t>responde</w:t>
      </w:r>
      <w:r w:rsidR="00054CA1">
        <w:rPr>
          <w:rFonts w:ascii="Arial" w:hAnsi="Arial" w:cs="Arial"/>
          <w:sz w:val="24"/>
          <w:szCs w:val="24"/>
        </w:rPr>
        <w:t>nts dealt with the matter based</w:t>
      </w:r>
      <w:r w:rsidR="00E91E4A">
        <w:rPr>
          <w:rFonts w:ascii="Arial" w:hAnsi="Arial" w:cs="Arial"/>
          <w:sz w:val="24"/>
          <w:szCs w:val="24"/>
        </w:rPr>
        <w:t xml:space="preserve"> on</w:t>
      </w:r>
      <w:r w:rsidR="00E61889">
        <w:rPr>
          <w:rFonts w:ascii="Arial" w:hAnsi="Arial" w:cs="Arial"/>
          <w:sz w:val="24"/>
          <w:szCs w:val="24"/>
        </w:rPr>
        <w:t xml:space="preserve"> the approach indicated above, </w:t>
      </w:r>
      <w:r w:rsidR="00054CA1">
        <w:rPr>
          <w:rFonts w:ascii="Arial" w:hAnsi="Arial" w:cs="Arial"/>
          <w:sz w:val="24"/>
          <w:szCs w:val="24"/>
        </w:rPr>
        <w:t>I express my view above simpl</w:t>
      </w:r>
      <w:r w:rsidR="00D46C30">
        <w:rPr>
          <w:rFonts w:ascii="Arial" w:hAnsi="Arial" w:cs="Arial"/>
          <w:sz w:val="24"/>
          <w:szCs w:val="24"/>
        </w:rPr>
        <w:t>y</w:t>
      </w:r>
      <w:r w:rsidR="00054CA1">
        <w:rPr>
          <w:rFonts w:ascii="Arial" w:hAnsi="Arial" w:cs="Arial"/>
          <w:sz w:val="24"/>
          <w:szCs w:val="24"/>
        </w:rPr>
        <w:t xml:space="preserve"> as a </w:t>
      </w:r>
      <w:r w:rsidR="00054CA1">
        <w:rPr>
          <w:rFonts w:ascii="Arial" w:hAnsi="Arial" w:cs="Arial"/>
          <w:i/>
          <w:sz w:val="24"/>
          <w:szCs w:val="24"/>
        </w:rPr>
        <w:t xml:space="preserve">prima </w:t>
      </w:r>
      <w:proofErr w:type="spellStart"/>
      <w:r w:rsidR="00054CA1">
        <w:rPr>
          <w:rFonts w:ascii="Arial" w:hAnsi="Arial" w:cs="Arial"/>
          <w:i/>
          <w:sz w:val="24"/>
          <w:szCs w:val="24"/>
        </w:rPr>
        <w:t>vacie</w:t>
      </w:r>
      <w:proofErr w:type="spellEnd"/>
      <w:r w:rsidR="00054CA1">
        <w:rPr>
          <w:rFonts w:ascii="Arial" w:hAnsi="Arial" w:cs="Arial"/>
          <w:i/>
          <w:sz w:val="24"/>
          <w:szCs w:val="24"/>
        </w:rPr>
        <w:t xml:space="preserve"> </w:t>
      </w:r>
      <w:r w:rsidR="00054CA1">
        <w:rPr>
          <w:rFonts w:ascii="Arial" w:hAnsi="Arial" w:cs="Arial"/>
          <w:sz w:val="24"/>
          <w:szCs w:val="24"/>
        </w:rPr>
        <w:t>view.</w:t>
      </w:r>
    </w:p>
    <w:p w:rsidR="00CF70CA" w:rsidRPr="00CF70CA" w:rsidRDefault="00CF70CA" w:rsidP="00CF70CA">
      <w:pPr>
        <w:pStyle w:val="ListParagraph"/>
        <w:spacing w:after="0" w:line="480" w:lineRule="auto"/>
        <w:jc w:val="both"/>
        <w:rPr>
          <w:rFonts w:ascii="Arial" w:hAnsi="Arial" w:cs="Arial"/>
          <w:sz w:val="24"/>
          <w:szCs w:val="24"/>
        </w:rPr>
      </w:pPr>
    </w:p>
    <w:p w:rsidR="00054CA1" w:rsidRPr="00410198" w:rsidRDefault="00054CA1" w:rsidP="003A63BD">
      <w:pPr>
        <w:numPr>
          <w:ilvl w:val="0"/>
          <w:numId w:val="28"/>
        </w:numPr>
        <w:tabs>
          <w:tab w:val="left" w:pos="0"/>
        </w:tabs>
        <w:spacing w:after="0" w:line="480" w:lineRule="auto"/>
        <w:ind w:left="0" w:firstLine="0"/>
        <w:jc w:val="both"/>
        <w:rPr>
          <w:rFonts w:ascii="Arial" w:hAnsi="Arial" w:cs="Arial"/>
          <w:i/>
          <w:sz w:val="24"/>
          <w:szCs w:val="24"/>
        </w:rPr>
      </w:pPr>
      <w:r>
        <w:rPr>
          <w:rFonts w:ascii="Arial" w:hAnsi="Arial" w:cs="Arial"/>
          <w:sz w:val="24"/>
          <w:szCs w:val="24"/>
        </w:rPr>
        <w:t>Without the benefit of full argument in relation to the analysis undertaken above</w:t>
      </w:r>
      <w:r w:rsidR="00E61889">
        <w:rPr>
          <w:rFonts w:ascii="Arial" w:hAnsi="Arial" w:cs="Arial"/>
          <w:sz w:val="24"/>
          <w:szCs w:val="24"/>
        </w:rPr>
        <w:t>,</w:t>
      </w:r>
      <w:r>
        <w:rPr>
          <w:rFonts w:ascii="Arial" w:hAnsi="Arial" w:cs="Arial"/>
          <w:sz w:val="24"/>
          <w:szCs w:val="24"/>
        </w:rPr>
        <w:t xml:space="preserve"> I am not prepared to express such analysis as a final view and thus agree with the main judgment that</w:t>
      </w:r>
      <w:r w:rsidR="00E61889">
        <w:rPr>
          <w:rFonts w:ascii="Arial" w:hAnsi="Arial" w:cs="Arial"/>
          <w:sz w:val="24"/>
          <w:szCs w:val="24"/>
        </w:rPr>
        <w:t>,</w:t>
      </w:r>
      <w:r>
        <w:rPr>
          <w:rFonts w:ascii="Arial" w:hAnsi="Arial" w:cs="Arial"/>
          <w:sz w:val="24"/>
          <w:szCs w:val="24"/>
        </w:rPr>
        <w:t xml:space="preserve"> on the record and the argument</w:t>
      </w:r>
      <w:r w:rsidR="00D46C30">
        <w:rPr>
          <w:rFonts w:ascii="Arial" w:hAnsi="Arial" w:cs="Arial"/>
          <w:sz w:val="24"/>
          <w:szCs w:val="24"/>
        </w:rPr>
        <w:t>s</w:t>
      </w:r>
      <w:r>
        <w:rPr>
          <w:rFonts w:ascii="Arial" w:hAnsi="Arial" w:cs="Arial"/>
          <w:sz w:val="24"/>
          <w:szCs w:val="24"/>
        </w:rPr>
        <w:t xml:space="preserve"> placed before this court the order </w:t>
      </w:r>
      <w:r w:rsidR="00D46C30">
        <w:rPr>
          <w:rFonts w:ascii="Arial" w:hAnsi="Arial" w:cs="Arial"/>
          <w:sz w:val="24"/>
          <w:szCs w:val="24"/>
        </w:rPr>
        <w:t>made</w:t>
      </w:r>
      <w:r>
        <w:rPr>
          <w:rFonts w:ascii="Arial" w:hAnsi="Arial" w:cs="Arial"/>
          <w:sz w:val="24"/>
          <w:szCs w:val="24"/>
        </w:rPr>
        <w:t xml:space="preserve"> in the main judgment</w:t>
      </w:r>
      <w:r w:rsidR="00D46C30">
        <w:rPr>
          <w:rFonts w:ascii="Arial" w:hAnsi="Arial" w:cs="Arial"/>
          <w:sz w:val="24"/>
          <w:szCs w:val="24"/>
        </w:rPr>
        <w:t xml:space="preserve"> is the correct on</w:t>
      </w:r>
      <w:r w:rsidR="003A28E3">
        <w:rPr>
          <w:rFonts w:ascii="Arial" w:hAnsi="Arial" w:cs="Arial"/>
          <w:sz w:val="24"/>
          <w:szCs w:val="24"/>
        </w:rPr>
        <w:t>e</w:t>
      </w:r>
      <w:r w:rsidR="00D46C30">
        <w:rPr>
          <w:rFonts w:ascii="Arial" w:hAnsi="Arial" w:cs="Arial"/>
          <w:sz w:val="24"/>
          <w:szCs w:val="24"/>
        </w:rPr>
        <w:t xml:space="preserve"> in the circumstances of this case</w:t>
      </w:r>
      <w:r>
        <w:rPr>
          <w:rFonts w:ascii="Arial" w:hAnsi="Arial" w:cs="Arial"/>
          <w:sz w:val="24"/>
          <w:szCs w:val="24"/>
        </w:rPr>
        <w:t>.</w:t>
      </w:r>
    </w:p>
    <w:p w:rsidR="003A63BD" w:rsidRDefault="003A63BD" w:rsidP="003A63BD">
      <w:pPr>
        <w:tabs>
          <w:tab w:val="left" w:pos="0"/>
        </w:tabs>
        <w:spacing w:after="0" w:line="480" w:lineRule="auto"/>
        <w:jc w:val="both"/>
        <w:rPr>
          <w:rFonts w:ascii="Arial" w:hAnsi="Arial" w:cs="Arial"/>
          <w:sz w:val="24"/>
          <w:szCs w:val="24"/>
        </w:rPr>
      </w:pPr>
    </w:p>
    <w:p w:rsidR="003A63BD" w:rsidRDefault="003A63BD" w:rsidP="00D36262">
      <w:pPr>
        <w:spacing w:after="0" w:line="240" w:lineRule="auto"/>
        <w:jc w:val="both"/>
        <w:rPr>
          <w:rFonts w:ascii="Arial" w:hAnsi="Arial" w:cs="Arial"/>
          <w:sz w:val="24"/>
          <w:szCs w:val="24"/>
        </w:rPr>
      </w:pPr>
    </w:p>
    <w:p w:rsidR="003A63BD" w:rsidRDefault="003A63BD" w:rsidP="00D36262">
      <w:pPr>
        <w:spacing w:after="0" w:line="240" w:lineRule="auto"/>
        <w:jc w:val="both"/>
        <w:rPr>
          <w:rFonts w:ascii="Arial" w:hAnsi="Arial" w:cs="Arial"/>
          <w:sz w:val="24"/>
          <w:szCs w:val="24"/>
        </w:rPr>
      </w:pPr>
    </w:p>
    <w:p w:rsidR="00FF4712" w:rsidRPr="00B35813" w:rsidRDefault="00FF4712" w:rsidP="00D36262">
      <w:pPr>
        <w:spacing w:after="0" w:line="240" w:lineRule="auto"/>
        <w:jc w:val="both"/>
        <w:rPr>
          <w:rFonts w:ascii="Arial" w:hAnsi="Arial" w:cs="Arial"/>
          <w:sz w:val="24"/>
          <w:szCs w:val="24"/>
        </w:rPr>
      </w:pPr>
      <w:r>
        <w:rPr>
          <w:rFonts w:ascii="Arial" w:hAnsi="Arial" w:cs="Arial"/>
          <w:sz w:val="24"/>
          <w:szCs w:val="24"/>
        </w:rPr>
        <w:t>_______________</w:t>
      </w:r>
      <w:r w:rsidR="00D36262">
        <w:rPr>
          <w:rFonts w:ascii="Arial" w:hAnsi="Arial" w:cs="Arial"/>
          <w:sz w:val="24"/>
          <w:szCs w:val="24"/>
        </w:rPr>
        <w:t>____</w:t>
      </w:r>
    </w:p>
    <w:p w:rsidR="00FF4712" w:rsidRDefault="00206785" w:rsidP="00D36262">
      <w:pPr>
        <w:spacing w:after="0" w:line="240" w:lineRule="auto"/>
        <w:jc w:val="both"/>
        <w:rPr>
          <w:rFonts w:ascii="Arial" w:hAnsi="Arial" w:cs="Arial"/>
          <w:b/>
          <w:sz w:val="24"/>
          <w:szCs w:val="24"/>
        </w:rPr>
      </w:pPr>
      <w:r>
        <w:rPr>
          <w:rFonts w:ascii="Arial" w:hAnsi="Arial" w:cs="Arial"/>
          <w:b/>
          <w:sz w:val="24"/>
          <w:szCs w:val="24"/>
        </w:rPr>
        <w:t>FRANK</w:t>
      </w:r>
      <w:r w:rsidR="00FF4712">
        <w:rPr>
          <w:rFonts w:ascii="Arial" w:hAnsi="Arial" w:cs="Arial"/>
          <w:b/>
          <w:sz w:val="24"/>
          <w:szCs w:val="24"/>
        </w:rPr>
        <w:t xml:space="preserve"> </w:t>
      </w:r>
      <w:r w:rsidR="0042765C">
        <w:rPr>
          <w:rFonts w:ascii="Arial" w:hAnsi="Arial" w:cs="Arial"/>
          <w:b/>
          <w:sz w:val="24"/>
          <w:szCs w:val="24"/>
        </w:rPr>
        <w:t>A</w:t>
      </w:r>
      <w:r w:rsidR="00FF4712">
        <w:rPr>
          <w:rFonts w:ascii="Arial" w:hAnsi="Arial" w:cs="Arial"/>
          <w:b/>
          <w:sz w:val="24"/>
          <w:szCs w:val="24"/>
        </w:rPr>
        <w:t>JA</w:t>
      </w:r>
    </w:p>
    <w:p w:rsidR="009900E7" w:rsidRDefault="009900E7" w:rsidP="00D36262">
      <w:pPr>
        <w:spacing w:after="0" w:line="240" w:lineRule="auto"/>
        <w:jc w:val="both"/>
        <w:rPr>
          <w:rFonts w:ascii="Arial" w:hAnsi="Arial" w:cs="Arial"/>
          <w:b/>
          <w:sz w:val="24"/>
          <w:szCs w:val="24"/>
        </w:rPr>
      </w:pPr>
    </w:p>
    <w:p w:rsidR="009900E7" w:rsidRDefault="009900E7" w:rsidP="00D36262">
      <w:pPr>
        <w:spacing w:after="0" w:line="240" w:lineRule="auto"/>
        <w:jc w:val="both"/>
        <w:rPr>
          <w:rFonts w:ascii="Arial" w:hAnsi="Arial" w:cs="Arial"/>
          <w:b/>
          <w:sz w:val="24"/>
          <w:szCs w:val="24"/>
        </w:rPr>
      </w:pPr>
    </w:p>
    <w:p w:rsidR="009900E7" w:rsidRDefault="009900E7" w:rsidP="00D36262">
      <w:pPr>
        <w:spacing w:after="0" w:line="240" w:lineRule="auto"/>
        <w:jc w:val="both"/>
        <w:rPr>
          <w:rFonts w:ascii="Arial" w:hAnsi="Arial" w:cs="Arial"/>
          <w:b/>
          <w:sz w:val="24"/>
          <w:szCs w:val="24"/>
        </w:rPr>
      </w:pPr>
    </w:p>
    <w:p w:rsidR="0074364A" w:rsidRDefault="0074364A" w:rsidP="00D36262">
      <w:pPr>
        <w:spacing w:after="0" w:line="240" w:lineRule="auto"/>
        <w:jc w:val="both"/>
        <w:rPr>
          <w:rFonts w:ascii="Arial" w:hAnsi="Arial" w:cs="Arial"/>
          <w:b/>
          <w:sz w:val="24"/>
          <w:szCs w:val="24"/>
        </w:rPr>
      </w:pPr>
    </w:p>
    <w:p w:rsidR="0074364A" w:rsidRDefault="0074364A" w:rsidP="00D36262">
      <w:pPr>
        <w:spacing w:after="0" w:line="240" w:lineRule="auto"/>
        <w:jc w:val="both"/>
        <w:rPr>
          <w:rFonts w:ascii="Arial" w:hAnsi="Arial" w:cs="Arial"/>
          <w:b/>
          <w:sz w:val="24"/>
          <w:szCs w:val="24"/>
        </w:rPr>
      </w:pPr>
    </w:p>
    <w:p w:rsidR="0074364A" w:rsidRDefault="0074364A" w:rsidP="00D36262">
      <w:pPr>
        <w:spacing w:after="0" w:line="240" w:lineRule="auto"/>
        <w:jc w:val="both"/>
        <w:rPr>
          <w:rFonts w:ascii="Arial" w:hAnsi="Arial" w:cs="Arial"/>
          <w:b/>
          <w:sz w:val="24"/>
          <w:szCs w:val="24"/>
        </w:rPr>
      </w:pPr>
    </w:p>
    <w:p w:rsidR="0074364A" w:rsidRDefault="0074364A" w:rsidP="00D36262">
      <w:pPr>
        <w:spacing w:after="0" w:line="240" w:lineRule="auto"/>
        <w:jc w:val="both"/>
        <w:rPr>
          <w:rFonts w:ascii="Arial" w:hAnsi="Arial" w:cs="Arial"/>
          <w:b/>
          <w:sz w:val="24"/>
          <w:szCs w:val="24"/>
        </w:rPr>
      </w:pPr>
    </w:p>
    <w:p w:rsidR="0074364A" w:rsidRDefault="0074364A" w:rsidP="00D36262">
      <w:pPr>
        <w:spacing w:after="0" w:line="240" w:lineRule="auto"/>
        <w:jc w:val="both"/>
        <w:rPr>
          <w:rFonts w:ascii="Arial" w:hAnsi="Arial" w:cs="Arial"/>
          <w:b/>
          <w:sz w:val="24"/>
          <w:szCs w:val="24"/>
        </w:rPr>
      </w:pPr>
    </w:p>
    <w:p w:rsidR="0074364A" w:rsidRDefault="0074364A" w:rsidP="00D36262">
      <w:pPr>
        <w:spacing w:after="0" w:line="240" w:lineRule="auto"/>
        <w:jc w:val="both"/>
        <w:rPr>
          <w:rFonts w:ascii="Arial" w:hAnsi="Arial" w:cs="Arial"/>
          <w:b/>
          <w:sz w:val="24"/>
          <w:szCs w:val="24"/>
        </w:rPr>
      </w:pPr>
    </w:p>
    <w:p w:rsidR="0074364A" w:rsidRDefault="0074364A" w:rsidP="00D36262">
      <w:pPr>
        <w:spacing w:after="0" w:line="240" w:lineRule="auto"/>
        <w:jc w:val="both"/>
        <w:rPr>
          <w:rFonts w:ascii="Arial" w:hAnsi="Arial" w:cs="Arial"/>
          <w:b/>
          <w:sz w:val="24"/>
          <w:szCs w:val="24"/>
        </w:rPr>
      </w:pPr>
    </w:p>
    <w:p w:rsidR="0074364A" w:rsidRDefault="0074364A" w:rsidP="00D36262">
      <w:pPr>
        <w:spacing w:after="0" w:line="240" w:lineRule="auto"/>
        <w:jc w:val="both"/>
        <w:rPr>
          <w:rFonts w:ascii="Arial" w:hAnsi="Arial" w:cs="Arial"/>
          <w:b/>
          <w:sz w:val="24"/>
          <w:szCs w:val="24"/>
        </w:rPr>
      </w:pPr>
    </w:p>
    <w:p w:rsidR="0074364A" w:rsidRDefault="0074364A" w:rsidP="00D36262">
      <w:pPr>
        <w:spacing w:after="0" w:line="240" w:lineRule="auto"/>
        <w:jc w:val="both"/>
        <w:rPr>
          <w:rFonts w:ascii="Arial" w:hAnsi="Arial" w:cs="Arial"/>
          <w:b/>
          <w:sz w:val="24"/>
          <w:szCs w:val="24"/>
        </w:rPr>
      </w:pPr>
    </w:p>
    <w:p w:rsidR="004D0ADA" w:rsidRDefault="004D0ADA">
      <w:pPr>
        <w:spacing w:after="0" w:line="240" w:lineRule="auto"/>
        <w:rPr>
          <w:rFonts w:ascii="Arial" w:hAnsi="Arial" w:cs="Arial"/>
          <w:b/>
          <w:sz w:val="24"/>
          <w:szCs w:val="24"/>
        </w:rPr>
      </w:pPr>
      <w:r>
        <w:rPr>
          <w:rFonts w:ascii="Arial" w:hAnsi="Arial" w:cs="Arial"/>
          <w:b/>
          <w:sz w:val="24"/>
          <w:szCs w:val="24"/>
        </w:rPr>
        <w:br w:type="page"/>
      </w:r>
    </w:p>
    <w:p w:rsidR="009900E7" w:rsidRDefault="009900E7" w:rsidP="00D36262">
      <w:pPr>
        <w:spacing w:after="0" w:line="240" w:lineRule="auto"/>
        <w:jc w:val="both"/>
        <w:rPr>
          <w:rFonts w:ascii="Arial" w:hAnsi="Arial" w:cs="Arial"/>
          <w:b/>
          <w:sz w:val="24"/>
          <w:szCs w:val="24"/>
        </w:rPr>
      </w:pPr>
    </w:p>
    <w:tbl>
      <w:tblPr>
        <w:tblW w:w="0" w:type="auto"/>
        <w:tblLook w:val="04A0" w:firstRow="1" w:lastRow="0" w:firstColumn="1" w:lastColumn="0" w:noHBand="0" w:noVBand="1"/>
      </w:tblPr>
      <w:tblGrid>
        <w:gridCol w:w="4867"/>
        <w:gridCol w:w="4254"/>
      </w:tblGrid>
      <w:tr w:rsidR="00B4276E" w:rsidRPr="00500CF6" w:rsidTr="00500CF6">
        <w:tc>
          <w:tcPr>
            <w:tcW w:w="4928" w:type="dxa"/>
            <w:shd w:val="clear" w:color="auto" w:fill="auto"/>
          </w:tcPr>
          <w:p w:rsidR="000C319E" w:rsidRPr="00500CF6" w:rsidRDefault="00BA2238" w:rsidP="00500CF6">
            <w:pPr>
              <w:spacing w:after="0" w:line="480" w:lineRule="auto"/>
              <w:ind w:right="-146"/>
              <w:rPr>
                <w:rFonts w:ascii="Arial" w:hAnsi="Arial" w:cs="Arial"/>
                <w:sz w:val="24"/>
                <w:szCs w:val="24"/>
              </w:rPr>
            </w:pPr>
            <w:r>
              <w:rPr>
                <w:rFonts w:ascii="Arial" w:hAnsi="Arial" w:cs="Arial"/>
                <w:sz w:val="24"/>
                <w:szCs w:val="24"/>
              </w:rPr>
              <w:br w:type="page"/>
            </w:r>
            <w:r w:rsidR="000C319E" w:rsidRPr="00500CF6">
              <w:rPr>
                <w:rFonts w:ascii="Arial" w:hAnsi="Arial" w:cs="Arial"/>
                <w:sz w:val="24"/>
                <w:szCs w:val="24"/>
              </w:rPr>
              <w:t>APPEARANCES:</w:t>
            </w:r>
          </w:p>
          <w:p w:rsidR="004169A7" w:rsidRPr="00500CF6" w:rsidRDefault="004169A7" w:rsidP="00500CF6">
            <w:pPr>
              <w:spacing w:after="0" w:line="480" w:lineRule="auto"/>
              <w:ind w:right="-146"/>
              <w:rPr>
                <w:rFonts w:ascii="Arial" w:hAnsi="Arial" w:cs="Arial"/>
                <w:sz w:val="24"/>
                <w:szCs w:val="24"/>
              </w:rPr>
            </w:pPr>
          </w:p>
          <w:p w:rsidR="00B4276E" w:rsidRPr="00500CF6" w:rsidRDefault="00B4276E" w:rsidP="00500CF6">
            <w:pPr>
              <w:spacing w:after="0" w:line="480" w:lineRule="auto"/>
              <w:ind w:right="-146"/>
              <w:rPr>
                <w:rFonts w:ascii="Arial" w:hAnsi="Arial" w:cs="Arial"/>
                <w:sz w:val="24"/>
                <w:szCs w:val="24"/>
              </w:rPr>
            </w:pPr>
            <w:r w:rsidRPr="00500CF6">
              <w:rPr>
                <w:rFonts w:ascii="Arial" w:hAnsi="Arial" w:cs="Arial"/>
                <w:sz w:val="24"/>
                <w:szCs w:val="24"/>
              </w:rPr>
              <w:t>Appellant:</w:t>
            </w:r>
          </w:p>
        </w:tc>
        <w:tc>
          <w:tcPr>
            <w:tcW w:w="4314" w:type="dxa"/>
            <w:shd w:val="clear" w:color="auto" w:fill="auto"/>
          </w:tcPr>
          <w:p w:rsidR="000C319E" w:rsidRPr="00500CF6" w:rsidRDefault="000C319E" w:rsidP="00500CF6">
            <w:pPr>
              <w:spacing w:after="0" w:line="480" w:lineRule="auto"/>
              <w:rPr>
                <w:rFonts w:ascii="Arial" w:hAnsi="Arial" w:cs="Arial"/>
                <w:sz w:val="24"/>
                <w:szCs w:val="24"/>
              </w:rPr>
            </w:pPr>
          </w:p>
          <w:p w:rsidR="004169A7" w:rsidRPr="00500CF6" w:rsidRDefault="004169A7" w:rsidP="00500CF6">
            <w:pPr>
              <w:spacing w:after="0" w:line="480" w:lineRule="auto"/>
              <w:rPr>
                <w:rFonts w:ascii="Arial" w:hAnsi="Arial" w:cs="Arial"/>
                <w:sz w:val="24"/>
                <w:szCs w:val="24"/>
              </w:rPr>
            </w:pPr>
          </w:p>
          <w:p w:rsidR="00B4276E" w:rsidRPr="00500CF6" w:rsidRDefault="009B0523" w:rsidP="009B0523">
            <w:pPr>
              <w:spacing w:after="0" w:line="480" w:lineRule="auto"/>
              <w:rPr>
                <w:rFonts w:ascii="Arial" w:hAnsi="Arial" w:cs="Arial"/>
                <w:sz w:val="24"/>
                <w:szCs w:val="24"/>
              </w:rPr>
            </w:pPr>
            <w:r>
              <w:rPr>
                <w:rFonts w:ascii="Arial" w:hAnsi="Arial" w:cs="Arial"/>
                <w:sz w:val="24"/>
                <w:szCs w:val="24"/>
              </w:rPr>
              <w:t>C</w:t>
            </w:r>
            <w:r w:rsidR="00250D0E">
              <w:rPr>
                <w:rFonts w:ascii="Arial" w:hAnsi="Arial" w:cs="Arial"/>
                <w:sz w:val="24"/>
                <w:szCs w:val="24"/>
              </w:rPr>
              <w:t xml:space="preserve"> </w:t>
            </w:r>
            <w:r>
              <w:rPr>
                <w:rFonts w:ascii="Arial" w:hAnsi="Arial" w:cs="Arial"/>
                <w:sz w:val="24"/>
                <w:szCs w:val="24"/>
              </w:rPr>
              <w:t xml:space="preserve">J van </w:t>
            </w:r>
            <w:proofErr w:type="spellStart"/>
            <w:r>
              <w:rPr>
                <w:rFonts w:ascii="Arial" w:hAnsi="Arial" w:cs="Arial"/>
                <w:sz w:val="24"/>
                <w:szCs w:val="24"/>
              </w:rPr>
              <w:t>Zyl</w:t>
            </w:r>
            <w:proofErr w:type="spellEnd"/>
            <w:r w:rsidR="00EB15BF" w:rsidRPr="00500CF6">
              <w:rPr>
                <w:rFonts w:ascii="Arial" w:hAnsi="Arial" w:cs="Arial"/>
                <w:sz w:val="24"/>
                <w:szCs w:val="24"/>
              </w:rPr>
              <w:t xml:space="preserve"> </w:t>
            </w:r>
          </w:p>
        </w:tc>
      </w:tr>
      <w:tr w:rsidR="00B4276E" w:rsidRPr="00500CF6" w:rsidTr="00500CF6">
        <w:tc>
          <w:tcPr>
            <w:tcW w:w="4928" w:type="dxa"/>
            <w:shd w:val="clear" w:color="auto" w:fill="auto"/>
          </w:tcPr>
          <w:p w:rsidR="00B4276E" w:rsidRPr="00500CF6" w:rsidRDefault="00B4276E" w:rsidP="00500CF6">
            <w:pPr>
              <w:spacing w:after="0" w:line="480" w:lineRule="auto"/>
              <w:rPr>
                <w:rFonts w:ascii="Arial" w:hAnsi="Arial" w:cs="Arial"/>
                <w:sz w:val="24"/>
                <w:szCs w:val="24"/>
              </w:rPr>
            </w:pPr>
          </w:p>
        </w:tc>
        <w:tc>
          <w:tcPr>
            <w:tcW w:w="4314" w:type="dxa"/>
            <w:shd w:val="clear" w:color="auto" w:fill="auto"/>
          </w:tcPr>
          <w:p w:rsidR="00B4276E" w:rsidRPr="00500CF6" w:rsidRDefault="00594B41" w:rsidP="009B0523">
            <w:pPr>
              <w:spacing w:after="0" w:line="480" w:lineRule="auto"/>
              <w:rPr>
                <w:rFonts w:ascii="Arial" w:hAnsi="Arial" w:cs="Arial"/>
                <w:sz w:val="24"/>
                <w:szCs w:val="24"/>
              </w:rPr>
            </w:pPr>
            <w:r w:rsidRPr="00500CF6">
              <w:rPr>
                <w:rFonts w:ascii="Arial" w:hAnsi="Arial" w:cs="Arial"/>
                <w:sz w:val="24"/>
                <w:szCs w:val="24"/>
              </w:rPr>
              <w:t xml:space="preserve">Instructed by </w:t>
            </w:r>
            <w:r w:rsidR="009B0523">
              <w:rPr>
                <w:rFonts w:ascii="Arial" w:hAnsi="Arial" w:cs="Arial"/>
                <w:sz w:val="24"/>
                <w:szCs w:val="24"/>
              </w:rPr>
              <w:t>Francois Erasmus &amp; Partners</w:t>
            </w:r>
          </w:p>
        </w:tc>
      </w:tr>
      <w:tr w:rsidR="00573B8D" w:rsidRPr="00500CF6" w:rsidTr="00500CF6">
        <w:tc>
          <w:tcPr>
            <w:tcW w:w="4928" w:type="dxa"/>
            <w:shd w:val="clear" w:color="auto" w:fill="auto"/>
          </w:tcPr>
          <w:p w:rsidR="004169A7" w:rsidRPr="00500CF6" w:rsidRDefault="004169A7" w:rsidP="00500CF6">
            <w:pPr>
              <w:spacing w:after="0" w:line="480" w:lineRule="auto"/>
              <w:rPr>
                <w:rFonts w:ascii="Arial" w:hAnsi="Arial" w:cs="Arial"/>
                <w:sz w:val="24"/>
                <w:szCs w:val="24"/>
              </w:rPr>
            </w:pPr>
          </w:p>
          <w:p w:rsidR="00573B8D" w:rsidRPr="00500CF6" w:rsidRDefault="00573B8D" w:rsidP="00BE3B16">
            <w:pPr>
              <w:spacing w:after="0" w:line="480" w:lineRule="auto"/>
              <w:rPr>
                <w:rFonts w:ascii="Arial" w:hAnsi="Arial" w:cs="Arial"/>
                <w:sz w:val="24"/>
                <w:szCs w:val="24"/>
              </w:rPr>
            </w:pPr>
            <w:r w:rsidRPr="00500CF6">
              <w:rPr>
                <w:rFonts w:ascii="Arial" w:hAnsi="Arial" w:cs="Arial"/>
                <w:sz w:val="24"/>
                <w:szCs w:val="24"/>
              </w:rPr>
              <w:t>Respondent</w:t>
            </w:r>
            <w:r w:rsidR="009177A0">
              <w:rPr>
                <w:rFonts w:ascii="Arial" w:hAnsi="Arial" w:cs="Arial"/>
                <w:sz w:val="24"/>
                <w:szCs w:val="24"/>
              </w:rPr>
              <w:t>s</w:t>
            </w:r>
            <w:r w:rsidRPr="00500CF6">
              <w:rPr>
                <w:rFonts w:ascii="Arial" w:hAnsi="Arial" w:cs="Arial"/>
                <w:sz w:val="24"/>
                <w:szCs w:val="24"/>
              </w:rPr>
              <w:t>:</w:t>
            </w:r>
          </w:p>
        </w:tc>
        <w:tc>
          <w:tcPr>
            <w:tcW w:w="4314" w:type="dxa"/>
            <w:shd w:val="clear" w:color="auto" w:fill="auto"/>
          </w:tcPr>
          <w:p w:rsidR="004169A7" w:rsidRPr="00500CF6" w:rsidRDefault="004169A7" w:rsidP="00500CF6">
            <w:pPr>
              <w:spacing w:after="0" w:line="480" w:lineRule="auto"/>
              <w:rPr>
                <w:rFonts w:ascii="Arial" w:hAnsi="Arial" w:cs="Arial"/>
                <w:sz w:val="24"/>
                <w:szCs w:val="24"/>
              </w:rPr>
            </w:pPr>
          </w:p>
          <w:p w:rsidR="00573B8D" w:rsidRPr="00500CF6" w:rsidRDefault="009B0523" w:rsidP="009B0523">
            <w:pPr>
              <w:spacing w:after="0" w:line="480" w:lineRule="auto"/>
              <w:rPr>
                <w:rFonts w:ascii="Arial" w:hAnsi="Arial" w:cs="Arial"/>
                <w:sz w:val="24"/>
                <w:szCs w:val="24"/>
              </w:rPr>
            </w:pPr>
            <w:r>
              <w:rPr>
                <w:rFonts w:ascii="Arial" w:hAnsi="Arial" w:cs="Arial"/>
                <w:sz w:val="24"/>
                <w:szCs w:val="24"/>
              </w:rPr>
              <w:t>J</w:t>
            </w:r>
            <w:r w:rsidR="00250D0E">
              <w:rPr>
                <w:rFonts w:ascii="Arial" w:hAnsi="Arial" w:cs="Arial"/>
                <w:sz w:val="24"/>
                <w:szCs w:val="24"/>
              </w:rPr>
              <w:t xml:space="preserve"> </w:t>
            </w:r>
            <w:r>
              <w:rPr>
                <w:rFonts w:ascii="Arial" w:hAnsi="Arial" w:cs="Arial"/>
                <w:sz w:val="24"/>
                <w:szCs w:val="24"/>
              </w:rPr>
              <w:t>Ncube</w:t>
            </w:r>
            <w:r w:rsidR="00250D0E">
              <w:rPr>
                <w:rFonts w:ascii="Arial" w:hAnsi="Arial" w:cs="Arial"/>
                <w:sz w:val="24"/>
                <w:szCs w:val="24"/>
              </w:rPr>
              <w:t xml:space="preserve"> (with</w:t>
            </w:r>
            <w:r w:rsidR="009177A0">
              <w:rPr>
                <w:rFonts w:ascii="Arial" w:hAnsi="Arial" w:cs="Arial"/>
                <w:sz w:val="24"/>
                <w:szCs w:val="24"/>
              </w:rPr>
              <w:t xml:space="preserve"> him</w:t>
            </w:r>
            <w:r w:rsidR="00250D0E">
              <w:rPr>
                <w:rFonts w:ascii="Arial" w:hAnsi="Arial" w:cs="Arial"/>
                <w:sz w:val="24"/>
                <w:szCs w:val="24"/>
              </w:rPr>
              <w:t xml:space="preserve"> </w:t>
            </w:r>
            <w:r>
              <w:rPr>
                <w:rFonts w:ascii="Arial" w:hAnsi="Arial" w:cs="Arial"/>
                <w:sz w:val="24"/>
                <w:szCs w:val="24"/>
              </w:rPr>
              <w:t xml:space="preserve">H R </w:t>
            </w:r>
            <w:proofErr w:type="spellStart"/>
            <w:r>
              <w:rPr>
                <w:rFonts w:ascii="Arial" w:hAnsi="Arial" w:cs="Arial"/>
                <w:sz w:val="24"/>
                <w:szCs w:val="24"/>
              </w:rPr>
              <w:t>Ketjijere</w:t>
            </w:r>
            <w:proofErr w:type="spellEnd"/>
            <w:r w:rsidR="00250D0E">
              <w:rPr>
                <w:rFonts w:ascii="Arial" w:hAnsi="Arial" w:cs="Arial"/>
                <w:sz w:val="24"/>
                <w:szCs w:val="24"/>
              </w:rPr>
              <w:t>)</w:t>
            </w:r>
          </w:p>
        </w:tc>
      </w:tr>
      <w:tr w:rsidR="00573B8D" w:rsidRPr="00500CF6" w:rsidTr="00500CF6">
        <w:trPr>
          <w:trHeight w:val="328"/>
        </w:trPr>
        <w:tc>
          <w:tcPr>
            <w:tcW w:w="4928" w:type="dxa"/>
            <w:shd w:val="clear" w:color="auto" w:fill="auto"/>
          </w:tcPr>
          <w:p w:rsidR="00573B8D" w:rsidRPr="00500CF6" w:rsidRDefault="00573B8D" w:rsidP="00500CF6">
            <w:pPr>
              <w:spacing w:after="0" w:line="480" w:lineRule="auto"/>
              <w:rPr>
                <w:rFonts w:ascii="Arial" w:hAnsi="Arial" w:cs="Arial"/>
                <w:sz w:val="24"/>
                <w:szCs w:val="24"/>
              </w:rPr>
            </w:pPr>
          </w:p>
        </w:tc>
        <w:tc>
          <w:tcPr>
            <w:tcW w:w="4314" w:type="dxa"/>
            <w:shd w:val="clear" w:color="auto" w:fill="auto"/>
          </w:tcPr>
          <w:p w:rsidR="00573B8D" w:rsidRPr="00500CF6" w:rsidRDefault="009B0523" w:rsidP="009B0523">
            <w:pPr>
              <w:spacing w:after="0" w:line="480" w:lineRule="auto"/>
              <w:rPr>
                <w:rFonts w:ascii="Arial" w:hAnsi="Arial" w:cs="Arial"/>
                <w:sz w:val="24"/>
                <w:szCs w:val="24"/>
              </w:rPr>
            </w:pPr>
            <w:r>
              <w:rPr>
                <w:rFonts w:ascii="Arial" w:hAnsi="Arial" w:cs="Arial"/>
                <w:sz w:val="24"/>
                <w:szCs w:val="24"/>
              </w:rPr>
              <w:t>Of Government Attorneys</w:t>
            </w:r>
          </w:p>
        </w:tc>
      </w:tr>
    </w:tbl>
    <w:p w:rsidR="00B266CC" w:rsidRDefault="00B266CC" w:rsidP="007D275A">
      <w:pPr>
        <w:spacing w:after="0" w:line="480" w:lineRule="auto"/>
        <w:jc w:val="both"/>
      </w:pPr>
    </w:p>
    <w:sectPr w:rsidR="00B266CC" w:rsidSect="00994D07">
      <w:headerReference w:type="default" r:id="rId9"/>
      <w:pgSz w:w="12240" w:h="15840"/>
      <w:pgMar w:top="1701" w:right="1418"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DCD" w:rsidRDefault="00BB7DCD" w:rsidP="00F74879">
      <w:pPr>
        <w:spacing w:after="0" w:line="240" w:lineRule="auto"/>
      </w:pPr>
      <w:r>
        <w:separator/>
      </w:r>
    </w:p>
  </w:endnote>
  <w:endnote w:type="continuationSeparator" w:id="0">
    <w:p w:rsidR="00BB7DCD" w:rsidRDefault="00BB7DCD" w:rsidP="00F7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DCD" w:rsidRDefault="00BB7DCD" w:rsidP="00F74879">
      <w:pPr>
        <w:spacing w:after="0" w:line="240" w:lineRule="auto"/>
      </w:pPr>
      <w:r>
        <w:separator/>
      </w:r>
    </w:p>
  </w:footnote>
  <w:footnote w:type="continuationSeparator" w:id="0">
    <w:p w:rsidR="00BB7DCD" w:rsidRDefault="00BB7DCD" w:rsidP="00F74879">
      <w:pPr>
        <w:spacing w:after="0" w:line="240" w:lineRule="auto"/>
      </w:pPr>
      <w:r>
        <w:continuationSeparator/>
      </w:r>
    </w:p>
  </w:footnote>
  <w:footnote w:id="1">
    <w:p w:rsidR="00490D0C" w:rsidRPr="00490D0C" w:rsidRDefault="00490D0C" w:rsidP="00490D0C">
      <w:pPr>
        <w:pStyle w:val="FootnoteText"/>
        <w:jc w:val="both"/>
        <w:rPr>
          <w:rFonts w:ascii="Arial" w:hAnsi="Arial" w:cs="Arial"/>
          <w:lang w:val="en-ZA"/>
        </w:rPr>
      </w:pPr>
      <w:r>
        <w:rPr>
          <w:rStyle w:val="FootnoteReference"/>
        </w:rPr>
        <w:footnoteRef/>
      </w:r>
      <w:r>
        <w:t xml:space="preserve"> </w:t>
      </w:r>
      <w:proofErr w:type="spellStart"/>
      <w:r>
        <w:rPr>
          <w:rFonts w:ascii="Arial" w:hAnsi="Arial" w:cs="Arial"/>
          <w:i/>
          <w:lang w:val="en-ZA"/>
        </w:rPr>
        <w:t>Masuku</w:t>
      </w:r>
      <w:proofErr w:type="spellEnd"/>
      <w:r>
        <w:rPr>
          <w:rFonts w:ascii="Arial" w:hAnsi="Arial" w:cs="Arial"/>
          <w:i/>
          <w:lang w:val="en-ZA"/>
        </w:rPr>
        <w:t xml:space="preserve"> and another v </w:t>
      </w:r>
      <w:proofErr w:type="spellStart"/>
      <w:r>
        <w:rPr>
          <w:rFonts w:ascii="Arial" w:hAnsi="Arial" w:cs="Arial"/>
          <w:i/>
          <w:lang w:val="en-ZA"/>
        </w:rPr>
        <w:t>Mdlalose</w:t>
      </w:r>
      <w:proofErr w:type="spellEnd"/>
      <w:r>
        <w:rPr>
          <w:rFonts w:ascii="Arial" w:hAnsi="Arial" w:cs="Arial"/>
          <w:i/>
          <w:lang w:val="en-ZA"/>
        </w:rPr>
        <w:t xml:space="preserve"> and others </w:t>
      </w:r>
      <w:r>
        <w:rPr>
          <w:rFonts w:ascii="Arial" w:hAnsi="Arial" w:cs="Arial"/>
          <w:lang w:val="en-ZA"/>
        </w:rPr>
        <w:t>1998 (1) SA 1 (SCA) 10J-11A-C.</w:t>
      </w:r>
    </w:p>
  </w:footnote>
  <w:footnote w:id="2">
    <w:p w:rsidR="0038409F" w:rsidRPr="0038409F" w:rsidRDefault="0038409F" w:rsidP="0038409F">
      <w:pPr>
        <w:pStyle w:val="FootnoteText"/>
        <w:jc w:val="both"/>
        <w:rPr>
          <w:rFonts w:ascii="Arial" w:hAnsi="Arial" w:cs="Arial"/>
          <w:lang w:val="en-ZA"/>
        </w:rPr>
      </w:pPr>
      <w:r>
        <w:rPr>
          <w:rStyle w:val="FootnoteReference"/>
        </w:rPr>
        <w:footnoteRef/>
      </w:r>
      <w:r>
        <w:t xml:space="preserve"> </w:t>
      </w:r>
      <w:r>
        <w:rPr>
          <w:rFonts w:ascii="Arial" w:hAnsi="Arial" w:cs="Arial"/>
          <w:i/>
          <w:lang w:val="en-ZA"/>
        </w:rPr>
        <w:t xml:space="preserve">Stuurman v Mutual </w:t>
      </w:r>
      <w:r w:rsidR="00532772">
        <w:rPr>
          <w:rFonts w:ascii="Arial" w:hAnsi="Arial" w:cs="Arial"/>
          <w:i/>
          <w:lang w:val="en-ZA"/>
        </w:rPr>
        <w:t>&amp;</w:t>
      </w:r>
      <w:r>
        <w:rPr>
          <w:rFonts w:ascii="Arial" w:hAnsi="Arial" w:cs="Arial"/>
          <w:i/>
          <w:lang w:val="en-ZA"/>
        </w:rPr>
        <w:t xml:space="preserve"> Federal Insurance Company of Namibia Ltd </w:t>
      </w:r>
      <w:r>
        <w:rPr>
          <w:rFonts w:ascii="Arial" w:hAnsi="Arial" w:cs="Arial"/>
          <w:lang w:val="en-ZA"/>
        </w:rPr>
        <w:t>2009 (1) NR 331 (SC) paras 20-21.</w:t>
      </w:r>
    </w:p>
  </w:footnote>
  <w:footnote w:id="3">
    <w:p w:rsidR="00065B89" w:rsidRPr="00065B89" w:rsidRDefault="00065B89" w:rsidP="00065B89">
      <w:pPr>
        <w:pStyle w:val="FootnoteText"/>
        <w:jc w:val="both"/>
        <w:rPr>
          <w:rFonts w:ascii="Arial" w:hAnsi="Arial" w:cs="Arial"/>
          <w:lang w:val="en-ZA"/>
        </w:rPr>
      </w:pPr>
      <w:r w:rsidRPr="00065B89">
        <w:rPr>
          <w:rStyle w:val="FootnoteReference"/>
          <w:rFonts w:ascii="Arial" w:hAnsi="Arial" w:cs="Arial"/>
        </w:rPr>
        <w:footnoteRef/>
      </w:r>
      <w:r w:rsidRPr="00065B89">
        <w:rPr>
          <w:rFonts w:ascii="Arial" w:hAnsi="Arial" w:cs="Arial"/>
        </w:rPr>
        <w:t xml:space="preserve"> </w:t>
      </w:r>
      <w:proofErr w:type="spellStart"/>
      <w:r w:rsidR="00794440" w:rsidRPr="00E61889">
        <w:rPr>
          <w:rFonts w:ascii="Arial" w:hAnsi="Arial" w:cs="Arial"/>
          <w:i/>
        </w:rPr>
        <w:t>Wolpe</w:t>
      </w:r>
      <w:proofErr w:type="spellEnd"/>
      <w:r w:rsidR="00794440" w:rsidRPr="00E61889">
        <w:rPr>
          <w:rFonts w:ascii="Arial" w:hAnsi="Arial" w:cs="Arial"/>
          <w:i/>
        </w:rPr>
        <w:t xml:space="preserve"> &amp; another v Officer Comman</w:t>
      </w:r>
      <w:r w:rsidR="00F178EE">
        <w:rPr>
          <w:rFonts w:ascii="Arial" w:hAnsi="Arial" w:cs="Arial"/>
          <w:i/>
        </w:rPr>
        <w:t>ding</w:t>
      </w:r>
      <w:r w:rsidR="00794440" w:rsidRPr="00E61889">
        <w:rPr>
          <w:rFonts w:ascii="Arial" w:hAnsi="Arial" w:cs="Arial"/>
          <w:i/>
        </w:rPr>
        <w:t xml:space="preserve"> South African Police, Johannesburg</w:t>
      </w:r>
      <w:r w:rsidR="00E61889">
        <w:rPr>
          <w:rFonts w:ascii="Arial" w:hAnsi="Arial" w:cs="Arial"/>
          <w:i/>
        </w:rPr>
        <w:t xml:space="preserve"> </w:t>
      </w:r>
      <w:r w:rsidR="00794440">
        <w:rPr>
          <w:rFonts w:ascii="Arial" w:hAnsi="Arial" w:cs="Arial"/>
        </w:rPr>
        <w:t>19</w:t>
      </w:r>
      <w:r w:rsidR="00F178EE">
        <w:rPr>
          <w:rFonts w:ascii="Arial" w:hAnsi="Arial" w:cs="Arial"/>
        </w:rPr>
        <w:t>5</w:t>
      </w:r>
      <w:r w:rsidR="00794440">
        <w:rPr>
          <w:rFonts w:ascii="Arial" w:hAnsi="Arial" w:cs="Arial"/>
        </w:rPr>
        <w:t>5 (2) SA 87 (W) at 92F-93E (my translation from the Afrikaans text).</w:t>
      </w:r>
    </w:p>
  </w:footnote>
  <w:footnote w:id="4">
    <w:p w:rsidR="00410198" w:rsidRPr="00410198" w:rsidRDefault="00410198" w:rsidP="00410198">
      <w:pPr>
        <w:pStyle w:val="FootnoteText"/>
        <w:jc w:val="both"/>
        <w:rPr>
          <w:rFonts w:ascii="Arial" w:hAnsi="Arial" w:cs="Arial"/>
          <w:lang w:val="en-ZA"/>
        </w:rPr>
      </w:pPr>
      <w:r w:rsidRPr="00410198">
        <w:rPr>
          <w:rStyle w:val="FootnoteReference"/>
          <w:rFonts w:ascii="Arial" w:hAnsi="Arial" w:cs="Arial"/>
        </w:rPr>
        <w:footnoteRef/>
      </w:r>
      <w:r w:rsidRPr="00410198">
        <w:rPr>
          <w:rFonts w:ascii="Arial" w:hAnsi="Arial" w:cs="Arial"/>
        </w:rPr>
        <w:t xml:space="preserve"> </w:t>
      </w:r>
      <w:r>
        <w:rPr>
          <w:rFonts w:ascii="Arial" w:hAnsi="Arial" w:cs="Arial"/>
        </w:rPr>
        <w:t>2011 (1) NR 111 (HC).</w:t>
      </w:r>
    </w:p>
  </w:footnote>
  <w:footnote w:id="5">
    <w:p w:rsidR="001973F0" w:rsidRPr="001973F0" w:rsidRDefault="001973F0" w:rsidP="001973F0">
      <w:pPr>
        <w:pStyle w:val="FootnoteText"/>
        <w:jc w:val="both"/>
        <w:rPr>
          <w:rFonts w:ascii="Arial" w:hAnsi="Arial" w:cs="Arial"/>
          <w:lang w:val="en-ZA"/>
        </w:rPr>
      </w:pPr>
      <w:r w:rsidRPr="001973F0">
        <w:rPr>
          <w:rStyle w:val="FootnoteReference"/>
          <w:rFonts w:ascii="Arial" w:hAnsi="Arial" w:cs="Arial"/>
        </w:rPr>
        <w:footnoteRef/>
      </w:r>
      <w:r w:rsidRPr="001973F0">
        <w:rPr>
          <w:rFonts w:ascii="Arial" w:hAnsi="Arial" w:cs="Arial"/>
        </w:rPr>
        <w:t xml:space="preserve"> </w:t>
      </w:r>
      <w:r w:rsidRPr="00F178EE">
        <w:rPr>
          <w:rFonts w:ascii="Arial" w:hAnsi="Arial" w:cs="Arial"/>
          <w:i/>
        </w:rPr>
        <w:t>Dixon</w:t>
      </w:r>
      <w:r>
        <w:rPr>
          <w:rFonts w:ascii="Arial" w:hAnsi="Arial" w:cs="Arial"/>
        </w:rPr>
        <w:t xml:space="preserve"> para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B4" w:rsidRPr="007D275A" w:rsidRDefault="005E28B4">
    <w:pPr>
      <w:pStyle w:val="Header"/>
      <w:jc w:val="right"/>
      <w:rPr>
        <w:rFonts w:ascii="Arial" w:hAnsi="Arial" w:cs="Arial"/>
        <w:sz w:val="24"/>
        <w:szCs w:val="24"/>
      </w:rPr>
    </w:pPr>
    <w:r w:rsidRPr="007D275A">
      <w:rPr>
        <w:rFonts w:ascii="Arial" w:hAnsi="Arial" w:cs="Arial"/>
        <w:sz w:val="24"/>
        <w:szCs w:val="24"/>
      </w:rPr>
      <w:fldChar w:fldCharType="begin"/>
    </w:r>
    <w:r w:rsidRPr="007D275A">
      <w:rPr>
        <w:rFonts w:ascii="Arial" w:hAnsi="Arial" w:cs="Arial"/>
        <w:sz w:val="24"/>
        <w:szCs w:val="24"/>
      </w:rPr>
      <w:instrText xml:space="preserve"> PAGE   \* MERGEFORMAT </w:instrText>
    </w:r>
    <w:r w:rsidRPr="007D275A">
      <w:rPr>
        <w:rFonts w:ascii="Arial" w:hAnsi="Arial" w:cs="Arial"/>
        <w:sz w:val="24"/>
        <w:szCs w:val="24"/>
      </w:rPr>
      <w:fldChar w:fldCharType="separate"/>
    </w:r>
    <w:r w:rsidR="004D0ADA">
      <w:rPr>
        <w:rFonts w:ascii="Arial" w:hAnsi="Arial" w:cs="Arial"/>
        <w:noProof/>
        <w:sz w:val="24"/>
        <w:szCs w:val="24"/>
      </w:rPr>
      <w:t>20</w:t>
    </w:r>
    <w:r w:rsidRPr="007D275A">
      <w:rPr>
        <w:rFonts w:ascii="Arial" w:hAnsi="Arial" w:cs="Arial"/>
        <w:noProof/>
        <w:sz w:val="24"/>
        <w:szCs w:val="24"/>
      </w:rPr>
      <w:fldChar w:fldCharType="end"/>
    </w:r>
  </w:p>
  <w:p w:rsidR="005E28B4" w:rsidRDefault="005E28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A6B"/>
    <w:multiLevelType w:val="hybridMultilevel"/>
    <w:tmpl w:val="8E002AD4"/>
    <w:lvl w:ilvl="0" w:tplc="BF8AAE5A">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66767"/>
    <w:multiLevelType w:val="hybridMultilevel"/>
    <w:tmpl w:val="691821F8"/>
    <w:lvl w:ilvl="0" w:tplc="1C09000F">
      <w:start w:val="1"/>
      <w:numFmt w:val="decimal"/>
      <w:lvlText w:val="%1."/>
      <w:lvlJc w:val="left"/>
      <w:pPr>
        <w:ind w:left="1425" w:hanging="360"/>
      </w:pPr>
    </w:lvl>
    <w:lvl w:ilvl="1" w:tplc="1C090019" w:tentative="1">
      <w:start w:val="1"/>
      <w:numFmt w:val="lowerLetter"/>
      <w:lvlText w:val="%2."/>
      <w:lvlJc w:val="left"/>
      <w:pPr>
        <w:ind w:left="2145" w:hanging="360"/>
      </w:pPr>
    </w:lvl>
    <w:lvl w:ilvl="2" w:tplc="1C09001B" w:tentative="1">
      <w:start w:val="1"/>
      <w:numFmt w:val="lowerRoman"/>
      <w:lvlText w:val="%3."/>
      <w:lvlJc w:val="right"/>
      <w:pPr>
        <w:ind w:left="2865" w:hanging="180"/>
      </w:pPr>
    </w:lvl>
    <w:lvl w:ilvl="3" w:tplc="1C09000F" w:tentative="1">
      <w:start w:val="1"/>
      <w:numFmt w:val="decimal"/>
      <w:lvlText w:val="%4."/>
      <w:lvlJc w:val="left"/>
      <w:pPr>
        <w:ind w:left="3585" w:hanging="360"/>
      </w:pPr>
    </w:lvl>
    <w:lvl w:ilvl="4" w:tplc="1C090019" w:tentative="1">
      <w:start w:val="1"/>
      <w:numFmt w:val="lowerLetter"/>
      <w:lvlText w:val="%5."/>
      <w:lvlJc w:val="left"/>
      <w:pPr>
        <w:ind w:left="4305" w:hanging="360"/>
      </w:pPr>
    </w:lvl>
    <w:lvl w:ilvl="5" w:tplc="1C09001B" w:tentative="1">
      <w:start w:val="1"/>
      <w:numFmt w:val="lowerRoman"/>
      <w:lvlText w:val="%6."/>
      <w:lvlJc w:val="right"/>
      <w:pPr>
        <w:ind w:left="5025" w:hanging="180"/>
      </w:pPr>
    </w:lvl>
    <w:lvl w:ilvl="6" w:tplc="1C09000F" w:tentative="1">
      <w:start w:val="1"/>
      <w:numFmt w:val="decimal"/>
      <w:lvlText w:val="%7."/>
      <w:lvlJc w:val="left"/>
      <w:pPr>
        <w:ind w:left="5745" w:hanging="360"/>
      </w:pPr>
    </w:lvl>
    <w:lvl w:ilvl="7" w:tplc="1C090019" w:tentative="1">
      <w:start w:val="1"/>
      <w:numFmt w:val="lowerLetter"/>
      <w:lvlText w:val="%8."/>
      <w:lvlJc w:val="left"/>
      <w:pPr>
        <w:ind w:left="6465" w:hanging="360"/>
      </w:pPr>
    </w:lvl>
    <w:lvl w:ilvl="8" w:tplc="1C09001B" w:tentative="1">
      <w:start w:val="1"/>
      <w:numFmt w:val="lowerRoman"/>
      <w:lvlText w:val="%9."/>
      <w:lvlJc w:val="right"/>
      <w:pPr>
        <w:ind w:left="7185" w:hanging="180"/>
      </w:pPr>
    </w:lvl>
  </w:abstractNum>
  <w:abstractNum w:abstractNumId="2" w15:restartNumberingAfterBreak="0">
    <w:nsid w:val="068F3FD4"/>
    <w:multiLevelType w:val="multilevel"/>
    <w:tmpl w:val="D88CF3CA"/>
    <w:lvl w:ilvl="0">
      <w:start w:val="1"/>
      <w:numFmt w:val="decimal"/>
      <w:lvlText w:val="%1."/>
      <w:lvlJc w:val="left"/>
      <w:pPr>
        <w:ind w:left="720" w:hanging="360"/>
      </w:pPr>
    </w:lvl>
    <w:lvl w:ilvl="1">
      <w:start w:val="1"/>
      <w:numFmt w:val="decimal"/>
      <w:isLgl/>
      <w:lvlText w:val="%1.%2"/>
      <w:lvlJc w:val="left"/>
      <w:pPr>
        <w:ind w:left="127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7F62191"/>
    <w:multiLevelType w:val="hybridMultilevel"/>
    <w:tmpl w:val="D15AF782"/>
    <w:lvl w:ilvl="0" w:tplc="5338F6AC">
      <w:start w:val="1"/>
      <w:numFmt w:val="lowerRoman"/>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08927B3F"/>
    <w:multiLevelType w:val="hybridMultilevel"/>
    <w:tmpl w:val="59A6C3CE"/>
    <w:lvl w:ilvl="0" w:tplc="E698EB7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00DB9"/>
    <w:multiLevelType w:val="hybridMultilevel"/>
    <w:tmpl w:val="DB56124E"/>
    <w:lvl w:ilvl="0" w:tplc="200E3D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AEF3515"/>
    <w:multiLevelType w:val="hybridMultilevel"/>
    <w:tmpl w:val="7F88ED4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66495"/>
    <w:multiLevelType w:val="hybridMultilevel"/>
    <w:tmpl w:val="05CEF77A"/>
    <w:lvl w:ilvl="0" w:tplc="8F2896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D0621"/>
    <w:multiLevelType w:val="hybridMultilevel"/>
    <w:tmpl w:val="217253D4"/>
    <w:lvl w:ilvl="0" w:tplc="BACE1E84">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15:restartNumberingAfterBreak="0">
    <w:nsid w:val="13E4380F"/>
    <w:multiLevelType w:val="hybridMultilevel"/>
    <w:tmpl w:val="C762A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369C4"/>
    <w:multiLevelType w:val="hybridMultilevel"/>
    <w:tmpl w:val="BC185946"/>
    <w:lvl w:ilvl="0" w:tplc="80A81AE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A6A7B61"/>
    <w:multiLevelType w:val="hybridMultilevel"/>
    <w:tmpl w:val="2DFEA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263C2"/>
    <w:multiLevelType w:val="hybridMultilevel"/>
    <w:tmpl w:val="17D6CC92"/>
    <w:lvl w:ilvl="0" w:tplc="3ECC68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A3176A"/>
    <w:multiLevelType w:val="hybridMultilevel"/>
    <w:tmpl w:val="503A5958"/>
    <w:lvl w:ilvl="0" w:tplc="D576C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0C4E2B"/>
    <w:multiLevelType w:val="hybridMultilevel"/>
    <w:tmpl w:val="15862850"/>
    <w:lvl w:ilvl="0" w:tplc="03D67906">
      <w:start w:val="1"/>
      <w:numFmt w:val="decimal"/>
      <w:lvlText w:val="[%1]"/>
      <w:lvlJc w:val="left"/>
      <w:pPr>
        <w:ind w:left="1800" w:hanging="360"/>
      </w:pPr>
      <w:rPr>
        <w:rFonts w:hint="default"/>
        <w:i w:val="0"/>
      </w:rPr>
    </w:lvl>
    <w:lvl w:ilvl="1" w:tplc="1C090019" w:tentative="1">
      <w:start w:val="1"/>
      <w:numFmt w:val="lowerLetter"/>
      <w:lvlText w:val="%2."/>
      <w:lvlJc w:val="left"/>
      <w:pPr>
        <w:ind w:left="2913" w:hanging="360"/>
      </w:pPr>
    </w:lvl>
    <w:lvl w:ilvl="2" w:tplc="1C09001B" w:tentative="1">
      <w:start w:val="1"/>
      <w:numFmt w:val="lowerRoman"/>
      <w:lvlText w:val="%3."/>
      <w:lvlJc w:val="right"/>
      <w:pPr>
        <w:ind w:left="3633" w:hanging="180"/>
      </w:pPr>
    </w:lvl>
    <w:lvl w:ilvl="3" w:tplc="1C09000F" w:tentative="1">
      <w:start w:val="1"/>
      <w:numFmt w:val="decimal"/>
      <w:lvlText w:val="%4."/>
      <w:lvlJc w:val="left"/>
      <w:pPr>
        <w:ind w:left="4353" w:hanging="360"/>
      </w:pPr>
    </w:lvl>
    <w:lvl w:ilvl="4" w:tplc="1C090019" w:tentative="1">
      <w:start w:val="1"/>
      <w:numFmt w:val="lowerLetter"/>
      <w:lvlText w:val="%5."/>
      <w:lvlJc w:val="left"/>
      <w:pPr>
        <w:ind w:left="5073" w:hanging="360"/>
      </w:pPr>
    </w:lvl>
    <w:lvl w:ilvl="5" w:tplc="1C09001B" w:tentative="1">
      <w:start w:val="1"/>
      <w:numFmt w:val="lowerRoman"/>
      <w:lvlText w:val="%6."/>
      <w:lvlJc w:val="right"/>
      <w:pPr>
        <w:ind w:left="5793" w:hanging="180"/>
      </w:pPr>
    </w:lvl>
    <w:lvl w:ilvl="6" w:tplc="1C09000F" w:tentative="1">
      <w:start w:val="1"/>
      <w:numFmt w:val="decimal"/>
      <w:lvlText w:val="%7."/>
      <w:lvlJc w:val="left"/>
      <w:pPr>
        <w:ind w:left="6513" w:hanging="360"/>
      </w:pPr>
    </w:lvl>
    <w:lvl w:ilvl="7" w:tplc="1C090019" w:tentative="1">
      <w:start w:val="1"/>
      <w:numFmt w:val="lowerLetter"/>
      <w:lvlText w:val="%8."/>
      <w:lvlJc w:val="left"/>
      <w:pPr>
        <w:ind w:left="7233" w:hanging="360"/>
      </w:pPr>
    </w:lvl>
    <w:lvl w:ilvl="8" w:tplc="1C09001B" w:tentative="1">
      <w:start w:val="1"/>
      <w:numFmt w:val="lowerRoman"/>
      <w:lvlText w:val="%9."/>
      <w:lvlJc w:val="right"/>
      <w:pPr>
        <w:ind w:left="7953" w:hanging="180"/>
      </w:pPr>
    </w:lvl>
  </w:abstractNum>
  <w:abstractNum w:abstractNumId="15" w15:restartNumberingAfterBreak="0">
    <w:nsid w:val="243E07B4"/>
    <w:multiLevelType w:val="hybridMultilevel"/>
    <w:tmpl w:val="49A6E802"/>
    <w:lvl w:ilvl="0" w:tplc="343E830E">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15:restartNumberingAfterBreak="0">
    <w:nsid w:val="24923FD1"/>
    <w:multiLevelType w:val="hybridMultilevel"/>
    <w:tmpl w:val="EADCB6FC"/>
    <w:lvl w:ilvl="0" w:tplc="6AF25F5C">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7" w15:restartNumberingAfterBreak="0">
    <w:nsid w:val="24E810FD"/>
    <w:multiLevelType w:val="hybridMultilevel"/>
    <w:tmpl w:val="060EC80C"/>
    <w:lvl w:ilvl="0" w:tplc="E75EAB8E">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8" w15:restartNumberingAfterBreak="0">
    <w:nsid w:val="25B6620D"/>
    <w:multiLevelType w:val="hybridMultilevel"/>
    <w:tmpl w:val="3BC42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323A84"/>
    <w:multiLevelType w:val="hybridMultilevel"/>
    <w:tmpl w:val="786647DA"/>
    <w:lvl w:ilvl="0" w:tplc="11CC0A60">
      <w:start w:val="1"/>
      <w:numFmt w:val="decimal"/>
      <w:lvlText w:val="%1."/>
      <w:lvlJc w:val="left"/>
      <w:pPr>
        <w:ind w:left="1440" w:hanging="735"/>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20" w15:restartNumberingAfterBreak="0">
    <w:nsid w:val="28DA6505"/>
    <w:multiLevelType w:val="hybridMultilevel"/>
    <w:tmpl w:val="B16E4D14"/>
    <w:lvl w:ilvl="0" w:tplc="A202C4B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C514E25"/>
    <w:multiLevelType w:val="hybridMultilevel"/>
    <w:tmpl w:val="2FA09A16"/>
    <w:lvl w:ilvl="0" w:tplc="398278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09169AC"/>
    <w:multiLevelType w:val="hybridMultilevel"/>
    <w:tmpl w:val="73FC1E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2C2761A"/>
    <w:multiLevelType w:val="hybridMultilevel"/>
    <w:tmpl w:val="138E854E"/>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15:restartNumberingAfterBreak="0">
    <w:nsid w:val="3A384132"/>
    <w:multiLevelType w:val="hybridMultilevel"/>
    <w:tmpl w:val="D01656A8"/>
    <w:lvl w:ilvl="0" w:tplc="108646CE">
      <w:start w:val="1"/>
      <w:numFmt w:val="lowerRoman"/>
      <w:lvlText w:val="(%1)"/>
      <w:lvlJc w:val="left"/>
      <w:pPr>
        <w:ind w:left="975" w:hanging="72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5" w15:restartNumberingAfterBreak="0">
    <w:nsid w:val="3D82715F"/>
    <w:multiLevelType w:val="hybridMultilevel"/>
    <w:tmpl w:val="910E5B8C"/>
    <w:lvl w:ilvl="0" w:tplc="8C0896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1251E"/>
    <w:multiLevelType w:val="hybridMultilevel"/>
    <w:tmpl w:val="74D4638E"/>
    <w:lvl w:ilvl="0" w:tplc="08EA4C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B31244A"/>
    <w:multiLevelType w:val="hybridMultilevel"/>
    <w:tmpl w:val="E1E4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E045DB"/>
    <w:multiLevelType w:val="hybridMultilevel"/>
    <w:tmpl w:val="5E60E658"/>
    <w:lvl w:ilvl="0" w:tplc="248C7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F45B06"/>
    <w:multiLevelType w:val="hybridMultilevel"/>
    <w:tmpl w:val="C938057A"/>
    <w:lvl w:ilvl="0" w:tplc="856AB18C">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0" w15:restartNumberingAfterBreak="0">
    <w:nsid w:val="6EFA3238"/>
    <w:multiLevelType w:val="multilevel"/>
    <w:tmpl w:val="741A99EC"/>
    <w:lvl w:ilvl="0">
      <w:start w:val="1"/>
      <w:numFmt w:val="decimal"/>
      <w:lvlText w:val="%1."/>
      <w:lvlJc w:val="left"/>
      <w:pPr>
        <w:ind w:left="135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1" w15:restartNumberingAfterBreak="0">
    <w:nsid w:val="732D55EB"/>
    <w:multiLevelType w:val="hybridMultilevel"/>
    <w:tmpl w:val="57ACF03E"/>
    <w:lvl w:ilvl="0" w:tplc="EE2258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551CA7"/>
    <w:multiLevelType w:val="hybridMultilevel"/>
    <w:tmpl w:val="F9C6E2F4"/>
    <w:lvl w:ilvl="0" w:tplc="A3B2657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757A11C9"/>
    <w:multiLevelType w:val="hybridMultilevel"/>
    <w:tmpl w:val="E0000628"/>
    <w:lvl w:ilvl="0" w:tplc="D9C26624">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611870"/>
    <w:multiLevelType w:val="hybridMultilevel"/>
    <w:tmpl w:val="692E604C"/>
    <w:lvl w:ilvl="0" w:tplc="B3B80E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DF38D5"/>
    <w:multiLevelType w:val="hybridMultilevel"/>
    <w:tmpl w:val="B9A0C68E"/>
    <w:lvl w:ilvl="0" w:tplc="5338F6AC">
      <w:start w:val="1"/>
      <w:numFmt w:val="lowerRoman"/>
      <w:lvlText w:val="(%1)"/>
      <w:lvlJc w:val="left"/>
      <w:pPr>
        <w:ind w:left="3555" w:hanging="720"/>
      </w:pPr>
      <w:rPr>
        <w:rFonts w:hint="default"/>
      </w:rPr>
    </w:lvl>
    <w:lvl w:ilvl="1" w:tplc="1C090019" w:tentative="1">
      <w:start w:val="1"/>
      <w:numFmt w:val="lowerLetter"/>
      <w:lvlText w:val="%2."/>
      <w:lvlJc w:val="left"/>
      <w:pPr>
        <w:ind w:left="3915" w:hanging="360"/>
      </w:pPr>
    </w:lvl>
    <w:lvl w:ilvl="2" w:tplc="1C09001B" w:tentative="1">
      <w:start w:val="1"/>
      <w:numFmt w:val="lowerRoman"/>
      <w:lvlText w:val="%3."/>
      <w:lvlJc w:val="right"/>
      <w:pPr>
        <w:ind w:left="4635" w:hanging="180"/>
      </w:pPr>
    </w:lvl>
    <w:lvl w:ilvl="3" w:tplc="1C09000F" w:tentative="1">
      <w:start w:val="1"/>
      <w:numFmt w:val="decimal"/>
      <w:lvlText w:val="%4."/>
      <w:lvlJc w:val="left"/>
      <w:pPr>
        <w:ind w:left="5355" w:hanging="360"/>
      </w:pPr>
    </w:lvl>
    <w:lvl w:ilvl="4" w:tplc="1C090019" w:tentative="1">
      <w:start w:val="1"/>
      <w:numFmt w:val="lowerLetter"/>
      <w:lvlText w:val="%5."/>
      <w:lvlJc w:val="left"/>
      <w:pPr>
        <w:ind w:left="6075" w:hanging="360"/>
      </w:pPr>
    </w:lvl>
    <w:lvl w:ilvl="5" w:tplc="1C09001B" w:tentative="1">
      <w:start w:val="1"/>
      <w:numFmt w:val="lowerRoman"/>
      <w:lvlText w:val="%6."/>
      <w:lvlJc w:val="right"/>
      <w:pPr>
        <w:ind w:left="6795" w:hanging="180"/>
      </w:pPr>
    </w:lvl>
    <w:lvl w:ilvl="6" w:tplc="1C09000F" w:tentative="1">
      <w:start w:val="1"/>
      <w:numFmt w:val="decimal"/>
      <w:lvlText w:val="%7."/>
      <w:lvlJc w:val="left"/>
      <w:pPr>
        <w:ind w:left="7515" w:hanging="360"/>
      </w:pPr>
    </w:lvl>
    <w:lvl w:ilvl="7" w:tplc="1C090019" w:tentative="1">
      <w:start w:val="1"/>
      <w:numFmt w:val="lowerLetter"/>
      <w:lvlText w:val="%8."/>
      <w:lvlJc w:val="left"/>
      <w:pPr>
        <w:ind w:left="8235" w:hanging="360"/>
      </w:pPr>
    </w:lvl>
    <w:lvl w:ilvl="8" w:tplc="1C09001B" w:tentative="1">
      <w:start w:val="1"/>
      <w:numFmt w:val="lowerRoman"/>
      <w:lvlText w:val="%9."/>
      <w:lvlJc w:val="right"/>
      <w:pPr>
        <w:ind w:left="8955" w:hanging="180"/>
      </w:pPr>
    </w:lvl>
  </w:abstractNum>
  <w:abstractNum w:abstractNumId="36" w15:restartNumberingAfterBreak="0">
    <w:nsid w:val="7AD9360D"/>
    <w:multiLevelType w:val="hybridMultilevel"/>
    <w:tmpl w:val="6234BA2E"/>
    <w:lvl w:ilvl="0" w:tplc="00B45626">
      <w:start w:val="2"/>
      <w:numFmt w:val="lowerRoman"/>
      <w:lvlText w:val="(%1)"/>
      <w:lvlJc w:val="left"/>
      <w:pPr>
        <w:ind w:left="1418" w:hanging="720"/>
      </w:pPr>
      <w:rPr>
        <w:rFonts w:hint="default"/>
      </w:rPr>
    </w:lvl>
    <w:lvl w:ilvl="1" w:tplc="1C090019" w:tentative="1">
      <w:start w:val="1"/>
      <w:numFmt w:val="lowerLetter"/>
      <w:lvlText w:val="%2."/>
      <w:lvlJc w:val="left"/>
      <w:pPr>
        <w:ind w:left="1778" w:hanging="360"/>
      </w:pPr>
    </w:lvl>
    <w:lvl w:ilvl="2" w:tplc="1C09001B" w:tentative="1">
      <w:start w:val="1"/>
      <w:numFmt w:val="lowerRoman"/>
      <w:lvlText w:val="%3."/>
      <w:lvlJc w:val="right"/>
      <w:pPr>
        <w:ind w:left="2498" w:hanging="180"/>
      </w:pPr>
    </w:lvl>
    <w:lvl w:ilvl="3" w:tplc="1C09000F" w:tentative="1">
      <w:start w:val="1"/>
      <w:numFmt w:val="decimal"/>
      <w:lvlText w:val="%4."/>
      <w:lvlJc w:val="left"/>
      <w:pPr>
        <w:ind w:left="3218" w:hanging="360"/>
      </w:pPr>
    </w:lvl>
    <w:lvl w:ilvl="4" w:tplc="1C090019" w:tentative="1">
      <w:start w:val="1"/>
      <w:numFmt w:val="lowerLetter"/>
      <w:lvlText w:val="%5."/>
      <w:lvlJc w:val="left"/>
      <w:pPr>
        <w:ind w:left="3938" w:hanging="360"/>
      </w:pPr>
    </w:lvl>
    <w:lvl w:ilvl="5" w:tplc="1C09001B" w:tentative="1">
      <w:start w:val="1"/>
      <w:numFmt w:val="lowerRoman"/>
      <w:lvlText w:val="%6."/>
      <w:lvlJc w:val="right"/>
      <w:pPr>
        <w:ind w:left="4658" w:hanging="180"/>
      </w:pPr>
    </w:lvl>
    <w:lvl w:ilvl="6" w:tplc="1C09000F" w:tentative="1">
      <w:start w:val="1"/>
      <w:numFmt w:val="decimal"/>
      <w:lvlText w:val="%7."/>
      <w:lvlJc w:val="left"/>
      <w:pPr>
        <w:ind w:left="5378" w:hanging="360"/>
      </w:pPr>
    </w:lvl>
    <w:lvl w:ilvl="7" w:tplc="1C090019" w:tentative="1">
      <w:start w:val="1"/>
      <w:numFmt w:val="lowerLetter"/>
      <w:lvlText w:val="%8."/>
      <w:lvlJc w:val="left"/>
      <w:pPr>
        <w:ind w:left="6098" w:hanging="360"/>
      </w:pPr>
    </w:lvl>
    <w:lvl w:ilvl="8" w:tplc="1C09001B" w:tentative="1">
      <w:start w:val="1"/>
      <w:numFmt w:val="lowerRoman"/>
      <w:lvlText w:val="%9."/>
      <w:lvlJc w:val="right"/>
      <w:pPr>
        <w:ind w:left="6818" w:hanging="180"/>
      </w:pPr>
    </w:lvl>
  </w:abstractNum>
  <w:abstractNum w:abstractNumId="37" w15:restartNumberingAfterBreak="0">
    <w:nsid w:val="7D1435E3"/>
    <w:multiLevelType w:val="hybridMultilevel"/>
    <w:tmpl w:val="2104EDBC"/>
    <w:lvl w:ilvl="0" w:tplc="F254135C">
      <w:start w:val="2"/>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27"/>
  </w:num>
  <w:num w:numId="2">
    <w:abstractNumId w:val="9"/>
  </w:num>
  <w:num w:numId="3">
    <w:abstractNumId w:val="2"/>
  </w:num>
  <w:num w:numId="4">
    <w:abstractNumId w:val="25"/>
  </w:num>
  <w:num w:numId="5">
    <w:abstractNumId w:val="32"/>
  </w:num>
  <w:num w:numId="6">
    <w:abstractNumId w:val="24"/>
  </w:num>
  <w:num w:numId="7">
    <w:abstractNumId w:val="28"/>
  </w:num>
  <w:num w:numId="8">
    <w:abstractNumId w:val="8"/>
  </w:num>
  <w:num w:numId="9">
    <w:abstractNumId w:val="4"/>
  </w:num>
  <w:num w:numId="10">
    <w:abstractNumId w:val="0"/>
  </w:num>
  <w:num w:numId="11">
    <w:abstractNumId w:val="7"/>
  </w:num>
  <w:num w:numId="12">
    <w:abstractNumId w:val="29"/>
  </w:num>
  <w:num w:numId="13">
    <w:abstractNumId w:val="11"/>
  </w:num>
  <w:num w:numId="14">
    <w:abstractNumId w:val="18"/>
  </w:num>
  <w:num w:numId="15">
    <w:abstractNumId w:val="13"/>
  </w:num>
  <w:num w:numId="16">
    <w:abstractNumId w:val="6"/>
  </w:num>
  <w:num w:numId="17">
    <w:abstractNumId w:val="15"/>
  </w:num>
  <w:num w:numId="18">
    <w:abstractNumId w:val="12"/>
  </w:num>
  <w:num w:numId="19">
    <w:abstractNumId w:val="33"/>
  </w:num>
  <w:num w:numId="20">
    <w:abstractNumId w:val="21"/>
  </w:num>
  <w:num w:numId="21">
    <w:abstractNumId w:val="20"/>
  </w:num>
  <w:num w:numId="22">
    <w:abstractNumId w:val="34"/>
  </w:num>
  <w:num w:numId="23">
    <w:abstractNumId w:val="5"/>
  </w:num>
  <w:num w:numId="24">
    <w:abstractNumId w:val="26"/>
  </w:num>
  <w:num w:numId="25">
    <w:abstractNumId w:val="10"/>
  </w:num>
  <w:num w:numId="26">
    <w:abstractNumId w:val="30"/>
  </w:num>
  <w:num w:numId="27">
    <w:abstractNumId w:val="31"/>
  </w:num>
  <w:num w:numId="28">
    <w:abstractNumId w:val="14"/>
  </w:num>
  <w:num w:numId="29">
    <w:abstractNumId w:val="23"/>
  </w:num>
  <w:num w:numId="30">
    <w:abstractNumId w:val="37"/>
  </w:num>
  <w:num w:numId="31">
    <w:abstractNumId w:val="16"/>
  </w:num>
  <w:num w:numId="32">
    <w:abstractNumId w:val="17"/>
  </w:num>
  <w:num w:numId="33">
    <w:abstractNumId w:val="35"/>
  </w:num>
  <w:num w:numId="34">
    <w:abstractNumId w:val="1"/>
  </w:num>
  <w:num w:numId="35">
    <w:abstractNumId w:val="22"/>
  </w:num>
  <w:num w:numId="36">
    <w:abstractNumId w:val="19"/>
  </w:num>
  <w:num w:numId="37">
    <w:abstractNumId w:val="3"/>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12"/>
    <w:rsid w:val="000050DF"/>
    <w:rsid w:val="000056DD"/>
    <w:rsid w:val="00012D8E"/>
    <w:rsid w:val="00012F9A"/>
    <w:rsid w:val="00017D09"/>
    <w:rsid w:val="000203EA"/>
    <w:rsid w:val="00030D4C"/>
    <w:rsid w:val="000335A8"/>
    <w:rsid w:val="000443B4"/>
    <w:rsid w:val="00054CA1"/>
    <w:rsid w:val="00055D77"/>
    <w:rsid w:val="00065103"/>
    <w:rsid w:val="00065B89"/>
    <w:rsid w:val="00071968"/>
    <w:rsid w:val="00072413"/>
    <w:rsid w:val="00077C37"/>
    <w:rsid w:val="0008788C"/>
    <w:rsid w:val="000908B3"/>
    <w:rsid w:val="000950EE"/>
    <w:rsid w:val="000A6107"/>
    <w:rsid w:val="000B54B4"/>
    <w:rsid w:val="000B648D"/>
    <w:rsid w:val="000C0F76"/>
    <w:rsid w:val="000C2B11"/>
    <w:rsid w:val="000C319E"/>
    <w:rsid w:val="000C4ED6"/>
    <w:rsid w:val="000C5A04"/>
    <w:rsid w:val="000C705B"/>
    <w:rsid w:val="000D51B3"/>
    <w:rsid w:val="000E06A7"/>
    <w:rsid w:val="000F0436"/>
    <w:rsid w:val="000F5E3D"/>
    <w:rsid w:val="000F5E43"/>
    <w:rsid w:val="001015D5"/>
    <w:rsid w:val="001244BA"/>
    <w:rsid w:val="0013440A"/>
    <w:rsid w:val="0013493D"/>
    <w:rsid w:val="00135D84"/>
    <w:rsid w:val="00136208"/>
    <w:rsid w:val="00140AFD"/>
    <w:rsid w:val="00154629"/>
    <w:rsid w:val="0015567B"/>
    <w:rsid w:val="001644ED"/>
    <w:rsid w:val="001646E3"/>
    <w:rsid w:val="00166C42"/>
    <w:rsid w:val="00171EA7"/>
    <w:rsid w:val="00172435"/>
    <w:rsid w:val="0017295B"/>
    <w:rsid w:val="001738E6"/>
    <w:rsid w:val="00174781"/>
    <w:rsid w:val="0019122B"/>
    <w:rsid w:val="00191A8B"/>
    <w:rsid w:val="00195AA8"/>
    <w:rsid w:val="001973B0"/>
    <w:rsid w:val="001973F0"/>
    <w:rsid w:val="001A35C8"/>
    <w:rsid w:val="001A46D4"/>
    <w:rsid w:val="001A6DE8"/>
    <w:rsid w:val="001A77BC"/>
    <w:rsid w:val="001B38F6"/>
    <w:rsid w:val="001D0702"/>
    <w:rsid w:val="001D35DD"/>
    <w:rsid w:val="001D641E"/>
    <w:rsid w:val="001D7A7E"/>
    <w:rsid w:val="001E0ABD"/>
    <w:rsid w:val="001E4864"/>
    <w:rsid w:val="001E4978"/>
    <w:rsid w:val="001F4247"/>
    <w:rsid w:val="00202E8B"/>
    <w:rsid w:val="00206785"/>
    <w:rsid w:val="0021229D"/>
    <w:rsid w:val="00222709"/>
    <w:rsid w:val="00225E79"/>
    <w:rsid w:val="00233593"/>
    <w:rsid w:val="00234EC1"/>
    <w:rsid w:val="00250D0E"/>
    <w:rsid w:val="0025125F"/>
    <w:rsid w:val="00255089"/>
    <w:rsid w:val="002553B5"/>
    <w:rsid w:val="0026172A"/>
    <w:rsid w:val="00261D26"/>
    <w:rsid w:val="0026498E"/>
    <w:rsid w:val="00265AC1"/>
    <w:rsid w:val="00270C55"/>
    <w:rsid w:val="00275892"/>
    <w:rsid w:val="0027621D"/>
    <w:rsid w:val="0028553D"/>
    <w:rsid w:val="00293ACC"/>
    <w:rsid w:val="002C04BD"/>
    <w:rsid w:val="002C3677"/>
    <w:rsid w:val="002C4248"/>
    <w:rsid w:val="002C50CA"/>
    <w:rsid w:val="002D0560"/>
    <w:rsid w:val="002D2B44"/>
    <w:rsid w:val="002E5345"/>
    <w:rsid w:val="002F08F0"/>
    <w:rsid w:val="002F3C81"/>
    <w:rsid w:val="002F3FB6"/>
    <w:rsid w:val="002F7D3A"/>
    <w:rsid w:val="00301DEC"/>
    <w:rsid w:val="003114FE"/>
    <w:rsid w:val="00312D39"/>
    <w:rsid w:val="00317D01"/>
    <w:rsid w:val="003243BC"/>
    <w:rsid w:val="00324C23"/>
    <w:rsid w:val="00330168"/>
    <w:rsid w:val="003301DB"/>
    <w:rsid w:val="00335379"/>
    <w:rsid w:val="00335797"/>
    <w:rsid w:val="003401D3"/>
    <w:rsid w:val="00345847"/>
    <w:rsid w:val="00353A17"/>
    <w:rsid w:val="0035463F"/>
    <w:rsid w:val="003555C6"/>
    <w:rsid w:val="00371205"/>
    <w:rsid w:val="0038409F"/>
    <w:rsid w:val="00390931"/>
    <w:rsid w:val="00395F8D"/>
    <w:rsid w:val="0039733A"/>
    <w:rsid w:val="003A0BBD"/>
    <w:rsid w:val="003A28E3"/>
    <w:rsid w:val="003A292A"/>
    <w:rsid w:val="003A2D54"/>
    <w:rsid w:val="003A63BD"/>
    <w:rsid w:val="003B061F"/>
    <w:rsid w:val="003B306C"/>
    <w:rsid w:val="003B45FF"/>
    <w:rsid w:val="003C3002"/>
    <w:rsid w:val="003D7C0A"/>
    <w:rsid w:val="003E3379"/>
    <w:rsid w:val="003E52E0"/>
    <w:rsid w:val="003F5C5F"/>
    <w:rsid w:val="00402032"/>
    <w:rsid w:val="004026E8"/>
    <w:rsid w:val="004032A5"/>
    <w:rsid w:val="00406B4C"/>
    <w:rsid w:val="00410198"/>
    <w:rsid w:val="0041472C"/>
    <w:rsid w:val="0041555E"/>
    <w:rsid w:val="00416416"/>
    <w:rsid w:val="004169A7"/>
    <w:rsid w:val="00420A3B"/>
    <w:rsid w:val="00421449"/>
    <w:rsid w:val="00421BB0"/>
    <w:rsid w:val="00423B4F"/>
    <w:rsid w:val="0042765C"/>
    <w:rsid w:val="00427BC7"/>
    <w:rsid w:val="00430CF7"/>
    <w:rsid w:val="004314E6"/>
    <w:rsid w:val="00431C6D"/>
    <w:rsid w:val="0044373E"/>
    <w:rsid w:val="00445F0E"/>
    <w:rsid w:val="0045561C"/>
    <w:rsid w:val="00455681"/>
    <w:rsid w:val="0045728B"/>
    <w:rsid w:val="00462FE0"/>
    <w:rsid w:val="004643E5"/>
    <w:rsid w:val="00465752"/>
    <w:rsid w:val="00465EAB"/>
    <w:rsid w:val="00466472"/>
    <w:rsid w:val="00471F7E"/>
    <w:rsid w:val="00480323"/>
    <w:rsid w:val="00486796"/>
    <w:rsid w:val="00490D0C"/>
    <w:rsid w:val="00491BF8"/>
    <w:rsid w:val="004A1A41"/>
    <w:rsid w:val="004A4629"/>
    <w:rsid w:val="004A686F"/>
    <w:rsid w:val="004A68B6"/>
    <w:rsid w:val="004C4137"/>
    <w:rsid w:val="004C7CBC"/>
    <w:rsid w:val="004D08DA"/>
    <w:rsid w:val="004D0ADA"/>
    <w:rsid w:val="004D2D9E"/>
    <w:rsid w:val="004E1D79"/>
    <w:rsid w:val="004E797E"/>
    <w:rsid w:val="004E7D39"/>
    <w:rsid w:val="004F13E8"/>
    <w:rsid w:val="004F4659"/>
    <w:rsid w:val="004F602A"/>
    <w:rsid w:val="004F66F0"/>
    <w:rsid w:val="00500CF6"/>
    <w:rsid w:val="00506610"/>
    <w:rsid w:val="00514A73"/>
    <w:rsid w:val="00514B86"/>
    <w:rsid w:val="005259DF"/>
    <w:rsid w:val="00530D38"/>
    <w:rsid w:val="00531CFE"/>
    <w:rsid w:val="00532772"/>
    <w:rsid w:val="00534008"/>
    <w:rsid w:val="00536E3F"/>
    <w:rsid w:val="005450C4"/>
    <w:rsid w:val="00556530"/>
    <w:rsid w:val="00562DAF"/>
    <w:rsid w:val="00564690"/>
    <w:rsid w:val="00564AA1"/>
    <w:rsid w:val="00570D69"/>
    <w:rsid w:val="00573B8D"/>
    <w:rsid w:val="00574A74"/>
    <w:rsid w:val="005807E4"/>
    <w:rsid w:val="00582912"/>
    <w:rsid w:val="00585667"/>
    <w:rsid w:val="0058633C"/>
    <w:rsid w:val="00594B41"/>
    <w:rsid w:val="005A08B9"/>
    <w:rsid w:val="005A3C44"/>
    <w:rsid w:val="005A43F0"/>
    <w:rsid w:val="005A7EB6"/>
    <w:rsid w:val="005B1FB0"/>
    <w:rsid w:val="005B3865"/>
    <w:rsid w:val="005B4210"/>
    <w:rsid w:val="005B4527"/>
    <w:rsid w:val="005B5141"/>
    <w:rsid w:val="005C2370"/>
    <w:rsid w:val="005C5860"/>
    <w:rsid w:val="005C6E3F"/>
    <w:rsid w:val="005D3F48"/>
    <w:rsid w:val="005D5D82"/>
    <w:rsid w:val="005D6041"/>
    <w:rsid w:val="005D68F4"/>
    <w:rsid w:val="005E28B4"/>
    <w:rsid w:val="005E30D5"/>
    <w:rsid w:val="005E3BDD"/>
    <w:rsid w:val="005E5164"/>
    <w:rsid w:val="005F0241"/>
    <w:rsid w:val="006001C9"/>
    <w:rsid w:val="0060091A"/>
    <w:rsid w:val="00604BAC"/>
    <w:rsid w:val="00607B89"/>
    <w:rsid w:val="00614983"/>
    <w:rsid w:val="00623669"/>
    <w:rsid w:val="00636B02"/>
    <w:rsid w:val="006373D0"/>
    <w:rsid w:val="006404C1"/>
    <w:rsid w:val="006423F6"/>
    <w:rsid w:val="006506DE"/>
    <w:rsid w:val="006545D0"/>
    <w:rsid w:val="00655606"/>
    <w:rsid w:val="00671A08"/>
    <w:rsid w:val="00672DC9"/>
    <w:rsid w:val="00677512"/>
    <w:rsid w:val="006826B1"/>
    <w:rsid w:val="00690143"/>
    <w:rsid w:val="006964BD"/>
    <w:rsid w:val="00697DF4"/>
    <w:rsid w:val="006C3CEC"/>
    <w:rsid w:val="006C6D3F"/>
    <w:rsid w:val="006D2E2E"/>
    <w:rsid w:val="006D3968"/>
    <w:rsid w:val="006D6870"/>
    <w:rsid w:val="006E0FA1"/>
    <w:rsid w:val="006E116F"/>
    <w:rsid w:val="006E22C9"/>
    <w:rsid w:val="006E7C7E"/>
    <w:rsid w:val="006F2401"/>
    <w:rsid w:val="006F3114"/>
    <w:rsid w:val="006F3164"/>
    <w:rsid w:val="006F359F"/>
    <w:rsid w:val="006F7CA3"/>
    <w:rsid w:val="0070074D"/>
    <w:rsid w:val="007008DD"/>
    <w:rsid w:val="007039B2"/>
    <w:rsid w:val="00714A3E"/>
    <w:rsid w:val="00737051"/>
    <w:rsid w:val="0073788F"/>
    <w:rsid w:val="0074091C"/>
    <w:rsid w:val="0074364A"/>
    <w:rsid w:val="00747452"/>
    <w:rsid w:val="00750CE9"/>
    <w:rsid w:val="00753705"/>
    <w:rsid w:val="007544E9"/>
    <w:rsid w:val="0076702F"/>
    <w:rsid w:val="007718F3"/>
    <w:rsid w:val="007815F8"/>
    <w:rsid w:val="00781DCE"/>
    <w:rsid w:val="00782B8E"/>
    <w:rsid w:val="00787637"/>
    <w:rsid w:val="00794440"/>
    <w:rsid w:val="007946AA"/>
    <w:rsid w:val="007A19F8"/>
    <w:rsid w:val="007A75FD"/>
    <w:rsid w:val="007B29D2"/>
    <w:rsid w:val="007B35CE"/>
    <w:rsid w:val="007B6882"/>
    <w:rsid w:val="007D14AC"/>
    <w:rsid w:val="007D275A"/>
    <w:rsid w:val="007D6AFF"/>
    <w:rsid w:val="007E0FA9"/>
    <w:rsid w:val="007E1992"/>
    <w:rsid w:val="007F571B"/>
    <w:rsid w:val="007F594E"/>
    <w:rsid w:val="007F6E96"/>
    <w:rsid w:val="007F737D"/>
    <w:rsid w:val="0080196B"/>
    <w:rsid w:val="0080731A"/>
    <w:rsid w:val="00813FFF"/>
    <w:rsid w:val="00814BD5"/>
    <w:rsid w:val="00816C7C"/>
    <w:rsid w:val="00820C53"/>
    <w:rsid w:val="00822C36"/>
    <w:rsid w:val="008307F0"/>
    <w:rsid w:val="00831D8F"/>
    <w:rsid w:val="00833C14"/>
    <w:rsid w:val="00850843"/>
    <w:rsid w:val="00861369"/>
    <w:rsid w:val="0086345B"/>
    <w:rsid w:val="0087504D"/>
    <w:rsid w:val="00882821"/>
    <w:rsid w:val="00884583"/>
    <w:rsid w:val="0088462B"/>
    <w:rsid w:val="00884740"/>
    <w:rsid w:val="00890402"/>
    <w:rsid w:val="008A51FB"/>
    <w:rsid w:val="008B0909"/>
    <w:rsid w:val="008C31B3"/>
    <w:rsid w:val="008C654D"/>
    <w:rsid w:val="008C680E"/>
    <w:rsid w:val="008D14F7"/>
    <w:rsid w:val="008D6B55"/>
    <w:rsid w:val="008D6CE9"/>
    <w:rsid w:val="008D7AE9"/>
    <w:rsid w:val="008E7FF9"/>
    <w:rsid w:val="008F204B"/>
    <w:rsid w:val="008F22A3"/>
    <w:rsid w:val="008F6F82"/>
    <w:rsid w:val="0090365D"/>
    <w:rsid w:val="0091440B"/>
    <w:rsid w:val="009173BB"/>
    <w:rsid w:val="009177A0"/>
    <w:rsid w:val="00935DA8"/>
    <w:rsid w:val="00936D44"/>
    <w:rsid w:val="00943CCD"/>
    <w:rsid w:val="009444FB"/>
    <w:rsid w:val="00951146"/>
    <w:rsid w:val="00957E6F"/>
    <w:rsid w:val="009653F8"/>
    <w:rsid w:val="009672D4"/>
    <w:rsid w:val="00967F66"/>
    <w:rsid w:val="00970B6B"/>
    <w:rsid w:val="00971F56"/>
    <w:rsid w:val="00975E1C"/>
    <w:rsid w:val="009811CF"/>
    <w:rsid w:val="00986FBE"/>
    <w:rsid w:val="009900E7"/>
    <w:rsid w:val="00991667"/>
    <w:rsid w:val="00992CD7"/>
    <w:rsid w:val="009943FD"/>
    <w:rsid w:val="00994872"/>
    <w:rsid w:val="00994D07"/>
    <w:rsid w:val="009A2E1E"/>
    <w:rsid w:val="009A39AC"/>
    <w:rsid w:val="009B0523"/>
    <w:rsid w:val="009C07E3"/>
    <w:rsid w:val="009C11DC"/>
    <w:rsid w:val="009C386D"/>
    <w:rsid w:val="009D3434"/>
    <w:rsid w:val="009D6BF9"/>
    <w:rsid w:val="009E6EA7"/>
    <w:rsid w:val="009E70DD"/>
    <w:rsid w:val="009F0204"/>
    <w:rsid w:val="00A030FF"/>
    <w:rsid w:val="00A04AD1"/>
    <w:rsid w:val="00A152C2"/>
    <w:rsid w:val="00A3295D"/>
    <w:rsid w:val="00A35967"/>
    <w:rsid w:val="00A400B5"/>
    <w:rsid w:val="00A42646"/>
    <w:rsid w:val="00A43C74"/>
    <w:rsid w:val="00A44E78"/>
    <w:rsid w:val="00A455D2"/>
    <w:rsid w:val="00A460B4"/>
    <w:rsid w:val="00A5583D"/>
    <w:rsid w:val="00A613EA"/>
    <w:rsid w:val="00A63189"/>
    <w:rsid w:val="00A66293"/>
    <w:rsid w:val="00A66C20"/>
    <w:rsid w:val="00A7280E"/>
    <w:rsid w:val="00A7350E"/>
    <w:rsid w:val="00A817EC"/>
    <w:rsid w:val="00A83C06"/>
    <w:rsid w:val="00A858E6"/>
    <w:rsid w:val="00A920DA"/>
    <w:rsid w:val="00A9267E"/>
    <w:rsid w:val="00A92859"/>
    <w:rsid w:val="00A94C08"/>
    <w:rsid w:val="00A95AA3"/>
    <w:rsid w:val="00AA1DEF"/>
    <w:rsid w:val="00AA7F1B"/>
    <w:rsid w:val="00AB42A1"/>
    <w:rsid w:val="00AB5115"/>
    <w:rsid w:val="00AC6A9B"/>
    <w:rsid w:val="00AD5720"/>
    <w:rsid w:val="00AD5A8B"/>
    <w:rsid w:val="00AD6AEF"/>
    <w:rsid w:val="00AE71C2"/>
    <w:rsid w:val="00AF6921"/>
    <w:rsid w:val="00B05DBA"/>
    <w:rsid w:val="00B07399"/>
    <w:rsid w:val="00B11039"/>
    <w:rsid w:val="00B1135A"/>
    <w:rsid w:val="00B14237"/>
    <w:rsid w:val="00B22D89"/>
    <w:rsid w:val="00B22F37"/>
    <w:rsid w:val="00B26106"/>
    <w:rsid w:val="00B266CC"/>
    <w:rsid w:val="00B27395"/>
    <w:rsid w:val="00B33182"/>
    <w:rsid w:val="00B33EAF"/>
    <w:rsid w:val="00B4276E"/>
    <w:rsid w:val="00B466C2"/>
    <w:rsid w:val="00B538A6"/>
    <w:rsid w:val="00B63973"/>
    <w:rsid w:val="00B6794C"/>
    <w:rsid w:val="00B67E26"/>
    <w:rsid w:val="00B7409A"/>
    <w:rsid w:val="00B77F9B"/>
    <w:rsid w:val="00B85DB2"/>
    <w:rsid w:val="00B869DA"/>
    <w:rsid w:val="00B94AA7"/>
    <w:rsid w:val="00BA2238"/>
    <w:rsid w:val="00BA33EB"/>
    <w:rsid w:val="00BA52DD"/>
    <w:rsid w:val="00BB7DCD"/>
    <w:rsid w:val="00BD2D2F"/>
    <w:rsid w:val="00BD5547"/>
    <w:rsid w:val="00BD6C32"/>
    <w:rsid w:val="00BE3B16"/>
    <w:rsid w:val="00BE3E73"/>
    <w:rsid w:val="00BE5221"/>
    <w:rsid w:val="00BF1BEE"/>
    <w:rsid w:val="00BF3060"/>
    <w:rsid w:val="00BF481F"/>
    <w:rsid w:val="00BF587A"/>
    <w:rsid w:val="00C03AC8"/>
    <w:rsid w:val="00C06A6C"/>
    <w:rsid w:val="00C120AE"/>
    <w:rsid w:val="00C13593"/>
    <w:rsid w:val="00C13FBD"/>
    <w:rsid w:val="00C151E1"/>
    <w:rsid w:val="00C16CD1"/>
    <w:rsid w:val="00C210C7"/>
    <w:rsid w:val="00C219D4"/>
    <w:rsid w:val="00C272A8"/>
    <w:rsid w:val="00C46168"/>
    <w:rsid w:val="00C4694F"/>
    <w:rsid w:val="00C50848"/>
    <w:rsid w:val="00C55060"/>
    <w:rsid w:val="00C57F0A"/>
    <w:rsid w:val="00C648E9"/>
    <w:rsid w:val="00C720E7"/>
    <w:rsid w:val="00C75400"/>
    <w:rsid w:val="00C822E1"/>
    <w:rsid w:val="00C83142"/>
    <w:rsid w:val="00C8728C"/>
    <w:rsid w:val="00C92C8B"/>
    <w:rsid w:val="00C9778B"/>
    <w:rsid w:val="00C97E9D"/>
    <w:rsid w:val="00CA3953"/>
    <w:rsid w:val="00CB0991"/>
    <w:rsid w:val="00CD0297"/>
    <w:rsid w:val="00CD1578"/>
    <w:rsid w:val="00CD3009"/>
    <w:rsid w:val="00CE1A05"/>
    <w:rsid w:val="00CE56C4"/>
    <w:rsid w:val="00CF70CA"/>
    <w:rsid w:val="00CF7969"/>
    <w:rsid w:val="00D033C2"/>
    <w:rsid w:val="00D03CC8"/>
    <w:rsid w:val="00D0579D"/>
    <w:rsid w:val="00D127FC"/>
    <w:rsid w:val="00D13378"/>
    <w:rsid w:val="00D17327"/>
    <w:rsid w:val="00D21C3F"/>
    <w:rsid w:val="00D22F0C"/>
    <w:rsid w:val="00D23871"/>
    <w:rsid w:val="00D309CF"/>
    <w:rsid w:val="00D36262"/>
    <w:rsid w:val="00D42933"/>
    <w:rsid w:val="00D4343C"/>
    <w:rsid w:val="00D43CE4"/>
    <w:rsid w:val="00D46C30"/>
    <w:rsid w:val="00D47D46"/>
    <w:rsid w:val="00D51C6C"/>
    <w:rsid w:val="00D53799"/>
    <w:rsid w:val="00D53806"/>
    <w:rsid w:val="00D539A6"/>
    <w:rsid w:val="00D558AE"/>
    <w:rsid w:val="00D612BC"/>
    <w:rsid w:val="00D62B0B"/>
    <w:rsid w:val="00D73C33"/>
    <w:rsid w:val="00D75F0D"/>
    <w:rsid w:val="00D83A13"/>
    <w:rsid w:val="00D84F10"/>
    <w:rsid w:val="00D866A9"/>
    <w:rsid w:val="00D86BD4"/>
    <w:rsid w:val="00D92541"/>
    <w:rsid w:val="00D97179"/>
    <w:rsid w:val="00DA1305"/>
    <w:rsid w:val="00DB103E"/>
    <w:rsid w:val="00DB6253"/>
    <w:rsid w:val="00DC314D"/>
    <w:rsid w:val="00DD1168"/>
    <w:rsid w:val="00DE6D95"/>
    <w:rsid w:val="00DE7ABA"/>
    <w:rsid w:val="00DF4388"/>
    <w:rsid w:val="00E01B17"/>
    <w:rsid w:val="00E049B5"/>
    <w:rsid w:val="00E053BB"/>
    <w:rsid w:val="00E11255"/>
    <w:rsid w:val="00E16803"/>
    <w:rsid w:val="00E239EA"/>
    <w:rsid w:val="00E23AEF"/>
    <w:rsid w:val="00E341CC"/>
    <w:rsid w:val="00E3554F"/>
    <w:rsid w:val="00E42110"/>
    <w:rsid w:val="00E43C3B"/>
    <w:rsid w:val="00E44F60"/>
    <w:rsid w:val="00E4679E"/>
    <w:rsid w:val="00E476ED"/>
    <w:rsid w:val="00E55E04"/>
    <w:rsid w:val="00E61889"/>
    <w:rsid w:val="00E6587D"/>
    <w:rsid w:val="00E67342"/>
    <w:rsid w:val="00E71781"/>
    <w:rsid w:val="00E71DFE"/>
    <w:rsid w:val="00E74A2C"/>
    <w:rsid w:val="00E80D1C"/>
    <w:rsid w:val="00E8375E"/>
    <w:rsid w:val="00E852D6"/>
    <w:rsid w:val="00E85692"/>
    <w:rsid w:val="00E91E4A"/>
    <w:rsid w:val="00E9294B"/>
    <w:rsid w:val="00EA30E1"/>
    <w:rsid w:val="00EA524A"/>
    <w:rsid w:val="00EB0259"/>
    <w:rsid w:val="00EB15BF"/>
    <w:rsid w:val="00EB4727"/>
    <w:rsid w:val="00EB67CF"/>
    <w:rsid w:val="00EC35E4"/>
    <w:rsid w:val="00EC7158"/>
    <w:rsid w:val="00ED22AD"/>
    <w:rsid w:val="00ED3082"/>
    <w:rsid w:val="00ED4960"/>
    <w:rsid w:val="00ED5E15"/>
    <w:rsid w:val="00ED6E0B"/>
    <w:rsid w:val="00EE6158"/>
    <w:rsid w:val="00F01DB5"/>
    <w:rsid w:val="00F04BA6"/>
    <w:rsid w:val="00F135E1"/>
    <w:rsid w:val="00F178EE"/>
    <w:rsid w:val="00F230C4"/>
    <w:rsid w:val="00F23C14"/>
    <w:rsid w:val="00F33815"/>
    <w:rsid w:val="00F342B7"/>
    <w:rsid w:val="00F34C87"/>
    <w:rsid w:val="00F5063E"/>
    <w:rsid w:val="00F566FE"/>
    <w:rsid w:val="00F56D4C"/>
    <w:rsid w:val="00F6154D"/>
    <w:rsid w:val="00F711E6"/>
    <w:rsid w:val="00F7287F"/>
    <w:rsid w:val="00F74879"/>
    <w:rsid w:val="00F75986"/>
    <w:rsid w:val="00F77238"/>
    <w:rsid w:val="00F779A3"/>
    <w:rsid w:val="00F84737"/>
    <w:rsid w:val="00F8730E"/>
    <w:rsid w:val="00F95665"/>
    <w:rsid w:val="00FA1F52"/>
    <w:rsid w:val="00FA4039"/>
    <w:rsid w:val="00FA61C8"/>
    <w:rsid w:val="00FB68D5"/>
    <w:rsid w:val="00FB78DB"/>
    <w:rsid w:val="00FC2028"/>
    <w:rsid w:val="00FC6063"/>
    <w:rsid w:val="00FE2481"/>
    <w:rsid w:val="00FE7836"/>
    <w:rsid w:val="00FF3BE5"/>
    <w:rsid w:val="00FF47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D3888-3718-4D28-9BF8-4F2E3A0B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71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F471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F471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F4712"/>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FF471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471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F4712"/>
    <w:rPr>
      <w:rFonts w:ascii="Cambria" w:eastAsia="Times New Roman" w:hAnsi="Cambria" w:cs="Times New Roman"/>
      <w:b/>
      <w:bCs/>
      <w:color w:val="4F81BD"/>
      <w:sz w:val="26"/>
      <w:szCs w:val="26"/>
    </w:rPr>
  </w:style>
  <w:style w:type="character" w:customStyle="1" w:styleId="Heading3Char">
    <w:name w:val="Heading 3 Char"/>
    <w:link w:val="Heading3"/>
    <w:uiPriority w:val="9"/>
    <w:rsid w:val="00FF4712"/>
    <w:rPr>
      <w:rFonts w:ascii="Cambria" w:eastAsia="Times New Roman" w:hAnsi="Cambria" w:cs="Times New Roman"/>
      <w:b/>
      <w:bCs/>
      <w:color w:val="4F81BD"/>
    </w:rPr>
  </w:style>
  <w:style w:type="character" w:customStyle="1" w:styleId="Heading4Char">
    <w:name w:val="Heading 4 Char"/>
    <w:link w:val="Heading4"/>
    <w:uiPriority w:val="9"/>
    <w:rsid w:val="00FF4712"/>
    <w:rPr>
      <w:rFonts w:ascii="Cambria" w:eastAsia="Times New Roman" w:hAnsi="Cambria" w:cs="Times New Roman"/>
      <w:b/>
      <w:bCs/>
      <w:i/>
      <w:iCs/>
      <w:color w:val="4F81BD"/>
    </w:rPr>
  </w:style>
  <w:style w:type="table" w:styleId="TableGrid">
    <w:name w:val="Table Grid"/>
    <w:basedOn w:val="TableNormal"/>
    <w:uiPriority w:val="59"/>
    <w:rsid w:val="00FF47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F4712"/>
    <w:pPr>
      <w:ind w:left="720"/>
      <w:contextualSpacing/>
    </w:pPr>
  </w:style>
  <w:style w:type="paragraph" w:styleId="Header">
    <w:name w:val="header"/>
    <w:basedOn w:val="Normal"/>
    <w:link w:val="HeaderChar"/>
    <w:uiPriority w:val="99"/>
    <w:unhideWhenUsed/>
    <w:rsid w:val="00FF4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712"/>
  </w:style>
  <w:style w:type="character" w:customStyle="1" w:styleId="FooterChar">
    <w:name w:val="Footer Char"/>
    <w:basedOn w:val="DefaultParagraphFont"/>
    <w:link w:val="Footer"/>
    <w:uiPriority w:val="99"/>
    <w:rsid w:val="00FF4712"/>
  </w:style>
  <w:style w:type="paragraph" w:styleId="Footer">
    <w:name w:val="footer"/>
    <w:basedOn w:val="Normal"/>
    <w:link w:val="FooterChar"/>
    <w:uiPriority w:val="99"/>
    <w:unhideWhenUsed/>
    <w:rsid w:val="00FF4712"/>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rsid w:val="00FF4712"/>
    <w:pPr>
      <w:spacing w:line="240" w:lineRule="auto"/>
    </w:pPr>
    <w:rPr>
      <w:sz w:val="20"/>
      <w:szCs w:val="20"/>
    </w:rPr>
  </w:style>
  <w:style w:type="character" w:customStyle="1" w:styleId="CommentTextChar">
    <w:name w:val="Comment Text Char"/>
    <w:link w:val="CommentText"/>
    <w:uiPriority w:val="99"/>
    <w:semiHidden/>
    <w:rsid w:val="00FF4712"/>
    <w:rPr>
      <w:sz w:val="20"/>
      <w:szCs w:val="20"/>
    </w:rPr>
  </w:style>
  <w:style w:type="character" w:customStyle="1" w:styleId="CommentSubjectChar">
    <w:name w:val="Comment Subject Char"/>
    <w:link w:val="CommentSubject"/>
    <w:uiPriority w:val="99"/>
    <w:semiHidden/>
    <w:rsid w:val="00FF4712"/>
    <w:rPr>
      <w:b/>
      <w:bCs/>
      <w:sz w:val="20"/>
      <w:szCs w:val="20"/>
    </w:rPr>
  </w:style>
  <w:style w:type="paragraph" w:styleId="CommentSubject">
    <w:name w:val="annotation subject"/>
    <w:basedOn w:val="CommentText"/>
    <w:next w:val="CommentText"/>
    <w:link w:val="CommentSubjectChar"/>
    <w:uiPriority w:val="99"/>
    <w:semiHidden/>
    <w:unhideWhenUsed/>
    <w:rsid w:val="00FF4712"/>
    <w:rPr>
      <w:b/>
      <w:bCs/>
    </w:rPr>
  </w:style>
  <w:style w:type="character" w:customStyle="1" w:styleId="BalloonTextChar">
    <w:name w:val="Balloon Text Char"/>
    <w:link w:val="BalloonText"/>
    <w:uiPriority w:val="99"/>
    <w:semiHidden/>
    <w:rsid w:val="00FF4712"/>
    <w:rPr>
      <w:rFonts w:ascii="Tahoma" w:hAnsi="Tahoma" w:cs="Tahoma"/>
      <w:sz w:val="16"/>
      <w:szCs w:val="16"/>
    </w:rPr>
  </w:style>
  <w:style w:type="paragraph" w:styleId="BalloonText">
    <w:name w:val="Balloon Text"/>
    <w:basedOn w:val="Normal"/>
    <w:link w:val="BalloonTextChar"/>
    <w:uiPriority w:val="99"/>
    <w:semiHidden/>
    <w:unhideWhenUsed/>
    <w:rsid w:val="00FF4712"/>
    <w:pPr>
      <w:spacing w:after="0" w:line="240" w:lineRule="auto"/>
    </w:pPr>
    <w:rPr>
      <w:rFonts w:ascii="Tahoma" w:hAnsi="Tahoma" w:cs="Tahoma"/>
      <w:sz w:val="16"/>
      <w:szCs w:val="16"/>
    </w:rPr>
  </w:style>
  <w:style w:type="paragraph" w:styleId="Title">
    <w:name w:val="Title"/>
    <w:basedOn w:val="Normal"/>
    <w:next w:val="Normal"/>
    <w:link w:val="TitleChar"/>
    <w:uiPriority w:val="10"/>
    <w:qFormat/>
    <w:rsid w:val="00FF471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F4712"/>
    <w:rPr>
      <w:rFonts w:ascii="Cambria" w:eastAsia="Times New Roman" w:hAnsi="Cambria" w:cs="Times New Roman"/>
      <w:color w:val="17365D"/>
      <w:spacing w:val="5"/>
      <w:kern w:val="28"/>
      <w:sz w:val="52"/>
      <w:szCs w:val="52"/>
    </w:rPr>
  </w:style>
  <w:style w:type="paragraph" w:styleId="NoSpacing">
    <w:name w:val="No Spacing"/>
    <w:uiPriority w:val="1"/>
    <w:qFormat/>
    <w:rsid w:val="00FF4712"/>
    <w:rPr>
      <w:sz w:val="22"/>
      <w:szCs w:val="22"/>
      <w:lang w:val="en-US" w:eastAsia="en-US"/>
    </w:rPr>
  </w:style>
  <w:style w:type="character" w:styleId="Hyperlink">
    <w:name w:val="Hyperlink"/>
    <w:uiPriority w:val="99"/>
    <w:unhideWhenUsed/>
    <w:rsid w:val="00FF4712"/>
    <w:rPr>
      <w:color w:val="0000FF"/>
      <w:u w:val="single"/>
    </w:rPr>
  </w:style>
  <w:style w:type="paragraph" w:styleId="Subtitle">
    <w:name w:val="Subtitle"/>
    <w:basedOn w:val="Normal"/>
    <w:next w:val="Normal"/>
    <w:link w:val="SubtitleChar"/>
    <w:uiPriority w:val="11"/>
    <w:qFormat/>
    <w:rsid w:val="00FF4712"/>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FF4712"/>
    <w:rPr>
      <w:rFonts w:ascii="Cambria" w:eastAsia="Times New Roman" w:hAnsi="Cambria" w:cs="Times New Roman"/>
      <w:i/>
      <w:iCs/>
      <w:color w:val="4F81BD"/>
      <w:spacing w:val="15"/>
      <w:sz w:val="24"/>
      <w:szCs w:val="24"/>
    </w:rPr>
  </w:style>
  <w:style w:type="character" w:styleId="Emphasis">
    <w:name w:val="Emphasis"/>
    <w:uiPriority w:val="20"/>
    <w:qFormat/>
    <w:rsid w:val="00FF4712"/>
    <w:rPr>
      <w:i/>
      <w:iCs/>
    </w:rPr>
  </w:style>
  <w:style w:type="character" w:styleId="Strong">
    <w:name w:val="Strong"/>
    <w:uiPriority w:val="22"/>
    <w:qFormat/>
    <w:rsid w:val="00FF4712"/>
    <w:rPr>
      <w:b/>
      <w:bCs/>
    </w:rPr>
  </w:style>
  <w:style w:type="character" w:styleId="SubtleEmphasis">
    <w:name w:val="Subtle Emphasis"/>
    <w:uiPriority w:val="19"/>
    <w:qFormat/>
    <w:rsid w:val="00FF4712"/>
    <w:rPr>
      <w:i/>
      <w:iCs/>
      <w:color w:val="808080"/>
    </w:rPr>
  </w:style>
  <w:style w:type="character" w:styleId="IntenseEmphasis">
    <w:name w:val="Intense Emphasis"/>
    <w:uiPriority w:val="21"/>
    <w:qFormat/>
    <w:rsid w:val="00FF4712"/>
    <w:rPr>
      <w:b/>
      <w:bCs/>
      <w:i/>
      <w:iCs/>
      <w:color w:val="4F81BD"/>
    </w:rPr>
  </w:style>
  <w:style w:type="paragraph" w:styleId="Quote">
    <w:name w:val="Quote"/>
    <w:basedOn w:val="Normal"/>
    <w:next w:val="Normal"/>
    <w:link w:val="QuoteChar"/>
    <w:uiPriority w:val="29"/>
    <w:qFormat/>
    <w:rsid w:val="00FF4712"/>
    <w:rPr>
      <w:i/>
      <w:iCs/>
      <w:color w:val="000000"/>
    </w:rPr>
  </w:style>
  <w:style w:type="character" w:customStyle="1" w:styleId="QuoteChar">
    <w:name w:val="Quote Char"/>
    <w:link w:val="Quote"/>
    <w:uiPriority w:val="29"/>
    <w:rsid w:val="00FF4712"/>
    <w:rPr>
      <w:i/>
      <w:iCs/>
      <w:color w:val="000000"/>
    </w:rPr>
  </w:style>
  <w:style w:type="character" w:styleId="BookTitle">
    <w:name w:val="Book Title"/>
    <w:uiPriority w:val="33"/>
    <w:qFormat/>
    <w:rsid w:val="00FF4712"/>
    <w:rPr>
      <w:b/>
      <w:bCs/>
      <w:smallCaps/>
      <w:spacing w:val="5"/>
    </w:rPr>
  </w:style>
  <w:style w:type="paragraph" w:styleId="FootnoteText">
    <w:name w:val="footnote text"/>
    <w:basedOn w:val="Normal"/>
    <w:link w:val="FootnoteTextChar"/>
    <w:uiPriority w:val="99"/>
    <w:semiHidden/>
    <w:unhideWhenUsed/>
    <w:rsid w:val="00F74879"/>
    <w:pPr>
      <w:spacing w:after="0" w:line="240" w:lineRule="auto"/>
    </w:pPr>
    <w:rPr>
      <w:sz w:val="20"/>
      <w:szCs w:val="20"/>
    </w:rPr>
  </w:style>
  <w:style w:type="character" w:customStyle="1" w:styleId="FootnoteTextChar">
    <w:name w:val="Footnote Text Char"/>
    <w:link w:val="FootnoteText"/>
    <w:uiPriority w:val="99"/>
    <w:semiHidden/>
    <w:rsid w:val="00F74879"/>
    <w:rPr>
      <w:sz w:val="20"/>
      <w:szCs w:val="20"/>
    </w:rPr>
  </w:style>
  <w:style w:type="character" w:styleId="FootnoteReference">
    <w:name w:val="footnote reference"/>
    <w:uiPriority w:val="99"/>
    <w:semiHidden/>
    <w:unhideWhenUsed/>
    <w:rsid w:val="00F748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28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2022-11-13T18:30:00+00:00</Judgment_x0020_Date>
    <Year xmlns="63bdd487-88aa-4c54-b893-ddaa81ed2e7c">2022</Year>
  </documentManagement>
</p:properties>
</file>

<file path=customXml/itemProps1.xml><?xml version="1.0" encoding="utf-8"?>
<ds:datastoreItem xmlns:ds="http://schemas.openxmlformats.org/officeDocument/2006/customXml" ds:itemID="{E1B2BB25-4276-47BE-9D05-E846CF57C5EF}"/>
</file>

<file path=customXml/itemProps2.xml><?xml version="1.0" encoding="utf-8"?>
<ds:datastoreItem xmlns:ds="http://schemas.openxmlformats.org/officeDocument/2006/customXml" ds:itemID="{E276A139-79FE-412D-BCF5-6D7FA80B36E2}"/>
</file>

<file path=customXml/itemProps3.xml><?xml version="1.0" encoding="utf-8"?>
<ds:datastoreItem xmlns:ds="http://schemas.openxmlformats.org/officeDocument/2006/customXml" ds:itemID="{9E120F94-AA6A-45B5-8E8A-6D03297B6DE1}"/>
</file>

<file path=customXml/itemProps4.xml><?xml version="1.0" encoding="utf-8"?>
<ds:datastoreItem xmlns:ds="http://schemas.openxmlformats.org/officeDocument/2006/customXml" ds:itemID="{FE0DD1F5-D6EC-44A3-B244-F22DDEC80D1B}"/>
</file>

<file path=docProps/app.xml><?xml version="1.0" encoding="utf-8"?>
<Properties xmlns="http://schemas.openxmlformats.org/officeDocument/2006/extended-properties" xmlns:vt="http://schemas.openxmlformats.org/officeDocument/2006/docPropsVTypes">
  <Template>Normal</Template>
  <TotalTime>2</TotalTime>
  <Pages>21</Pages>
  <Words>4436</Words>
  <Characters>25288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Mwaala v Nghikomenwa (SA 100-2020) [2022] NASC (14 November 2022)</dc:title>
  <dc:subject/>
  <dc:creator>ybasson</dc:creator>
  <cp:keywords/>
  <cp:lastModifiedBy>Sevelia Nghitumbwa</cp:lastModifiedBy>
  <cp:revision>3</cp:revision>
  <cp:lastPrinted>2022-11-10T07:53:00Z</cp:lastPrinted>
  <dcterms:created xsi:type="dcterms:W3CDTF">2022-11-14T11:19:00Z</dcterms:created>
  <dcterms:modified xsi:type="dcterms:W3CDTF">2022-11-14T11:20:00Z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