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F53F" w14:textId="77777777" w:rsidR="00EE0E06" w:rsidRDefault="00EE0E06" w:rsidP="00C074F3">
      <w:pPr>
        <w:spacing w:line="480" w:lineRule="auto"/>
        <w:jc w:val="right"/>
        <w:rPr>
          <w:b/>
        </w:rPr>
      </w:pPr>
      <w:r w:rsidRPr="00742222">
        <w:rPr>
          <w:noProof/>
          <w:lang w:eastAsia="en-ZA"/>
        </w:rPr>
        <w:drawing>
          <wp:anchor distT="0" distB="0" distL="114300" distR="114300" simplePos="0" relativeHeight="251659264" behindDoc="0" locked="0" layoutInCell="1" allowOverlap="1" wp14:anchorId="145EA92A" wp14:editId="0E8C6A7B">
            <wp:simplePos x="0" y="0"/>
            <wp:positionH relativeFrom="margin">
              <wp:posOffset>1857375</wp:posOffset>
            </wp:positionH>
            <wp:positionV relativeFrom="margin">
              <wp:posOffset>-581025</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77B5A44" w14:textId="77777777" w:rsidR="00EE0E06" w:rsidRDefault="00EE0E06" w:rsidP="00C074F3">
      <w:pPr>
        <w:spacing w:line="480" w:lineRule="auto"/>
        <w:jc w:val="right"/>
        <w:rPr>
          <w:b/>
        </w:rPr>
      </w:pPr>
    </w:p>
    <w:p w14:paraId="22429728" w14:textId="77777777" w:rsidR="00EE0E06" w:rsidRDefault="00EE0E06" w:rsidP="00C074F3">
      <w:pPr>
        <w:spacing w:line="480" w:lineRule="auto"/>
        <w:jc w:val="right"/>
        <w:rPr>
          <w:b/>
        </w:rPr>
      </w:pPr>
    </w:p>
    <w:p w14:paraId="6FAD92B3" w14:textId="77777777" w:rsidR="00EE0E06" w:rsidRPr="00EE0E06" w:rsidRDefault="00EE0E06" w:rsidP="00362131">
      <w:pPr>
        <w:spacing w:line="480" w:lineRule="auto"/>
        <w:jc w:val="right"/>
        <w:rPr>
          <w:b/>
        </w:rPr>
      </w:pPr>
      <w:r w:rsidRPr="00EE0E06">
        <w:rPr>
          <w:b/>
        </w:rPr>
        <w:t>REPORTABLE</w:t>
      </w:r>
    </w:p>
    <w:p w14:paraId="70E1CD91" w14:textId="77777777" w:rsidR="00AC5145" w:rsidRDefault="00C074F3" w:rsidP="00362131">
      <w:pPr>
        <w:spacing w:line="480" w:lineRule="auto"/>
        <w:jc w:val="right"/>
      </w:pPr>
      <w:r>
        <w:t>CASE NO.: SA 70/2019</w:t>
      </w:r>
    </w:p>
    <w:p w14:paraId="21982D49" w14:textId="77777777" w:rsidR="00466DDA" w:rsidRDefault="00466DDA" w:rsidP="00362131">
      <w:pPr>
        <w:spacing w:line="480" w:lineRule="auto"/>
        <w:jc w:val="both"/>
        <w:rPr>
          <w:b/>
        </w:rPr>
      </w:pPr>
    </w:p>
    <w:p w14:paraId="660E1BDD" w14:textId="77777777" w:rsidR="00AC5145" w:rsidRPr="00C074F3" w:rsidRDefault="00AC5145" w:rsidP="00362131">
      <w:pPr>
        <w:spacing w:line="480" w:lineRule="auto"/>
        <w:jc w:val="both"/>
        <w:rPr>
          <w:b/>
        </w:rPr>
      </w:pPr>
      <w:r w:rsidRPr="00C074F3">
        <w:rPr>
          <w:b/>
        </w:rPr>
        <w:t>IN THE SUPREME COURT OF NAMIBIA</w:t>
      </w:r>
    </w:p>
    <w:p w14:paraId="464FDF07" w14:textId="77777777" w:rsidR="00AC5145" w:rsidRDefault="00AC5145" w:rsidP="00362131">
      <w:pPr>
        <w:spacing w:line="480" w:lineRule="auto"/>
        <w:jc w:val="both"/>
      </w:pPr>
    </w:p>
    <w:p w14:paraId="012BDF0C" w14:textId="77777777" w:rsidR="00AC5145" w:rsidRDefault="00AC5145" w:rsidP="00362131">
      <w:pPr>
        <w:spacing w:line="480" w:lineRule="auto"/>
        <w:jc w:val="both"/>
      </w:pPr>
      <w:r>
        <w:t>In the matter between:</w:t>
      </w:r>
    </w:p>
    <w:p w14:paraId="0B187820" w14:textId="77777777" w:rsidR="00AC5145" w:rsidRDefault="00AC5145" w:rsidP="00362131">
      <w:pPr>
        <w:spacing w:line="480" w:lineRule="auto"/>
        <w:jc w:val="both"/>
      </w:pPr>
    </w:p>
    <w:p w14:paraId="44C50FE9" w14:textId="77777777" w:rsidR="00AC5145" w:rsidRPr="00C074F3" w:rsidRDefault="00AC5145" w:rsidP="00362131">
      <w:pPr>
        <w:spacing w:line="480" w:lineRule="auto"/>
        <w:jc w:val="both"/>
        <w:rPr>
          <w:b/>
        </w:rPr>
      </w:pPr>
      <w:r w:rsidRPr="00C074F3">
        <w:rPr>
          <w:b/>
        </w:rPr>
        <w:t>MUNICIPAL COUNCIL OF WINDHOEK</w:t>
      </w:r>
      <w:r w:rsidRPr="00C074F3">
        <w:rPr>
          <w:b/>
        </w:rPr>
        <w:tab/>
      </w:r>
      <w:r w:rsidRPr="00C074F3">
        <w:rPr>
          <w:b/>
        </w:rPr>
        <w:tab/>
      </w:r>
      <w:r w:rsidRPr="00C074F3">
        <w:rPr>
          <w:b/>
        </w:rPr>
        <w:tab/>
      </w:r>
      <w:r w:rsidRPr="00C074F3">
        <w:rPr>
          <w:b/>
        </w:rPr>
        <w:tab/>
      </w:r>
      <w:r w:rsidRPr="00C074F3">
        <w:rPr>
          <w:b/>
        </w:rPr>
        <w:tab/>
      </w:r>
      <w:r w:rsidR="00EE0E06">
        <w:rPr>
          <w:b/>
        </w:rPr>
        <w:t xml:space="preserve">   </w:t>
      </w:r>
      <w:r w:rsidRPr="00C074F3">
        <w:rPr>
          <w:b/>
        </w:rPr>
        <w:t>APPLICANT</w:t>
      </w:r>
    </w:p>
    <w:p w14:paraId="57002A08" w14:textId="77777777" w:rsidR="00AC5145" w:rsidRDefault="00AC5145" w:rsidP="00362131">
      <w:pPr>
        <w:spacing w:line="480" w:lineRule="auto"/>
        <w:jc w:val="both"/>
      </w:pPr>
    </w:p>
    <w:p w14:paraId="3C5968E5" w14:textId="77777777" w:rsidR="00AC5145" w:rsidRDefault="00AC5145" w:rsidP="00362131">
      <w:pPr>
        <w:spacing w:line="480" w:lineRule="auto"/>
        <w:jc w:val="both"/>
      </w:pPr>
      <w:r>
        <w:t>and</w:t>
      </w:r>
    </w:p>
    <w:p w14:paraId="4D19F9EC" w14:textId="77777777" w:rsidR="00AC5145" w:rsidRDefault="00AC5145" w:rsidP="00362131">
      <w:pPr>
        <w:spacing w:line="480" w:lineRule="auto"/>
        <w:jc w:val="both"/>
      </w:pPr>
    </w:p>
    <w:p w14:paraId="7895BFAD" w14:textId="77777777" w:rsidR="00AC5145" w:rsidRPr="00C074F3" w:rsidRDefault="00AC5145" w:rsidP="00362131">
      <w:pPr>
        <w:spacing w:line="480" w:lineRule="auto"/>
        <w:jc w:val="both"/>
        <w:rPr>
          <w:b/>
        </w:rPr>
      </w:pPr>
      <w:r w:rsidRPr="00C074F3">
        <w:rPr>
          <w:b/>
        </w:rPr>
        <w:t>PIONEERSPARK DAM INVESTMENT CC</w:t>
      </w:r>
      <w:r w:rsidRPr="00C074F3">
        <w:rPr>
          <w:b/>
        </w:rPr>
        <w:tab/>
      </w:r>
      <w:r w:rsidRPr="00C074F3">
        <w:rPr>
          <w:b/>
        </w:rPr>
        <w:tab/>
      </w:r>
      <w:r w:rsidRPr="00C074F3">
        <w:rPr>
          <w:b/>
        </w:rPr>
        <w:tab/>
      </w:r>
      <w:r w:rsidR="00EE0E06">
        <w:rPr>
          <w:b/>
        </w:rPr>
        <w:t xml:space="preserve">         </w:t>
      </w:r>
      <w:r w:rsidRPr="00C074F3">
        <w:rPr>
          <w:b/>
        </w:rPr>
        <w:t>RESPONDENT</w:t>
      </w:r>
    </w:p>
    <w:p w14:paraId="23E75419" w14:textId="77777777" w:rsidR="00AC5145" w:rsidRDefault="00AC5145" w:rsidP="00362131">
      <w:pPr>
        <w:spacing w:line="480" w:lineRule="auto"/>
        <w:jc w:val="both"/>
      </w:pPr>
    </w:p>
    <w:p w14:paraId="7C920D7C" w14:textId="77777777" w:rsidR="00AC5145" w:rsidRPr="00C074F3" w:rsidRDefault="00AC5145" w:rsidP="00362131">
      <w:pPr>
        <w:spacing w:line="480" w:lineRule="auto"/>
        <w:jc w:val="both"/>
        <w:rPr>
          <w:b/>
        </w:rPr>
      </w:pPr>
      <w:r w:rsidRPr="00C074F3">
        <w:rPr>
          <w:b/>
        </w:rPr>
        <w:t>CORAM:</w:t>
      </w:r>
      <w:r w:rsidRPr="00C074F3">
        <w:rPr>
          <w:b/>
        </w:rPr>
        <w:tab/>
        <w:t>FRANK AJA</w:t>
      </w:r>
    </w:p>
    <w:p w14:paraId="0A1C360D" w14:textId="77777777" w:rsidR="00AC5145" w:rsidRDefault="00AC5145" w:rsidP="00362131">
      <w:pPr>
        <w:spacing w:line="480" w:lineRule="auto"/>
        <w:jc w:val="both"/>
      </w:pPr>
      <w:r w:rsidRPr="00EE0E06">
        <w:rPr>
          <w:b/>
        </w:rPr>
        <w:t>Heard:</w:t>
      </w:r>
      <w:r>
        <w:tab/>
        <w:t xml:space="preserve">IN CHAMBERS </w:t>
      </w:r>
    </w:p>
    <w:p w14:paraId="775248B1" w14:textId="77777777" w:rsidR="00AC5145" w:rsidRDefault="00AC5145" w:rsidP="00362131">
      <w:pPr>
        <w:spacing w:line="480" w:lineRule="auto"/>
        <w:jc w:val="both"/>
        <w:rPr>
          <w:b/>
        </w:rPr>
      </w:pPr>
      <w:r w:rsidRPr="00EE0E06">
        <w:rPr>
          <w:b/>
        </w:rPr>
        <w:t>Delivered:</w:t>
      </w:r>
      <w:r w:rsidR="00C074F3" w:rsidRPr="00EE0E06">
        <w:rPr>
          <w:b/>
        </w:rPr>
        <w:tab/>
      </w:r>
      <w:r w:rsidR="00A91CB7" w:rsidRPr="00A91CB7">
        <w:rPr>
          <w:b/>
        </w:rPr>
        <w:t>16</w:t>
      </w:r>
      <w:r w:rsidR="00784645">
        <w:rPr>
          <w:b/>
        </w:rPr>
        <w:t xml:space="preserve"> November 2022</w:t>
      </w:r>
    </w:p>
    <w:p w14:paraId="2ABBA271" w14:textId="77777777" w:rsidR="00784645" w:rsidRPr="00EE0E06" w:rsidRDefault="00784645" w:rsidP="00362131">
      <w:pPr>
        <w:spacing w:line="480" w:lineRule="auto"/>
        <w:jc w:val="both"/>
        <w:rPr>
          <w:b/>
        </w:rPr>
      </w:pPr>
    </w:p>
    <w:p w14:paraId="7B539181" w14:textId="77777777" w:rsidR="00DE3681" w:rsidRDefault="009748BB" w:rsidP="009748BB">
      <w:pPr>
        <w:spacing w:line="360" w:lineRule="auto"/>
        <w:jc w:val="both"/>
      </w:pPr>
      <w:r w:rsidRPr="00DA6B29">
        <w:rPr>
          <w:rFonts w:cs="Arial"/>
          <w:b/>
          <w:bCs/>
        </w:rPr>
        <w:t>Summary:</w:t>
      </w:r>
      <w:r w:rsidRPr="009748BB">
        <w:rPr>
          <w:rFonts w:cs="Arial"/>
          <w:bCs/>
        </w:rPr>
        <w:t xml:space="preserve"> </w:t>
      </w:r>
      <w:r w:rsidRPr="00DA6B29">
        <w:rPr>
          <w:rFonts w:cs="Arial"/>
        </w:rPr>
        <w:t xml:space="preserve">The applicant in the present case sought to review the taxing master’s </w:t>
      </w:r>
      <w:proofErr w:type="spellStart"/>
      <w:r w:rsidRPr="00DA6B29">
        <w:rPr>
          <w:rFonts w:cs="Arial"/>
          <w:i/>
          <w:iCs/>
        </w:rPr>
        <w:t>allocatur</w:t>
      </w:r>
      <w:proofErr w:type="spellEnd"/>
      <w:r w:rsidRPr="00DA6B29">
        <w:rPr>
          <w:rFonts w:cs="Arial"/>
        </w:rPr>
        <w:t xml:space="preserve">. </w:t>
      </w:r>
      <w:r w:rsidR="00DE3681">
        <w:rPr>
          <w:rFonts w:cs="Arial"/>
        </w:rPr>
        <w:t xml:space="preserve">The issue on review is </w:t>
      </w:r>
      <w:r w:rsidR="00DE3681">
        <w:t>the amounts allowed in respect of two instructed legal practitioners of the applicant (as expressly sanctioned by a costs order of this Court). Applicant’s complaint is that the fees were substantially reduced</w:t>
      </w:r>
      <w:r w:rsidR="00846053">
        <w:t xml:space="preserve"> – amounting to a </w:t>
      </w:r>
      <w:r w:rsidR="00DE3681">
        <w:t xml:space="preserve">non-adherence to the notes in the tariff which entitles the </w:t>
      </w:r>
      <w:r w:rsidR="00846053">
        <w:t xml:space="preserve">entitles the taxing master to allow amounts in his discretion when there are extraordinary or </w:t>
      </w:r>
      <w:r w:rsidR="00846053">
        <w:lastRenderedPageBreak/>
        <w:t xml:space="preserve">exceptional circumstances </w:t>
      </w:r>
      <w:proofErr w:type="gramStart"/>
      <w:r w:rsidR="00846053">
        <w:t>so as to</w:t>
      </w:r>
      <w:proofErr w:type="gramEnd"/>
      <w:r w:rsidR="00846053">
        <w:t xml:space="preserve"> ensure just recompense to a party in line with the principle of full compensation to a party of necessary and reasonable expenses.</w:t>
      </w:r>
    </w:p>
    <w:p w14:paraId="5001F481" w14:textId="77777777" w:rsidR="00DE3681" w:rsidRDefault="00FA1E81" w:rsidP="00FA1E81">
      <w:pPr>
        <w:tabs>
          <w:tab w:val="left" w:pos="1230"/>
        </w:tabs>
        <w:spacing w:line="360" w:lineRule="auto"/>
        <w:jc w:val="both"/>
      </w:pPr>
      <w:r>
        <w:tab/>
      </w:r>
    </w:p>
    <w:p w14:paraId="760DCF67" w14:textId="77777777" w:rsidR="009748BB" w:rsidRPr="009748BB" w:rsidRDefault="009748BB" w:rsidP="009748BB">
      <w:pPr>
        <w:spacing w:line="360" w:lineRule="auto"/>
        <w:jc w:val="both"/>
        <w:rPr>
          <w:rFonts w:cs="Arial"/>
          <w:b/>
          <w:bCs/>
        </w:rPr>
      </w:pPr>
      <w:r w:rsidRPr="00DA6B29">
        <w:rPr>
          <w:rFonts w:cs="Arial"/>
        </w:rPr>
        <w:t xml:space="preserve">At the taxation, the taxing master explained to the legal practitioners of the parties that he would deal with the instructed legal practitioners’ fee as indicated in the judgement of </w:t>
      </w:r>
      <w:proofErr w:type="spellStart"/>
      <w:r w:rsidRPr="00DA6B29">
        <w:rPr>
          <w:rFonts w:cs="Arial"/>
          <w:i/>
          <w:iCs/>
        </w:rPr>
        <w:t>Afshani</w:t>
      </w:r>
      <w:proofErr w:type="spellEnd"/>
      <w:r w:rsidRPr="00DA6B29">
        <w:rPr>
          <w:rFonts w:cs="Arial"/>
          <w:i/>
          <w:iCs/>
        </w:rPr>
        <w:t xml:space="preserve"> &amp; another v </w:t>
      </w:r>
      <w:proofErr w:type="spellStart"/>
      <w:r w:rsidRPr="00DA6B29">
        <w:rPr>
          <w:rFonts w:cs="Arial"/>
          <w:i/>
          <w:iCs/>
        </w:rPr>
        <w:t>Vaatz</w:t>
      </w:r>
      <w:proofErr w:type="spellEnd"/>
      <w:r w:rsidR="00B639BC">
        <w:rPr>
          <w:rFonts w:cs="Arial"/>
          <w:iCs/>
        </w:rPr>
        <w:t xml:space="preserve"> </w:t>
      </w:r>
      <w:r w:rsidR="00B639BC">
        <w:rPr>
          <w:rFonts w:cs="Arial"/>
        </w:rPr>
        <w:t xml:space="preserve">(in that he </w:t>
      </w:r>
      <w:proofErr w:type="gramStart"/>
      <w:r w:rsidR="00B639BC">
        <w:t>apply</w:t>
      </w:r>
      <w:proofErr w:type="gramEnd"/>
      <w:r w:rsidR="00B639BC">
        <w:t xml:space="preserve"> an hourly rate of N$1500 and N$1800 in respect of the junior instructed legal practitioner and the senior instructed legal practitioner respectively).</w:t>
      </w:r>
      <w:r w:rsidRPr="00B639BC">
        <w:rPr>
          <w:rFonts w:cs="Arial"/>
        </w:rPr>
        <w:t xml:space="preserve"> </w:t>
      </w:r>
      <w:r w:rsidRPr="00DA6B29">
        <w:rPr>
          <w:rFonts w:cs="Arial"/>
        </w:rPr>
        <w:t xml:space="preserve">At the time, no objection was raised in respect of the amounts determined by the taxing master. </w:t>
      </w:r>
    </w:p>
    <w:p w14:paraId="0ADA9AC2" w14:textId="77777777" w:rsidR="009748BB" w:rsidRPr="00DA6B29" w:rsidRDefault="009748BB" w:rsidP="009748BB">
      <w:pPr>
        <w:spacing w:line="360" w:lineRule="auto"/>
        <w:jc w:val="both"/>
        <w:rPr>
          <w:rFonts w:cs="Arial"/>
        </w:rPr>
      </w:pPr>
    </w:p>
    <w:p w14:paraId="7F6FAD29" w14:textId="77777777" w:rsidR="009748BB" w:rsidRPr="00DA6B29" w:rsidRDefault="009748BB" w:rsidP="009748BB">
      <w:pPr>
        <w:spacing w:line="360" w:lineRule="auto"/>
        <w:jc w:val="both"/>
        <w:rPr>
          <w:rFonts w:cs="Arial"/>
        </w:rPr>
      </w:pPr>
      <w:r w:rsidRPr="00DA6B29">
        <w:rPr>
          <w:rFonts w:cs="Arial"/>
        </w:rPr>
        <w:t xml:space="preserve">The taxing master contended that the general rule stated that objections at the taxation stage are a prerequisite for the bringing of a review of an </w:t>
      </w:r>
      <w:proofErr w:type="spellStart"/>
      <w:r w:rsidRPr="00DA6B29">
        <w:rPr>
          <w:rFonts w:cs="Arial"/>
          <w:i/>
          <w:iCs/>
        </w:rPr>
        <w:t>allocatur</w:t>
      </w:r>
      <w:proofErr w:type="spellEnd"/>
      <w:r w:rsidRPr="00DA6B29">
        <w:rPr>
          <w:rFonts w:cs="Arial"/>
        </w:rPr>
        <w:t xml:space="preserve">. The court, at present, was required to determine whether there are circumstances where such general rule does not apply, and whether the present case is such a case. </w:t>
      </w:r>
      <w:r w:rsidR="00232066">
        <w:rPr>
          <w:rFonts w:cs="Arial"/>
        </w:rPr>
        <w:t xml:space="preserve">And to further determine whether the taxing master took into consideration the </w:t>
      </w:r>
      <w:r w:rsidR="00232066">
        <w:t xml:space="preserve">fact that instructed legal practitioners are entitled to fees for ‘court appearance’ which are not the same as fees </w:t>
      </w:r>
      <w:r w:rsidR="00A86577">
        <w:t xml:space="preserve">for </w:t>
      </w:r>
      <w:r w:rsidR="00232066">
        <w:t>‘court attendance.’</w:t>
      </w:r>
    </w:p>
    <w:p w14:paraId="7A52EFEF" w14:textId="77777777" w:rsidR="009748BB" w:rsidRPr="00DA6B29" w:rsidRDefault="009748BB" w:rsidP="009748BB">
      <w:pPr>
        <w:spacing w:line="360" w:lineRule="auto"/>
        <w:jc w:val="both"/>
        <w:rPr>
          <w:rFonts w:cs="Arial"/>
        </w:rPr>
      </w:pPr>
    </w:p>
    <w:p w14:paraId="5ACB8F58" w14:textId="77777777" w:rsidR="009748BB" w:rsidRPr="00DA6B29" w:rsidRDefault="009748BB" w:rsidP="009748BB">
      <w:pPr>
        <w:spacing w:line="360" w:lineRule="auto"/>
        <w:jc w:val="both"/>
        <w:rPr>
          <w:rFonts w:cs="Arial"/>
        </w:rPr>
      </w:pPr>
      <w:r w:rsidRPr="00DA6B29">
        <w:rPr>
          <w:rFonts w:cs="Arial"/>
          <w:i/>
          <w:iCs/>
        </w:rPr>
        <w:t>Held</w:t>
      </w:r>
      <w:r w:rsidRPr="00DA6B29">
        <w:rPr>
          <w:rFonts w:cs="Arial"/>
        </w:rPr>
        <w:t xml:space="preserve">, while the taxing master cannot be faulted for using his discretion, he failed to adhere to the approach spelled out in the </w:t>
      </w:r>
      <w:proofErr w:type="spellStart"/>
      <w:r w:rsidRPr="00DA6B29">
        <w:rPr>
          <w:rFonts w:cs="Arial"/>
          <w:i/>
          <w:iCs/>
        </w:rPr>
        <w:t>Afshani</w:t>
      </w:r>
      <w:proofErr w:type="spellEnd"/>
      <w:r w:rsidRPr="00DA6B29">
        <w:rPr>
          <w:rFonts w:cs="Arial"/>
        </w:rPr>
        <w:t xml:space="preserve"> case when it comes to appeals. </w:t>
      </w:r>
    </w:p>
    <w:p w14:paraId="4E4715FC" w14:textId="77777777" w:rsidR="009748BB" w:rsidRPr="00DA6B29" w:rsidRDefault="009748BB" w:rsidP="009748BB">
      <w:pPr>
        <w:spacing w:line="360" w:lineRule="auto"/>
        <w:jc w:val="both"/>
        <w:rPr>
          <w:rFonts w:cs="Arial"/>
        </w:rPr>
      </w:pPr>
    </w:p>
    <w:p w14:paraId="1823376C" w14:textId="77777777" w:rsidR="009748BB" w:rsidRPr="00DA6B29" w:rsidRDefault="009748BB" w:rsidP="009748BB">
      <w:pPr>
        <w:spacing w:line="360" w:lineRule="auto"/>
        <w:jc w:val="both"/>
        <w:rPr>
          <w:rFonts w:cs="Arial"/>
        </w:rPr>
      </w:pPr>
      <w:r w:rsidRPr="00DA6B29">
        <w:rPr>
          <w:rFonts w:cs="Arial"/>
          <w:i/>
          <w:iCs/>
        </w:rPr>
        <w:t>Held</w:t>
      </w:r>
      <w:r w:rsidRPr="00DA6B29">
        <w:rPr>
          <w:rFonts w:cs="Arial"/>
        </w:rPr>
        <w:t>, it follows that the approach by the taxing master in the taxation of the fees of the instructed legal practitioners was fatally flawed as he never attempted to determine the reasonable composite fees for their appearances in the appeal but simply cut down the hours of their claim.</w:t>
      </w:r>
    </w:p>
    <w:p w14:paraId="1A11D9AB" w14:textId="77777777" w:rsidR="009748BB" w:rsidRPr="00DA6B29" w:rsidRDefault="009748BB" w:rsidP="009748BB">
      <w:pPr>
        <w:spacing w:line="360" w:lineRule="auto"/>
        <w:jc w:val="both"/>
        <w:rPr>
          <w:rFonts w:cs="Arial"/>
        </w:rPr>
      </w:pPr>
    </w:p>
    <w:p w14:paraId="39D827C6" w14:textId="77777777" w:rsidR="009748BB" w:rsidRPr="00DA6B29" w:rsidRDefault="009748BB" w:rsidP="009748BB">
      <w:pPr>
        <w:spacing w:line="360" w:lineRule="auto"/>
        <w:jc w:val="both"/>
        <w:rPr>
          <w:rFonts w:cs="Arial"/>
        </w:rPr>
      </w:pPr>
      <w:proofErr w:type="gramStart"/>
      <w:r w:rsidRPr="00DA6B29">
        <w:rPr>
          <w:rFonts w:cs="Arial"/>
          <w:i/>
          <w:iCs/>
        </w:rPr>
        <w:t>Held</w:t>
      </w:r>
      <w:r w:rsidRPr="00DA6B29">
        <w:rPr>
          <w:rFonts w:cs="Arial"/>
        </w:rPr>
        <w:t xml:space="preserve"> also</w:t>
      </w:r>
      <w:proofErr w:type="gramEnd"/>
      <w:r w:rsidR="00230BCB">
        <w:rPr>
          <w:rFonts w:cs="Arial"/>
        </w:rPr>
        <w:t xml:space="preserve"> that</w:t>
      </w:r>
      <w:r w:rsidRPr="00DA6B29">
        <w:rPr>
          <w:rFonts w:cs="Arial"/>
        </w:rPr>
        <w:t>, despite the present circumstances where the applicant’s objections were considered without being previously raised at the taxation, the Court cautioned legal practitioners that this should not be seen as a green light to seek reviews of items in bills of costs where they were no</w:t>
      </w:r>
      <w:r w:rsidR="00230BCB">
        <w:rPr>
          <w:rFonts w:cs="Arial"/>
        </w:rPr>
        <w:t>t objected to at the taxation.</w:t>
      </w:r>
    </w:p>
    <w:p w14:paraId="347AA8AD" w14:textId="77777777" w:rsidR="009748BB" w:rsidRPr="00DA6B29" w:rsidRDefault="009748BB" w:rsidP="009748BB">
      <w:pPr>
        <w:spacing w:line="360" w:lineRule="auto"/>
        <w:jc w:val="both"/>
        <w:rPr>
          <w:rFonts w:cs="Arial"/>
        </w:rPr>
      </w:pPr>
    </w:p>
    <w:p w14:paraId="60A5D534" w14:textId="77777777" w:rsidR="009748BB" w:rsidRDefault="009748BB" w:rsidP="009748BB">
      <w:pPr>
        <w:spacing w:line="360" w:lineRule="auto"/>
        <w:jc w:val="both"/>
        <w:rPr>
          <w:rFonts w:cs="Arial"/>
        </w:rPr>
      </w:pPr>
      <w:r w:rsidRPr="00DA6B29">
        <w:rPr>
          <w:rFonts w:cs="Arial"/>
          <w:i/>
          <w:iCs/>
        </w:rPr>
        <w:t>Held</w:t>
      </w:r>
      <w:r w:rsidRPr="00DA6B29">
        <w:rPr>
          <w:rFonts w:cs="Arial"/>
        </w:rPr>
        <w:t xml:space="preserve">, the taxation review succeeds and the taxing master’s </w:t>
      </w:r>
      <w:proofErr w:type="spellStart"/>
      <w:r w:rsidRPr="00DA6B29">
        <w:rPr>
          <w:rFonts w:cs="Arial"/>
          <w:i/>
          <w:iCs/>
        </w:rPr>
        <w:t>allocatur</w:t>
      </w:r>
      <w:proofErr w:type="spellEnd"/>
      <w:r w:rsidRPr="00DA6B29">
        <w:rPr>
          <w:rFonts w:cs="Arial"/>
          <w:i/>
          <w:iCs/>
        </w:rPr>
        <w:t xml:space="preserve"> </w:t>
      </w:r>
      <w:r>
        <w:rPr>
          <w:rFonts w:cs="Arial"/>
        </w:rPr>
        <w:t>i</w:t>
      </w:r>
      <w:r w:rsidRPr="00DA6B29">
        <w:rPr>
          <w:rFonts w:cs="Arial"/>
        </w:rPr>
        <w:t>s set aside and substituted</w:t>
      </w:r>
      <w:r>
        <w:rPr>
          <w:rFonts w:cs="Arial"/>
        </w:rPr>
        <w:t xml:space="preserve"> in the sum of N$</w:t>
      </w:r>
      <w:r w:rsidR="00230BCB">
        <w:rPr>
          <w:rFonts w:cs="Arial"/>
        </w:rPr>
        <w:t xml:space="preserve"> 64 942,50.</w:t>
      </w:r>
    </w:p>
    <w:p w14:paraId="54F11C5B" w14:textId="77777777" w:rsidR="009748BB" w:rsidRPr="00FA1E81" w:rsidRDefault="009748BB" w:rsidP="00362131">
      <w:pPr>
        <w:pBdr>
          <w:bottom w:val="single" w:sz="4" w:space="1" w:color="auto"/>
        </w:pBdr>
        <w:spacing w:line="480" w:lineRule="auto"/>
        <w:jc w:val="both"/>
        <w:rPr>
          <w:b/>
        </w:rPr>
      </w:pPr>
    </w:p>
    <w:p w14:paraId="40D9C18D" w14:textId="77777777" w:rsidR="00AC5145" w:rsidRPr="00FA1E81" w:rsidRDefault="00AC5145" w:rsidP="00362131">
      <w:pPr>
        <w:jc w:val="both"/>
        <w:rPr>
          <w:b/>
        </w:rPr>
      </w:pPr>
    </w:p>
    <w:p w14:paraId="7CE306AD" w14:textId="77777777" w:rsidR="00AC5145" w:rsidRPr="00FA1E81" w:rsidRDefault="00230BCB" w:rsidP="00362131">
      <w:pPr>
        <w:pBdr>
          <w:bottom w:val="single" w:sz="4" w:space="1" w:color="auto"/>
        </w:pBdr>
        <w:jc w:val="center"/>
        <w:rPr>
          <w:b/>
        </w:rPr>
      </w:pPr>
      <w:r w:rsidRPr="00FA1E81">
        <w:rPr>
          <w:b/>
        </w:rPr>
        <w:t>REVIEW JUDGMENT</w:t>
      </w:r>
    </w:p>
    <w:p w14:paraId="2C840D7D" w14:textId="77777777" w:rsidR="008B2C41" w:rsidRPr="00FA1E81" w:rsidRDefault="008B2C41" w:rsidP="00362131">
      <w:pPr>
        <w:pBdr>
          <w:bottom w:val="single" w:sz="4" w:space="1" w:color="auto"/>
        </w:pBdr>
        <w:jc w:val="center"/>
        <w:rPr>
          <w:b/>
        </w:rPr>
      </w:pPr>
    </w:p>
    <w:p w14:paraId="61064AF3" w14:textId="77777777" w:rsidR="00AC5145" w:rsidRPr="00FA1E81" w:rsidRDefault="00AC5145" w:rsidP="00362131">
      <w:pPr>
        <w:jc w:val="both"/>
        <w:rPr>
          <w:b/>
        </w:rPr>
      </w:pPr>
    </w:p>
    <w:p w14:paraId="4976449D" w14:textId="77777777" w:rsidR="00AC5145" w:rsidRPr="00C074F3" w:rsidRDefault="00AC5145" w:rsidP="00362131">
      <w:pPr>
        <w:spacing w:line="480" w:lineRule="auto"/>
        <w:jc w:val="both"/>
        <w:rPr>
          <w:b/>
        </w:rPr>
      </w:pPr>
      <w:r w:rsidRPr="00C074F3">
        <w:rPr>
          <w:b/>
        </w:rPr>
        <w:t>FRANK AJA</w:t>
      </w:r>
    </w:p>
    <w:p w14:paraId="593309EF" w14:textId="58FF6E0A" w:rsidR="00E87749" w:rsidRDefault="006A1433" w:rsidP="006A1433">
      <w:pPr>
        <w:spacing w:line="480" w:lineRule="auto"/>
        <w:jc w:val="both"/>
      </w:pPr>
      <w:r>
        <w:t>[1]</w:t>
      </w:r>
      <w:r>
        <w:tab/>
      </w:r>
      <w:r w:rsidR="00AA36C1">
        <w:t>The app</w:t>
      </w:r>
      <w:r w:rsidR="007A3666">
        <w:t>licant seeks to review the taxing m</w:t>
      </w:r>
      <w:r w:rsidR="00AA36C1">
        <w:t xml:space="preserve">aster’s </w:t>
      </w:r>
      <w:proofErr w:type="spellStart"/>
      <w:r w:rsidR="00BD1F20" w:rsidRPr="006A1433">
        <w:rPr>
          <w:i/>
        </w:rPr>
        <w:t>allocatur</w:t>
      </w:r>
      <w:proofErr w:type="spellEnd"/>
      <w:r w:rsidR="004A7E07">
        <w:t>. The bone of contention is the amounts allowed in respect of two instructed lega</w:t>
      </w:r>
      <w:r w:rsidR="009113CD">
        <w:t>l practitioners of the app</w:t>
      </w:r>
      <w:r w:rsidR="00AC5145">
        <w:t>licant</w:t>
      </w:r>
      <w:r w:rsidR="004A7E07">
        <w:t xml:space="preserve">. I should mention in passing that the costs order of this court expressly sanctioned </w:t>
      </w:r>
      <w:r w:rsidR="00E041C8">
        <w:t xml:space="preserve">the </w:t>
      </w:r>
      <w:r w:rsidR="004A7E07">
        <w:t xml:space="preserve">use two </w:t>
      </w:r>
      <w:r w:rsidR="009113CD">
        <w:t xml:space="preserve">instructed </w:t>
      </w:r>
      <w:r w:rsidR="004A7E07">
        <w:t xml:space="preserve">legal practitioners and </w:t>
      </w:r>
      <w:r w:rsidR="00AF4C7E">
        <w:t xml:space="preserve">this </w:t>
      </w:r>
      <w:r w:rsidR="00AC5145">
        <w:t xml:space="preserve">is </w:t>
      </w:r>
      <w:r w:rsidR="00AF4C7E">
        <w:t xml:space="preserve">thus </w:t>
      </w:r>
      <w:r w:rsidR="004A7E07">
        <w:t>not an issue.</w:t>
      </w:r>
    </w:p>
    <w:p w14:paraId="1610F9EE" w14:textId="77777777" w:rsidR="004A7E07" w:rsidRDefault="004A7E07" w:rsidP="00362131">
      <w:pPr>
        <w:spacing w:line="480" w:lineRule="auto"/>
        <w:jc w:val="both"/>
      </w:pPr>
    </w:p>
    <w:p w14:paraId="2450ECB7" w14:textId="3B0E75E4" w:rsidR="004A7E07" w:rsidRDefault="006A1433" w:rsidP="006A1433">
      <w:pPr>
        <w:spacing w:line="480" w:lineRule="auto"/>
        <w:jc w:val="both"/>
      </w:pPr>
      <w:r>
        <w:t>[2]</w:t>
      </w:r>
      <w:r>
        <w:tab/>
      </w:r>
      <w:r w:rsidR="004A7E07">
        <w:t xml:space="preserve">The complaint is directed at the fact that the </w:t>
      </w:r>
      <w:r w:rsidR="009113CD">
        <w:t xml:space="preserve">fees </w:t>
      </w:r>
      <w:r w:rsidR="00EB543A">
        <w:t>were</w:t>
      </w:r>
      <w:r w:rsidR="009113CD">
        <w:t xml:space="preserve"> substantially reduced which is alleged to be </w:t>
      </w:r>
      <w:r w:rsidR="00EB543A">
        <w:t>a non</w:t>
      </w:r>
      <w:r w:rsidR="009113CD">
        <w:t xml:space="preserve">-adherence </w:t>
      </w:r>
      <w:r w:rsidR="00AC5145">
        <w:t xml:space="preserve">to the notes in the </w:t>
      </w:r>
      <w:r w:rsidR="00C074F3">
        <w:t>tariff</w:t>
      </w:r>
      <w:r w:rsidR="00AF4C7E">
        <w:t xml:space="preserve"> </w:t>
      </w:r>
      <w:r w:rsidR="00EB543A">
        <w:t>which</w:t>
      </w:r>
      <w:r w:rsidR="007A3666">
        <w:t xml:space="preserve"> entitles the t</w:t>
      </w:r>
      <w:r w:rsidR="00EB543A">
        <w:t>axing</w:t>
      </w:r>
      <w:r w:rsidR="007A3666">
        <w:t xml:space="preserve"> m</w:t>
      </w:r>
      <w:r w:rsidR="009113CD">
        <w:t xml:space="preserve">aster </w:t>
      </w:r>
      <w:r w:rsidR="00AF4C7E">
        <w:t>to allow amount</w:t>
      </w:r>
      <w:r w:rsidR="00EB543A">
        <w:t>s</w:t>
      </w:r>
      <w:r w:rsidR="00AF4C7E">
        <w:t xml:space="preserve"> </w:t>
      </w:r>
      <w:r w:rsidR="009113CD">
        <w:t xml:space="preserve">in his discretion </w:t>
      </w:r>
      <w:r w:rsidR="00EB543A">
        <w:t>when there</w:t>
      </w:r>
      <w:r w:rsidR="00AF4C7E">
        <w:t xml:space="preserve"> are extraordinary </w:t>
      </w:r>
      <w:r w:rsidR="00AC5145">
        <w:t xml:space="preserve">or </w:t>
      </w:r>
      <w:r w:rsidR="00AF4C7E">
        <w:t xml:space="preserve">exceptional circumstances </w:t>
      </w:r>
      <w:proofErr w:type="gramStart"/>
      <w:r w:rsidR="00EB543A">
        <w:t xml:space="preserve">so </w:t>
      </w:r>
      <w:r w:rsidR="00AF4C7E">
        <w:t>as to</w:t>
      </w:r>
      <w:proofErr w:type="gramEnd"/>
      <w:r w:rsidR="00AF4C7E">
        <w:t xml:space="preserve"> ensure just recompense</w:t>
      </w:r>
      <w:r w:rsidR="00AC5145">
        <w:t xml:space="preserve"> to </w:t>
      </w:r>
      <w:r w:rsidR="00AF4C7E">
        <w:t xml:space="preserve">a party </w:t>
      </w:r>
      <w:r w:rsidR="00EB543A">
        <w:t xml:space="preserve">in </w:t>
      </w:r>
      <w:r w:rsidR="00AC5145">
        <w:t>line with</w:t>
      </w:r>
      <w:r w:rsidR="007A3666">
        <w:t xml:space="preserve"> the principle of</w:t>
      </w:r>
      <w:r w:rsidR="00AC5145">
        <w:t xml:space="preserve"> full compensation</w:t>
      </w:r>
      <w:r w:rsidR="00EB543A">
        <w:t xml:space="preserve"> to a party of necessary and reasonable</w:t>
      </w:r>
      <w:r w:rsidR="00AC5145">
        <w:t xml:space="preserve"> </w:t>
      </w:r>
      <w:r w:rsidR="00EB543A">
        <w:t>expenses. For this sta</w:t>
      </w:r>
      <w:r w:rsidR="007A3666">
        <w:t>nce</w:t>
      </w:r>
      <w:r w:rsidR="00EB543A">
        <w:t xml:space="preserve"> reliance is placed on the complexity of the matter </w:t>
      </w:r>
      <w:r w:rsidR="00D20879">
        <w:t>seeing the nature of the legal questions involved.</w:t>
      </w:r>
    </w:p>
    <w:p w14:paraId="4F95E65F" w14:textId="77777777" w:rsidR="00EB543A" w:rsidRDefault="00EB543A" w:rsidP="00362131">
      <w:pPr>
        <w:spacing w:line="480" w:lineRule="auto"/>
        <w:jc w:val="both"/>
      </w:pPr>
    </w:p>
    <w:p w14:paraId="44B3A5B3" w14:textId="6D2E9C71" w:rsidR="00D20879" w:rsidRDefault="006A1433" w:rsidP="006A1433">
      <w:pPr>
        <w:spacing w:line="480" w:lineRule="auto"/>
        <w:jc w:val="both"/>
      </w:pPr>
      <w:r>
        <w:t>[3]</w:t>
      </w:r>
      <w:r>
        <w:tab/>
      </w:r>
      <w:r w:rsidR="00EB543A">
        <w:t xml:space="preserve">It is necessary </w:t>
      </w:r>
      <w:r w:rsidR="00D20879">
        <w:t xml:space="preserve">to sketch </w:t>
      </w:r>
      <w:r w:rsidR="007A3666">
        <w:t>some</w:t>
      </w:r>
      <w:r w:rsidR="00D20879">
        <w:t xml:space="preserve"> background to the taxation which forms the subject matter of this review for reason</w:t>
      </w:r>
      <w:r w:rsidR="007A3666">
        <w:t>s that</w:t>
      </w:r>
      <w:r w:rsidR="00D20879">
        <w:t xml:space="preserve"> will become apparent below. </w:t>
      </w:r>
    </w:p>
    <w:p w14:paraId="3AE8A00A" w14:textId="77777777" w:rsidR="00D20879" w:rsidRDefault="00D20879" w:rsidP="00362131">
      <w:pPr>
        <w:spacing w:line="480" w:lineRule="auto"/>
        <w:jc w:val="both"/>
      </w:pPr>
    </w:p>
    <w:p w14:paraId="09507B93" w14:textId="5ACF9528" w:rsidR="00EB543A" w:rsidRDefault="006A1433" w:rsidP="006A1433">
      <w:pPr>
        <w:spacing w:line="480" w:lineRule="auto"/>
        <w:jc w:val="both"/>
      </w:pPr>
      <w:r>
        <w:t>[4]</w:t>
      </w:r>
      <w:r>
        <w:tab/>
      </w:r>
      <w:r w:rsidR="00D20879">
        <w:t>The parties entered into a lease agreement which respondent purported to cancel</w:t>
      </w:r>
      <w:r w:rsidR="00E041C8">
        <w:t>. A</w:t>
      </w:r>
      <w:r w:rsidR="00D20879">
        <w:t>pplicant regarded this</w:t>
      </w:r>
      <w:r w:rsidR="007A3666">
        <w:t xml:space="preserve"> act by the respondent</w:t>
      </w:r>
      <w:r w:rsidR="00D20879">
        <w:t xml:space="preserve"> as a repudiation of the contract and sued the respondent for damages. After the pleadings had closed in </w:t>
      </w:r>
      <w:proofErr w:type="gramStart"/>
      <w:r w:rsidR="00D20879">
        <w:t>this</w:t>
      </w:r>
      <w:r w:rsidR="00CF4102">
        <w:t xml:space="preserve"> damages</w:t>
      </w:r>
      <w:proofErr w:type="gramEnd"/>
      <w:r w:rsidR="00CF4102">
        <w:t xml:space="preserve"> </w:t>
      </w:r>
      <w:r w:rsidR="007A3666">
        <w:t>claim</w:t>
      </w:r>
      <w:r w:rsidR="00230BCB">
        <w:t>,</w:t>
      </w:r>
      <w:r w:rsidR="00CF4102">
        <w:t xml:space="preserve"> respondent brought an application to amend its plea. The amendment was objected to by the applicant. The </w:t>
      </w:r>
      <w:r w:rsidR="00E041C8">
        <w:t>object</w:t>
      </w:r>
      <w:r w:rsidR="00585DAD">
        <w:t>ion</w:t>
      </w:r>
      <w:r w:rsidR="00E041C8">
        <w:t xml:space="preserve"> to the </w:t>
      </w:r>
      <w:r w:rsidR="00CF4102">
        <w:t xml:space="preserve">proposed </w:t>
      </w:r>
      <w:r w:rsidR="00CF4102">
        <w:lastRenderedPageBreak/>
        <w:t xml:space="preserve">amendment raised issues of </w:t>
      </w:r>
      <w:r w:rsidR="00CF4102" w:rsidRPr="006A1433">
        <w:rPr>
          <w:i/>
        </w:rPr>
        <w:t>functus officio</w:t>
      </w:r>
      <w:r w:rsidR="00CF4102">
        <w:t xml:space="preserve">, the application </w:t>
      </w:r>
      <w:r w:rsidR="001E0CC9">
        <w:t xml:space="preserve">of the </w:t>
      </w:r>
      <w:proofErr w:type="spellStart"/>
      <w:r w:rsidR="007A3666" w:rsidRPr="006A1433">
        <w:rPr>
          <w:i/>
        </w:rPr>
        <w:t>T</w:t>
      </w:r>
      <w:r w:rsidR="00CF4102" w:rsidRPr="006A1433">
        <w:rPr>
          <w:i/>
        </w:rPr>
        <w:t>urquand</w:t>
      </w:r>
      <w:proofErr w:type="spellEnd"/>
      <w:r w:rsidR="00CF4102" w:rsidRPr="006A1433">
        <w:rPr>
          <w:i/>
        </w:rPr>
        <w:t xml:space="preserve"> </w:t>
      </w:r>
      <w:r w:rsidR="00CF4102">
        <w:t>rule, authority, the effect of s 63(2)</w:t>
      </w:r>
      <w:r w:rsidR="00CF4102" w:rsidRPr="006A1433">
        <w:rPr>
          <w:i/>
        </w:rPr>
        <w:t>(b)</w:t>
      </w:r>
      <w:r w:rsidR="00CF4102">
        <w:t xml:space="preserve"> of the Local Authorities Act</w:t>
      </w:r>
      <w:r w:rsidR="001E0CC9">
        <w:t xml:space="preserve"> 23 of 1992 </w:t>
      </w:r>
      <w:r w:rsidR="00CF4102">
        <w:t>and the application</w:t>
      </w:r>
      <w:r w:rsidR="007A3666">
        <w:t xml:space="preserve"> or</w:t>
      </w:r>
      <w:r w:rsidR="001E0CC9">
        <w:t xml:space="preserve"> otherwise of</w:t>
      </w:r>
      <w:r w:rsidR="00CF4102">
        <w:t xml:space="preserve"> the </w:t>
      </w:r>
      <w:r w:rsidR="001E0CC9">
        <w:t xml:space="preserve">approach of </w:t>
      </w:r>
      <w:proofErr w:type="spellStart"/>
      <w:r w:rsidR="00CF4102" w:rsidRPr="006A1433">
        <w:rPr>
          <w:i/>
        </w:rPr>
        <w:t>Oudekraal</w:t>
      </w:r>
      <w:proofErr w:type="spellEnd"/>
      <w:r w:rsidR="00E00AFC" w:rsidRPr="006A1433">
        <w:rPr>
          <w:i/>
        </w:rPr>
        <w:t xml:space="preserve"> Estates (Pty) Ltd</w:t>
      </w:r>
      <w:r w:rsidR="00CF4102" w:rsidRPr="006A1433">
        <w:rPr>
          <w:i/>
        </w:rPr>
        <w:t xml:space="preserve"> </w:t>
      </w:r>
      <w:r w:rsidR="001E0CC9" w:rsidRPr="006A1433">
        <w:rPr>
          <w:i/>
        </w:rPr>
        <w:t>v City of Ca</w:t>
      </w:r>
      <w:r w:rsidR="00E00AFC" w:rsidRPr="006A1433">
        <w:rPr>
          <w:i/>
        </w:rPr>
        <w:t>pe Town &amp; others</w:t>
      </w:r>
      <w:r w:rsidR="001E0CC9">
        <w:t xml:space="preserve"> 2004 (6) SA 22</w:t>
      </w:r>
      <w:r w:rsidR="00E00AFC">
        <w:t xml:space="preserve"> </w:t>
      </w:r>
      <w:r w:rsidR="001E0CC9">
        <w:t>(SCA</w:t>
      </w:r>
      <w:r w:rsidR="00A91CB7">
        <w:t>)</w:t>
      </w:r>
      <w:r w:rsidR="00E041C8">
        <w:t>.</w:t>
      </w:r>
    </w:p>
    <w:p w14:paraId="6FA16501" w14:textId="77777777" w:rsidR="001E0CC9" w:rsidRDefault="001E0CC9" w:rsidP="00362131">
      <w:pPr>
        <w:spacing w:line="480" w:lineRule="auto"/>
        <w:jc w:val="both"/>
      </w:pPr>
    </w:p>
    <w:p w14:paraId="1DACD6D2" w14:textId="4E26F25A" w:rsidR="00C418E9" w:rsidRDefault="006A1433" w:rsidP="006A1433">
      <w:pPr>
        <w:spacing w:line="480" w:lineRule="auto"/>
        <w:jc w:val="both"/>
      </w:pPr>
      <w:r>
        <w:t>[5]</w:t>
      </w:r>
      <w:r>
        <w:tab/>
      </w:r>
      <w:r w:rsidR="001E0CC9">
        <w:t>The High Court dismissed the appli</w:t>
      </w:r>
      <w:r w:rsidR="007A3666">
        <w:t>cation for amendment holding that a</w:t>
      </w:r>
      <w:r w:rsidR="001E0CC9">
        <w:t xml:space="preserve"> previous intended amendment </w:t>
      </w:r>
      <w:r w:rsidR="007A3666">
        <w:t>that was not proceeded with meant</w:t>
      </w:r>
      <w:r w:rsidR="001E0CC9">
        <w:t xml:space="preserve"> that the respondent</w:t>
      </w:r>
      <w:r w:rsidR="007A3666">
        <w:t xml:space="preserve"> was</w:t>
      </w:r>
      <w:r w:rsidR="001E0CC9">
        <w:t xml:space="preserve"> </w:t>
      </w:r>
      <w:r w:rsidR="001E0CC9" w:rsidRPr="006A1433">
        <w:rPr>
          <w:i/>
        </w:rPr>
        <w:t xml:space="preserve">functus </w:t>
      </w:r>
      <w:r w:rsidR="00C418E9" w:rsidRPr="006A1433">
        <w:rPr>
          <w:i/>
        </w:rPr>
        <w:t xml:space="preserve">officio </w:t>
      </w:r>
      <w:r w:rsidR="00C418E9">
        <w:t>and</w:t>
      </w:r>
      <w:r w:rsidR="001E0CC9">
        <w:t xml:space="preserve"> could not raise it again, that the respondent could not rely on non-compliance with </w:t>
      </w:r>
      <w:r w:rsidR="00C418E9">
        <w:t>internal procedures in view of the deeming provision s 31A of the Local Authorities Act where the agreement was signed by the function</w:t>
      </w:r>
      <w:r w:rsidR="007A3666">
        <w:t>arie</w:t>
      </w:r>
      <w:r w:rsidR="00C418E9">
        <w:t>s mentioned in this section an</w:t>
      </w:r>
      <w:r w:rsidR="007A3666">
        <w:t>d also that the principle in</w:t>
      </w:r>
      <w:r w:rsidR="00C418E9">
        <w:t xml:space="preserve"> </w:t>
      </w:r>
      <w:proofErr w:type="spellStart"/>
      <w:r w:rsidR="00C418E9" w:rsidRPr="006A1433">
        <w:rPr>
          <w:i/>
        </w:rPr>
        <w:t>Oudekraal</w:t>
      </w:r>
      <w:proofErr w:type="spellEnd"/>
      <w:r w:rsidR="00C418E9">
        <w:t xml:space="preserve"> was applicable. The respondent noted an appeal to this Court (the first appeal). </w:t>
      </w:r>
      <w:proofErr w:type="gramStart"/>
      <w:r w:rsidR="00C418E9">
        <w:t>For the purpose of</w:t>
      </w:r>
      <w:proofErr w:type="gramEnd"/>
      <w:r w:rsidR="00C418E9">
        <w:t xml:space="preserve"> the first appeal heads of argument were filed on behalf of the applicant </w:t>
      </w:r>
      <w:r w:rsidR="008F2C13">
        <w:t>which</w:t>
      </w:r>
      <w:r w:rsidR="00C418E9">
        <w:t xml:space="preserve"> engage</w:t>
      </w:r>
      <w:r w:rsidR="00E041C8">
        <w:t>d</w:t>
      </w:r>
      <w:r w:rsidR="00C418E9">
        <w:t xml:space="preserve"> a legal practitioner and two instructed legal practitioners to act on its behalf. These instructed legal practitioners filed heads of argument </w:t>
      </w:r>
      <w:r w:rsidR="00F87CBA">
        <w:t xml:space="preserve">in respect of the appeal as </w:t>
      </w:r>
      <w:r w:rsidR="00C418E9">
        <w:t xml:space="preserve">required </w:t>
      </w:r>
      <w:r w:rsidR="00F87CBA">
        <w:t>by the Rules of this Court in which they dealt</w:t>
      </w:r>
      <w:r w:rsidR="007A3666">
        <w:t xml:space="preserve"> with</w:t>
      </w:r>
      <w:r w:rsidR="00F87CBA">
        <w:t xml:space="preserve"> all the issues raised above, as they had to as the court </w:t>
      </w:r>
      <w:r w:rsidR="00F87CBA" w:rsidRPr="006A1433">
        <w:rPr>
          <w:i/>
        </w:rPr>
        <w:t>a quo</w:t>
      </w:r>
      <w:r w:rsidR="00F87CBA">
        <w:t xml:space="preserve"> found in favour of the respondent on all th</w:t>
      </w:r>
      <w:r w:rsidR="007A3666">
        <w:t>ose</w:t>
      </w:r>
      <w:r w:rsidR="00F87CBA">
        <w:t xml:space="preserve"> issue</w:t>
      </w:r>
      <w:r w:rsidR="007A3666">
        <w:t>s</w:t>
      </w:r>
      <w:r w:rsidR="00F87CBA">
        <w:t>. I</w:t>
      </w:r>
      <w:r w:rsidR="007A3666">
        <w:t>n addition,</w:t>
      </w:r>
      <w:r w:rsidR="00F87CBA">
        <w:t xml:space="preserve"> a point </w:t>
      </w:r>
      <w:r w:rsidR="00F87CBA" w:rsidRPr="006A1433">
        <w:rPr>
          <w:i/>
        </w:rPr>
        <w:t xml:space="preserve">in </w:t>
      </w:r>
      <w:proofErr w:type="spellStart"/>
      <w:r w:rsidR="00F87CBA" w:rsidRPr="006A1433">
        <w:rPr>
          <w:i/>
        </w:rPr>
        <w:t>limine</w:t>
      </w:r>
      <w:proofErr w:type="spellEnd"/>
      <w:r w:rsidR="00F87CBA">
        <w:t xml:space="preserve"> was raised to the effect that the respondent did not have an appeal as </w:t>
      </w:r>
      <w:r w:rsidR="007A3666">
        <w:t>of</w:t>
      </w:r>
      <w:r w:rsidR="00F87CBA">
        <w:t xml:space="preserve"> right but had </w:t>
      </w:r>
      <w:r w:rsidR="007A3666">
        <w:t xml:space="preserve">to </w:t>
      </w:r>
      <w:proofErr w:type="gramStart"/>
      <w:r w:rsidR="007A3666">
        <w:t>obtain  leave</w:t>
      </w:r>
      <w:proofErr w:type="gramEnd"/>
      <w:r w:rsidR="007A3666">
        <w:t xml:space="preserve"> to appeal as the</w:t>
      </w:r>
      <w:r w:rsidR="00F87CBA">
        <w:t xml:space="preserve"> refusal of </w:t>
      </w:r>
      <w:r w:rsidR="007A3666">
        <w:t xml:space="preserve">an </w:t>
      </w:r>
      <w:r w:rsidR="00F87CBA">
        <w:t xml:space="preserve">amendment did not </w:t>
      </w:r>
      <w:r w:rsidR="00252214">
        <w:t xml:space="preserve">amount to a final judgment </w:t>
      </w:r>
      <w:r w:rsidR="00116686">
        <w:t xml:space="preserve">on the merits. This point </w:t>
      </w:r>
      <w:r w:rsidR="00116686" w:rsidRPr="006A1433">
        <w:rPr>
          <w:i/>
        </w:rPr>
        <w:t xml:space="preserve">in </w:t>
      </w:r>
      <w:proofErr w:type="spellStart"/>
      <w:r w:rsidR="00116686" w:rsidRPr="006A1433">
        <w:rPr>
          <w:i/>
        </w:rPr>
        <w:t>limine</w:t>
      </w:r>
      <w:proofErr w:type="spellEnd"/>
      <w:r w:rsidR="00116686">
        <w:t xml:space="preserve"> was </w:t>
      </w:r>
      <w:r w:rsidR="007A3666">
        <w:t>up</w:t>
      </w:r>
      <w:r w:rsidR="00116686">
        <w:t>hel</w:t>
      </w:r>
      <w:r w:rsidR="007A3666">
        <w:t>d and</w:t>
      </w:r>
      <w:r w:rsidR="00116686">
        <w:t xml:space="preserve"> the appeal was struck from the roll with costs </w:t>
      </w:r>
      <w:r w:rsidR="007A3666">
        <w:t xml:space="preserve">inclusive of the costs </w:t>
      </w:r>
      <w:r w:rsidR="00116686">
        <w:t xml:space="preserve">of one </w:t>
      </w:r>
      <w:r w:rsidR="007A3666">
        <w:t xml:space="preserve">instructing </w:t>
      </w:r>
      <w:r w:rsidR="00116686">
        <w:t>legal practitioner plus two instructed legal practitioners. The hearing of the first appeal took place on 13 June 2018.</w:t>
      </w:r>
    </w:p>
    <w:p w14:paraId="0AB9E8B8" w14:textId="77777777" w:rsidR="00116686" w:rsidRDefault="00116686" w:rsidP="00362131">
      <w:pPr>
        <w:spacing w:line="480" w:lineRule="auto"/>
        <w:jc w:val="both"/>
      </w:pPr>
    </w:p>
    <w:p w14:paraId="192197B0" w14:textId="0A5ED2F0" w:rsidR="00116686" w:rsidRDefault="006A1433" w:rsidP="006A1433">
      <w:pPr>
        <w:spacing w:line="480" w:lineRule="auto"/>
        <w:jc w:val="both"/>
      </w:pPr>
      <w:r>
        <w:lastRenderedPageBreak/>
        <w:t>[6]</w:t>
      </w:r>
      <w:r>
        <w:tab/>
      </w:r>
      <w:r w:rsidR="00116686">
        <w:t xml:space="preserve">Respondent then approached the High Court for leave to appeal which leave was granted and </w:t>
      </w:r>
      <w:r w:rsidR="007A3666">
        <w:t xml:space="preserve">in </w:t>
      </w:r>
      <w:r w:rsidR="00116686">
        <w:t xml:space="preserve">this manner </w:t>
      </w:r>
      <w:r w:rsidR="007A3666">
        <w:t xml:space="preserve">this appeal </w:t>
      </w:r>
      <w:r w:rsidR="00116686">
        <w:t>(</w:t>
      </w:r>
      <w:proofErr w:type="spellStart"/>
      <w:proofErr w:type="gramStart"/>
      <w:r w:rsidR="007A3666">
        <w:t>ie</w:t>
      </w:r>
      <w:proofErr w:type="spellEnd"/>
      <w:proofErr w:type="gramEnd"/>
      <w:r w:rsidR="007A3666">
        <w:t xml:space="preserve"> the</w:t>
      </w:r>
      <w:r w:rsidR="00116686">
        <w:t xml:space="preserve"> second appeal) came to be heard. Unfortunately for the respondent </w:t>
      </w:r>
      <w:r w:rsidR="002B0FBD">
        <w:t xml:space="preserve">the appeal </w:t>
      </w:r>
      <w:r w:rsidR="00116686">
        <w:t xml:space="preserve">was dismissed with costs </w:t>
      </w:r>
      <w:r w:rsidR="002B0FBD">
        <w:t>inclusive of the costs</w:t>
      </w:r>
      <w:r w:rsidR="007A3666">
        <w:t xml:space="preserve"> of</w:t>
      </w:r>
      <w:r w:rsidR="002B0FBD">
        <w:t xml:space="preserve"> one instructing and two instructed </w:t>
      </w:r>
      <w:proofErr w:type="gramStart"/>
      <w:r w:rsidR="002B0FBD">
        <w:t>counsel</w:t>
      </w:r>
      <w:proofErr w:type="gramEnd"/>
      <w:r w:rsidR="002B0FBD">
        <w:t>.</w:t>
      </w:r>
    </w:p>
    <w:p w14:paraId="38C5014C" w14:textId="77777777" w:rsidR="002B0FBD" w:rsidRDefault="002B0FBD" w:rsidP="00362131">
      <w:pPr>
        <w:spacing w:line="480" w:lineRule="auto"/>
        <w:jc w:val="both"/>
      </w:pPr>
    </w:p>
    <w:p w14:paraId="78CF8996" w14:textId="472098E2" w:rsidR="002B0FBD" w:rsidRDefault="006A1433" w:rsidP="006A1433">
      <w:pPr>
        <w:spacing w:line="480" w:lineRule="auto"/>
        <w:jc w:val="both"/>
      </w:pPr>
      <w:r>
        <w:t>[7]</w:t>
      </w:r>
      <w:r>
        <w:tab/>
      </w:r>
      <w:r w:rsidR="002B0FBD">
        <w:t xml:space="preserve">For the purposes of the second </w:t>
      </w:r>
      <w:r w:rsidR="007A3666">
        <w:t>appeal,</w:t>
      </w:r>
      <w:r w:rsidR="002B0FBD">
        <w:t xml:space="preserve"> the heads of argum</w:t>
      </w:r>
      <w:r w:rsidR="007A3666">
        <w:t>ent used in the first appeal were</w:t>
      </w:r>
      <w:r w:rsidR="002B0FBD">
        <w:t xml:space="preserve"> essentially reiterated save for that portion</w:t>
      </w:r>
      <w:r w:rsidR="007371C6">
        <w:t xml:space="preserve"> that</w:t>
      </w:r>
      <w:r w:rsidR="002B0FBD">
        <w:t xml:space="preserve"> related to the</w:t>
      </w:r>
      <w:r w:rsidR="007371C6">
        <w:t xml:space="preserve"> nee</w:t>
      </w:r>
      <w:r w:rsidR="007A3666">
        <w:t>d to obtain leave to appeal. Th</w:t>
      </w:r>
      <w:r w:rsidR="007371C6">
        <w:t xml:space="preserve">e </w:t>
      </w:r>
      <w:r w:rsidR="00E041C8">
        <w:t xml:space="preserve">same </w:t>
      </w:r>
      <w:r w:rsidR="007371C6">
        <w:t xml:space="preserve">instructed legal practitioners were used by the applicant </w:t>
      </w:r>
      <w:r w:rsidR="00FD1F9A">
        <w:t xml:space="preserve">to, </w:t>
      </w:r>
      <w:r w:rsidR="007371C6">
        <w:t>in essence</w:t>
      </w:r>
      <w:r w:rsidR="00FD1F9A">
        <w:t>, come and present argument on the same basis t</w:t>
      </w:r>
      <w:r w:rsidR="007A3666">
        <w:t>hat they would have presented had</w:t>
      </w:r>
      <w:r w:rsidR="00FD1F9A">
        <w:t xml:space="preserve"> the first appeal </w:t>
      </w:r>
      <w:r w:rsidR="007A3666">
        <w:t>not been</w:t>
      </w:r>
      <w:r w:rsidR="00FD1F9A">
        <w:t xml:space="preserve"> struck from the roll.</w:t>
      </w:r>
    </w:p>
    <w:p w14:paraId="4CDE3C8C" w14:textId="77777777" w:rsidR="00FD1F9A" w:rsidRDefault="00FD1F9A" w:rsidP="00362131">
      <w:pPr>
        <w:spacing w:line="480" w:lineRule="auto"/>
        <w:jc w:val="both"/>
      </w:pPr>
    </w:p>
    <w:p w14:paraId="04C5A6D9" w14:textId="03864879" w:rsidR="002849AA" w:rsidRDefault="006A1433" w:rsidP="006A1433">
      <w:pPr>
        <w:spacing w:line="480" w:lineRule="auto"/>
        <w:jc w:val="both"/>
      </w:pPr>
      <w:r>
        <w:t>[8]</w:t>
      </w:r>
      <w:r>
        <w:tab/>
      </w:r>
      <w:r w:rsidR="007A3666">
        <w:t>At the taxation</w:t>
      </w:r>
      <w:r w:rsidR="00230BCB">
        <w:t>,</w:t>
      </w:r>
      <w:r w:rsidR="007A3666">
        <w:t xml:space="preserve"> the taxing m</w:t>
      </w:r>
      <w:r w:rsidR="00FD1F9A">
        <w:t xml:space="preserve">aster explained to the legal practitioners of the parties, both of whom were represented, that he would deal with the instructed legal practitioners’ fee as indicated in the judgment of </w:t>
      </w:r>
      <w:proofErr w:type="spellStart"/>
      <w:r w:rsidR="00E00AFC" w:rsidRPr="006A1433">
        <w:rPr>
          <w:i/>
        </w:rPr>
        <w:t>Afshani</w:t>
      </w:r>
      <w:proofErr w:type="spellEnd"/>
      <w:r w:rsidR="00E00AFC" w:rsidRPr="006A1433">
        <w:rPr>
          <w:i/>
        </w:rPr>
        <w:t xml:space="preserve"> </w:t>
      </w:r>
      <w:r w:rsidR="007A3666" w:rsidRPr="006A1433">
        <w:rPr>
          <w:i/>
        </w:rPr>
        <w:t xml:space="preserve">&amp; another </w:t>
      </w:r>
      <w:r w:rsidR="00E00AFC" w:rsidRPr="006A1433">
        <w:rPr>
          <w:i/>
        </w:rPr>
        <w:t xml:space="preserve">v </w:t>
      </w:r>
      <w:proofErr w:type="spellStart"/>
      <w:r w:rsidR="00E00AFC" w:rsidRPr="006A1433">
        <w:rPr>
          <w:i/>
        </w:rPr>
        <w:t>Vaatz</w:t>
      </w:r>
      <w:proofErr w:type="spellEnd"/>
      <w:r w:rsidR="00E00AFC" w:rsidRPr="00E00AFC">
        <w:rPr>
          <w:rStyle w:val="FootnoteReference"/>
        </w:rPr>
        <w:footnoteReference w:id="1"/>
      </w:r>
      <w:r w:rsidR="00FD1F9A">
        <w:t xml:space="preserve"> and in his discretion apply an hourly rate of N$1500 and N$1800 in respect of the junior instructed legal practitioner and </w:t>
      </w:r>
      <w:r w:rsidR="00CC79E9">
        <w:t xml:space="preserve">the </w:t>
      </w:r>
      <w:r w:rsidR="00FD1F9A">
        <w:t xml:space="preserve">senior instructed legal practitioner respectively. Thereafter the taxing master commenced </w:t>
      </w:r>
      <w:r w:rsidR="00D13EFC">
        <w:t xml:space="preserve">to deal </w:t>
      </w:r>
      <w:r w:rsidR="00FD1F9A">
        <w:t xml:space="preserve">with the bill of </w:t>
      </w:r>
      <w:r w:rsidR="002849AA">
        <w:t>costs on</w:t>
      </w:r>
      <w:r w:rsidR="00D13EFC">
        <w:t xml:space="preserve"> </w:t>
      </w:r>
      <w:r w:rsidR="002849AA">
        <w:t>an</w:t>
      </w:r>
      <w:r w:rsidR="00D13EFC">
        <w:t xml:space="preserve"> item</w:t>
      </w:r>
      <w:r w:rsidR="00CC79E9">
        <w:t xml:space="preserve"> per item basis. No objection </w:t>
      </w:r>
      <w:r w:rsidR="002849AA">
        <w:t xml:space="preserve">whatsoever was raised in respect of the amounts determined in this manner by the taxing master. It was only afterwards </w:t>
      </w:r>
      <w:r w:rsidR="00CA5FAE">
        <w:t xml:space="preserve">that </w:t>
      </w:r>
      <w:r w:rsidR="002849AA">
        <w:t>the objections were raised by the applicant.</w:t>
      </w:r>
    </w:p>
    <w:p w14:paraId="2D9E7A19" w14:textId="77777777" w:rsidR="002849AA" w:rsidRDefault="002849AA" w:rsidP="00362131">
      <w:pPr>
        <w:spacing w:line="480" w:lineRule="auto"/>
        <w:jc w:val="both"/>
      </w:pPr>
    </w:p>
    <w:p w14:paraId="33BECB74" w14:textId="11B9DE95" w:rsidR="00FD1F9A" w:rsidRDefault="006A1433" w:rsidP="006A1433">
      <w:pPr>
        <w:spacing w:line="480" w:lineRule="auto"/>
        <w:jc w:val="both"/>
      </w:pPr>
      <w:r>
        <w:t>[9]</w:t>
      </w:r>
      <w:r>
        <w:tab/>
      </w:r>
      <w:r w:rsidR="002849AA">
        <w:t xml:space="preserve">The taxing </w:t>
      </w:r>
      <w:r w:rsidR="00400B5F">
        <w:t>master points</w:t>
      </w:r>
      <w:r w:rsidR="002849AA">
        <w:t xml:space="preserve"> </w:t>
      </w:r>
      <w:r w:rsidR="00400B5F">
        <w:t xml:space="preserve">out </w:t>
      </w:r>
      <w:r w:rsidR="00CC79E9">
        <w:t xml:space="preserve">that </w:t>
      </w:r>
      <w:r w:rsidR="00400B5F">
        <w:t>in</w:t>
      </w:r>
      <w:r w:rsidR="002849AA">
        <w:t xml:space="preserve"> circumstances where a legal </w:t>
      </w:r>
      <w:r w:rsidR="00CA5FAE">
        <w:t xml:space="preserve">representative </w:t>
      </w:r>
      <w:r w:rsidR="002849AA">
        <w:t xml:space="preserve">does not object to an item that no objection can be </w:t>
      </w:r>
      <w:r w:rsidR="00400B5F">
        <w:t xml:space="preserve">raised </w:t>
      </w:r>
      <w:proofErr w:type="gramStart"/>
      <w:r w:rsidR="00CA5FAE">
        <w:t xml:space="preserve">subsequent </w:t>
      </w:r>
      <w:r w:rsidR="00CA5FAE">
        <w:lastRenderedPageBreak/>
        <w:t>to</w:t>
      </w:r>
      <w:proofErr w:type="gramEnd"/>
      <w:r w:rsidR="00CA5FAE">
        <w:t xml:space="preserve"> the taxation. This is indeed the general principle. Where</w:t>
      </w:r>
      <w:r w:rsidR="00CC79E9">
        <w:t xml:space="preserve"> the legal representative of a</w:t>
      </w:r>
      <w:r w:rsidR="00CA5FAE">
        <w:t xml:space="preserve"> party, attend</w:t>
      </w:r>
      <w:r w:rsidR="00CC79E9">
        <w:t>s</w:t>
      </w:r>
      <w:r w:rsidR="00CA5FAE">
        <w:t xml:space="preserve"> a taxation one can assume that such practitioner ha</w:t>
      </w:r>
      <w:r w:rsidR="00E041C8">
        <w:t>d</w:t>
      </w:r>
      <w:r w:rsidR="00CA5FAE">
        <w:t xml:space="preserve"> prepared for the taxation and will object where he or she is not satisfied with the way the taxing master deals </w:t>
      </w:r>
      <w:r w:rsidR="00CC79E9">
        <w:t>with an item. Failure to do so</w:t>
      </w:r>
      <w:r w:rsidR="00CA5FAE">
        <w:t xml:space="preserve"> is clearly indicative </w:t>
      </w:r>
      <w:r w:rsidR="001467BE">
        <w:t xml:space="preserve">that </w:t>
      </w:r>
      <w:r w:rsidR="00CC79E9">
        <w:t xml:space="preserve">the </w:t>
      </w:r>
      <w:r w:rsidR="00CA5FAE">
        <w:t>taxing master</w:t>
      </w:r>
      <w:r w:rsidR="00585DAD">
        <w:t>’s</w:t>
      </w:r>
      <w:r w:rsidR="001467BE">
        <w:t xml:space="preserve"> determination is</w:t>
      </w:r>
      <w:r w:rsidR="00CA5FAE">
        <w:t xml:space="preserve"> not disputed</w:t>
      </w:r>
      <w:r w:rsidR="001467BE">
        <w:t xml:space="preserve"> or at</w:t>
      </w:r>
      <w:r w:rsidR="00CC79E9">
        <w:t xml:space="preserve"> the very</w:t>
      </w:r>
      <w:r w:rsidR="001467BE">
        <w:t xml:space="preserve"> least that such party abide</w:t>
      </w:r>
      <w:r w:rsidR="00E041C8">
        <w:t>s</w:t>
      </w:r>
      <w:r w:rsidR="001467BE">
        <w:t xml:space="preserve"> by that decision.</w:t>
      </w:r>
      <w:r w:rsidR="00E00AFC">
        <w:rPr>
          <w:rStyle w:val="FootnoteReference"/>
        </w:rPr>
        <w:footnoteReference w:id="2"/>
      </w:r>
      <w:r w:rsidR="001467BE">
        <w:t xml:space="preserve"> </w:t>
      </w:r>
    </w:p>
    <w:p w14:paraId="398FE7B9" w14:textId="77777777" w:rsidR="001467BE" w:rsidRDefault="001467BE" w:rsidP="00362131">
      <w:pPr>
        <w:spacing w:line="480" w:lineRule="auto"/>
        <w:jc w:val="both"/>
      </w:pPr>
    </w:p>
    <w:p w14:paraId="60B98217" w14:textId="560D11FC" w:rsidR="001467BE" w:rsidRDefault="006A1433" w:rsidP="006A1433">
      <w:pPr>
        <w:spacing w:line="480" w:lineRule="auto"/>
        <w:jc w:val="both"/>
      </w:pPr>
      <w:r>
        <w:t>[10]</w:t>
      </w:r>
      <w:r>
        <w:tab/>
      </w:r>
      <w:r w:rsidR="001467BE">
        <w:t>The question thus arises whether there are circumstances</w:t>
      </w:r>
      <w:r w:rsidR="009743EA">
        <w:t xml:space="preserve"> where</w:t>
      </w:r>
      <w:r w:rsidR="001467BE">
        <w:t xml:space="preserve"> the above general rule does not apply and whether the present case </w:t>
      </w:r>
      <w:r w:rsidR="009743EA">
        <w:t>is such a case</w:t>
      </w:r>
      <w:r w:rsidR="00A91CB7">
        <w:t xml:space="preserve">. </w:t>
      </w:r>
      <w:r w:rsidR="001467BE">
        <w:t xml:space="preserve">According to the objection </w:t>
      </w:r>
      <w:r w:rsidR="009743EA">
        <w:t>w</w:t>
      </w:r>
      <w:r w:rsidR="00CC79E9">
        <w:t>here</w:t>
      </w:r>
      <w:r w:rsidR="009743EA">
        <w:t xml:space="preserve">as </w:t>
      </w:r>
      <w:r w:rsidR="00CC79E9">
        <w:t xml:space="preserve">the legal representative </w:t>
      </w:r>
      <w:r w:rsidR="001467BE">
        <w:t xml:space="preserve">accepted </w:t>
      </w:r>
      <w:r w:rsidR="00CC79E9">
        <w:t xml:space="preserve">that </w:t>
      </w:r>
      <w:r w:rsidR="001467BE">
        <w:t>the principle</w:t>
      </w:r>
      <w:r w:rsidR="00CC79E9">
        <w:t xml:space="preserve">s in </w:t>
      </w:r>
      <w:proofErr w:type="spellStart"/>
      <w:r w:rsidR="001467BE" w:rsidRPr="006A1433">
        <w:rPr>
          <w:i/>
        </w:rPr>
        <w:t>Afshani</w:t>
      </w:r>
      <w:proofErr w:type="spellEnd"/>
      <w:r w:rsidR="001467BE">
        <w:t xml:space="preserve"> would apply it was accepted on the </w:t>
      </w:r>
      <w:r w:rsidR="009743EA">
        <w:t>‘</w:t>
      </w:r>
      <w:r w:rsidR="001467BE">
        <w:t>basis</w:t>
      </w:r>
      <w:r w:rsidR="009743EA">
        <w:t xml:space="preserve"> that the taxing master understood the law correctly’. </w:t>
      </w:r>
      <w:r w:rsidR="001467BE">
        <w:t>This</w:t>
      </w:r>
      <w:r w:rsidR="009743EA">
        <w:t xml:space="preserve"> is</w:t>
      </w:r>
      <w:r w:rsidR="001467BE">
        <w:t xml:space="preserve"> stated</w:t>
      </w:r>
      <w:r w:rsidR="009743EA">
        <w:t xml:space="preserve"> after the event and after the lega</w:t>
      </w:r>
      <w:r w:rsidR="00CC79E9">
        <w:t>l representative has studied</w:t>
      </w:r>
      <w:r w:rsidR="009743EA">
        <w:t xml:space="preserve"> </w:t>
      </w:r>
      <w:proofErr w:type="spellStart"/>
      <w:r w:rsidR="009743EA" w:rsidRPr="006A1433">
        <w:rPr>
          <w:i/>
        </w:rPr>
        <w:t>Afshani</w:t>
      </w:r>
      <w:proofErr w:type="spellEnd"/>
      <w:r w:rsidR="00CC79E9">
        <w:t>. I</w:t>
      </w:r>
      <w:r w:rsidR="009743EA">
        <w:t xml:space="preserve">ssues are now raised, according to him, </w:t>
      </w:r>
      <w:r w:rsidR="00CC79E9">
        <w:t xml:space="preserve">that </w:t>
      </w:r>
      <w:r w:rsidR="009743EA">
        <w:t>the</w:t>
      </w:r>
      <w:r w:rsidR="00CC79E9">
        <w:t xml:space="preserve"> taxing master did not apply</w:t>
      </w:r>
      <w:r w:rsidR="009743EA">
        <w:t xml:space="preserve"> </w:t>
      </w:r>
      <w:proofErr w:type="spellStart"/>
      <w:r w:rsidR="009743EA" w:rsidRPr="006A1433">
        <w:rPr>
          <w:i/>
        </w:rPr>
        <w:t>Afshani</w:t>
      </w:r>
      <w:proofErr w:type="spellEnd"/>
      <w:r w:rsidR="009743EA">
        <w:t xml:space="preserve"> correctly. This, I am </w:t>
      </w:r>
      <w:r w:rsidR="00700E80">
        <w:t>afraid, amounts</w:t>
      </w:r>
      <w:r w:rsidR="009743EA">
        <w:t xml:space="preserve"> to </w:t>
      </w:r>
      <w:r w:rsidR="00700E80">
        <w:t>say</w:t>
      </w:r>
      <w:r w:rsidR="00CC79E9">
        <w:t>ing</w:t>
      </w:r>
      <w:r w:rsidR="00700E80">
        <w:t xml:space="preserve"> </w:t>
      </w:r>
      <w:r w:rsidR="009743EA">
        <w:t xml:space="preserve">the </w:t>
      </w:r>
      <w:r w:rsidR="00700E80">
        <w:t xml:space="preserve">applicant’s </w:t>
      </w:r>
      <w:r w:rsidR="009743EA">
        <w:t xml:space="preserve">legal </w:t>
      </w:r>
      <w:r w:rsidR="00CC79E9">
        <w:t>practitioner</w:t>
      </w:r>
      <w:r w:rsidR="009743EA">
        <w:t xml:space="preserve"> was not properly prepared </w:t>
      </w:r>
      <w:r w:rsidR="00700E80">
        <w:t>for the taxation and hence did not rea</w:t>
      </w:r>
      <w:r w:rsidR="00CC79E9">
        <w:t>lise that the taxing master</w:t>
      </w:r>
      <w:r w:rsidR="00700E80">
        <w:t xml:space="preserve"> </w:t>
      </w:r>
      <w:r w:rsidR="00CC79E9">
        <w:t>mis</w:t>
      </w:r>
      <w:r w:rsidR="00700E80">
        <w:t xml:space="preserve">applied the principles stated in </w:t>
      </w:r>
      <w:proofErr w:type="spellStart"/>
      <w:r w:rsidR="00700E80" w:rsidRPr="006A1433">
        <w:rPr>
          <w:i/>
        </w:rPr>
        <w:t>Afshani</w:t>
      </w:r>
      <w:proofErr w:type="spellEnd"/>
      <w:r w:rsidR="00700E80">
        <w:t xml:space="preserve"> and hence did not object, </w:t>
      </w:r>
      <w:r w:rsidR="00E041C8">
        <w:t xml:space="preserve">but </w:t>
      </w:r>
      <w:r w:rsidR="00700E80">
        <w:t>after the event</w:t>
      </w:r>
      <w:r w:rsidR="00CC79E9">
        <w:t>, and</w:t>
      </w:r>
      <w:r w:rsidR="00700E80">
        <w:t xml:space="preserve"> being dissatisfied with the </w:t>
      </w:r>
      <w:proofErr w:type="spellStart"/>
      <w:r w:rsidR="00BD1F20" w:rsidRPr="006A1433">
        <w:rPr>
          <w:i/>
        </w:rPr>
        <w:t>allocatur</w:t>
      </w:r>
      <w:proofErr w:type="spellEnd"/>
      <w:r w:rsidR="00CC79E9">
        <w:t>, he has studied</w:t>
      </w:r>
      <w:r w:rsidR="00700E80">
        <w:t xml:space="preserve"> </w:t>
      </w:r>
      <w:proofErr w:type="spellStart"/>
      <w:r w:rsidR="00700E80" w:rsidRPr="006A1433">
        <w:rPr>
          <w:i/>
        </w:rPr>
        <w:t>Afshani</w:t>
      </w:r>
      <w:proofErr w:type="spellEnd"/>
      <w:r w:rsidR="00700E80">
        <w:t xml:space="preserve"> and realised that he should have objected to certain items.</w:t>
      </w:r>
    </w:p>
    <w:p w14:paraId="47C09D0C" w14:textId="77777777" w:rsidR="00700E80" w:rsidRDefault="00700E80" w:rsidP="00362131">
      <w:pPr>
        <w:spacing w:line="480" w:lineRule="auto"/>
        <w:jc w:val="both"/>
      </w:pPr>
    </w:p>
    <w:p w14:paraId="4355B664" w14:textId="581BAB65" w:rsidR="004132E9" w:rsidRDefault="006A1433" w:rsidP="006A1433">
      <w:pPr>
        <w:spacing w:line="480" w:lineRule="auto"/>
        <w:jc w:val="both"/>
      </w:pPr>
      <w:r>
        <w:t>[11]</w:t>
      </w:r>
      <w:r>
        <w:tab/>
      </w:r>
      <w:r w:rsidR="00700E80">
        <w:t>I have a little doubt that there will be exceptions to the general rule that objections a</w:t>
      </w:r>
      <w:r w:rsidR="00473484">
        <w:t xml:space="preserve">t the </w:t>
      </w:r>
      <w:r w:rsidR="00700E80">
        <w:t xml:space="preserve">taxation is a prerequisite </w:t>
      </w:r>
      <w:r w:rsidR="007840E5">
        <w:t>for the bringing</w:t>
      </w:r>
      <w:r w:rsidR="00700E80">
        <w:t xml:space="preserve"> of </w:t>
      </w:r>
      <w:r w:rsidR="007840E5">
        <w:t xml:space="preserve">a review of </w:t>
      </w:r>
      <w:r w:rsidR="001F0161">
        <w:t xml:space="preserve">an </w:t>
      </w:r>
      <w:proofErr w:type="spellStart"/>
      <w:r w:rsidR="00BD1F20" w:rsidRPr="006A1433">
        <w:rPr>
          <w:i/>
        </w:rPr>
        <w:t>allocatur</w:t>
      </w:r>
      <w:proofErr w:type="spellEnd"/>
      <w:r w:rsidR="007840E5">
        <w:t xml:space="preserve">. </w:t>
      </w:r>
      <w:r w:rsidR="007840E5">
        <w:lastRenderedPageBreak/>
        <w:t>This Court can, after all, interfere where it is satisfied that the t</w:t>
      </w:r>
      <w:r w:rsidR="004132E9">
        <w:t>axing master was clearly wrong when he made a specific ruling.</w:t>
      </w:r>
      <w:r w:rsidR="00BD1F20">
        <w:rPr>
          <w:rStyle w:val="FootnoteReference"/>
        </w:rPr>
        <w:footnoteReference w:id="3"/>
      </w:r>
    </w:p>
    <w:p w14:paraId="4A42FCC9" w14:textId="77777777" w:rsidR="004132E9" w:rsidRDefault="004132E9" w:rsidP="00362131">
      <w:pPr>
        <w:spacing w:line="480" w:lineRule="auto"/>
        <w:jc w:val="both"/>
      </w:pPr>
    </w:p>
    <w:p w14:paraId="06E8786D" w14:textId="192B898E" w:rsidR="001F0161" w:rsidRDefault="006A1433" w:rsidP="006A1433">
      <w:pPr>
        <w:spacing w:line="480" w:lineRule="auto"/>
        <w:jc w:val="both"/>
      </w:pPr>
      <w:r>
        <w:t>[12]</w:t>
      </w:r>
      <w:r>
        <w:tab/>
      </w:r>
      <w:r w:rsidR="004132E9">
        <w:t xml:space="preserve">Applicant in its objections raised the issue that the taxing master did not appreciate </w:t>
      </w:r>
      <w:r w:rsidR="001F0161">
        <w:t xml:space="preserve">the fact that the instructed legal practitioners are entitled to fees for ‘court appearance’ which is not the same </w:t>
      </w:r>
      <w:r w:rsidR="00E041C8">
        <w:t xml:space="preserve">as </w:t>
      </w:r>
      <w:r w:rsidR="001F0161">
        <w:t xml:space="preserve">for fees ‘court attendance.’ </w:t>
      </w:r>
    </w:p>
    <w:p w14:paraId="1F609310" w14:textId="77777777" w:rsidR="001F0161" w:rsidRDefault="001F0161" w:rsidP="00362131">
      <w:pPr>
        <w:spacing w:line="480" w:lineRule="auto"/>
        <w:jc w:val="both"/>
      </w:pPr>
    </w:p>
    <w:p w14:paraId="56F69FC2" w14:textId="60BCA534" w:rsidR="00E041C8" w:rsidRDefault="006A1433" w:rsidP="006A1433">
      <w:pPr>
        <w:spacing w:line="480" w:lineRule="auto"/>
        <w:jc w:val="both"/>
      </w:pPr>
      <w:r>
        <w:t>[13]</w:t>
      </w:r>
      <w:r>
        <w:tab/>
      </w:r>
      <w:r w:rsidR="001F0161">
        <w:t xml:space="preserve">Because I </w:t>
      </w:r>
      <w:r w:rsidR="005127D9">
        <w:t xml:space="preserve">also </w:t>
      </w:r>
      <w:r w:rsidR="001F0161">
        <w:t xml:space="preserve">had concerns in this </w:t>
      </w:r>
      <w:proofErr w:type="gramStart"/>
      <w:r w:rsidR="001F0161">
        <w:t>regard</w:t>
      </w:r>
      <w:proofErr w:type="gramEnd"/>
      <w:r w:rsidR="001F0161">
        <w:t xml:space="preserve"> I requested the taxing master </w:t>
      </w:r>
      <w:r w:rsidR="005127D9">
        <w:t xml:space="preserve">‘for a detailed response to the matters raised by the applicant in its objection’ which included the issue mentioned above. The taxing master however did not deal with the issue front on but referred to the fact that he did </w:t>
      </w:r>
      <w:r w:rsidR="00230BCB">
        <w:t>‘</w:t>
      </w:r>
      <w:r w:rsidR="005127D9">
        <w:t xml:space="preserve">determine an appropriate hourly rate, reduced </w:t>
      </w:r>
      <w:r w:rsidR="00E041C8">
        <w:t>the</w:t>
      </w:r>
      <w:r w:rsidR="005127D9">
        <w:t xml:space="preserve"> number of hours claimed and taxed according to the Rules of the </w:t>
      </w:r>
      <w:r w:rsidR="006359CB">
        <w:t xml:space="preserve">Supreme </w:t>
      </w:r>
      <w:r w:rsidR="005127D9">
        <w:t>Court</w:t>
      </w:r>
      <w:r w:rsidR="00473484">
        <w:t xml:space="preserve">’. </w:t>
      </w:r>
    </w:p>
    <w:p w14:paraId="4E5BB23D" w14:textId="77777777" w:rsidR="00E041C8" w:rsidRDefault="00E041C8" w:rsidP="00A91CB7">
      <w:pPr>
        <w:spacing w:line="480" w:lineRule="auto"/>
      </w:pPr>
    </w:p>
    <w:p w14:paraId="2ED1A30E" w14:textId="40F62F15" w:rsidR="00700E80" w:rsidRDefault="006A1433" w:rsidP="006A1433">
      <w:pPr>
        <w:spacing w:line="480" w:lineRule="auto"/>
        <w:jc w:val="both"/>
      </w:pPr>
      <w:r>
        <w:t>[14]</w:t>
      </w:r>
      <w:r>
        <w:tab/>
      </w:r>
      <w:r w:rsidR="00473484">
        <w:t>T</w:t>
      </w:r>
      <w:r w:rsidR="005127D9">
        <w:t>he issue raised</w:t>
      </w:r>
      <w:r w:rsidR="006359CB">
        <w:t xml:space="preserve"> is one that relates to </w:t>
      </w:r>
      <w:r w:rsidR="008F2C13">
        <w:t>an</w:t>
      </w:r>
      <w:r w:rsidR="006359CB">
        <w:t xml:space="preserve"> important </w:t>
      </w:r>
      <w:r w:rsidR="00473484">
        <w:t xml:space="preserve">general </w:t>
      </w:r>
      <w:r w:rsidR="006359CB">
        <w:t xml:space="preserve">principle </w:t>
      </w:r>
      <w:r w:rsidR="008F2C13">
        <w:t xml:space="preserve">in respect of appeals heard </w:t>
      </w:r>
      <w:r w:rsidR="006359CB">
        <w:t xml:space="preserve">to litigants in this Court and is not of importance only to the parties in this matter. I am of the view </w:t>
      </w:r>
      <w:r w:rsidR="00473484">
        <w:t xml:space="preserve">that </w:t>
      </w:r>
      <w:r w:rsidR="006359CB">
        <w:t xml:space="preserve">it should be dealt with </w:t>
      </w:r>
      <w:proofErr w:type="gramStart"/>
      <w:r w:rsidR="00D459C9">
        <w:t xml:space="preserve">so as </w:t>
      </w:r>
      <w:r w:rsidR="00E041C8">
        <w:t>to</w:t>
      </w:r>
      <w:proofErr w:type="gramEnd"/>
      <w:r w:rsidR="00E041C8">
        <w:t xml:space="preserve"> set</w:t>
      </w:r>
      <w:r w:rsidR="00564218">
        <w:t xml:space="preserve"> the</w:t>
      </w:r>
      <w:r w:rsidR="00052879">
        <w:t xml:space="preserve"> tone for all </w:t>
      </w:r>
      <w:r w:rsidR="006359CB">
        <w:t>further taxation</w:t>
      </w:r>
      <w:r w:rsidR="004B5275">
        <w:t>s</w:t>
      </w:r>
      <w:r w:rsidR="006359CB">
        <w:t xml:space="preserve"> in this Court</w:t>
      </w:r>
      <w:r w:rsidR="00052879">
        <w:t>. In the circumstance</w:t>
      </w:r>
      <w:r w:rsidR="00D459C9">
        <w:t>s,</w:t>
      </w:r>
      <w:r w:rsidR="00052879">
        <w:t xml:space="preserve"> the objections of the applicant </w:t>
      </w:r>
      <w:r w:rsidR="00D459C9">
        <w:t xml:space="preserve">will be considered despite not been raised at the taxation. </w:t>
      </w:r>
      <w:r w:rsidR="006359CB">
        <w:t xml:space="preserve">I want to caution legal practitioners </w:t>
      </w:r>
      <w:r w:rsidR="00052879">
        <w:t xml:space="preserve">however </w:t>
      </w:r>
      <w:r w:rsidR="00D459C9">
        <w:t xml:space="preserve">that </w:t>
      </w:r>
      <w:r w:rsidR="00473484">
        <w:t xml:space="preserve">this </w:t>
      </w:r>
      <w:r w:rsidR="00D459C9">
        <w:t>should not been seen as a green</w:t>
      </w:r>
      <w:r w:rsidR="004B5275">
        <w:t xml:space="preserve"> light to</w:t>
      </w:r>
      <w:r w:rsidR="00D459C9">
        <w:t xml:space="preserve"> seek review</w:t>
      </w:r>
      <w:r w:rsidR="004B5275">
        <w:t>s</w:t>
      </w:r>
      <w:r w:rsidR="00D459C9">
        <w:t xml:space="preserve"> </w:t>
      </w:r>
      <w:r w:rsidR="00D77B9D">
        <w:t>of</w:t>
      </w:r>
      <w:r w:rsidR="00D459C9">
        <w:t xml:space="preserve"> items in bill</w:t>
      </w:r>
      <w:r w:rsidR="004B5275">
        <w:t>s</w:t>
      </w:r>
      <w:r w:rsidR="00D459C9">
        <w:t xml:space="preserve"> of costs where</w:t>
      </w:r>
      <w:r w:rsidR="004B5275">
        <w:t xml:space="preserve"> they</w:t>
      </w:r>
      <w:r w:rsidR="00D77B9D">
        <w:t xml:space="preserve"> were </w:t>
      </w:r>
      <w:r w:rsidR="005A4D64">
        <w:t>n</w:t>
      </w:r>
      <w:r w:rsidR="00D459C9">
        <w:t xml:space="preserve">ot objected to at the taxation. </w:t>
      </w:r>
      <w:r w:rsidR="00D77B9D">
        <w:t>Without so</w:t>
      </w:r>
      <w:r w:rsidR="00473484">
        <w:t xml:space="preserve">me </w:t>
      </w:r>
      <w:r w:rsidR="00D77B9D">
        <w:t>compelling reasons</w:t>
      </w:r>
      <w:r w:rsidR="00230BCB">
        <w:t>,</w:t>
      </w:r>
      <w:r w:rsidR="00D77B9D">
        <w:t xml:space="preserve"> such reviews will not be </w:t>
      </w:r>
      <w:r w:rsidR="00D459C9">
        <w:t>entertained</w:t>
      </w:r>
      <w:r w:rsidR="00D77B9D">
        <w:t xml:space="preserve"> and where such reviews </w:t>
      </w:r>
      <w:proofErr w:type="gramStart"/>
      <w:r w:rsidR="00D77B9D">
        <w:t>relates</w:t>
      </w:r>
      <w:proofErr w:type="gramEnd"/>
      <w:r w:rsidR="00D77B9D">
        <w:t xml:space="preserve"> to</w:t>
      </w:r>
      <w:r w:rsidR="00473484">
        <w:t xml:space="preserve"> anything that is of</w:t>
      </w:r>
      <w:r w:rsidR="00D77B9D">
        <w:t xml:space="preserve"> importance </w:t>
      </w:r>
      <w:r w:rsidR="005A4D64">
        <w:t xml:space="preserve">only </w:t>
      </w:r>
      <w:r w:rsidR="00D77B9D">
        <w:t xml:space="preserve">to the parties </w:t>
      </w:r>
      <w:r w:rsidR="000318BB">
        <w:t xml:space="preserve">to the </w:t>
      </w:r>
      <w:r w:rsidR="00D77B9D">
        <w:lastRenderedPageBreak/>
        <w:t>particular</w:t>
      </w:r>
      <w:r w:rsidR="000B6A05">
        <w:t xml:space="preserve"> bill of costs</w:t>
      </w:r>
      <w:r w:rsidR="00D77B9D">
        <w:t xml:space="preserve"> </w:t>
      </w:r>
      <w:r w:rsidR="004B5275">
        <w:t>it will</w:t>
      </w:r>
      <w:r w:rsidR="00D77B9D">
        <w:t xml:space="preserve"> </w:t>
      </w:r>
      <w:r w:rsidR="000B6A05">
        <w:t xml:space="preserve">certainly not </w:t>
      </w:r>
      <w:r w:rsidR="004B5275">
        <w:t xml:space="preserve">be </w:t>
      </w:r>
      <w:r w:rsidR="000B6A05">
        <w:t xml:space="preserve">a </w:t>
      </w:r>
      <w:r w:rsidR="00D77B9D">
        <w:t>sufficient</w:t>
      </w:r>
      <w:r w:rsidR="005A4D64">
        <w:t xml:space="preserve"> reason to deviate from the general rule.</w:t>
      </w:r>
      <w:r w:rsidR="000B6A05">
        <w:t xml:space="preserve"> </w:t>
      </w:r>
    </w:p>
    <w:p w14:paraId="3B692235" w14:textId="77777777" w:rsidR="000B6A05" w:rsidRDefault="000B6A05" w:rsidP="00362131">
      <w:pPr>
        <w:spacing w:line="480" w:lineRule="auto"/>
        <w:jc w:val="both"/>
      </w:pPr>
    </w:p>
    <w:p w14:paraId="4B522817" w14:textId="0AFED5AE" w:rsidR="008B2C41" w:rsidRDefault="006A1433" w:rsidP="006A1433">
      <w:pPr>
        <w:spacing w:line="480" w:lineRule="auto"/>
        <w:jc w:val="both"/>
      </w:pPr>
      <w:r>
        <w:t>[15]</w:t>
      </w:r>
      <w:r>
        <w:tab/>
      </w:r>
      <w:r w:rsidR="000B6A05">
        <w:t xml:space="preserve">From the perusal of the </w:t>
      </w:r>
      <w:r w:rsidR="000318BB">
        <w:t>invoices</w:t>
      </w:r>
      <w:r w:rsidR="000B6A05">
        <w:t xml:space="preserve"> of the instructed </w:t>
      </w:r>
      <w:r w:rsidR="00413940">
        <w:t>legal practitioners</w:t>
      </w:r>
      <w:r w:rsidR="00230BCB">
        <w:t>,</w:t>
      </w:r>
      <w:r w:rsidR="000318BB">
        <w:t xml:space="preserve"> it is clear </w:t>
      </w:r>
      <w:r w:rsidR="00473484">
        <w:t xml:space="preserve">that </w:t>
      </w:r>
      <w:r w:rsidR="000318BB">
        <w:t>what the taxing master did was to take the hours claimed by them</w:t>
      </w:r>
      <w:r w:rsidR="00413940">
        <w:t xml:space="preserve"> for</w:t>
      </w:r>
      <w:r w:rsidR="000318BB">
        <w:t xml:space="preserve"> ‘preparation of the heads of argument</w:t>
      </w:r>
      <w:r w:rsidR="00413940">
        <w:t>’</w:t>
      </w:r>
      <w:r w:rsidR="000969FF">
        <w:t>,</w:t>
      </w:r>
      <w:r w:rsidR="000318BB">
        <w:t xml:space="preserve"> </w:t>
      </w:r>
      <w:r w:rsidR="00413940">
        <w:t>‘</w:t>
      </w:r>
      <w:r w:rsidR="000318BB">
        <w:t>perusal of the respondent’s heads of argument, research and prepar</w:t>
      </w:r>
      <w:r w:rsidR="000969FF">
        <w:t xml:space="preserve">ation </w:t>
      </w:r>
      <w:r w:rsidR="000318BB">
        <w:t>for hearing</w:t>
      </w:r>
      <w:r w:rsidR="00413940">
        <w:t>’</w:t>
      </w:r>
      <w:r w:rsidR="000969FF">
        <w:t xml:space="preserve"> and </w:t>
      </w:r>
      <w:r w:rsidR="00413940">
        <w:t>‘</w:t>
      </w:r>
      <w:r w:rsidR="008B2C41">
        <w:t>appearance in</w:t>
      </w:r>
      <w:r w:rsidR="00463ABB">
        <w:t xml:space="preserve"> the Su</w:t>
      </w:r>
      <w:r w:rsidR="00413940">
        <w:t>preme Court to argue the matter</w:t>
      </w:r>
      <w:r w:rsidR="00463ABB">
        <w:t>’</w:t>
      </w:r>
      <w:r w:rsidR="00413940">
        <w:t xml:space="preserve"> and to reduce such hours quite substantially (for example from 25 hours to 11 hours in the case of the senio</w:t>
      </w:r>
      <w:r w:rsidR="00473484">
        <w:t>r instructed legal practitioner</w:t>
      </w:r>
      <w:r w:rsidR="00413940">
        <w:t xml:space="preserve">). The </w:t>
      </w:r>
      <w:r w:rsidR="004B5275">
        <w:t>accepted</w:t>
      </w:r>
      <w:r w:rsidR="00413940">
        <w:t xml:space="preserve"> hours were then simply multiplied by the accepted rate namely N$1500 or N$1800 and this was the amount allowed in respect of</w:t>
      </w:r>
      <w:r w:rsidR="00473484">
        <w:t xml:space="preserve"> fees of</w:t>
      </w:r>
      <w:r w:rsidR="00413940">
        <w:t xml:space="preserve"> the instructed legal practitioners.</w:t>
      </w:r>
    </w:p>
    <w:p w14:paraId="29D8D638" w14:textId="77777777" w:rsidR="00413940" w:rsidRDefault="00413940" w:rsidP="00362131">
      <w:pPr>
        <w:spacing w:line="480" w:lineRule="auto"/>
      </w:pPr>
    </w:p>
    <w:p w14:paraId="7E9EF057" w14:textId="6A760FF4" w:rsidR="00295180" w:rsidRDefault="006A1433" w:rsidP="006A1433">
      <w:pPr>
        <w:spacing w:line="480" w:lineRule="auto"/>
        <w:jc w:val="both"/>
      </w:pPr>
      <w:r>
        <w:t>[16]</w:t>
      </w:r>
      <w:r>
        <w:tab/>
      </w:r>
      <w:r w:rsidR="00295180">
        <w:t xml:space="preserve">The reduction in the hours claimed is commendable </w:t>
      </w:r>
      <w:proofErr w:type="gramStart"/>
      <w:r w:rsidR="00295180">
        <w:t>in view of the fact that</w:t>
      </w:r>
      <w:proofErr w:type="gramEnd"/>
      <w:r w:rsidR="00295180">
        <w:t xml:space="preserve"> the heads of argument were, in essence, a rehash of the previous heads of argument that were used in the first appeal and the research and preparation could not have been much more than refresher of what was already done and billed for in the first appeal. I can only reiterate the comments made in </w:t>
      </w:r>
      <w:r w:rsidR="00295180" w:rsidRPr="006A1433">
        <w:rPr>
          <w:i/>
        </w:rPr>
        <w:t>J</w:t>
      </w:r>
      <w:r w:rsidR="00CC4811" w:rsidRPr="006A1433">
        <w:rPr>
          <w:i/>
        </w:rPr>
        <w:t xml:space="preserve"> </w:t>
      </w:r>
      <w:r w:rsidR="00295180" w:rsidRPr="006A1433">
        <w:rPr>
          <w:i/>
        </w:rPr>
        <w:t xml:space="preserve">D van Niekerk </w:t>
      </w:r>
      <w:proofErr w:type="spellStart"/>
      <w:r w:rsidR="00295180" w:rsidRPr="006A1433">
        <w:rPr>
          <w:i/>
        </w:rPr>
        <w:t>en</w:t>
      </w:r>
      <w:proofErr w:type="spellEnd"/>
      <w:r w:rsidR="00295180" w:rsidRPr="006A1433">
        <w:rPr>
          <w:i/>
        </w:rPr>
        <w:t xml:space="preserve"> </w:t>
      </w:r>
      <w:proofErr w:type="spellStart"/>
      <w:r w:rsidR="00295180" w:rsidRPr="006A1433">
        <w:rPr>
          <w:i/>
        </w:rPr>
        <w:t>Genote</w:t>
      </w:r>
      <w:proofErr w:type="spellEnd"/>
      <w:r w:rsidR="00295180" w:rsidRPr="006A1433">
        <w:rPr>
          <w:i/>
        </w:rPr>
        <w:t xml:space="preserve"> </w:t>
      </w:r>
      <w:r w:rsidR="00CC4811" w:rsidRPr="006A1433">
        <w:rPr>
          <w:i/>
        </w:rPr>
        <w:t xml:space="preserve">ING </w:t>
      </w:r>
      <w:r w:rsidR="00295180" w:rsidRPr="006A1433">
        <w:rPr>
          <w:i/>
        </w:rPr>
        <w:t xml:space="preserve">v </w:t>
      </w:r>
      <w:proofErr w:type="spellStart"/>
      <w:r w:rsidR="00295180" w:rsidRPr="006A1433">
        <w:rPr>
          <w:i/>
        </w:rPr>
        <w:t>Administrat</w:t>
      </w:r>
      <w:r w:rsidR="00CC4811" w:rsidRPr="006A1433">
        <w:rPr>
          <w:i/>
        </w:rPr>
        <w:t>eu</w:t>
      </w:r>
      <w:r w:rsidR="00295180" w:rsidRPr="006A1433">
        <w:rPr>
          <w:i/>
        </w:rPr>
        <w:t>r</w:t>
      </w:r>
      <w:proofErr w:type="spellEnd"/>
      <w:r w:rsidR="00295180" w:rsidRPr="006A1433">
        <w:rPr>
          <w:i/>
        </w:rPr>
        <w:t>, Transvaal</w:t>
      </w:r>
      <w:r w:rsidR="00295180">
        <w:rPr>
          <w:rStyle w:val="FootnoteReference"/>
        </w:rPr>
        <w:footnoteReference w:id="4"/>
      </w:r>
      <w:r w:rsidR="00295180">
        <w:t>:</w:t>
      </w:r>
    </w:p>
    <w:p w14:paraId="32773D2E" w14:textId="77777777" w:rsidR="00CC4811" w:rsidRDefault="00CC4811" w:rsidP="00362131">
      <w:pPr>
        <w:pStyle w:val="ListParagraph"/>
        <w:spacing w:line="480" w:lineRule="auto"/>
        <w:ind w:left="0"/>
        <w:jc w:val="both"/>
      </w:pPr>
    </w:p>
    <w:p w14:paraId="2372E60E" w14:textId="77777777" w:rsidR="007667D0" w:rsidRPr="00A91CB7" w:rsidRDefault="00CC4811" w:rsidP="00A91CB7">
      <w:pPr>
        <w:pStyle w:val="ListParagraph"/>
        <w:spacing w:line="360" w:lineRule="auto"/>
        <w:jc w:val="both"/>
        <w:rPr>
          <w:sz w:val="22"/>
          <w:szCs w:val="22"/>
        </w:rPr>
      </w:pPr>
      <w:r w:rsidRPr="009C23AC">
        <w:rPr>
          <w:sz w:val="22"/>
          <w:szCs w:val="22"/>
        </w:rPr>
        <w:t xml:space="preserve"> </w:t>
      </w:r>
      <w:r w:rsidR="00295180" w:rsidRPr="009C23AC">
        <w:rPr>
          <w:sz w:val="22"/>
          <w:szCs w:val="22"/>
        </w:rPr>
        <w:t xml:space="preserve">‘I am any event of the view that the way the </w:t>
      </w:r>
      <w:r w:rsidR="007667D0" w:rsidRPr="009C23AC">
        <w:rPr>
          <w:sz w:val="22"/>
          <w:szCs w:val="22"/>
        </w:rPr>
        <w:t>fee was calculated, namely so much per hour, inapposite to the determination of advocate’s fee for services of this nature. It places a premium on slow and inefficient work and leads to the asking of a fee that is totally out of proportion with the value of the services that are indeed delivered’.</w:t>
      </w:r>
    </w:p>
    <w:p w14:paraId="09F0607C" w14:textId="77777777" w:rsidR="00295180" w:rsidRDefault="007667D0" w:rsidP="00362131">
      <w:pPr>
        <w:spacing w:line="480" w:lineRule="auto"/>
        <w:jc w:val="both"/>
      </w:pPr>
      <w:r>
        <w:lastRenderedPageBreak/>
        <w:t>In the Namibian context, the reference to advocates must be read to refer to instructed legal practitioners.</w:t>
      </w:r>
    </w:p>
    <w:p w14:paraId="65B22DC4" w14:textId="77777777" w:rsidR="007667D0" w:rsidRDefault="007667D0" w:rsidP="00362131">
      <w:pPr>
        <w:spacing w:line="480" w:lineRule="auto"/>
        <w:jc w:val="both"/>
      </w:pPr>
    </w:p>
    <w:p w14:paraId="7F92A54C" w14:textId="483A8DC2" w:rsidR="00295180" w:rsidRDefault="006A1433" w:rsidP="006A1433">
      <w:pPr>
        <w:spacing w:line="480" w:lineRule="auto"/>
        <w:jc w:val="both"/>
      </w:pPr>
      <w:r>
        <w:t>[17]</w:t>
      </w:r>
      <w:r>
        <w:tab/>
      </w:r>
      <w:r w:rsidR="007667D0">
        <w:t xml:space="preserve">Whereas instructed legal practitioners may bill for their services using an hourly rate, the taxing master must ensure that what is taxed is a reasonable amount for the services delivered </w:t>
      </w:r>
      <w:r w:rsidR="00FC33A1">
        <w:t xml:space="preserve">and hence the hours claimed must not simply be accepted on face value. As pointed out the taxing master did use his discretion in the present </w:t>
      </w:r>
      <w:proofErr w:type="gramStart"/>
      <w:r w:rsidR="00FC33A1">
        <w:t>matter</w:t>
      </w:r>
      <w:proofErr w:type="gramEnd"/>
      <w:r w:rsidR="00FC33A1">
        <w:t xml:space="preserve"> and he cannot be faulted in this regard.</w:t>
      </w:r>
    </w:p>
    <w:p w14:paraId="37DC406F" w14:textId="77777777" w:rsidR="00295180" w:rsidRDefault="00295180" w:rsidP="00A91CB7">
      <w:pPr>
        <w:spacing w:line="480" w:lineRule="auto"/>
        <w:jc w:val="both"/>
      </w:pPr>
    </w:p>
    <w:p w14:paraId="17A0A47D" w14:textId="7DF02924" w:rsidR="00413940" w:rsidRPr="006A1433" w:rsidRDefault="006A1433" w:rsidP="006A1433">
      <w:pPr>
        <w:spacing w:line="480" w:lineRule="auto"/>
        <w:jc w:val="both"/>
        <w:rPr>
          <w:rFonts w:cs="Arial"/>
        </w:rPr>
      </w:pPr>
      <w:r>
        <w:rPr>
          <w:rFonts w:cs="Arial"/>
        </w:rPr>
        <w:t>[18]</w:t>
      </w:r>
      <w:r>
        <w:rPr>
          <w:rFonts w:cs="Arial"/>
        </w:rPr>
        <w:tab/>
      </w:r>
      <w:r w:rsidR="00FC33A1">
        <w:t xml:space="preserve">What the taxing master, in focussing on the hours claimed, failed to do was to adhere to </w:t>
      </w:r>
      <w:r w:rsidR="00FC33A1" w:rsidRPr="00CF1FF0">
        <w:t xml:space="preserve">the </w:t>
      </w:r>
      <w:r w:rsidR="00FC33A1" w:rsidRPr="006A1433">
        <w:rPr>
          <w:rFonts w:cs="Arial"/>
        </w:rPr>
        <w:t xml:space="preserve">approach spelled out in the </w:t>
      </w:r>
      <w:proofErr w:type="spellStart"/>
      <w:r w:rsidR="00FC33A1" w:rsidRPr="006A1433">
        <w:rPr>
          <w:rFonts w:cs="Arial"/>
          <w:i/>
        </w:rPr>
        <w:t>Afshani</w:t>
      </w:r>
      <w:proofErr w:type="spellEnd"/>
      <w:r w:rsidR="00FC33A1" w:rsidRPr="006A1433">
        <w:rPr>
          <w:rFonts w:cs="Arial"/>
        </w:rPr>
        <w:t xml:space="preserve"> case when it comes to appeals.</w:t>
      </w:r>
    </w:p>
    <w:p w14:paraId="08D311CD" w14:textId="77777777" w:rsidR="008F4089" w:rsidRPr="00CF1FF0" w:rsidRDefault="008F4089" w:rsidP="00362131">
      <w:pPr>
        <w:pStyle w:val="ListParagraph"/>
        <w:spacing w:line="480" w:lineRule="auto"/>
        <w:ind w:left="0"/>
        <w:jc w:val="both"/>
        <w:rPr>
          <w:rFonts w:cs="Arial"/>
        </w:rPr>
      </w:pPr>
    </w:p>
    <w:p w14:paraId="245E9667" w14:textId="65D8E3E1" w:rsidR="00FC33A1" w:rsidRPr="006A1433" w:rsidRDefault="006A1433" w:rsidP="006A1433">
      <w:pPr>
        <w:spacing w:line="360" w:lineRule="auto"/>
        <w:ind w:left="720" w:hanging="11"/>
        <w:jc w:val="both"/>
        <w:rPr>
          <w:rFonts w:cs="Arial"/>
          <w:sz w:val="22"/>
          <w:szCs w:val="22"/>
        </w:rPr>
      </w:pPr>
      <w:r w:rsidRPr="008F4089">
        <w:rPr>
          <w:rFonts w:cs="Arial"/>
          <w:sz w:val="22"/>
          <w:szCs w:val="22"/>
        </w:rPr>
        <w:t>(a)</w:t>
      </w:r>
      <w:r w:rsidRPr="008F4089">
        <w:rPr>
          <w:rFonts w:cs="Arial"/>
          <w:sz w:val="22"/>
          <w:szCs w:val="22"/>
        </w:rPr>
        <w:tab/>
      </w:r>
      <w:r w:rsidR="00FC33A1" w:rsidRPr="006A1433">
        <w:rPr>
          <w:rFonts w:cs="Arial"/>
          <w:sz w:val="22"/>
          <w:szCs w:val="22"/>
        </w:rPr>
        <w:t>‘</w:t>
      </w:r>
      <w:r w:rsidR="0068100E" w:rsidRPr="006A1433">
        <w:rPr>
          <w:rFonts w:cs="Arial"/>
          <w:sz w:val="22"/>
          <w:szCs w:val="22"/>
        </w:rPr>
        <w:t>. . .</w:t>
      </w:r>
      <w:r w:rsidR="0068100E" w:rsidRPr="006A1433">
        <w:rPr>
          <w:rFonts w:cs="Arial"/>
          <w:sz w:val="22"/>
          <w:szCs w:val="22"/>
          <w:shd w:val="clear" w:color="auto" w:fill="FFFFFF"/>
        </w:rPr>
        <w:t xml:space="preserve"> the</w:t>
      </w:r>
      <w:r w:rsidR="00FC33A1" w:rsidRPr="006A1433">
        <w:rPr>
          <w:rFonts w:cs="Arial"/>
          <w:sz w:val="22"/>
          <w:szCs w:val="22"/>
          <w:shd w:val="clear" w:color="auto" w:fill="FFFFFF"/>
        </w:rPr>
        <w:t xml:space="preserve"> first day fee,</w:t>
      </w:r>
      <w:r w:rsidR="0068100E" w:rsidRPr="006A1433">
        <w:rPr>
          <w:rFonts w:cs="Arial"/>
          <w:sz w:val="22"/>
          <w:szCs w:val="22"/>
          <w:shd w:val="clear" w:color="auto" w:fill="FFFFFF"/>
        </w:rPr>
        <w:t xml:space="preserve"> should only include . . .</w:t>
      </w:r>
      <w:r w:rsidR="00FC33A1" w:rsidRPr="006A1433">
        <w:rPr>
          <w:rFonts w:cs="Arial"/>
          <w:sz w:val="22"/>
          <w:szCs w:val="22"/>
          <w:shd w:val="clear" w:color="auto" w:fill="FFFFFF"/>
        </w:rPr>
        <w:t>a combined fee for preparation, drawing heads of argument and appearance in Court.</w:t>
      </w:r>
      <w:r w:rsidR="0068100E" w:rsidRPr="008F4089">
        <w:rPr>
          <w:rStyle w:val="FootnoteReference"/>
          <w:rFonts w:cs="Arial"/>
          <w:sz w:val="22"/>
          <w:szCs w:val="22"/>
          <w:shd w:val="clear" w:color="auto" w:fill="FFFFFF"/>
        </w:rPr>
        <w:footnoteReference w:id="5"/>
      </w:r>
    </w:p>
    <w:p w14:paraId="5BBCB858" w14:textId="77777777" w:rsidR="00CF1FF0" w:rsidRPr="008F4089" w:rsidRDefault="00CF1FF0" w:rsidP="00362131">
      <w:pPr>
        <w:pStyle w:val="ListParagraph"/>
        <w:spacing w:line="360" w:lineRule="auto"/>
        <w:jc w:val="both"/>
        <w:rPr>
          <w:rFonts w:cs="Arial"/>
          <w:sz w:val="22"/>
          <w:szCs w:val="22"/>
        </w:rPr>
      </w:pPr>
    </w:p>
    <w:p w14:paraId="71F8FA62" w14:textId="7EB6105B" w:rsidR="0068100E" w:rsidRPr="006A1433" w:rsidRDefault="006A1433" w:rsidP="006A1433">
      <w:pPr>
        <w:spacing w:line="360" w:lineRule="auto"/>
        <w:ind w:left="720" w:hanging="11"/>
        <w:jc w:val="both"/>
        <w:rPr>
          <w:rFonts w:cs="Arial"/>
          <w:sz w:val="22"/>
          <w:szCs w:val="22"/>
        </w:rPr>
      </w:pPr>
      <w:r w:rsidRPr="008F4089">
        <w:rPr>
          <w:rFonts w:cs="Arial"/>
          <w:sz w:val="22"/>
          <w:szCs w:val="22"/>
        </w:rPr>
        <w:t>(b)</w:t>
      </w:r>
      <w:r w:rsidRPr="008F4089">
        <w:rPr>
          <w:rFonts w:cs="Arial"/>
          <w:sz w:val="22"/>
          <w:szCs w:val="22"/>
        </w:rPr>
        <w:tab/>
      </w:r>
      <w:r w:rsidR="00CF1FF0" w:rsidRPr="006A1433">
        <w:rPr>
          <w:rFonts w:cs="Arial"/>
          <w:sz w:val="22"/>
          <w:szCs w:val="22"/>
          <w:shd w:val="clear" w:color="auto" w:fill="FFFFFF"/>
        </w:rPr>
        <w:t xml:space="preserve">There is a difference between attendance and appearance – </w:t>
      </w:r>
    </w:p>
    <w:p w14:paraId="77AA6973" w14:textId="77777777" w:rsidR="008F4089" w:rsidRDefault="008F4089" w:rsidP="00362131">
      <w:pPr>
        <w:pStyle w:val="ListParagraph"/>
        <w:spacing w:line="360" w:lineRule="auto"/>
        <w:ind w:left="1440"/>
        <w:jc w:val="both"/>
        <w:rPr>
          <w:rFonts w:cs="Arial"/>
          <w:sz w:val="22"/>
          <w:szCs w:val="22"/>
          <w:shd w:val="clear" w:color="auto" w:fill="FFFFFF"/>
        </w:rPr>
      </w:pPr>
    </w:p>
    <w:p w14:paraId="5F9C57B0" w14:textId="77777777" w:rsidR="00CF1FF0" w:rsidRPr="008F4089" w:rsidRDefault="00CF1FF0" w:rsidP="00362131">
      <w:pPr>
        <w:pStyle w:val="ListParagraph"/>
        <w:spacing w:line="360" w:lineRule="auto"/>
        <w:ind w:left="1440"/>
        <w:jc w:val="both"/>
        <w:rPr>
          <w:rFonts w:cs="Arial"/>
          <w:sz w:val="22"/>
          <w:szCs w:val="22"/>
          <w:shd w:val="clear" w:color="auto" w:fill="FFFFFF"/>
        </w:rPr>
      </w:pPr>
      <w:r w:rsidRPr="008F4089">
        <w:rPr>
          <w:rFonts w:cs="Arial"/>
          <w:sz w:val="22"/>
          <w:szCs w:val="22"/>
          <w:shd w:val="clear" w:color="auto" w:fill="FFFFFF"/>
        </w:rPr>
        <w:t>‘The preparations for and work involved in an “appearance” at the hearing of an appeal are significantly more extensive and complex than that which an “attendance” only require – or so one would hope!’</w:t>
      </w:r>
      <w:r w:rsidRPr="008F4089">
        <w:rPr>
          <w:rStyle w:val="FootnoteReference"/>
          <w:rFonts w:cs="Arial"/>
          <w:sz w:val="22"/>
          <w:szCs w:val="22"/>
          <w:shd w:val="clear" w:color="auto" w:fill="FFFFFF"/>
        </w:rPr>
        <w:footnoteReference w:id="6"/>
      </w:r>
    </w:p>
    <w:p w14:paraId="0BDCDEF8" w14:textId="77777777" w:rsidR="00CF1FF0" w:rsidRPr="00CF1FF0" w:rsidRDefault="00CF1FF0" w:rsidP="00362131">
      <w:pPr>
        <w:spacing w:line="480" w:lineRule="auto"/>
        <w:jc w:val="both"/>
        <w:rPr>
          <w:rFonts w:cs="Arial"/>
        </w:rPr>
      </w:pPr>
    </w:p>
    <w:p w14:paraId="33629661" w14:textId="6C84CC69" w:rsidR="00FC33A1" w:rsidRDefault="006A1433" w:rsidP="006A1433">
      <w:pPr>
        <w:spacing w:line="480" w:lineRule="auto"/>
        <w:jc w:val="both"/>
      </w:pPr>
      <w:r>
        <w:t>[19]</w:t>
      </w:r>
      <w:r>
        <w:tab/>
      </w:r>
      <w:r w:rsidR="00CF1FF0">
        <w:t>The fact that the preparations of heads of argument is to be regarded as bei</w:t>
      </w:r>
      <w:r w:rsidR="004B5275">
        <w:t>ng part of the first day fee for</w:t>
      </w:r>
      <w:r w:rsidR="00CF1FF0">
        <w:t xml:space="preserve"> an appeal was dealt with as follows in </w:t>
      </w:r>
      <w:r w:rsidR="00CF1FF0" w:rsidRPr="006A1433">
        <w:rPr>
          <w:i/>
        </w:rPr>
        <w:t>Ocean Commodities</w:t>
      </w:r>
      <w:r w:rsidR="00601DD2" w:rsidRPr="006A1433">
        <w:rPr>
          <w:i/>
        </w:rPr>
        <w:t>:</w:t>
      </w:r>
      <w:r w:rsidR="00CF1FF0">
        <w:rPr>
          <w:rStyle w:val="FootnoteReference"/>
        </w:rPr>
        <w:footnoteReference w:id="7"/>
      </w:r>
    </w:p>
    <w:p w14:paraId="682FC93F" w14:textId="77777777" w:rsidR="00CF1FF0" w:rsidRDefault="00CF1FF0" w:rsidP="00362131">
      <w:pPr>
        <w:pStyle w:val="ListParagraph"/>
        <w:spacing w:line="480" w:lineRule="auto"/>
        <w:ind w:left="0"/>
        <w:jc w:val="both"/>
      </w:pPr>
    </w:p>
    <w:p w14:paraId="0C487711" w14:textId="77777777" w:rsidR="00CF1FF0" w:rsidRPr="008F4089" w:rsidRDefault="00F26430" w:rsidP="00362131">
      <w:pPr>
        <w:pStyle w:val="ListParagraph"/>
        <w:spacing w:line="360" w:lineRule="auto"/>
        <w:jc w:val="both"/>
        <w:rPr>
          <w:sz w:val="22"/>
          <w:szCs w:val="22"/>
        </w:rPr>
      </w:pPr>
      <w:r w:rsidRPr="008F4089">
        <w:rPr>
          <w:sz w:val="22"/>
          <w:szCs w:val="22"/>
        </w:rPr>
        <w:lastRenderedPageBreak/>
        <w:t xml:space="preserve">‘Heads of argument are drawn when counsel </w:t>
      </w:r>
      <w:r w:rsidR="00543733" w:rsidRPr="008F4089">
        <w:rPr>
          <w:sz w:val="22"/>
          <w:szCs w:val="22"/>
        </w:rPr>
        <w:t xml:space="preserve">has done his research and prepared for the appeal. They reflect the result of that research and preparation and, if counsel should thereafter, due to the lapse of time, regard it as necessary to consider them again, the extra work involved will normally not be so substantial as to warrant a separate fee. A Taxing Master </w:t>
      </w:r>
      <w:r w:rsidR="008F4089" w:rsidRPr="008F4089">
        <w:rPr>
          <w:sz w:val="22"/>
          <w:szCs w:val="22"/>
        </w:rPr>
        <w:t>could, of course, depending on the circumstances, and if persuaded that the extra work was such as to warrant his doing so, make allowance for that work when determining a composite fee for the whole of the appeal.’</w:t>
      </w:r>
    </w:p>
    <w:p w14:paraId="530C8058" w14:textId="77777777" w:rsidR="00CF1FF0" w:rsidRDefault="00CF1FF0" w:rsidP="00A91CB7">
      <w:pPr>
        <w:spacing w:line="480" w:lineRule="auto"/>
        <w:jc w:val="both"/>
      </w:pPr>
    </w:p>
    <w:p w14:paraId="21A4A083" w14:textId="6DCCDEF0" w:rsidR="00CF1FF0" w:rsidRDefault="006A1433" w:rsidP="006A1433">
      <w:pPr>
        <w:spacing w:line="480" w:lineRule="auto"/>
        <w:jc w:val="both"/>
      </w:pPr>
      <w:r>
        <w:t>[20]</w:t>
      </w:r>
      <w:r>
        <w:tab/>
      </w:r>
      <w:r w:rsidR="00CF1FF0">
        <w:t>I</w:t>
      </w:r>
      <w:r w:rsidR="00601DD2">
        <w:t>t</w:t>
      </w:r>
      <w:r w:rsidR="00CF1FF0">
        <w:t xml:space="preserve"> follows </w:t>
      </w:r>
      <w:r w:rsidR="00F26430">
        <w:t>that the</w:t>
      </w:r>
      <w:r w:rsidR="00473484">
        <w:t xml:space="preserve"> approach by the taxing m</w:t>
      </w:r>
      <w:r w:rsidR="00601DD2">
        <w:t>aster in th</w:t>
      </w:r>
      <w:r w:rsidR="00473484">
        <w:t>e t</w:t>
      </w:r>
      <w:r w:rsidR="00601DD2">
        <w:t xml:space="preserve">axation </w:t>
      </w:r>
      <w:r w:rsidR="00124E8A">
        <w:t>of the fees of the instructed legal practiti</w:t>
      </w:r>
      <w:r w:rsidR="00473484">
        <w:t>oners was fatally flawed as he</w:t>
      </w:r>
      <w:r w:rsidR="00124E8A">
        <w:t xml:space="preserve"> never attempted to determine the reasonable composite fees for the</w:t>
      </w:r>
      <w:r w:rsidR="00473484">
        <w:t>ir</w:t>
      </w:r>
      <w:r w:rsidR="00124E8A">
        <w:t xml:space="preserve"> appearances in the appeal </w:t>
      </w:r>
      <w:r w:rsidR="0088069B">
        <w:t xml:space="preserve">but simply cut down the hours of their claim and in fact allowed only </w:t>
      </w:r>
      <w:r w:rsidR="00473484">
        <w:t>three</w:t>
      </w:r>
      <w:r w:rsidR="0088069B">
        <w:t xml:space="preserve"> hours in respect of their appearances.</w:t>
      </w:r>
    </w:p>
    <w:p w14:paraId="43AE94AF" w14:textId="77777777" w:rsidR="00124E8A" w:rsidRPr="00CF1FF0" w:rsidRDefault="00124E8A" w:rsidP="00362131">
      <w:pPr>
        <w:pStyle w:val="ListParagraph"/>
        <w:spacing w:line="480" w:lineRule="auto"/>
        <w:ind w:left="0"/>
        <w:jc w:val="both"/>
      </w:pPr>
    </w:p>
    <w:p w14:paraId="1B8AE846" w14:textId="395E5F86" w:rsidR="008B2C41" w:rsidRDefault="006A1433" w:rsidP="006A1433">
      <w:pPr>
        <w:spacing w:line="480" w:lineRule="auto"/>
        <w:jc w:val="both"/>
      </w:pPr>
      <w:r>
        <w:t>[21]</w:t>
      </w:r>
      <w:r>
        <w:tab/>
      </w:r>
      <w:r w:rsidR="0088069B">
        <w:t xml:space="preserve">It follows that a day fee should have been allowed to the instructed legal practitioners for their appearances at the hearing which would have included the fees for their heads of argument and their preparation. On the </w:t>
      </w:r>
      <w:r w:rsidR="00253298">
        <w:t>fees accepted by the taxing m</w:t>
      </w:r>
      <w:r w:rsidR="0088069B">
        <w:t>aster this w</w:t>
      </w:r>
      <w:r w:rsidR="00253298">
        <w:t>ould have been N$15 000 and N$18</w:t>
      </w:r>
      <w:r w:rsidR="0088069B">
        <w:t> 000 respectively. Furthermore, seeing the time lapse between the first appeal and the second appeal, a refresher should have been allowed to them in respect of the preparing for the second appeal. In my view, another ha</w:t>
      </w:r>
      <w:r w:rsidR="00253298">
        <w:t xml:space="preserve">lf day would be reasonable, </w:t>
      </w:r>
      <w:proofErr w:type="spellStart"/>
      <w:proofErr w:type="gramStart"/>
      <w:r w:rsidR="00253298">
        <w:t>ie</w:t>
      </w:r>
      <w:proofErr w:type="spellEnd"/>
      <w:proofErr w:type="gramEnd"/>
      <w:r w:rsidR="0088069B">
        <w:t xml:space="preserve"> a further N$7500 and N$9000 respectively. (I should point out that refreshers are not granted as a matter of course in appeal</w:t>
      </w:r>
      <w:r w:rsidR="00253298">
        <w:t>s</w:t>
      </w:r>
      <w:r w:rsidR="0088069B">
        <w:t>).</w:t>
      </w:r>
      <w:r w:rsidR="0088069B">
        <w:rPr>
          <w:rStyle w:val="FootnoteReference"/>
        </w:rPr>
        <w:footnoteReference w:id="8"/>
      </w:r>
    </w:p>
    <w:p w14:paraId="3AFD9215" w14:textId="77777777" w:rsidR="0088069B" w:rsidRDefault="0088069B" w:rsidP="00362131">
      <w:pPr>
        <w:pStyle w:val="ListParagraph"/>
        <w:spacing w:line="480" w:lineRule="auto"/>
      </w:pPr>
    </w:p>
    <w:p w14:paraId="2CDA0280" w14:textId="1E31B220" w:rsidR="0088069B" w:rsidRDefault="006A1433" w:rsidP="006A1433">
      <w:pPr>
        <w:spacing w:line="480" w:lineRule="auto"/>
        <w:jc w:val="both"/>
      </w:pPr>
      <w:r>
        <w:lastRenderedPageBreak/>
        <w:t>[22]</w:t>
      </w:r>
      <w:r>
        <w:tab/>
      </w:r>
      <w:r w:rsidR="00253298">
        <w:t>I have pointed out that the r</w:t>
      </w:r>
      <w:r w:rsidR="0088069B">
        <w:t xml:space="preserve">egistrar </w:t>
      </w:r>
      <w:r w:rsidR="00ED41C0">
        <w:t>accepted certain r</w:t>
      </w:r>
      <w:r w:rsidR="00253298">
        <w:t>ates for the purpose of the t</w:t>
      </w:r>
      <w:r w:rsidR="0088069B">
        <w:t>axation.</w:t>
      </w:r>
      <w:r w:rsidR="00ED41C0">
        <w:t xml:space="preserve"> Whereas I am not that concerned about the rate of N$1500 per hour for the junior instructed legal practitioner</w:t>
      </w:r>
      <w:r w:rsidR="004B5275">
        <w:t>,</w:t>
      </w:r>
      <w:r w:rsidR="00ED41C0">
        <w:t xml:space="preserve"> I am not sure that the rate accepted in respect of the senior instructed practitioner is a reasonable one. I suspect it is too low. I however, not having to deal with taxations </w:t>
      </w:r>
      <w:proofErr w:type="gramStart"/>
      <w:r w:rsidR="00ED41C0">
        <w:t>on a daily basis</w:t>
      </w:r>
      <w:proofErr w:type="gramEnd"/>
      <w:r w:rsidR="00ED41C0">
        <w:t xml:space="preserve">, </w:t>
      </w:r>
      <w:r w:rsidR="004B5275">
        <w:t xml:space="preserve">I </w:t>
      </w:r>
      <w:r w:rsidR="00253298">
        <w:t xml:space="preserve">am </w:t>
      </w:r>
      <w:r w:rsidR="00ED41C0">
        <w:t xml:space="preserve">unable to express a definite view on this matter. I </w:t>
      </w:r>
      <w:r w:rsidR="00253298">
        <w:t>would however suggest that the taxing m</w:t>
      </w:r>
      <w:r w:rsidR="00ED41C0">
        <w:t>aster revisit this issue and adjust the rate to reflect the reasonable marker rate for the services rendered by instructed legal practitioners in appeals.</w:t>
      </w:r>
    </w:p>
    <w:p w14:paraId="429EBE4B" w14:textId="77777777" w:rsidR="0088069B" w:rsidRDefault="0088069B" w:rsidP="00A91CB7">
      <w:pPr>
        <w:spacing w:line="480" w:lineRule="auto"/>
      </w:pPr>
    </w:p>
    <w:p w14:paraId="5EF71C42" w14:textId="0083483C" w:rsidR="004B5275" w:rsidRDefault="006A1433" w:rsidP="006A1433">
      <w:pPr>
        <w:spacing w:line="480" w:lineRule="auto"/>
        <w:jc w:val="both"/>
      </w:pPr>
      <w:r>
        <w:t>[23]</w:t>
      </w:r>
      <w:r>
        <w:tab/>
      </w:r>
      <w:r w:rsidR="00253298">
        <w:t>The taxing m</w:t>
      </w:r>
      <w:r w:rsidR="00ED41C0">
        <w:t>aster, based on the hourly rates accepted by him, allowed the fees of the junior instructed legal practitioner in the amount of N$10 500 and in respect of senior instructed legal practitioner in the amount of N$19</w:t>
      </w:r>
      <w:r w:rsidR="006D695C">
        <w:t> </w:t>
      </w:r>
      <w:r w:rsidR="00ED41C0">
        <w:t>800</w:t>
      </w:r>
      <w:r w:rsidR="006D695C">
        <w:t xml:space="preserve"> (he also allowed the latter disb</w:t>
      </w:r>
      <w:r w:rsidR="00253298">
        <w:t>ursements in the amount of N$88,50). The difference between</w:t>
      </w:r>
      <w:r w:rsidR="006D695C">
        <w:t xml:space="preserve"> what was allowed and what should have been allowed is as follows. In respect of the junior instructed legal practitioner, it is N$12 000 (</w:t>
      </w:r>
      <w:r w:rsidR="00253298">
        <w:t>N$</w:t>
      </w:r>
      <w:r w:rsidR="006D695C">
        <w:t xml:space="preserve">15 000 + </w:t>
      </w:r>
      <w:r w:rsidR="00253298">
        <w:t>N$</w:t>
      </w:r>
      <w:r w:rsidR="006D695C">
        <w:t xml:space="preserve">7 500 – </w:t>
      </w:r>
      <w:r w:rsidR="00253298">
        <w:t>N$</w:t>
      </w:r>
      <w:r w:rsidR="006D695C">
        <w:t xml:space="preserve">10 500). In respect of the senior instructed legal </w:t>
      </w:r>
      <w:proofErr w:type="gramStart"/>
      <w:r w:rsidR="006D695C">
        <w:t>practitioner</w:t>
      </w:r>
      <w:proofErr w:type="gramEnd"/>
      <w:r w:rsidR="006D695C">
        <w:t xml:space="preserve"> it is N$7200 (</w:t>
      </w:r>
      <w:r w:rsidR="00253298">
        <w:t>N$</w:t>
      </w:r>
      <w:r w:rsidR="006D695C">
        <w:t xml:space="preserve">18 000 + </w:t>
      </w:r>
      <w:r w:rsidR="00253298">
        <w:t>N$</w:t>
      </w:r>
      <w:r w:rsidR="006D695C">
        <w:t xml:space="preserve">9000 – </w:t>
      </w:r>
      <w:r w:rsidR="00253298">
        <w:t>N$</w:t>
      </w:r>
      <w:r w:rsidR="006D695C">
        <w:t xml:space="preserve">19 800) to this latter amount the disbursements allowed must be added back. It follows that the </w:t>
      </w:r>
      <w:proofErr w:type="spellStart"/>
      <w:r w:rsidR="00BD1F20" w:rsidRPr="006A1433">
        <w:rPr>
          <w:i/>
        </w:rPr>
        <w:t>allocatur</w:t>
      </w:r>
      <w:proofErr w:type="spellEnd"/>
      <w:r w:rsidR="006D695C">
        <w:t xml:space="preserve"> should thus have been issued with an additional amount of N$19</w:t>
      </w:r>
      <w:r w:rsidR="00CC4811">
        <w:t> </w:t>
      </w:r>
      <w:r w:rsidR="006D695C">
        <w:t>288</w:t>
      </w:r>
      <w:r w:rsidR="00CC4811">
        <w:t>,</w:t>
      </w:r>
      <w:r w:rsidR="006D695C">
        <w:t xml:space="preserve">50 </w:t>
      </w:r>
      <w:r w:rsidR="00CC4811">
        <w:t>added to it (</w:t>
      </w:r>
      <w:r w:rsidR="00253298">
        <w:t>N$</w:t>
      </w:r>
      <w:r w:rsidR="00CC4811">
        <w:t xml:space="preserve">12 000 + </w:t>
      </w:r>
      <w:r w:rsidR="00253298">
        <w:t>N$</w:t>
      </w:r>
      <w:r w:rsidR="00CC4811">
        <w:t xml:space="preserve">7200 + </w:t>
      </w:r>
      <w:r w:rsidR="00253298">
        <w:t>N$</w:t>
      </w:r>
      <w:r w:rsidR="00CC4811">
        <w:t>88,</w:t>
      </w:r>
      <w:r w:rsidR="006D695C">
        <w:t xml:space="preserve">50). </w:t>
      </w:r>
    </w:p>
    <w:p w14:paraId="49040816" w14:textId="77777777" w:rsidR="004B5275" w:rsidRDefault="004B5275" w:rsidP="00A91CB7">
      <w:pPr>
        <w:spacing w:line="480" w:lineRule="auto"/>
      </w:pPr>
    </w:p>
    <w:p w14:paraId="3AB7145A" w14:textId="6122E35D" w:rsidR="0088069B" w:rsidRDefault="006A1433" w:rsidP="006A1433">
      <w:pPr>
        <w:spacing w:line="480" w:lineRule="auto"/>
        <w:jc w:val="both"/>
      </w:pPr>
      <w:r>
        <w:t>[24]</w:t>
      </w:r>
      <w:r>
        <w:tab/>
      </w:r>
      <w:r w:rsidR="006D695C">
        <w:t>As no costs are sought in the revi</w:t>
      </w:r>
      <w:r w:rsidR="00253298">
        <w:t>ew, no cost order will be made.</w:t>
      </w:r>
    </w:p>
    <w:p w14:paraId="1C948ACD" w14:textId="77777777" w:rsidR="0088069B" w:rsidRDefault="0088069B" w:rsidP="00A91CB7">
      <w:pPr>
        <w:spacing w:line="480" w:lineRule="auto"/>
      </w:pPr>
    </w:p>
    <w:p w14:paraId="099DA69A" w14:textId="4F9B8372" w:rsidR="0088069B" w:rsidRDefault="006A1433" w:rsidP="006A1433">
      <w:pPr>
        <w:spacing w:line="480" w:lineRule="auto"/>
        <w:jc w:val="both"/>
      </w:pPr>
      <w:r>
        <w:t>[25]</w:t>
      </w:r>
      <w:r>
        <w:tab/>
      </w:r>
      <w:r w:rsidR="006D695C">
        <w:t xml:space="preserve">In the result the </w:t>
      </w:r>
      <w:proofErr w:type="spellStart"/>
      <w:r w:rsidR="00BD1F20" w:rsidRPr="006A1433">
        <w:rPr>
          <w:i/>
        </w:rPr>
        <w:t>allocatur</w:t>
      </w:r>
      <w:proofErr w:type="spellEnd"/>
      <w:r w:rsidR="006D695C">
        <w:t xml:space="preserve"> that was issued </w:t>
      </w:r>
      <w:r w:rsidR="00EB3833">
        <w:t>in the amount of N$45 660,</w:t>
      </w:r>
      <w:r w:rsidR="00543733">
        <w:t>52 should be altered to read N$64</w:t>
      </w:r>
      <w:r w:rsidR="00BD1F20">
        <w:t> </w:t>
      </w:r>
      <w:r w:rsidR="00543733">
        <w:t>942</w:t>
      </w:r>
      <w:r w:rsidR="00BD1F20">
        <w:t>,</w:t>
      </w:r>
      <w:r w:rsidR="00543733">
        <w:t>02 (</w:t>
      </w:r>
      <w:r w:rsidR="00253298">
        <w:t>N$</w:t>
      </w:r>
      <w:r w:rsidR="008632CF">
        <w:t>45 660,</w:t>
      </w:r>
      <w:r w:rsidR="00543733">
        <w:t xml:space="preserve">52 + </w:t>
      </w:r>
      <w:r w:rsidR="00253298">
        <w:t>N$</w:t>
      </w:r>
      <w:r w:rsidR="00543733">
        <w:t>19</w:t>
      </w:r>
      <w:r w:rsidR="00BD1F20">
        <w:t> </w:t>
      </w:r>
      <w:r w:rsidR="00543733">
        <w:t>288</w:t>
      </w:r>
      <w:r w:rsidR="00BD1F20">
        <w:t>,</w:t>
      </w:r>
      <w:r w:rsidR="00543733">
        <w:t>50). I thus make the following order:</w:t>
      </w:r>
    </w:p>
    <w:p w14:paraId="000D2A68" w14:textId="77777777" w:rsidR="0088069B" w:rsidRDefault="0088069B" w:rsidP="00A91CB7">
      <w:pPr>
        <w:pStyle w:val="ListParagraph"/>
        <w:spacing w:line="480" w:lineRule="auto"/>
      </w:pPr>
    </w:p>
    <w:p w14:paraId="14207DB3" w14:textId="57D69E7F" w:rsidR="0088069B" w:rsidRDefault="006A1433" w:rsidP="006A1433">
      <w:pPr>
        <w:spacing w:line="480" w:lineRule="auto"/>
        <w:ind w:left="1080" w:hanging="360"/>
        <w:jc w:val="both"/>
      </w:pPr>
      <w:r>
        <w:t>(a)</w:t>
      </w:r>
      <w:r>
        <w:tab/>
      </w:r>
      <w:r w:rsidR="00543733">
        <w:t>The taxation review succeeds.</w:t>
      </w:r>
    </w:p>
    <w:p w14:paraId="3D82EC0F" w14:textId="77777777" w:rsidR="004B5275" w:rsidRDefault="004B5275" w:rsidP="00A91CB7">
      <w:pPr>
        <w:pStyle w:val="ListParagraph"/>
        <w:spacing w:line="480" w:lineRule="auto"/>
        <w:ind w:left="1134"/>
        <w:jc w:val="both"/>
      </w:pPr>
    </w:p>
    <w:p w14:paraId="62A6CD23" w14:textId="0009C9C4" w:rsidR="00543733" w:rsidRDefault="006A1433" w:rsidP="006A1433">
      <w:pPr>
        <w:spacing w:line="480" w:lineRule="auto"/>
        <w:ind w:left="1080" w:hanging="360"/>
        <w:jc w:val="both"/>
      </w:pPr>
      <w:r>
        <w:t>(b)</w:t>
      </w:r>
      <w:r>
        <w:tab/>
      </w:r>
      <w:r w:rsidR="00543733">
        <w:t xml:space="preserve">The Taxing Master’s </w:t>
      </w:r>
      <w:proofErr w:type="spellStart"/>
      <w:r w:rsidR="00543733" w:rsidRPr="006A1433">
        <w:rPr>
          <w:i/>
        </w:rPr>
        <w:t>allocat</w:t>
      </w:r>
      <w:r w:rsidR="009C23AC" w:rsidRPr="006A1433">
        <w:rPr>
          <w:i/>
        </w:rPr>
        <w:t>u</w:t>
      </w:r>
      <w:r w:rsidR="00543733" w:rsidRPr="006A1433">
        <w:rPr>
          <w:i/>
        </w:rPr>
        <w:t>r</w:t>
      </w:r>
      <w:proofErr w:type="spellEnd"/>
      <w:r w:rsidR="00543733">
        <w:t xml:space="preserve"> is set aside and the following is substituted for it:</w:t>
      </w:r>
      <w:r w:rsidR="00543733">
        <w:tab/>
      </w:r>
    </w:p>
    <w:p w14:paraId="3418AF9A" w14:textId="77777777" w:rsidR="00543733" w:rsidRDefault="00543733" w:rsidP="00A91CB7">
      <w:pPr>
        <w:pStyle w:val="ListParagraph"/>
        <w:spacing w:line="480" w:lineRule="auto"/>
        <w:ind w:left="1701"/>
        <w:jc w:val="both"/>
      </w:pPr>
      <w:r>
        <w:t>‘Taxed and</w:t>
      </w:r>
      <w:r w:rsidR="00BD1F20">
        <w:t xml:space="preserve"> allowed in the sum of N$64 942,</w:t>
      </w:r>
      <w:r>
        <w:t>50.’</w:t>
      </w:r>
    </w:p>
    <w:p w14:paraId="32157266" w14:textId="77777777" w:rsidR="004A7E07" w:rsidRDefault="004A7E07" w:rsidP="00362131">
      <w:pPr>
        <w:spacing w:line="480" w:lineRule="auto"/>
        <w:jc w:val="both"/>
      </w:pPr>
    </w:p>
    <w:p w14:paraId="7BD28985" w14:textId="77777777" w:rsidR="00341B7F" w:rsidRDefault="00341B7F" w:rsidP="00362131">
      <w:pPr>
        <w:spacing w:line="480" w:lineRule="auto"/>
        <w:jc w:val="both"/>
      </w:pPr>
    </w:p>
    <w:p w14:paraId="56F2A4AF" w14:textId="77777777" w:rsidR="00341B7F" w:rsidRDefault="00341B7F" w:rsidP="00362131">
      <w:pPr>
        <w:spacing w:line="480" w:lineRule="auto"/>
        <w:jc w:val="both"/>
      </w:pPr>
    </w:p>
    <w:p w14:paraId="35A4A0AC" w14:textId="77777777" w:rsidR="004B5275" w:rsidRPr="00341B7F" w:rsidRDefault="004B5275" w:rsidP="00362131">
      <w:pPr>
        <w:spacing w:line="360" w:lineRule="auto"/>
        <w:jc w:val="both"/>
        <w:rPr>
          <w:b/>
        </w:rPr>
      </w:pPr>
      <w:r w:rsidRPr="00341B7F">
        <w:rPr>
          <w:b/>
        </w:rPr>
        <w:t>__________________</w:t>
      </w:r>
    </w:p>
    <w:p w14:paraId="07B4AAD3" w14:textId="77777777" w:rsidR="004B5275" w:rsidRDefault="004B5275" w:rsidP="00362131">
      <w:pPr>
        <w:spacing w:line="360" w:lineRule="auto"/>
        <w:jc w:val="both"/>
        <w:rPr>
          <w:b/>
        </w:rPr>
      </w:pPr>
      <w:r w:rsidRPr="00341B7F">
        <w:rPr>
          <w:b/>
        </w:rPr>
        <w:t>FRANK AJA</w:t>
      </w:r>
    </w:p>
    <w:p w14:paraId="390A06F1" w14:textId="77777777" w:rsidR="00FA1E81" w:rsidRDefault="00FA1E81" w:rsidP="00362131">
      <w:pPr>
        <w:spacing w:line="360" w:lineRule="auto"/>
        <w:jc w:val="both"/>
        <w:rPr>
          <w:b/>
        </w:rPr>
      </w:pPr>
    </w:p>
    <w:p w14:paraId="50B91E6C" w14:textId="77777777" w:rsidR="00FA1E81" w:rsidRDefault="00FA1E81" w:rsidP="00362131">
      <w:pPr>
        <w:spacing w:line="360" w:lineRule="auto"/>
        <w:jc w:val="both"/>
        <w:rPr>
          <w:b/>
        </w:rPr>
      </w:pPr>
    </w:p>
    <w:p w14:paraId="68D0EB06" w14:textId="77777777" w:rsidR="00FA1E81" w:rsidRDefault="00FA1E81" w:rsidP="00362131">
      <w:pPr>
        <w:spacing w:line="360" w:lineRule="auto"/>
        <w:jc w:val="both"/>
        <w:rPr>
          <w:b/>
        </w:rPr>
      </w:pPr>
    </w:p>
    <w:p w14:paraId="31D5448F" w14:textId="77777777" w:rsidR="00FA1E81" w:rsidRDefault="00FA1E81" w:rsidP="00362131">
      <w:pPr>
        <w:spacing w:line="360" w:lineRule="auto"/>
        <w:jc w:val="both"/>
        <w:rPr>
          <w:b/>
        </w:rPr>
      </w:pPr>
    </w:p>
    <w:p w14:paraId="5DB3F3B2" w14:textId="77777777" w:rsidR="00FA1E81" w:rsidRDefault="00FA1E81" w:rsidP="00362131">
      <w:pPr>
        <w:spacing w:line="360" w:lineRule="auto"/>
        <w:jc w:val="both"/>
        <w:rPr>
          <w:b/>
        </w:rPr>
      </w:pPr>
    </w:p>
    <w:p w14:paraId="5B98D405" w14:textId="77777777" w:rsidR="00FA1E81" w:rsidRDefault="00FA1E81" w:rsidP="00362131">
      <w:pPr>
        <w:spacing w:line="360" w:lineRule="auto"/>
        <w:jc w:val="both"/>
        <w:rPr>
          <w:b/>
        </w:rPr>
      </w:pPr>
    </w:p>
    <w:p w14:paraId="110AB449" w14:textId="77777777" w:rsidR="00FA1E81" w:rsidRDefault="00FA1E81" w:rsidP="00362131">
      <w:pPr>
        <w:spacing w:line="360" w:lineRule="auto"/>
        <w:jc w:val="both"/>
        <w:rPr>
          <w:b/>
        </w:rPr>
      </w:pPr>
    </w:p>
    <w:p w14:paraId="62B320A5" w14:textId="77777777" w:rsidR="00FA1E81" w:rsidRDefault="00FA1E81" w:rsidP="00362131">
      <w:pPr>
        <w:spacing w:line="360" w:lineRule="auto"/>
        <w:jc w:val="both"/>
        <w:rPr>
          <w:b/>
        </w:rPr>
      </w:pPr>
    </w:p>
    <w:p w14:paraId="0CF848C4" w14:textId="77777777" w:rsidR="00FA1E81" w:rsidRDefault="00FA1E81" w:rsidP="00362131">
      <w:pPr>
        <w:spacing w:line="360" w:lineRule="auto"/>
        <w:jc w:val="both"/>
        <w:rPr>
          <w:b/>
        </w:rPr>
      </w:pPr>
    </w:p>
    <w:p w14:paraId="2C0C2D1E" w14:textId="77777777" w:rsidR="00FA1E81" w:rsidRDefault="00FA1E81" w:rsidP="00362131">
      <w:pPr>
        <w:spacing w:line="360" w:lineRule="auto"/>
        <w:jc w:val="both"/>
        <w:rPr>
          <w:b/>
        </w:rPr>
      </w:pPr>
    </w:p>
    <w:p w14:paraId="6A2BAE4A" w14:textId="77777777" w:rsidR="00FA1E81" w:rsidRDefault="00FA1E81" w:rsidP="00362131">
      <w:pPr>
        <w:spacing w:line="360" w:lineRule="auto"/>
        <w:jc w:val="both"/>
        <w:rPr>
          <w:b/>
        </w:rPr>
      </w:pPr>
    </w:p>
    <w:p w14:paraId="28CA3748" w14:textId="77777777" w:rsidR="00FA1E81" w:rsidRDefault="00FA1E81" w:rsidP="00362131">
      <w:pPr>
        <w:spacing w:line="360" w:lineRule="auto"/>
        <w:jc w:val="both"/>
        <w:rPr>
          <w:b/>
        </w:rPr>
      </w:pPr>
    </w:p>
    <w:p w14:paraId="70B79C4C" w14:textId="77777777" w:rsidR="00FA1E81" w:rsidRDefault="00FA1E81" w:rsidP="00362131">
      <w:pPr>
        <w:spacing w:line="360" w:lineRule="auto"/>
        <w:jc w:val="both"/>
        <w:rPr>
          <w:b/>
        </w:rPr>
      </w:pPr>
    </w:p>
    <w:p w14:paraId="4EF3F2F7" w14:textId="77777777" w:rsidR="00FA1E81" w:rsidRDefault="00FA1E81" w:rsidP="00362131">
      <w:pPr>
        <w:spacing w:line="360" w:lineRule="auto"/>
        <w:jc w:val="both"/>
        <w:rPr>
          <w:b/>
        </w:rPr>
      </w:pPr>
    </w:p>
    <w:p w14:paraId="7FBCC22C" w14:textId="77777777" w:rsidR="00FA1E81" w:rsidRDefault="00FA1E81" w:rsidP="00362131">
      <w:pPr>
        <w:spacing w:line="360" w:lineRule="auto"/>
        <w:jc w:val="both"/>
        <w:rPr>
          <w:b/>
        </w:rPr>
      </w:pPr>
    </w:p>
    <w:p w14:paraId="07720707" w14:textId="77777777" w:rsidR="00FA1E81" w:rsidRDefault="00FA1E81" w:rsidP="00362131">
      <w:pPr>
        <w:spacing w:line="360" w:lineRule="auto"/>
        <w:jc w:val="both"/>
        <w:rPr>
          <w:b/>
        </w:rPr>
      </w:pPr>
    </w:p>
    <w:p w14:paraId="3C844087" w14:textId="77777777" w:rsidR="00FA1E81" w:rsidRDefault="00FA1E81" w:rsidP="00362131">
      <w:pPr>
        <w:spacing w:line="360" w:lineRule="auto"/>
        <w:jc w:val="both"/>
        <w:rPr>
          <w:b/>
        </w:rPr>
      </w:pPr>
    </w:p>
    <w:p w14:paraId="38AC6298" w14:textId="77777777" w:rsidR="00FA1E81" w:rsidRDefault="00FA1E81" w:rsidP="00362131">
      <w:pPr>
        <w:spacing w:line="360" w:lineRule="auto"/>
        <w:jc w:val="both"/>
        <w:rPr>
          <w:b/>
        </w:rPr>
      </w:pPr>
    </w:p>
    <w:p w14:paraId="484F3C1B" w14:textId="77777777" w:rsidR="00FA1E81" w:rsidRDefault="00FA1E81" w:rsidP="00362131">
      <w:pPr>
        <w:spacing w:line="360" w:lineRule="auto"/>
        <w:jc w:val="both"/>
        <w:rPr>
          <w:b/>
        </w:rPr>
      </w:pPr>
    </w:p>
    <w:p w14:paraId="22C1BE50" w14:textId="77777777" w:rsidR="00FA1E81" w:rsidRPr="00FC5618" w:rsidRDefault="00FA1E81" w:rsidP="00FA1E81">
      <w:pPr>
        <w:jc w:val="both"/>
        <w:rPr>
          <w:rFonts w:cs="Arial"/>
        </w:rPr>
      </w:pPr>
      <w:r w:rsidRPr="00FC5618">
        <w:rPr>
          <w:rFonts w:cs="Arial"/>
        </w:rPr>
        <w:lastRenderedPageBreak/>
        <w:t>APPEARANCES</w:t>
      </w:r>
    </w:p>
    <w:p w14:paraId="7DAEC91E" w14:textId="77777777" w:rsidR="00FA1E81" w:rsidRPr="00FC5618" w:rsidRDefault="00FA1E81" w:rsidP="00FA1E81">
      <w:pPr>
        <w:jc w:val="both"/>
        <w:rPr>
          <w:rFonts w:cs="Arial"/>
        </w:rPr>
      </w:pPr>
    </w:p>
    <w:tbl>
      <w:tblPr>
        <w:tblW w:w="0" w:type="auto"/>
        <w:tblLook w:val="04A0" w:firstRow="1" w:lastRow="0" w:firstColumn="1" w:lastColumn="0" w:noHBand="0" w:noVBand="1"/>
      </w:tblPr>
      <w:tblGrid>
        <w:gridCol w:w="4381"/>
        <w:gridCol w:w="4406"/>
      </w:tblGrid>
      <w:tr w:rsidR="00FA1E81" w:rsidRPr="00FC5618" w14:paraId="66E40E52" w14:textId="77777777" w:rsidTr="0031340D">
        <w:tc>
          <w:tcPr>
            <w:tcW w:w="4503" w:type="dxa"/>
            <w:shd w:val="clear" w:color="auto" w:fill="auto"/>
          </w:tcPr>
          <w:p w14:paraId="35667DBC" w14:textId="77777777" w:rsidR="00FA1E81" w:rsidRPr="00FC5618" w:rsidRDefault="00FA1E81" w:rsidP="00FA1E81">
            <w:pPr>
              <w:spacing w:line="480" w:lineRule="auto"/>
              <w:ind w:left="-108" w:right="-146"/>
              <w:rPr>
                <w:rFonts w:cs="Arial"/>
              </w:rPr>
            </w:pPr>
            <w:r w:rsidRPr="00FC5618">
              <w:rPr>
                <w:rFonts w:cs="Arial"/>
              </w:rPr>
              <w:t>A</w:t>
            </w:r>
            <w:r>
              <w:rPr>
                <w:rFonts w:cs="Arial"/>
              </w:rPr>
              <w:t>PPLICAN</w:t>
            </w:r>
            <w:r w:rsidRPr="00FC5618">
              <w:rPr>
                <w:rFonts w:cs="Arial"/>
              </w:rPr>
              <w:t>T:</w:t>
            </w:r>
          </w:p>
        </w:tc>
        <w:tc>
          <w:tcPr>
            <w:tcW w:w="4551" w:type="dxa"/>
            <w:shd w:val="clear" w:color="auto" w:fill="auto"/>
          </w:tcPr>
          <w:p w14:paraId="37F25643" w14:textId="77777777" w:rsidR="00FA1E81" w:rsidRPr="00FC5618" w:rsidRDefault="00FA1E81" w:rsidP="00FA1E81">
            <w:pPr>
              <w:spacing w:line="480" w:lineRule="auto"/>
              <w:rPr>
                <w:rFonts w:cs="Arial"/>
              </w:rPr>
            </w:pPr>
            <w:r>
              <w:rPr>
                <w:rFonts w:cs="Arial"/>
              </w:rPr>
              <w:t>R Mondo</w:t>
            </w:r>
          </w:p>
        </w:tc>
      </w:tr>
      <w:tr w:rsidR="00FA1E81" w:rsidRPr="00FC5618" w14:paraId="7D40D0C3" w14:textId="77777777" w:rsidTr="0031340D">
        <w:tc>
          <w:tcPr>
            <w:tcW w:w="4503" w:type="dxa"/>
            <w:shd w:val="clear" w:color="auto" w:fill="auto"/>
          </w:tcPr>
          <w:p w14:paraId="560652A7" w14:textId="77777777" w:rsidR="00FA1E81" w:rsidRPr="00FC5618" w:rsidRDefault="00FA1E81" w:rsidP="0031340D">
            <w:pPr>
              <w:spacing w:line="480" w:lineRule="auto"/>
              <w:rPr>
                <w:rFonts w:cs="Arial"/>
              </w:rPr>
            </w:pPr>
          </w:p>
        </w:tc>
        <w:tc>
          <w:tcPr>
            <w:tcW w:w="4551" w:type="dxa"/>
            <w:shd w:val="clear" w:color="auto" w:fill="auto"/>
          </w:tcPr>
          <w:p w14:paraId="4B9DBBF7" w14:textId="77777777" w:rsidR="00FA1E81" w:rsidRPr="00FC5618" w:rsidRDefault="00FA1E81" w:rsidP="00FA1E81">
            <w:pPr>
              <w:spacing w:line="480" w:lineRule="auto"/>
              <w:rPr>
                <w:rFonts w:cs="Arial"/>
              </w:rPr>
            </w:pPr>
            <w:r w:rsidRPr="00FC5618">
              <w:rPr>
                <w:rFonts w:cs="Arial"/>
              </w:rPr>
              <w:t xml:space="preserve">Instructed by </w:t>
            </w:r>
            <w:r>
              <w:rPr>
                <w:rFonts w:cs="Arial"/>
              </w:rPr>
              <w:t>Nixon Marcus Public Law Office</w:t>
            </w:r>
            <w:r w:rsidRPr="00FC5618">
              <w:rPr>
                <w:rFonts w:cs="Arial"/>
              </w:rPr>
              <w:t xml:space="preserve"> </w:t>
            </w:r>
          </w:p>
        </w:tc>
      </w:tr>
      <w:tr w:rsidR="00FA1E81" w:rsidRPr="00FC5618" w14:paraId="1550958D" w14:textId="77777777" w:rsidTr="0031340D">
        <w:tc>
          <w:tcPr>
            <w:tcW w:w="4503" w:type="dxa"/>
            <w:shd w:val="clear" w:color="auto" w:fill="auto"/>
          </w:tcPr>
          <w:p w14:paraId="3A95C778" w14:textId="77777777" w:rsidR="00FA1E81" w:rsidRPr="00FC5618" w:rsidRDefault="00FA1E81" w:rsidP="0031340D">
            <w:pPr>
              <w:spacing w:line="480" w:lineRule="auto"/>
              <w:rPr>
                <w:rFonts w:cs="Arial"/>
              </w:rPr>
            </w:pPr>
          </w:p>
        </w:tc>
        <w:tc>
          <w:tcPr>
            <w:tcW w:w="4551" w:type="dxa"/>
            <w:shd w:val="clear" w:color="auto" w:fill="auto"/>
          </w:tcPr>
          <w:p w14:paraId="1F121F89" w14:textId="77777777" w:rsidR="00FA1E81" w:rsidRPr="00FC5618" w:rsidRDefault="00FA1E81" w:rsidP="0031340D">
            <w:pPr>
              <w:spacing w:line="480" w:lineRule="auto"/>
              <w:rPr>
                <w:rFonts w:cs="Arial"/>
              </w:rPr>
            </w:pPr>
          </w:p>
        </w:tc>
      </w:tr>
      <w:tr w:rsidR="00FA1E81" w:rsidRPr="00FC5618" w14:paraId="270359E5" w14:textId="77777777" w:rsidTr="0031340D">
        <w:trPr>
          <w:trHeight w:val="328"/>
        </w:trPr>
        <w:tc>
          <w:tcPr>
            <w:tcW w:w="4503" w:type="dxa"/>
            <w:shd w:val="clear" w:color="auto" w:fill="auto"/>
          </w:tcPr>
          <w:p w14:paraId="4F860056" w14:textId="77777777" w:rsidR="00FA1E81" w:rsidRPr="00FC5618" w:rsidRDefault="00FA1E81" w:rsidP="0031340D">
            <w:pPr>
              <w:spacing w:line="480" w:lineRule="auto"/>
              <w:ind w:left="-108"/>
              <w:rPr>
                <w:rFonts w:cs="Arial"/>
              </w:rPr>
            </w:pPr>
            <w:r w:rsidRPr="00FC5618">
              <w:rPr>
                <w:rFonts w:cs="Arial"/>
              </w:rPr>
              <w:t>RESPONDENT:</w:t>
            </w:r>
          </w:p>
        </w:tc>
        <w:tc>
          <w:tcPr>
            <w:tcW w:w="4551" w:type="dxa"/>
            <w:shd w:val="clear" w:color="auto" w:fill="auto"/>
          </w:tcPr>
          <w:p w14:paraId="62C7D355" w14:textId="77777777" w:rsidR="00FA1E81" w:rsidRPr="00FC5618" w:rsidRDefault="00FA1E81" w:rsidP="0031340D">
            <w:pPr>
              <w:spacing w:line="480" w:lineRule="auto"/>
              <w:rPr>
                <w:rFonts w:cs="Arial"/>
              </w:rPr>
            </w:pPr>
            <w:r>
              <w:rPr>
                <w:rFonts w:cs="Arial"/>
              </w:rPr>
              <w:t xml:space="preserve">B </w:t>
            </w:r>
            <w:proofErr w:type="spellStart"/>
            <w:r>
              <w:rPr>
                <w:rFonts w:cs="Arial"/>
              </w:rPr>
              <w:t>Iita</w:t>
            </w:r>
            <w:proofErr w:type="spellEnd"/>
          </w:p>
        </w:tc>
      </w:tr>
      <w:tr w:rsidR="00FA1E81" w:rsidRPr="00FC5618" w14:paraId="7832FC6E" w14:textId="77777777" w:rsidTr="0031340D">
        <w:tc>
          <w:tcPr>
            <w:tcW w:w="4503" w:type="dxa"/>
            <w:shd w:val="clear" w:color="auto" w:fill="auto"/>
          </w:tcPr>
          <w:p w14:paraId="469C5CE4" w14:textId="77777777" w:rsidR="00FA1E81" w:rsidRPr="00FC5618" w:rsidRDefault="00FA1E81" w:rsidP="0031340D">
            <w:pPr>
              <w:spacing w:line="480" w:lineRule="auto"/>
              <w:rPr>
                <w:rFonts w:cs="Arial"/>
              </w:rPr>
            </w:pPr>
          </w:p>
        </w:tc>
        <w:tc>
          <w:tcPr>
            <w:tcW w:w="4551" w:type="dxa"/>
            <w:shd w:val="clear" w:color="auto" w:fill="auto"/>
          </w:tcPr>
          <w:p w14:paraId="77A4613B" w14:textId="77777777" w:rsidR="00FA1E81" w:rsidRPr="00FC5618" w:rsidRDefault="00FA1E81" w:rsidP="00FA1E81">
            <w:pPr>
              <w:spacing w:line="480" w:lineRule="auto"/>
              <w:rPr>
                <w:rFonts w:cs="Arial"/>
              </w:rPr>
            </w:pPr>
            <w:r w:rsidRPr="00FC5618">
              <w:rPr>
                <w:rFonts w:cs="Arial"/>
              </w:rPr>
              <w:t>Instructed by</w:t>
            </w:r>
            <w:r>
              <w:rPr>
                <w:rFonts w:cs="Arial"/>
              </w:rPr>
              <w:t xml:space="preserve"> </w:t>
            </w:r>
            <w:proofErr w:type="spellStart"/>
            <w:r>
              <w:rPr>
                <w:rFonts w:cs="Arial"/>
              </w:rPr>
              <w:t>Nambahu</w:t>
            </w:r>
            <w:proofErr w:type="spellEnd"/>
            <w:r>
              <w:rPr>
                <w:rFonts w:cs="Arial"/>
              </w:rPr>
              <w:t xml:space="preserve"> Associates</w:t>
            </w:r>
          </w:p>
        </w:tc>
      </w:tr>
    </w:tbl>
    <w:p w14:paraId="570B0CA8" w14:textId="77777777" w:rsidR="00FA1E81" w:rsidRPr="00427E76" w:rsidRDefault="00FA1E81" w:rsidP="00FA1E81">
      <w:pPr>
        <w:jc w:val="both"/>
        <w:rPr>
          <w:rFonts w:cs="Arial"/>
        </w:rPr>
      </w:pPr>
    </w:p>
    <w:p w14:paraId="5DF17D3E" w14:textId="77777777" w:rsidR="00FA1E81" w:rsidRPr="00341B7F" w:rsidRDefault="00FA1E81" w:rsidP="00362131">
      <w:pPr>
        <w:spacing w:line="360" w:lineRule="auto"/>
        <w:jc w:val="both"/>
        <w:rPr>
          <w:b/>
        </w:rPr>
      </w:pPr>
    </w:p>
    <w:sectPr w:rsidR="00FA1E81" w:rsidRPr="00341B7F" w:rsidSect="00EE0E06">
      <w:headerReference w:type="default" r:id="rId12"/>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E881" w14:textId="77777777" w:rsidR="00E145B9" w:rsidRDefault="00E145B9" w:rsidP="00C074F3">
      <w:r>
        <w:separator/>
      </w:r>
    </w:p>
  </w:endnote>
  <w:endnote w:type="continuationSeparator" w:id="0">
    <w:p w14:paraId="7766265C" w14:textId="77777777" w:rsidR="00E145B9" w:rsidRDefault="00E145B9" w:rsidP="00C0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CF9A" w14:textId="77777777" w:rsidR="00E145B9" w:rsidRDefault="00E145B9" w:rsidP="00C074F3">
      <w:r>
        <w:separator/>
      </w:r>
    </w:p>
  </w:footnote>
  <w:footnote w:type="continuationSeparator" w:id="0">
    <w:p w14:paraId="661E862C" w14:textId="77777777" w:rsidR="00E145B9" w:rsidRDefault="00E145B9" w:rsidP="00C074F3">
      <w:r>
        <w:continuationSeparator/>
      </w:r>
    </w:p>
  </w:footnote>
  <w:footnote w:id="1">
    <w:p w14:paraId="51D6B855" w14:textId="77777777" w:rsidR="00E00AFC" w:rsidRDefault="00E00AFC" w:rsidP="00BD1F20">
      <w:pPr>
        <w:pStyle w:val="FootnoteText"/>
        <w:jc w:val="both"/>
      </w:pPr>
      <w:r>
        <w:rPr>
          <w:rStyle w:val="FootnoteReference"/>
        </w:rPr>
        <w:footnoteRef/>
      </w:r>
      <w:r>
        <w:t xml:space="preserve"> </w:t>
      </w:r>
      <w:r>
        <w:rPr>
          <w:i/>
        </w:rPr>
        <w:t>Afshani</w:t>
      </w:r>
      <w:r w:rsidR="007A3666">
        <w:rPr>
          <w:i/>
        </w:rPr>
        <w:t xml:space="preserve"> &amp; another</w:t>
      </w:r>
      <w:r>
        <w:rPr>
          <w:i/>
        </w:rPr>
        <w:t xml:space="preserve"> v Vaatz NO</w:t>
      </w:r>
      <w:r>
        <w:t xml:space="preserve"> 2007 (2) NR 381 (SC).</w:t>
      </w:r>
    </w:p>
  </w:footnote>
  <w:footnote w:id="2">
    <w:p w14:paraId="356A76E3" w14:textId="77777777" w:rsidR="00E00AFC" w:rsidRPr="00BD1F20" w:rsidRDefault="00E00AFC" w:rsidP="00BD1F20">
      <w:pPr>
        <w:jc w:val="both"/>
        <w:rPr>
          <w:color w:val="000000" w:themeColor="text1"/>
        </w:rPr>
      </w:pPr>
      <w:r w:rsidRPr="00E00AFC">
        <w:rPr>
          <w:rStyle w:val="FootnoteReference"/>
          <w:rFonts w:cs="Arial"/>
          <w:sz w:val="20"/>
          <w:szCs w:val="20"/>
        </w:rPr>
        <w:footnoteRef/>
      </w:r>
      <w:r w:rsidRPr="00E00AFC">
        <w:rPr>
          <w:rFonts w:cs="Arial"/>
          <w:sz w:val="20"/>
          <w:szCs w:val="20"/>
        </w:rPr>
        <w:t xml:space="preserve"> </w:t>
      </w:r>
      <w:r w:rsidRPr="00E00AFC">
        <w:rPr>
          <w:rFonts w:cs="Arial"/>
          <w:i/>
          <w:sz w:val="20"/>
          <w:szCs w:val="20"/>
        </w:rPr>
        <w:t>Dannecker v Leopard Tours Car and Camping Hire CC</w:t>
      </w:r>
      <w:r w:rsidRPr="00E00AFC">
        <w:rPr>
          <w:rFonts w:cs="Arial"/>
          <w:sz w:val="20"/>
          <w:szCs w:val="20"/>
        </w:rPr>
        <w:t xml:space="preserve"> (SA 79/2016) [2020] NASC (17 September 2020)</w:t>
      </w:r>
      <w:r w:rsidR="00BD1F20">
        <w:rPr>
          <w:rFonts w:cs="Arial"/>
          <w:sz w:val="20"/>
          <w:szCs w:val="20"/>
        </w:rPr>
        <w:t xml:space="preserve">. Also see </w:t>
      </w:r>
      <w:r w:rsidR="00BD1F20" w:rsidRPr="00F42E30">
        <w:rPr>
          <w:rFonts w:cs="Arial"/>
          <w:bCs/>
          <w:i/>
          <w:color w:val="000000" w:themeColor="text1"/>
          <w:sz w:val="20"/>
          <w:szCs w:val="20"/>
          <w:shd w:val="clear" w:color="auto" w:fill="FFFFFF"/>
        </w:rPr>
        <w:t>Namibia Financial Institutions Supervisory Authority v Christian t/a Hope Financial Services</w:t>
      </w:r>
      <w:r w:rsidR="00BD1F20" w:rsidRPr="00F42E30">
        <w:rPr>
          <w:rFonts w:cs="Arial"/>
          <w:bCs/>
          <w:color w:val="000000" w:themeColor="text1"/>
          <w:sz w:val="20"/>
          <w:szCs w:val="20"/>
          <w:shd w:val="clear" w:color="auto" w:fill="FFFFFF"/>
        </w:rPr>
        <w:t xml:space="preserve"> (2) (SA 36 of 2016) [2020] NASC 58 (20 October 2020)</w:t>
      </w:r>
      <w:r w:rsidR="00BD1F20">
        <w:rPr>
          <w:rFonts w:cs="Arial"/>
          <w:bCs/>
          <w:color w:val="000000" w:themeColor="text1"/>
          <w:sz w:val="20"/>
          <w:szCs w:val="20"/>
          <w:shd w:val="clear" w:color="auto" w:fill="FFFFFF"/>
        </w:rPr>
        <w:t xml:space="preserve"> para 9.</w:t>
      </w:r>
    </w:p>
  </w:footnote>
  <w:footnote w:id="3">
    <w:p w14:paraId="505FAC6B" w14:textId="77777777" w:rsidR="00BD1F20" w:rsidRDefault="00BD1F20" w:rsidP="00D27265">
      <w:pPr>
        <w:pStyle w:val="FootnoteText"/>
        <w:jc w:val="both"/>
      </w:pPr>
      <w:r>
        <w:rPr>
          <w:rStyle w:val="FootnoteReference"/>
        </w:rPr>
        <w:footnoteRef/>
      </w:r>
      <w:r>
        <w:t xml:space="preserve"> </w:t>
      </w:r>
      <w:r w:rsidR="00D27265" w:rsidRPr="00D27265">
        <w:rPr>
          <w:i/>
        </w:rPr>
        <w:t>Hameva &amp; another v Minister of Home Affairs, Namibia</w:t>
      </w:r>
      <w:r w:rsidR="00D27265">
        <w:t xml:space="preserve"> 1997 (2) SA 756 (SC) and </w:t>
      </w:r>
      <w:r w:rsidR="00D27265" w:rsidRPr="00CF1FF0">
        <w:rPr>
          <w:i/>
        </w:rPr>
        <w:t>Ocean Commodities Inc. v Standard Bank of South Africa Ltd</w:t>
      </w:r>
      <w:r w:rsidR="00D27265" w:rsidRPr="00D27265">
        <w:t xml:space="preserve"> </w:t>
      </w:r>
      <w:r w:rsidR="00D27265">
        <w:t>1984 (3) SA 15 (A) at 18E-F.</w:t>
      </w:r>
    </w:p>
  </w:footnote>
  <w:footnote w:id="4">
    <w:p w14:paraId="0166696E" w14:textId="77777777" w:rsidR="00295180" w:rsidRPr="00295180" w:rsidRDefault="00295180">
      <w:pPr>
        <w:pStyle w:val="FootnoteText"/>
        <w:rPr>
          <w:lang w:val="en-US"/>
        </w:rPr>
      </w:pPr>
      <w:r>
        <w:rPr>
          <w:rStyle w:val="FootnoteReference"/>
        </w:rPr>
        <w:footnoteRef/>
      </w:r>
      <w:r>
        <w:t xml:space="preserve"> </w:t>
      </w:r>
      <w:r w:rsidR="00CC4811" w:rsidRPr="00FC33A1">
        <w:rPr>
          <w:i/>
        </w:rPr>
        <w:t>J</w:t>
      </w:r>
      <w:r w:rsidR="00CC4811">
        <w:rPr>
          <w:i/>
        </w:rPr>
        <w:t xml:space="preserve"> </w:t>
      </w:r>
      <w:r w:rsidR="00CC4811" w:rsidRPr="00FC33A1">
        <w:rPr>
          <w:i/>
        </w:rPr>
        <w:t xml:space="preserve">D van Niekerk en Genote </w:t>
      </w:r>
      <w:r w:rsidR="00CC4811">
        <w:rPr>
          <w:i/>
        </w:rPr>
        <w:t xml:space="preserve">ING </w:t>
      </w:r>
      <w:r w:rsidR="00CC4811" w:rsidRPr="00FC33A1">
        <w:rPr>
          <w:i/>
        </w:rPr>
        <w:t>v Administrat</w:t>
      </w:r>
      <w:r w:rsidR="00CC4811">
        <w:rPr>
          <w:i/>
        </w:rPr>
        <w:t>eu</w:t>
      </w:r>
      <w:r w:rsidR="00CC4811" w:rsidRPr="00FC33A1">
        <w:rPr>
          <w:i/>
        </w:rPr>
        <w:t>r, Transvaal</w:t>
      </w:r>
      <w:r w:rsidR="00CC4811">
        <w:t xml:space="preserve"> </w:t>
      </w:r>
      <w:r>
        <w:t>1994 (1) SA 595 (A) at 601H-602B. See also</w:t>
      </w:r>
      <w:r w:rsidR="007667D0">
        <w:t xml:space="preserve"> </w:t>
      </w:r>
      <w:r w:rsidR="007667D0" w:rsidRPr="00473484">
        <w:rPr>
          <w:i/>
        </w:rPr>
        <w:t xml:space="preserve">Scott &amp; another v </w:t>
      </w:r>
      <w:r w:rsidR="00473484" w:rsidRPr="00473484">
        <w:rPr>
          <w:i/>
        </w:rPr>
        <w:t>Poupard &amp; another</w:t>
      </w:r>
      <w:r w:rsidR="00473484">
        <w:t xml:space="preserve"> 1972 (1) SA 686 (A) at 690C-D</w:t>
      </w:r>
    </w:p>
  </w:footnote>
  <w:footnote w:id="5">
    <w:p w14:paraId="50E74B4B" w14:textId="77777777" w:rsidR="0068100E" w:rsidRPr="008F4089" w:rsidRDefault="0068100E">
      <w:pPr>
        <w:pStyle w:val="FootnoteText"/>
        <w:rPr>
          <w:lang w:val="en-US"/>
        </w:rPr>
      </w:pPr>
      <w:r>
        <w:rPr>
          <w:rStyle w:val="FootnoteReference"/>
        </w:rPr>
        <w:footnoteRef/>
      </w:r>
      <w:r>
        <w:t xml:space="preserve"> </w:t>
      </w:r>
      <w:r w:rsidR="008F4089">
        <w:rPr>
          <w:i/>
        </w:rPr>
        <w:t>A</w:t>
      </w:r>
      <w:r w:rsidR="007A3666">
        <w:rPr>
          <w:i/>
        </w:rPr>
        <w:t>f</w:t>
      </w:r>
      <w:r w:rsidR="008F4089">
        <w:rPr>
          <w:i/>
        </w:rPr>
        <w:t xml:space="preserve">shani </w:t>
      </w:r>
      <w:r w:rsidR="00473484">
        <w:t>at</w:t>
      </w:r>
      <w:r w:rsidR="008F4089">
        <w:t xml:space="preserve"> 392B-C.</w:t>
      </w:r>
    </w:p>
  </w:footnote>
  <w:footnote w:id="6">
    <w:p w14:paraId="54406E23" w14:textId="77777777" w:rsidR="00CF1FF0" w:rsidRPr="00CF1FF0" w:rsidRDefault="00CF1FF0">
      <w:pPr>
        <w:pStyle w:val="FootnoteText"/>
        <w:rPr>
          <w:lang w:val="en-US"/>
        </w:rPr>
      </w:pPr>
      <w:r>
        <w:rPr>
          <w:rStyle w:val="FootnoteReference"/>
        </w:rPr>
        <w:footnoteRef/>
      </w:r>
      <w:r>
        <w:t xml:space="preserve"> </w:t>
      </w:r>
      <w:r w:rsidR="008F4089">
        <w:rPr>
          <w:i/>
        </w:rPr>
        <w:t>A</w:t>
      </w:r>
      <w:r w:rsidR="00473484">
        <w:rPr>
          <w:i/>
        </w:rPr>
        <w:t>f</w:t>
      </w:r>
      <w:r w:rsidR="008F4089">
        <w:rPr>
          <w:i/>
        </w:rPr>
        <w:t>shani</w:t>
      </w:r>
      <w:r w:rsidR="008F4089" w:rsidRPr="00473484">
        <w:t xml:space="preserve"> </w:t>
      </w:r>
      <w:r w:rsidR="00473484" w:rsidRPr="00473484">
        <w:t>at</w:t>
      </w:r>
      <w:r w:rsidR="008F4089" w:rsidRPr="00473484">
        <w:t xml:space="preserve"> </w:t>
      </w:r>
      <w:r w:rsidR="008F4089">
        <w:t>389E-F.</w:t>
      </w:r>
    </w:p>
  </w:footnote>
  <w:footnote w:id="7">
    <w:p w14:paraId="46CE1D9D" w14:textId="77777777" w:rsidR="00CF1FF0" w:rsidRPr="00CF1FF0" w:rsidRDefault="00CF1FF0" w:rsidP="00CF1FF0">
      <w:pPr>
        <w:pStyle w:val="FootnoteText"/>
        <w:rPr>
          <w:lang w:val="en-US"/>
        </w:rPr>
      </w:pPr>
      <w:r>
        <w:rPr>
          <w:rStyle w:val="FootnoteReference"/>
        </w:rPr>
        <w:footnoteRef/>
      </w:r>
      <w:r>
        <w:t xml:space="preserve"> </w:t>
      </w:r>
      <w:r w:rsidR="00CC4811">
        <w:t>At</w:t>
      </w:r>
      <w:r w:rsidR="008F4089">
        <w:t xml:space="preserve"> 19</w:t>
      </w:r>
      <w:r w:rsidR="00253298">
        <w:t>C</w:t>
      </w:r>
      <w:r w:rsidR="008F4089">
        <w:t>-E.</w:t>
      </w:r>
    </w:p>
  </w:footnote>
  <w:footnote w:id="8">
    <w:p w14:paraId="6C52F543" w14:textId="77777777" w:rsidR="0088069B" w:rsidRDefault="0088069B">
      <w:pPr>
        <w:pStyle w:val="FootnoteText"/>
      </w:pPr>
      <w:r>
        <w:rPr>
          <w:rStyle w:val="FootnoteReference"/>
        </w:rPr>
        <w:footnoteRef/>
      </w:r>
      <w:r>
        <w:t xml:space="preserve"> </w:t>
      </w:r>
      <w:r w:rsidR="008F4089">
        <w:t xml:space="preserve">See </w:t>
      </w:r>
      <w:r w:rsidR="008F4089" w:rsidRPr="009C23AC">
        <w:rPr>
          <w:i/>
        </w:rPr>
        <w:t>Ocean Commodities</w:t>
      </w:r>
      <w:r w:rsidR="008F4089">
        <w:t xml:space="preserve"> </w:t>
      </w:r>
      <w:r w:rsidR="009C23AC">
        <w:t>at 19E-N.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1924"/>
      <w:docPartObj>
        <w:docPartGallery w:val="Page Numbers (Top of Page)"/>
        <w:docPartUnique/>
      </w:docPartObj>
    </w:sdtPr>
    <w:sdtEndPr>
      <w:rPr>
        <w:noProof/>
      </w:rPr>
    </w:sdtEndPr>
    <w:sdtContent>
      <w:p w14:paraId="37DD61A1" w14:textId="77777777" w:rsidR="00C074F3" w:rsidRDefault="00C074F3">
        <w:pPr>
          <w:pStyle w:val="Header"/>
          <w:jc w:val="right"/>
        </w:pPr>
        <w:r>
          <w:fldChar w:fldCharType="begin"/>
        </w:r>
        <w:r>
          <w:instrText xml:space="preserve"> PAGE   \* MERGEFORMAT </w:instrText>
        </w:r>
        <w:r>
          <w:fldChar w:fldCharType="separate"/>
        </w:r>
        <w:r w:rsidR="005E1CA1">
          <w:rPr>
            <w:noProof/>
          </w:rPr>
          <w:t>13</w:t>
        </w:r>
        <w:r>
          <w:rPr>
            <w:noProof/>
          </w:rPr>
          <w:fldChar w:fldCharType="end"/>
        </w:r>
      </w:p>
    </w:sdtContent>
  </w:sdt>
  <w:p w14:paraId="42F73468" w14:textId="77777777" w:rsidR="00C074F3" w:rsidRDefault="00C07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431A2"/>
    <w:multiLevelType w:val="hybridMultilevel"/>
    <w:tmpl w:val="9982836C"/>
    <w:lvl w:ilvl="0" w:tplc="53905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E7A9E"/>
    <w:multiLevelType w:val="hybridMultilevel"/>
    <w:tmpl w:val="F1864E36"/>
    <w:lvl w:ilvl="0" w:tplc="1BFCF5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1495EFE"/>
    <w:multiLevelType w:val="hybridMultilevel"/>
    <w:tmpl w:val="04300F5A"/>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5423B86"/>
    <w:multiLevelType w:val="hybridMultilevel"/>
    <w:tmpl w:val="66AE9E58"/>
    <w:lvl w:ilvl="0" w:tplc="6A606D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939336998">
    <w:abstractNumId w:val="2"/>
  </w:num>
  <w:num w:numId="2" w16cid:durableId="1813325872">
    <w:abstractNumId w:val="0"/>
  </w:num>
  <w:num w:numId="3" w16cid:durableId="2050254471">
    <w:abstractNumId w:val="1"/>
  </w:num>
  <w:num w:numId="4" w16cid:durableId="362706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C1"/>
    <w:rsid w:val="000318BB"/>
    <w:rsid w:val="00031E0F"/>
    <w:rsid w:val="00052879"/>
    <w:rsid w:val="00062EF3"/>
    <w:rsid w:val="000969FF"/>
    <w:rsid w:val="000B6A05"/>
    <w:rsid w:val="000D7522"/>
    <w:rsid w:val="00116686"/>
    <w:rsid w:val="00124E8A"/>
    <w:rsid w:val="001467BE"/>
    <w:rsid w:val="00192A1B"/>
    <w:rsid w:val="00194305"/>
    <w:rsid w:val="001963EA"/>
    <w:rsid w:val="001E0CC9"/>
    <w:rsid w:val="001F0161"/>
    <w:rsid w:val="00203124"/>
    <w:rsid w:val="00230BCB"/>
    <w:rsid w:val="00232066"/>
    <w:rsid w:val="00252214"/>
    <w:rsid w:val="00253298"/>
    <w:rsid w:val="002849AA"/>
    <w:rsid w:val="00295180"/>
    <w:rsid w:val="002B0FBD"/>
    <w:rsid w:val="002B1A21"/>
    <w:rsid w:val="0030533B"/>
    <w:rsid w:val="00341B7F"/>
    <w:rsid w:val="00362131"/>
    <w:rsid w:val="00400B5F"/>
    <w:rsid w:val="004132E9"/>
    <w:rsid w:val="00413940"/>
    <w:rsid w:val="00463ABB"/>
    <w:rsid w:val="00466DDA"/>
    <w:rsid w:val="00473484"/>
    <w:rsid w:val="004808F0"/>
    <w:rsid w:val="004A7E07"/>
    <w:rsid w:val="004B5275"/>
    <w:rsid w:val="004C76D5"/>
    <w:rsid w:val="00503CA8"/>
    <w:rsid w:val="005127D9"/>
    <w:rsid w:val="00543733"/>
    <w:rsid w:val="00564218"/>
    <w:rsid w:val="00585DAD"/>
    <w:rsid w:val="005A4D64"/>
    <w:rsid w:val="005E1CA1"/>
    <w:rsid w:val="00601DD2"/>
    <w:rsid w:val="006157A6"/>
    <w:rsid w:val="006359CB"/>
    <w:rsid w:val="0068100E"/>
    <w:rsid w:val="006A1433"/>
    <w:rsid w:val="006B6BB4"/>
    <w:rsid w:val="006D695C"/>
    <w:rsid w:val="00700E80"/>
    <w:rsid w:val="007371C6"/>
    <w:rsid w:val="007667D0"/>
    <w:rsid w:val="00773AB4"/>
    <w:rsid w:val="007840E5"/>
    <w:rsid w:val="00784645"/>
    <w:rsid w:val="007A3666"/>
    <w:rsid w:val="007E32AD"/>
    <w:rsid w:val="00846053"/>
    <w:rsid w:val="008632CF"/>
    <w:rsid w:val="0088069B"/>
    <w:rsid w:val="008B2C41"/>
    <w:rsid w:val="008F2C13"/>
    <w:rsid w:val="008F4089"/>
    <w:rsid w:val="009113CD"/>
    <w:rsid w:val="00917001"/>
    <w:rsid w:val="00925A98"/>
    <w:rsid w:val="009743EA"/>
    <w:rsid w:val="009748BB"/>
    <w:rsid w:val="009C23AC"/>
    <w:rsid w:val="00A86577"/>
    <w:rsid w:val="00A91CB7"/>
    <w:rsid w:val="00A94A36"/>
    <w:rsid w:val="00AA36C1"/>
    <w:rsid w:val="00AC5145"/>
    <w:rsid w:val="00AF4C7E"/>
    <w:rsid w:val="00B639BC"/>
    <w:rsid w:val="00BD1F20"/>
    <w:rsid w:val="00C074F3"/>
    <w:rsid w:val="00C418E9"/>
    <w:rsid w:val="00CA5FAE"/>
    <w:rsid w:val="00CC4811"/>
    <w:rsid w:val="00CC79E9"/>
    <w:rsid w:val="00CF1FF0"/>
    <w:rsid w:val="00CF4102"/>
    <w:rsid w:val="00D13EFC"/>
    <w:rsid w:val="00D20879"/>
    <w:rsid w:val="00D27265"/>
    <w:rsid w:val="00D459C9"/>
    <w:rsid w:val="00D77B9D"/>
    <w:rsid w:val="00DA5734"/>
    <w:rsid w:val="00DE3681"/>
    <w:rsid w:val="00E00AFC"/>
    <w:rsid w:val="00E041C8"/>
    <w:rsid w:val="00E145B9"/>
    <w:rsid w:val="00E83C1E"/>
    <w:rsid w:val="00E87749"/>
    <w:rsid w:val="00EB3833"/>
    <w:rsid w:val="00EB543A"/>
    <w:rsid w:val="00ED41C0"/>
    <w:rsid w:val="00EE0E06"/>
    <w:rsid w:val="00F26430"/>
    <w:rsid w:val="00F61A98"/>
    <w:rsid w:val="00F87CBA"/>
    <w:rsid w:val="00FA1E81"/>
    <w:rsid w:val="00FC33A1"/>
    <w:rsid w:val="00FD1420"/>
    <w:rsid w:val="00FD1F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2B89"/>
  <w15:chartTrackingRefBased/>
  <w15:docId w15:val="{CA0F5757-AC27-4BF3-987C-96C46B17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4F3"/>
    <w:pPr>
      <w:tabs>
        <w:tab w:val="center" w:pos="4513"/>
        <w:tab w:val="right" w:pos="9026"/>
      </w:tabs>
    </w:pPr>
  </w:style>
  <w:style w:type="character" w:customStyle="1" w:styleId="HeaderChar">
    <w:name w:val="Header Char"/>
    <w:basedOn w:val="DefaultParagraphFont"/>
    <w:link w:val="Header"/>
    <w:uiPriority w:val="99"/>
    <w:rsid w:val="00C074F3"/>
  </w:style>
  <w:style w:type="paragraph" w:styleId="Footer">
    <w:name w:val="footer"/>
    <w:basedOn w:val="Normal"/>
    <w:link w:val="FooterChar"/>
    <w:uiPriority w:val="99"/>
    <w:unhideWhenUsed/>
    <w:rsid w:val="00C074F3"/>
    <w:pPr>
      <w:tabs>
        <w:tab w:val="center" w:pos="4513"/>
        <w:tab w:val="right" w:pos="9026"/>
      </w:tabs>
    </w:pPr>
  </w:style>
  <w:style w:type="character" w:customStyle="1" w:styleId="FooterChar">
    <w:name w:val="Footer Char"/>
    <w:basedOn w:val="DefaultParagraphFont"/>
    <w:link w:val="Footer"/>
    <w:uiPriority w:val="99"/>
    <w:rsid w:val="00C074F3"/>
  </w:style>
  <w:style w:type="paragraph" w:styleId="ListParagraph">
    <w:name w:val="List Paragraph"/>
    <w:basedOn w:val="Normal"/>
    <w:uiPriority w:val="34"/>
    <w:qFormat/>
    <w:rsid w:val="008B2C41"/>
    <w:pPr>
      <w:ind w:left="720"/>
      <w:contextualSpacing/>
    </w:pPr>
  </w:style>
  <w:style w:type="paragraph" w:styleId="FootnoteText">
    <w:name w:val="footnote text"/>
    <w:basedOn w:val="Normal"/>
    <w:link w:val="FootnoteTextChar"/>
    <w:uiPriority w:val="99"/>
    <w:semiHidden/>
    <w:unhideWhenUsed/>
    <w:rsid w:val="00295180"/>
    <w:rPr>
      <w:sz w:val="20"/>
      <w:szCs w:val="20"/>
    </w:rPr>
  </w:style>
  <w:style w:type="character" w:customStyle="1" w:styleId="FootnoteTextChar">
    <w:name w:val="Footnote Text Char"/>
    <w:basedOn w:val="DefaultParagraphFont"/>
    <w:link w:val="FootnoteText"/>
    <w:uiPriority w:val="99"/>
    <w:semiHidden/>
    <w:rsid w:val="00295180"/>
    <w:rPr>
      <w:sz w:val="20"/>
      <w:szCs w:val="20"/>
    </w:rPr>
  </w:style>
  <w:style w:type="character" w:styleId="FootnoteReference">
    <w:name w:val="footnote reference"/>
    <w:basedOn w:val="DefaultParagraphFont"/>
    <w:uiPriority w:val="99"/>
    <w:semiHidden/>
    <w:unhideWhenUsed/>
    <w:rsid w:val="00295180"/>
    <w:rPr>
      <w:vertAlign w:val="superscript"/>
    </w:rPr>
  </w:style>
  <w:style w:type="paragraph" w:styleId="BalloonText">
    <w:name w:val="Balloon Text"/>
    <w:basedOn w:val="Normal"/>
    <w:link w:val="BalloonTextChar"/>
    <w:uiPriority w:val="99"/>
    <w:semiHidden/>
    <w:unhideWhenUsed/>
    <w:rsid w:val="007A3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2022-11-15T18:30:00+00:00</Judgment_x0020_Date>
    <Year xmlns="63bdd487-88aa-4c54-b893-ddaa81ed2e7c">2022</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3C985-C06E-4808-AA6C-3B2A00AEBF7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D5DDA3A4-EB78-423C-B0EB-9ABA8F866CFD}">
  <ds:schemaRefs>
    <ds:schemaRef ds:uri="http://schemas.openxmlformats.org/officeDocument/2006/bibliography"/>
  </ds:schemaRefs>
</ds:datastoreItem>
</file>

<file path=customXml/itemProps3.xml><?xml version="1.0" encoding="utf-8"?>
<ds:datastoreItem xmlns:ds="http://schemas.openxmlformats.org/officeDocument/2006/customXml" ds:itemID="{06E9D314-9F17-4CD7-9994-6455EBD72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52467-860B-430C-84B7-DB4F42F46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Council of Windhoek v Pioneerspark Dam Investment CC (SA 70-2019) [2022] NASC (16 November 2022)</dc:title>
  <dc:subject/>
  <dc:creator>Sevelia Nghitumbwa</dc:creator>
  <cp:keywords/>
  <dc:description/>
  <cp:lastModifiedBy>Mariana Anguelov</cp:lastModifiedBy>
  <cp:revision>3</cp:revision>
  <cp:lastPrinted>2022-11-16T09:30:00Z</cp:lastPrinted>
  <dcterms:created xsi:type="dcterms:W3CDTF">2022-11-16T12:26:00Z</dcterms:created>
  <dcterms:modified xsi:type="dcterms:W3CDTF">2022-11-29T16:41:00Z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