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7C4B" w14:textId="77777777" w:rsidR="009A10A7" w:rsidRPr="006A55DD" w:rsidRDefault="009A10A7" w:rsidP="009A10A7">
      <w:pPr>
        <w:spacing w:after="0" w:line="360" w:lineRule="auto"/>
        <w:jc w:val="center"/>
        <w:rPr>
          <w:b/>
          <w:sz w:val="24"/>
          <w:szCs w:val="24"/>
        </w:rPr>
      </w:pPr>
      <w:r w:rsidRPr="009F40CE">
        <w:rPr>
          <w:b/>
          <w:noProof/>
          <w:sz w:val="24"/>
          <w:szCs w:val="24"/>
          <w:lang w:eastAsia="en-ZA"/>
        </w:rPr>
        <w:drawing>
          <wp:inline distT="0" distB="0" distL="0" distR="0" wp14:anchorId="06299B26" wp14:editId="2504E914">
            <wp:extent cx="1276350" cy="1430655"/>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430655"/>
                    </a:xfrm>
                    <a:prstGeom prst="rect">
                      <a:avLst/>
                    </a:prstGeom>
                    <a:noFill/>
                    <a:ln>
                      <a:noFill/>
                    </a:ln>
                  </pic:spPr>
                </pic:pic>
              </a:graphicData>
            </a:graphic>
          </wp:inline>
        </w:drawing>
      </w:r>
    </w:p>
    <w:p w14:paraId="1E782243" w14:textId="77777777" w:rsidR="009A10A7" w:rsidRDefault="009A10A7" w:rsidP="009A10A7">
      <w:pPr>
        <w:jc w:val="right"/>
        <w:rPr>
          <w:rFonts w:ascii="Arial" w:hAnsi="Arial" w:cs="Arial"/>
          <w:b/>
          <w:sz w:val="24"/>
          <w:szCs w:val="24"/>
        </w:rPr>
      </w:pPr>
      <w:r>
        <w:rPr>
          <w:rFonts w:ascii="Arial" w:hAnsi="Arial" w:cs="Arial"/>
          <w:b/>
          <w:sz w:val="24"/>
          <w:szCs w:val="24"/>
        </w:rPr>
        <w:t>REPORTABLE</w:t>
      </w:r>
    </w:p>
    <w:p w14:paraId="5272CA59" w14:textId="502E960C" w:rsidR="009A10A7" w:rsidRDefault="009A10A7" w:rsidP="009A10A7">
      <w:pPr>
        <w:jc w:val="right"/>
        <w:rPr>
          <w:rFonts w:ascii="Arial" w:hAnsi="Arial" w:cs="Arial"/>
          <w:sz w:val="24"/>
          <w:szCs w:val="24"/>
        </w:rPr>
      </w:pPr>
      <w:r>
        <w:rPr>
          <w:rFonts w:ascii="Arial" w:hAnsi="Arial" w:cs="Arial"/>
          <w:sz w:val="24"/>
          <w:szCs w:val="24"/>
        </w:rPr>
        <w:t>CASE NO: SA 64/202</w:t>
      </w:r>
      <w:r w:rsidR="0005054D">
        <w:rPr>
          <w:rFonts w:ascii="Arial" w:hAnsi="Arial" w:cs="Arial"/>
          <w:sz w:val="24"/>
          <w:szCs w:val="24"/>
        </w:rPr>
        <w:t>0</w:t>
      </w:r>
    </w:p>
    <w:p w14:paraId="18C9A8CE" w14:textId="77777777" w:rsidR="009A10A7" w:rsidRDefault="009A10A7" w:rsidP="009A10A7">
      <w:pPr>
        <w:rPr>
          <w:rFonts w:ascii="Arial" w:hAnsi="Arial" w:cs="Arial"/>
          <w:sz w:val="24"/>
          <w:szCs w:val="24"/>
        </w:rPr>
      </w:pPr>
    </w:p>
    <w:p w14:paraId="0B5DA39B" w14:textId="77777777" w:rsidR="009A10A7" w:rsidRPr="00991107" w:rsidRDefault="009A10A7" w:rsidP="009A10A7">
      <w:pPr>
        <w:rPr>
          <w:rFonts w:ascii="Arial" w:hAnsi="Arial" w:cs="Arial"/>
          <w:sz w:val="24"/>
          <w:szCs w:val="24"/>
        </w:rPr>
      </w:pPr>
    </w:p>
    <w:p w14:paraId="225A30B3" w14:textId="77777777" w:rsidR="009A10A7" w:rsidRPr="00970591" w:rsidRDefault="009A10A7" w:rsidP="009A10A7">
      <w:pPr>
        <w:rPr>
          <w:rFonts w:ascii="Arial" w:hAnsi="Arial" w:cs="Arial"/>
          <w:b/>
          <w:sz w:val="24"/>
          <w:szCs w:val="24"/>
        </w:rPr>
      </w:pPr>
      <w:r w:rsidRPr="00970591">
        <w:rPr>
          <w:rFonts w:ascii="Arial" w:hAnsi="Arial" w:cs="Arial"/>
          <w:b/>
          <w:sz w:val="24"/>
          <w:szCs w:val="24"/>
        </w:rPr>
        <w:t>IN THE SUPREME COURT OF NAMIBIA</w:t>
      </w:r>
    </w:p>
    <w:p w14:paraId="38BDCBC4" w14:textId="77777777" w:rsidR="009A10A7" w:rsidRDefault="009A10A7" w:rsidP="009A10A7">
      <w:pPr>
        <w:rPr>
          <w:rFonts w:ascii="Arial" w:hAnsi="Arial" w:cs="Arial"/>
          <w:sz w:val="24"/>
          <w:szCs w:val="24"/>
        </w:rPr>
      </w:pPr>
      <w:r>
        <w:rPr>
          <w:rFonts w:ascii="Arial" w:hAnsi="Arial" w:cs="Arial"/>
          <w:sz w:val="24"/>
          <w:szCs w:val="24"/>
        </w:rPr>
        <w:t>In the matter between:</w:t>
      </w:r>
    </w:p>
    <w:p w14:paraId="5EF52D36" w14:textId="77777777" w:rsidR="009A10A7" w:rsidRDefault="009A10A7" w:rsidP="009A10A7">
      <w:pPr>
        <w:rPr>
          <w:rFonts w:ascii="Arial" w:hAnsi="Arial" w:cs="Arial"/>
          <w:sz w:val="24"/>
          <w:szCs w:val="24"/>
        </w:rPr>
      </w:pPr>
    </w:p>
    <w:tbl>
      <w:tblPr>
        <w:tblW w:w="0" w:type="auto"/>
        <w:tblLook w:val="04A0" w:firstRow="1" w:lastRow="0" w:firstColumn="1" w:lastColumn="0" w:noHBand="0" w:noVBand="1"/>
      </w:tblPr>
      <w:tblGrid>
        <w:gridCol w:w="4788"/>
        <w:gridCol w:w="3749"/>
      </w:tblGrid>
      <w:tr w:rsidR="009A10A7" w:rsidRPr="009F40CE" w14:paraId="5A5938C3" w14:textId="77777777" w:rsidTr="004A0D5C">
        <w:tc>
          <w:tcPr>
            <w:tcW w:w="4788" w:type="dxa"/>
            <w:shd w:val="clear" w:color="auto" w:fill="auto"/>
          </w:tcPr>
          <w:p w14:paraId="7ED4486E" w14:textId="77777777" w:rsidR="009A10A7" w:rsidRPr="009F40CE" w:rsidRDefault="009A10A7" w:rsidP="00D80DAB">
            <w:pPr>
              <w:spacing w:line="276" w:lineRule="auto"/>
              <w:ind w:left="-108"/>
              <w:rPr>
                <w:rFonts w:ascii="Arial" w:hAnsi="Arial" w:cs="Arial"/>
                <w:b/>
                <w:sz w:val="24"/>
                <w:szCs w:val="24"/>
              </w:rPr>
            </w:pPr>
            <w:r w:rsidRPr="009F40CE">
              <w:rPr>
                <w:rFonts w:ascii="Arial" w:hAnsi="Arial" w:cs="Arial"/>
                <w:b/>
                <w:sz w:val="24"/>
                <w:szCs w:val="24"/>
              </w:rPr>
              <w:t>SWAKOP URANIUM (PTY) LTD</w:t>
            </w:r>
          </w:p>
        </w:tc>
        <w:tc>
          <w:tcPr>
            <w:tcW w:w="3749" w:type="dxa"/>
            <w:shd w:val="clear" w:color="auto" w:fill="auto"/>
          </w:tcPr>
          <w:p w14:paraId="30EB9FAB" w14:textId="77777777" w:rsidR="009A10A7" w:rsidRPr="009F40CE" w:rsidRDefault="009A10A7" w:rsidP="00D80DAB">
            <w:pPr>
              <w:spacing w:line="276" w:lineRule="auto"/>
              <w:jc w:val="right"/>
              <w:rPr>
                <w:rFonts w:ascii="Arial" w:hAnsi="Arial" w:cs="Arial"/>
                <w:b/>
                <w:sz w:val="24"/>
                <w:szCs w:val="24"/>
              </w:rPr>
            </w:pPr>
            <w:r w:rsidRPr="009F40CE">
              <w:rPr>
                <w:rFonts w:ascii="Arial" w:hAnsi="Arial" w:cs="Arial"/>
                <w:b/>
                <w:sz w:val="24"/>
                <w:szCs w:val="24"/>
              </w:rPr>
              <w:t>Appellant</w:t>
            </w:r>
          </w:p>
        </w:tc>
      </w:tr>
      <w:tr w:rsidR="009A10A7" w:rsidRPr="009F40CE" w14:paraId="5F9C110C" w14:textId="77777777" w:rsidTr="004A0D5C">
        <w:tc>
          <w:tcPr>
            <w:tcW w:w="4788" w:type="dxa"/>
            <w:shd w:val="clear" w:color="auto" w:fill="auto"/>
          </w:tcPr>
          <w:p w14:paraId="2BE38248" w14:textId="77777777" w:rsidR="009A10A7" w:rsidRPr="009F40CE" w:rsidRDefault="009A10A7" w:rsidP="00D80DAB">
            <w:pPr>
              <w:spacing w:line="276" w:lineRule="auto"/>
              <w:ind w:left="-108"/>
              <w:rPr>
                <w:rFonts w:ascii="Arial" w:hAnsi="Arial" w:cs="Arial"/>
                <w:sz w:val="24"/>
                <w:szCs w:val="24"/>
              </w:rPr>
            </w:pPr>
          </w:p>
        </w:tc>
        <w:tc>
          <w:tcPr>
            <w:tcW w:w="3749" w:type="dxa"/>
            <w:shd w:val="clear" w:color="auto" w:fill="auto"/>
          </w:tcPr>
          <w:p w14:paraId="5209DE25" w14:textId="77777777" w:rsidR="009A10A7" w:rsidRPr="009F40CE" w:rsidRDefault="009A10A7" w:rsidP="00D80DAB">
            <w:pPr>
              <w:spacing w:line="276" w:lineRule="auto"/>
              <w:jc w:val="right"/>
              <w:rPr>
                <w:rFonts w:ascii="Arial" w:hAnsi="Arial" w:cs="Arial"/>
                <w:sz w:val="24"/>
                <w:szCs w:val="24"/>
              </w:rPr>
            </w:pPr>
          </w:p>
        </w:tc>
      </w:tr>
      <w:tr w:rsidR="009A10A7" w:rsidRPr="009F40CE" w14:paraId="4755D39F" w14:textId="77777777" w:rsidTr="004A0D5C">
        <w:tc>
          <w:tcPr>
            <w:tcW w:w="4788" w:type="dxa"/>
            <w:shd w:val="clear" w:color="auto" w:fill="auto"/>
          </w:tcPr>
          <w:p w14:paraId="0146F0E0" w14:textId="4D154089" w:rsidR="009A10A7" w:rsidRPr="009F40CE" w:rsidRDefault="00F5013F" w:rsidP="00D80DAB">
            <w:pPr>
              <w:spacing w:line="276" w:lineRule="auto"/>
              <w:ind w:left="-108"/>
              <w:rPr>
                <w:rFonts w:ascii="Arial" w:hAnsi="Arial" w:cs="Arial"/>
                <w:sz w:val="24"/>
                <w:szCs w:val="24"/>
              </w:rPr>
            </w:pPr>
            <w:r>
              <w:rPr>
                <w:rFonts w:ascii="Arial" w:hAnsi="Arial" w:cs="Arial"/>
                <w:sz w:val="24"/>
                <w:szCs w:val="24"/>
              </w:rPr>
              <w:t>a</w:t>
            </w:r>
            <w:r w:rsidR="009A10A7" w:rsidRPr="009F40CE">
              <w:rPr>
                <w:rFonts w:ascii="Arial" w:hAnsi="Arial" w:cs="Arial"/>
                <w:sz w:val="24"/>
                <w:szCs w:val="24"/>
              </w:rPr>
              <w:t>nd</w:t>
            </w:r>
          </w:p>
        </w:tc>
        <w:tc>
          <w:tcPr>
            <w:tcW w:w="3749" w:type="dxa"/>
            <w:shd w:val="clear" w:color="auto" w:fill="auto"/>
          </w:tcPr>
          <w:p w14:paraId="199369FD" w14:textId="77777777" w:rsidR="009A10A7" w:rsidRPr="009F40CE" w:rsidRDefault="009A10A7" w:rsidP="00D80DAB">
            <w:pPr>
              <w:spacing w:line="276" w:lineRule="auto"/>
              <w:rPr>
                <w:rFonts w:ascii="Arial" w:hAnsi="Arial" w:cs="Arial"/>
                <w:sz w:val="24"/>
                <w:szCs w:val="24"/>
              </w:rPr>
            </w:pPr>
          </w:p>
        </w:tc>
      </w:tr>
      <w:tr w:rsidR="009A10A7" w:rsidRPr="009F40CE" w14:paraId="2C177C74" w14:textId="77777777" w:rsidTr="004A0D5C">
        <w:tc>
          <w:tcPr>
            <w:tcW w:w="4788" w:type="dxa"/>
            <w:shd w:val="clear" w:color="auto" w:fill="auto"/>
          </w:tcPr>
          <w:p w14:paraId="42A44F65" w14:textId="77777777" w:rsidR="009A10A7" w:rsidRPr="009F40CE" w:rsidRDefault="009A10A7" w:rsidP="00D80DAB">
            <w:pPr>
              <w:spacing w:line="276" w:lineRule="auto"/>
              <w:ind w:left="-108"/>
              <w:rPr>
                <w:rFonts w:ascii="Arial" w:hAnsi="Arial" w:cs="Arial"/>
                <w:sz w:val="24"/>
                <w:szCs w:val="24"/>
              </w:rPr>
            </w:pPr>
          </w:p>
        </w:tc>
        <w:tc>
          <w:tcPr>
            <w:tcW w:w="3749" w:type="dxa"/>
            <w:shd w:val="clear" w:color="auto" w:fill="auto"/>
          </w:tcPr>
          <w:p w14:paraId="3486A292" w14:textId="77777777" w:rsidR="009A10A7" w:rsidRPr="009F40CE" w:rsidRDefault="009A10A7" w:rsidP="00D80DAB">
            <w:pPr>
              <w:spacing w:line="276" w:lineRule="auto"/>
              <w:rPr>
                <w:rFonts w:ascii="Arial" w:hAnsi="Arial" w:cs="Arial"/>
                <w:sz w:val="24"/>
                <w:szCs w:val="24"/>
              </w:rPr>
            </w:pPr>
          </w:p>
        </w:tc>
      </w:tr>
      <w:tr w:rsidR="009A10A7" w:rsidRPr="009F40CE" w14:paraId="2D37C9E5" w14:textId="77777777" w:rsidTr="004A0D5C">
        <w:tc>
          <w:tcPr>
            <w:tcW w:w="4788" w:type="dxa"/>
            <w:shd w:val="clear" w:color="auto" w:fill="auto"/>
          </w:tcPr>
          <w:p w14:paraId="1C0E3793" w14:textId="5EE4C300" w:rsidR="009A10A7" w:rsidRPr="009F40CE" w:rsidRDefault="009A10A7" w:rsidP="00D80DAB">
            <w:pPr>
              <w:spacing w:line="276" w:lineRule="auto"/>
              <w:ind w:left="-108"/>
              <w:rPr>
                <w:rFonts w:ascii="Arial" w:hAnsi="Arial" w:cs="Arial"/>
                <w:b/>
                <w:sz w:val="24"/>
                <w:szCs w:val="24"/>
              </w:rPr>
            </w:pPr>
            <w:r w:rsidRPr="009F40CE">
              <w:rPr>
                <w:rFonts w:ascii="Arial" w:hAnsi="Arial" w:cs="Arial"/>
                <w:b/>
                <w:sz w:val="24"/>
                <w:szCs w:val="24"/>
              </w:rPr>
              <w:t xml:space="preserve">IAN ROBERT </w:t>
            </w:r>
            <w:proofErr w:type="spellStart"/>
            <w:r w:rsidR="00D36146" w:rsidRPr="009F40CE">
              <w:rPr>
                <w:rFonts w:ascii="Arial" w:hAnsi="Arial" w:cs="Arial"/>
                <w:b/>
                <w:sz w:val="24"/>
                <w:szCs w:val="24"/>
              </w:rPr>
              <w:t>M</w:t>
            </w:r>
            <w:r w:rsidR="00F5013F">
              <w:rPr>
                <w:rFonts w:ascii="Arial" w:hAnsi="Arial" w:cs="Arial"/>
                <w:b/>
                <w:sz w:val="24"/>
                <w:szCs w:val="24"/>
              </w:rPr>
              <w:t>c</w:t>
            </w:r>
            <w:r w:rsidR="00D36146" w:rsidRPr="009F40CE">
              <w:rPr>
                <w:rFonts w:ascii="Arial" w:hAnsi="Arial" w:cs="Arial"/>
                <w:b/>
                <w:sz w:val="24"/>
                <w:szCs w:val="24"/>
              </w:rPr>
              <w:t>LAREN</w:t>
            </w:r>
            <w:proofErr w:type="spellEnd"/>
          </w:p>
        </w:tc>
        <w:tc>
          <w:tcPr>
            <w:tcW w:w="3749" w:type="dxa"/>
            <w:shd w:val="clear" w:color="auto" w:fill="auto"/>
          </w:tcPr>
          <w:p w14:paraId="6876B62D" w14:textId="77777777" w:rsidR="009A10A7" w:rsidRPr="009F40CE" w:rsidRDefault="00D36146" w:rsidP="00D80DAB">
            <w:pPr>
              <w:spacing w:line="276" w:lineRule="auto"/>
              <w:jc w:val="right"/>
              <w:rPr>
                <w:rFonts w:ascii="Arial" w:hAnsi="Arial" w:cs="Arial"/>
                <w:b/>
                <w:sz w:val="24"/>
                <w:szCs w:val="24"/>
              </w:rPr>
            </w:pPr>
            <w:r>
              <w:rPr>
                <w:rFonts w:ascii="Arial" w:hAnsi="Arial" w:cs="Arial"/>
                <w:b/>
                <w:sz w:val="24"/>
                <w:szCs w:val="24"/>
              </w:rPr>
              <w:t xml:space="preserve">First </w:t>
            </w:r>
            <w:r w:rsidR="009A10A7" w:rsidRPr="009F40CE">
              <w:rPr>
                <w:rFonts w:ascii="Arial" w:hAnsi="Arial" w:cs="Arial"/>
                <w:b/>
                <w:sz w:val="24"/>
                <w:szCs w:val="24"/>
              </w:rPr>
              <w:t>Respondent</w:t>
            </w:r>
          </w:p>
        </w:tc>
      </w:tr>
      <w:tr w:rsidR="009A10A7" w:rsidRPr="009F40CE" w14:paraId="0B8FAFDE" w14:textId="77777777" w:rsidTr="004A0D5C">
        <w:tc>
          <w:tcPr>
            <w:tcW w:w="4788" w:type="dxa"/>
            <w:shd w:val="clear" w:color="auto" w:fill="auto"/>
          </w:tcPr>
          <w:p w14:paraId="50491F19" w14:textId="77777777" w:rsidR="009A10A7" w:rsidRPr="009F40CE" w:rsidRDefault="00D36146" w:rsidP="00D80DAB">
            <w:pPr>
              <w:spacing w:line="276" w:lineRule="auto"/>
              <w:ind w:left="-108"/>
              <w:rPr>
                <w:rFonts w:ascii="Arial" w:hAnsi="Arial" w:cs="Arial"/>
                <w:b/>
                <w:sz w:val="24"/>
                <w:szCs w:val="24"/>
              </w:rPr>
            </w:pPr>
            <w:r>
              <w:rPr>
                <w:rFonts w:ascii="Arial" w:hAnsi="Arial" w:cs="Arial"/>
                <w:b/>
                <w:sz w:val="24"/>
                <w:szCs w:val="24"/>
              </w:rPr>
              <w:t>ETIENNE GERHARD LUBBE</w:t>
            </w:r>
          </w:p>
        </w:tc>
        <w:tc>
          <w:tcPr>
            <w:tcW w:w="3749" w:type="dxa"/>
            <w:shd w:val="clear" w:color="auto" w:fill="auto"/>
          </w:tcPr>
          <w:p w14:paraId="203AD1CF" w14:textId="77777777" w:rsidR="009A10A7" w:rsidRPr="009F40CE" w:rsidRDefault="00D36146" w:rsidP="00D80DAB">
            <w:pPr>
              <w:spacing w:line="276" w:lineRule="auto"/>
              <w:jc w:val="right"/>
              <w:rPr>
                <w:rFonts w:ascii="Arial" w:hAnsi="Arial" w:cs="Arial"/>
                <w:b/>
                <w:sz w:val="24"/>
                <w:szCs w:val="24"/>
              </w:rPr>
            </w:pPr>
            <w:r>
              <w:rPr>
                <w:rFonts w:ascii="Arial" w:hAnsi="Arial" w:cs="Arial"/>
                <w:b/>
                <w:sz w:val="24"/>
                <w:szCs w:val="24"/>
              </w:rPr>
              <w:t>Second Respondent</w:t>
            </w:r>
          </w:p>
        </w:tc>
      </w:tr>
    </w:tbl>
    <w:p w14:paraId="225A9DEF" w14:textId="77777777" w:rsidR="009A10A7" w:rsidRDefault="009A10A7" w:rsidP="009A10A7">
      <w:pPr>
        <w:spacing w:line="276" w:lineRule="auto"/>
        <w:rPr>
          <w:rFonts w:ascii="Arial" w:hAnsi="Arial" w:cs="Arial"/>
          <w:sz w:val="24"/>
          <w:szCs w:val="24"/>
        </w:rPr>
      </w:pPr>
    </w:p>
    <w:p w14:paraId="09699BD7" w14:textId="77777777" w:rsidR="009A10A7" w:rsidRPr="00991107" w:rsidRDefault="009A10A7" w:rsidP="009A10A7">
      <w:pPr>
        <w:rPr>
          <w:rFonts w:ascii="Arial" w:hAnsi="Arial" w:cs="Arial"/>
          <w:sz w:val="24"/>
          <w:szCs w:val="24"/>
        </w:rPr>
      </w:pPr>
    </w:p>
    <w:p w14:paraId="338C3B8E" w14:textId="1AEA7839" w:rsidR="009A10A7" w:rsidRDefault="009A10A7" w:rsidP="00C30585">
      <w:pPr>
        <w:spacing w:line="480" w:lineRule="auto"/>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00096086">
        <w:rPr>
          <w:rFonts w:ascii="Arial" w:hAnsi="Arial" w:cs="Arial"/>
          <w:sz w:val="24"/>
          <w:szCs w:val="24"/>
        </w:rPr>
        <w:tab/>
      </w:r>
      <w:r>
        <w:rPr>
          <w:rFonts w:ascii="Arial" w:hAnsi="Arial" w:cs="Arial"/>
          <w:sz w:val="24"/>
          <w:szCs w:val="24"/>
        </w:rPr>
        <w:t xml:space="preserve">DAMASEB DCJ, </w:t>
      </w:r>
      <w:r w:rsidRPr="00212F19">
        <w:rPr>
          <w:rFonts w:ascii="Arial" w:hAnsi="Arial" w:cs="Arial"/>
          <w:sz w:val="24"/>
          <w:szCs w:val="24"/>
        </w:rPr>
        <w:t>MAINGA JA</w:t>
      </w:r>
      <w:r>
        <w:rPr>
          <w:rFonts w:ascii="Arial" w:hAnsi="Arial" w:cs="Arial"/>
          <w:sz w:val="24"/>
          <w:szCs w:val="24"/>
        </w:rPr>
        <w:t xml:space="preserve"> and FRANK A</w:t>
      </w:r>
      <w:r w:rsidRPr="00212F19">
        <w:rPr>
          <w:rFonts w:ascii="Arial" w:hAnsi="Arial" w:cs="Arial"/>
          <w:sz w:val="24"/>
          <w:szCs w:val="24"/>
        </w:rPr>
        <w:t>JA</w:t>
      </w:r>
    </w:p>
    <w:p w14:paraId="0DECED72" w14:textId="2DC2880F" w:rsidR="009A10A7" w:rsidRPr="00466830" w:rsidRDefault="009A10A7" w:rsidP="00C30585">
      <w:pPr>
        <w:spacing w:line="480" w:lineRule="auto"/>
        <w:rPr>
          <w:rFonts w:ascii="Arial" w:hAnsi="Arial" w:cs="Arial"/>
          <w:b/>
          <w:sz w:val="24"/>
          <w:szCs w:val="24"/>
        </w:rPr>
      </w:pPr>
      <w:r>
        <w:rPr>
          <w:rFonts w:ascii="Arial" w:hAnsi="Arial" w:cs="Arial"/>
          <w:b/>
          <w:sz w:val="24"/>
          <w:szCs w:val="24"/>
        </w:rPr>
        <w:t>Heard:</w:t>
      </w:r>
      <w:r>
        <w:rPr>
          <w:rFonts w:ascii="Arial" w:hAnsi="Arial" w:cs="Arial"/>
          <w:b/>
          <w:sz w:val="24"/>
          <w:szCs w:val="24"/>
        </w:rPr>
        <w:tab/>
      </w:r>
      <w:r w:rsidR="00096086">
        <w:rPr>
          <w:rFonts w:ascii="Arial" w:hAnsi="Arial" w:cs="Arial"/>
          <w:b/>
          <w:sz w:val="24"/>
          <w:szCs w:val="24"/>
        </w:rPr>
        <w:tab/>
      </w:r>
      <w:r>
        <w:rPr>
          <w:rFonts w:ascii="Arial" w:hAnsi="Arial" w:cs="Arial"/>
          <w:b/>
          <w:sz w:val="24"/>
          <w:szCs w:val="24"/>
        </w:rPr>
        <w:t>21 October 2022</w:t>
      </w:r>
    </w:p>
    <w:p w14:paraId="0CAD0525" w14:textId="2A79DF55" w:rsidR="009A10A7" w:rsidRDefault="009A10A7" w:rsidP="00C30585">
      <w:pPr>
        <w:spacing w:line="480" w:lineRule="auto"/>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Pr>
          <w:rFonts w:ascii="Arial" w:hAnsi="Arial" w:cs="Arial"/>
          <w:b/>
          <w:sz w:val="24"/>
          <w:szCs w:val="24"/>
        </w:rPr>
        <w:t xml:space="preserve"> </w:t>
      </w:r>
      <w:r w:rsidR="003B6A68">
        <w:rPr>
          <w:rFonts w:ascii="Arial" w:hAnsi="Arial" w:cs="Arial"/>
          <w:b/>
          <w:sz w:val="24"/>
          <w:szCs w:val="24"/>
        </w:rPr>
        <w:tab/>
        <w:t>21 November 2022</w:t>
      </w:r>
    </w:p>
    <w:p w14:paraId="64AB02BA" w14:textId="77777777" w:rsidR="009A10A7" w:rsidRPr="00535378" w:rsidRDefault="009A10A7" w:rsidP="009A10A7">
      <w:pPr>
        <w:rPr>
          <w:rFonts w:ascii="Arial" w:hAnsi="Arial" w:cs="Arial"/>
          <w:b/>
          <w:sz w:val="24"/>
          <w:szCs w:val="24"/>
        </w:rPr>
      </w:pPr>
    </w:p>
    <w:p w14:paraId="0F9492CF" w14:textId="263F391B" w:rsidR="009A10A7" w:rsidRPr="004F076E" w:rsidRDefault="009A10A7" w:rsidP="004F076E">
      <w:pPr>
        <w:spacing w:after="0" w:line="360" w:lineRule="auto"/>
        <w:jc w:val="both"/>
        <w:rPr>
          <w:rFonts w:ascii="Arial" w:hAnsi="Arial" w:cs="Arial"/>
          <w:sz w:val="24"/>
          <w:szCs w:val="24"/>
          <w:lang w:val="en-US"/>
        </w:rPr>
      </w:pPr>
      <w:r w:rsidRPr="004F076E">
        <w:rPr>
          <w:rFonts w:ascii="Arial" w:hAnsi="Arial" w:cs="Arial"/>
          <w:b/>
          <w:sz w:val="24"/>
          <w:szCs w:val="24"/>
        </w:rPr>
        <w:t xml:space="preserve">Summary: </w:t>
      </w:r>
      <w:r w:rsidR="00053CB3">
        <w:rPr>
          <w:rFonts w:ascii="Arial" w:hAnsi="Arial" w:cs="Arial"/>
          <w:b/>
          <w:sz w:val="24"/>
          <w:szCs w:val="24"/>
        </w:rPr>
        <w:tab/>
      </w:r>
      <w:r w:rsidRPr="004F076E">
        <w:rPr>
          <w:rFonts w:ascii="Arial" w:hAnsi="Arial" w:cs="Arial"/>
          <w:sz w:val="24"/>
          <w:szCs w:val="24"/>
        </w:rPr>
        <w:t xml:space="preserve">The appellant </w:t>
      </w:r>
      <w:r w:rsidR="00774DF6">
        <w:rPr>
          <w:rFonts w:ascii="Arial" w:hAnsi="Arial" w:cs="Arial"/>
          <w:sz w:val="24"/>
          <w:szCs w:val="24"/>
        </w:rPr>
        <w:t>(</w:t>
      </w:r>
      <w:proofErr w:type="spellStart"/>
      <w:r w:rsidR="00774DF6">
        <w:rPr>
          <w:rFonts w:ascii="Arial" w:hAnsi="Arial" w:cs="Arial"/>
          <w:sz w:val="24"/>
          <w:szCs w:val="24"/>
        </w:rPr>
        <w:t>Swakop</w:t>
      </w:r>
      <w:proofErr w:type="spellEnd"/>
      <w:r w:rsidR="00774DF6">
        <w:rPr>
          <w:rFonts w:ascii="Arial" w:hAnsi="Arial" w:cs="Arial"/>
          <w:sz w:val="24"/>
          <w:szCs w:val="24"/>
        </w:rPr>
        <w:t xml:space="preserve"> Uranium) </w:t>
      </w:r>
      <w:r w:rsidRPr="004F076E">
        <w:rPr>
          <w:rFonts w:ascii="Arial" w:hAnsi="Arial" w:cs="Arial"/>
          <w:sz w:val="24"/>
          <w:szCs w:val="24"/>
        </w:rPr>
        <w:t xml:space="preserve">approached the High Court seeking a </w:t>
      </w:r>
      <w:r w:rsidR="00774DF6">
        <w:rPr>
          <w:rFonts w:ascii="Arial" w:hAnsi="Arial" w:cs="Arial"/>
          <w:sz w:val="24"/>
          <w:szCs w:val="24"/>
        </w:rPr>
        <w:t>declarator</w:t>
      </w:r>
      <w:r w:rsidRPr="004F076E">
        <w:rPr>
          <w:rFonts w:ascii="Arial" w:hAnsi="Arial" w:cs="Arial"/>
          <w:sz w:val="24"/>
          <w:szCs w:val="24"/>
        </w:rPr>
        <w:t xml:space="preserve"> that the second respondent</w:t>
      </w:r>
      <w:r w:rsidR="007C0D51">
        <w:rPr>
          <w:rFonts w:ascii="Arial" w:hAnsi="Arial" w:cs="Arial"/>
          <w:sz w:val="24"/>
          <w:szCs w:val="24"/>
        </w:rPr>
        <w:t xml:space="preserve"> (</w:t>
      </w:r>
      <w:r w:rsidR="00774DF6">
        <w:rPr>
          <w:rFonts w:ascii="Arial" w:hAnsi="Arial" w:cs="Arial"/>
          <w:sz w:val="24"/>
          <w:szCs w:val="24"/>
        </w:rPr>
        <w:t>Mr Lubbe)</w:t>
      </w:r>
      <w:r w:rsidR="00F5013F">
        <w:rPr>
          <w:rFonts w:ascii="Arial" w:hAnsi="Arial" w:cs="Arial"/>
          <w:sz w:val="24"/>
          <w:szCs w:val="24"/>
        </w:rPr>
        <w:t>,</w:t>
      </w:r>
      <w:r w:rsidRPr="004F076E">
        <w:rPr>
          <w:rFonts w:ascii="Arial" w:hAnsi="Arial" w:cs="Arial"/>
          <w:sz w:val="24"/>
          <w:szCs w:val="24"/>
        </w:rPr>
        <w:t xml:space="preserve"> </w:t>
      </w:r>
      <w:r w:rsidR="00774DF6">
        <w:rPr>
          <w:rFonts w:ascii="Arial" w:hAnsi="Arial" w:cs="Arial"/>
          <w:sz w:val="24"/>
          <w:szCs w:val="24"/>
        </w:rPr>
        <w:t xml:space="preserve">as sole member </w:t>
      </w:r>
      <w:r w:rsidRPr="004F076E">
        <w:rPr>
          <w:rFonts w:ascii="Arial" w:hAnsi="Arial" w:cs="Arial"/>
          <w:sz w:val="24"/>
          <w:szCs w:val="24"/>
        </w:rPr>
        <w:t xml:space="preserve">is personally liable for the debts of </w:t>
      </w:r>
      <w:r w:rsidR="00774DF6">
        <w:rPr>
          <w:rFonts w:ascii="Arial" w:hAnsi="Arial" w:cs="Arial"/>
          <w:sz w:val="24"/>
          <w:szCs w:val="24"/>
        </w:rPr>
        <w:t xml:space="preserve">a close corporation, represented </w:t>
      </w:r>
      <w:proofErr w:type="spellStart"/>
      <w:r w:rsidR="00774DF6" w:rsidRPr="00774DF6">
        <w:rPr>
          <w:rFonts w:ascii="Arial" w:hAnsi="Arial" w:cs="Arial"/>
          <w:i/>
          <w:sz w:val="24"/>
          <w:szCs w:val="24"/>
        </w:rPr>
        <w:t>nomino</w:t>
      </w:r>
      <w:proofErr w:type="spellEnd"/>
      <w:r w:rsidR="00774DF6" w:rsidRPr="00774DF6">
        <w:rPr>
          <w:rFonts w:ascii="Arial" w:hAnsi="Arial" w:cs="Arial"/>
          <w:i/>
          <w:sz w:val="24"/>
          <w:szCs w:val="24"/>
        </w:rPr>
        <w:t xml:space="preserve"> officio</w:t>
      </w:r>
      <w:r w:rsidR="00774DF6">
        <w:rPr>
          <w:rFonts w:ascii="Arial" w:hAnsi="Arial" w:cs="Arial"/>
          <w:sz w:val="24"/>
          <w:szCs w:val="24"/>
        </w:rPr>
        <w:t xml:space="preserve"> by </w:t>
      </w:r>
      <w:r w:rsidRPr="004F076E">
        <w:rPr>
          <w:rFonts w:ascii="Arial" w:hAnsi="Arial" w:cs="Arial"/>
          <w:sz w:val="24"/>
          <w:szCs w:val="24"/>
        </w:rPr>
        <w:t>the first respondent</w:t>
      </w:r>
      <w:r w:rsidR="00774DF6">
        <w:rPr>
          <w:rFonts w:ascii="Arial" w:hAnsi="Arial" w:cs="Arial"/>
          <w:sz w:val="24"/>
          <w:szCs w:val="24"/>
        </w:rPr>
        <w:t xml:space="preserve"> as its liquidator</w:t>
      </w:r>
      <w:r w:rsidRPr="004F076E">
        <w:rPr>
          <w:rFonts w:ascii="Arial" w:hAnsi="Arial" w:cs="Arial"/>
          <w:sz w:val="24"/>
          <w:szCs w:val="24"/>
        </w:rPr>
        <w:t xml:space="preserve"> </w:t>
      </w:r>
      <w:r w:rsidR="00774DF6">
        <w:rPr>
          <w:rFonts w:ascii="Arial" w:hAnsi="Arial" w:cs="Arial"/>
          <w:sz w:val="24"/>
          <w:szCs w:val="24"/>
        </w:rPr>
        <w:t xml:space="preserve">- </w:t>
      </w:r>
      <w:r w:rsidRPr="004F076E">
        <w:rPr>
          <w:rFonts w:ascii="Arial" w:hAnsi="Arial" w:cs="Arial"/>
          <w:sz w:val="24"/>
          <w:szCs w:val="24"/>
        </w:rPr>
        <w:t xml:space="preserve">in terms of s 64(1) of the Close Corporations Act </w:t>
      </w:r>
      <w:r w:rsidR="00774DF6">
        <w:rPr>
          <w:rFonts w:ascii="Arial" w:hAnsi="Arial" w:cs="Arial"/>
          <w:sz w:val="24"/>
          <w:szCs w:val="24"/>
        </w:rPr>
        <w:t xml:space="preserve">26 of </w:t>
      </w:r>
      <w:r w:rsidRPr="004F076E">
        <w:rPr>
          <w:rFonts w:ascii="Arial" w:hAnsi="Arial" w:cs="Arial"/>
          <w:sz w:val="24"/>
          <w:szCs w:val="24"/>
        </w:rPr>
        <w:lastRenderedPageBreak/>
        <w:t>1988</w:t>
      </w:r>
      <w:r w:rsidR="00A53527">
        <w:rPr>
          <w:rFonts w:ascii="Arial" w:hAnsi="Arial" w:cs="Arial"/>
          <w:sz w:val="24"/>
          <w:szCs w:val="24"/>
        </w:rPr>
        <w:t xml:space="preserve"> (the Act)</w:t>
      </w:r>
      <w:r w:rsidR="00774DF6">
        <w:rPr>
          <w:rFonts w:ascii="Arial" w:hAnsi="Arial" w:cs="Arial"/>
          <w:sz w:val="24"/>
          <w:szCs w:val="24"/>
        </w:rPr>
        <w:t>;</w:t>
      </w:r>
      <w:r w:rsidRPr="004F076E">
        <w:rPr>
          <w:rFonts w:ascii="Arial" w:hAnsi="Arial" w:cs="Arial"/>
          <w:sz w:val="24"/>
          <w:szCs w:val="24"/>
        </w:rPr>
        <w:t xml:space="preserve"> on the ground that </w:t>
      </w:r>
      <w:r w:rsidR="00774DF6">
        <w:rPr>
          <w:rFonts w:ascii="Arial" w:hAnsi="Arial" w:cs="Arial"/>
          <w:sz w:val="24"/>
          <w:szCs w:val="24"/>
        </w:rPr>
        <w:t xml:space="preserve">Mr Lubbe </w:t>
      </w:r>
      <w:r w:rsidRPr="004F076E">
        <w:rPr>
          <w:rFonts w:ascii="Arial" w:hAnsi="Arial" w:cs="Arial"/>
          <w:sz w:val="24"/>
          <w:szCs w:val="24"/>
        </w:rPr>
        <w:t xml:space="preserve">was party to the business of the corporation being carried on recklessly, with gross negligence or with intent to defraud any person or for any fraudulent purpose. </w:t>
      </w:r>
      <w:r w:rsidR="00774DF6">
        <w:rPr>
          <w:rFonts w:ascii="Arial" w:hAnsi="Arial" w:cs="Arial"/>
          <w:sz w:val="24"/>
          <w:szCs w:val="24"/>
        </w:rPr>
        <w:t>Section 64(1)</w:t>
      </w:r>
      <w:r w:rsidR="00A53527">
        <w:rPr>
          <w:rFonts w:ascii="Arial" w:hAnsi="Arial" w:cs="Arial"/>
          <w:sz w:val="24"/>
          <w:szCs w:val="24"/>
        </w:rPr>
        <w:t xml:space="preserve"> of the Act </w:t>
      </w:r>
      <w:r w:rsidR="00774DF6">
        <w:rPr>
          <w:rFonts w:ascii="Arial" w:hAnsi="Arial" w:cs="Arial"/>
          <w:sz w:val="24"/>
          <w:szCs w:val="24"/>
        </w:rPr>
        <w:t xml:space="preserve"> </w:t>
      </w:r>
      <w:r w:rsidRPr="004F076E">
        <w:rPr>
          <w:rFonts w:ascii="Arial" w:hAnsi="Arial" w:cs="Arial"/>
          <w:sz w:val="24"/>
          <w:szCs w:val="24"/>
        </w:rPr>
        <w:t xml:space="preserve">provides that in such </w:t>
      </w:r>
      <w:r w:rsidR="00774DF6">
        <w:rPr>
          <w:rFonts w:ascii="Arial" w:hAnsi="Arial" w:cs="Arial"/>
          <w:sz w:val="24"/>
          <w:szCs w:val="24"/>
        </w:rPr>
        <w:t xml:space="preserve">circumstances, </w:t>
      </w:r>
      <w:r w:rsidRPr="004F076E">
        <w:rPr>
          <w:rFonts w:ascii="Arial" w:hAnsi="Arial" w:cs="Arial"/>
          <w:sz w:val="24"/>
          <w:szCs w:val="24"/>
        </w:rPr>
        <w:t>‘</w:t>
      </w:r>
      <w:r w:rsidRPr="004F076E">
        <w:rPr>
          <w:rFonts w:ascii="Arial" w:hAnsi="Arial" w:cs="Arial"/>
          <w:sz w:val="24"/>
          <w:szCs w:val="24"/>
          <w:lang w:val="en-US"/>
        </w:rPr>
        <w:t xml:space="preserve">a Court may </w:t>
      </w:r>
      <w:r w:rsidRPr="00A53527">
        <w:rPr>
          <w:rFonts w:ascii="Arial" w:hAnsi="Arial" w:cs="Arial"/>
          <w:sz w:val="24"/>
          <w:szCs w:val="24"/>
          <w:lang w:val="en-US"/>
        </w:rPr>
        <w:t xml:space="preserve">on the </w:t>
      </w:r>
      <w:r w:rsidRPr="0005054D">
        <w:rPr>
          <w:rFonts w:ascii="Arial" w:hAnsi="Arial" w:cs="Arial"/>
          <w:i/>
          <w:sz w:val="24"/>
          <w:szCs w:val="24"/>
          <w:lang w:val="en-US"/>
        </w:rPr>
        <w:t>application</w:t>
      </w:r>
      <w:r w:rsidR="00A53527" w:rsidRPr="0005054D">
        <w:rPr>
          <w:rFonts w:ascii="Arial" w:hAnsi="Arial" w:cs="Arial"/>
          <w:i/>
          <w:sz w:val="24"/>
          <w:szCs w:val="24"/>
          <w:lang w:val="en-US"/>
        </w:rPr>
        <w:t>’</w:t>
      </w:r>
      <w:r w:rsidRPr="004F076E">
        <w:rPr>
          <w:rFonts w:ascii="Arial" w:hAnsi="Arial" w:cs="Arial"/>
          <w:sz w:val="24"/>
          <w:szCs w:val="24"/>
          <w:lang w:val="en-US"/>
        </w:rPr>
        <w:t xml:space="preserve"> of the Master, or any creditor, member or liquidator of the corporation, </w:t>
      </w:r>
      <w:r w:rsidRPr="00A53527">
        <w:rPr>
          <w:rFonts w:ascii="Arial" w:hAnsi="Arial" w:cs="Arial"/>
          <w:sz w:val="24"/>
          <w:szCs w:val="24"/>
          <w:lang w:val="en-US"/>
        </w:rPr>
        <w:t xml:space="preserve">declare </w:t>
      </w:r>
      <w:r w:rsidRPr="004F076E">
        <w:rPr>
          <w:rFonts w:ascii="Arial" w:hAnsi="Arial" w:cs="Arial"/>
          <w:sz w:val="24"/>
          <w:szCs w:val="24"/>
          <w:lang w:val="en-US"/>
        </w:rPr>
        <w:t>that any person who was knowingly a party to the carrying on of the business in any such manner, shall be personally liable for all or any of such debts or other liabilities of the corporation as the Court may direct, and the Court may give such further orders as it considers proper for the purpose of giving effect to the declaration and enforcing that liability.’</w:t>
      </w:r>
    </w:p>
    <w:p w14:paraId="51D0BEA1" w14:textId="77777777" w:rsidR="009A10A7" w:rsidRDefault="009A10A7" w:rsidP="004F076E">
      <w:pPr>
        <w:spacing w:after="0" w:line="360" w:lineRule="auto"/>
        <w:jc w:val="both"/>
        <w:rPr>
          <w:rFonts w:ascii="Arial" w:hAnsi="Arial" w:cs="Arial"/>
          <w:szCs w:val="24"/>
          <w:lang w:val="en-US"/>
        </w:rPr>
      </w:pPr>
    </w:p>
    <w:p w14:paraId="502DFF81" w14:textId="324F0579" w:rsidR="009A10A7" w:rsidRDefault="00774DF6" w:rsidP="004F076E">
      <w:pPr>
        <w:spacing w:after="0" w:line="360" w:lineRule="auto"/>
        <w:jc w:val="both"/>
        <w:rPr>
          <w:rFonts w:ascii="Arial" w:hAnsi="Arial" w:cs="Arial"/>
          <w:sz w:val="24"/>
          <w:szCs w:val="24"/>
        </w:rPr>
      </w:pPr>
      <w:proofErr w:type="spellStart"/>
      <w:r>
        <w:rPr>
          <w:rFonts w:ascii="Arial" w:hAnsi="Arial" w:cs="Arial"/>
          <w:sz w:val="24"/>
          <w:szCs w:val="24"/>
          <w:lang w:val="en-US"/>
        </w:rPr>
        <w:t>Mr</w:t>
      </w:r>
      <w:proofErr w:type="spellEnd"/>
      <w:r>
        <w:rPr>
          <w:rFonts w:ascii="Arial" w:hAnsi="Arial" w:cs="Arial"/>
          <w:sz w:val="24"/>
          <w:szCs w:val="24"/>
          <w:lang w:val="en-US"/>
        </w:rPr>
        <w:t xml:space="preserve"> Lubbe had </w:t>
      </w:r>
      <w:r w:rsidR="009A10A7">
        <w:rPr>
          <w:rFonts w:ascii="Arial" w:hAnsi="Arial" w:cs="Arial"/>
          <w:sz w:val="24"/>
          <w:szCs w:val="24"/>
          <w:lang w:val="en-US"/>
        </w:rPr>
        <w:t xml:space="preserve">raised a special plea to </w:t>
      </w:r>
      <w:proofErr w:type="spellStart"/>
      <w:r>
        <w:rPr>
          <w:rFonts w:ascii="Arial" w:hAnsi="Arial" w:cs="Arial"/>
          <w:sz w:val="24"/>
          <w:szCs w:val="24"/>
          <w:lang w:val="en-US"/>
        </w:rPr>
        <w:t>Swakop</w:t>
      </w:r>
      <w:proofErr w:type="spellEnd"/>
      <w:r>
        <w:rPr>
          <w:rFonts w:ascii="Arial" w:hAnsi="Arial" w:cs="Arial"/>
          <w:sz w:val="24"/>
          <w:szCs w:val="24"/>
          <w:lang w:val="en-US"/>
        </w:rPr>
        <w:t xml:space="preserve"> Uranium’s</w:t>
      </w:r>
      <w:r w:rsidR="009A10A7">
        <w:rPr>
          <w:rFonts w:ascii="Arial" w:hAnsi="Arial" w:cs="Arial"/>
          <w:sz w:val="24"/>
          <w:szCs w:val="24"/>
          <w:lang w:val="en-US"/>
        </w:rPr>
        <w:t xml:space="preserve"> particulars of claim, relying on </w:t>
      </w:r>
      <w:proofErr w:type="spellStart"/>
      <w:r w:rsidR="009A10A7" w:rsidRPr="00CB283C">
        <w:rPr>
          <w:rFonts w:ascii="Arial" w:hAnsi="Arial" w:cs="Arial"/>
          <w:i/>
          <w:sz w:val="24"/>
          <w:szCs w:val="24"/>
        </w:rPr>
        <w:t>Teichmann</w:t>
      </w:r>
      <w:proofErr w:type="spellEnd"/>
      <w:r w:rsidR="009A10A7" w:rsidRPr="00CB283C">
        <w:rPr>
          <w:rFonts w:ascii="Arial" w:hAnsi="Arial" w:cs="Arial"/>
          <w:i/>
          <w:sz w:val="24"/>
          <w:szCs w:val="24"/>
        </w:rPr>
        <w:t xml:space="preserve"> </w:t>
      </w:r>
      <w:r w:rsidR="009A10A7">
        <w:rPr>
          <w:rFonts w:ascii="Arial" w:hAnsi="Arial" w:cs="Arial"/>
          <w:i/>
          <w:sz w:val="24"/>
          <w:szCs w:val="24"/>
        </w:rPr>
        <w:t>Plant Hire (Pty) Ltd v Coetzee</w:t>
      </w:r>
      <w:r>
        <w:rPr>
          <w:rFonts w:ascii="Arial" w:hAnsi="Arial" w:cs="Arial"/>
          <w:i/>
          <w:sz w:val="24"/>
          <w:szCs w:val="24"/>
        </w:rPr>
        <w:t xml:space="preserve"> (infra)</w:t>
      </w:r>
      <w:r w:rsidR="009A10A7">
        <w:rPr>
          <w:rFonts w:ascii="Arial" w:hAnsi="Arial" w:cs="Arial"/>
          <w:i/>
          <w:sz w:val="24"/>
          <w:szCs w:val="24"/>
        </w:rPr>
        <w:t xml:space="preserve">, </w:t>
      </w:r>
      <w:r w:rsidR="009A10A7" w:rsidRPr="00CB283C">
        <w:rPr>
          <w:rFonts w:ascii="Arial" w:hAnsi="Arial" w:cs="Arial"/>
          <w:sz w:val="24"/>
          <w:szCs w:val="24"/>
        </w:rPr>
        <w:t>that to invoke s 64</w:t>
      </w:r>
      <w:r w:rsidR="009A10A7">
        <w:rPr>
          <w:rFonts w:ascii="Arial" w:hAnsi="Arial" w:cs="Arial"/>
          <w:sz w:val="24"/>
          <w:szCs w:val="24"/>
        </w:rPr>
        <w:t>(1)</w:t>
      </w:r>
      <w:r w:rsidR="009A10A7" w:rsidRPr="00CB283C">
        <w:rPr>
          <w:rFonts w:ascii="Arial" w:hAnsi="Arial" w:cs="Arial"/>
          <w:sz w:val="24"/>
          <w:szCs w:val="24"/>
        </w:rPr>
        <w:t xml:space="preserve"> of the Act, </w:t>
      </w:r>
      <w:proofErr w:type="spellStart"/>
      <w:r>
        <w:rPr>
          <w:rFonts w:ascii="Arial" w:hAnsi="Arial" w:cs="Arial"/>
          <w:sz w:val="24"/>
          <w:szCs w:val="24"/>
        </w:rPr>
        <w:t>Swakop</w:t>
      </w:r>
      <w:proofErr w:type="spellEnd"/>
      <w:r>
        <w:rPr>
          <w:rFonts w:ascii="Arial" w:hAnsi="Arial" w:cs="Arial"/>
          <w:sz w:val="24"/>
          <w:szCs w:val="24"/>
        </w:rPr>
        <w:t xml:space="preserve"> Uranium should have but failed to</w:t>
      </w:r>
      <w:r w:rsidR="009A10A7">
        <w:rPr>
          <w:rFonts w:ascii="Arial" w:hAnsi="Arial" w:cs="Arial"/>
          <w:sz w:val="24"/>
          <w:szCs w:val="24"/>
        </w:rPr>
        <w:t xml:space="preserve"> institute proceedings by way of notice of motion in terms of Rule 65 of the Rules of the High Court and not by action. </w:t>
      </w:r>
    </w:p>
    <w:p w14:paraId="0FAFC99D" w14:textId="77777777" w:rsidR="009A10A7" w:rsidRDefault="009A10A7" w:rsidP="004F076E">
      <w:pPr>
        <w:spacing w:after="0" w:line="360" w:lineRule="auto"/>
        <w:jc w:val="both"/>
        <w:rPr>
          <w:rFonts w:ascii="Arial" w:hAnsi="Arial" w:cs="Arial"/>
          <w:sz w:val="24"/>
          <w:szCs w:val="24"/>
        </w:rPr>
      </w:pPr>
    </w:p>
    <w:p w14:paraId="65D64607" w14:textId="0E2491A2" w:rsidR="009A10A7" w:rsidRDefault="009A10A7" w:rsidP="004F076E">
      <w:pPr>
        <w:spacing w:after="0" w:line="360" w:lineRule="auto"/>
        <w:jc w:val="both"/>
        <w:rPr>
          <w:rFonts w:ascii="Arial" w:hAnsi="Arial" w:cs="Arial"/>
          <w:sz w:val="24"/>
          <w:szCs w:val="24"/>
          <w:lang w:val="en-US"/>
        </w:rPr>
      </w:pPr>
      <w:r w:rsidRPr="00CB283C">
        <w:rPr>
          <w:rFonts w:ascii="Arial" w:hAnsi="Arial" w:cs="Arial"/>
          <w:sz w:val="24"/>
          <w:szCs w:val="24"/>
          <w:lang w:val="en-US"/>
        </w:rPr>
        <w:t xml:space="preserve">The court </w:t>
      </w:r>
      <w:r w:rsidRPr="00CB283C">
        <w:rPr>
          <w:rFonts w:ascii="Arial" w:hAnsi="Arial" w:cs="Arial"/>
          <w:i/>
          <w:sz w:val="24"/>
          <w:szCs w:val="24"/>
          <w:lang w:val="en-US"/>
        </w:rPr>
        <w:t xml:space="preserve">a quo </w:t>
      </w:r>
      <w:r w:rsidRPr="00CB283C">
        <w:rPr>
          <w:rFonts w:ascii="Arial" w:hAnsi="Arial" w:cs="Arial"/>
          <w:sz w:val="24"/>
          <w:szCs w:val="24"/>
          <w:lang w:val="en-US"/>
        </w:rPr>
        <w:t xml:space="preserve">upheld </w:t>
      </w:r>
      <w:r>
        <w:rPr>
          <w:rFonts w:ascii="Arial" w:hAnsi="Arial" w:cs="Arial"/>
          <w:sz w:val="24"/>
          <w:szCs w:val="24"/>
          <w:lang w:val="en-US"/>
        </w:rPr>
        <w:t xml:space="preserve">the special plea. </w:t>
      </w:r>
      <w:r w:rsidR="00774DF6">
        <w:rPr>
          <w:rFonts w:ascii="Arial" w:hAnsi="Arial" w:cs="Arial"/>
          <w:sz w:val="24"/>
          <w:szCs w:val="24"/>
          <w:lang w:val="en-US"/>
        </w:rPr>
        <w:t>The appeal lies against that order.</w:t>
      </w:r>
    </w:p>
    <w:p w14:paraId="1A6ACC19" w14:textId="77777777" w:rsidR="00774DF6" w:rsidRDefault="00774DF6" w:rsidP="004F076E">
      <w:pPr>
        <w:spacing w:after="0" w:line="360" w:lineRule="auto"/>
        <w:jc w:val="both"/>
        <w:rPr>
          <w:rFonts w:ascii="Arial" w:hAnsi="Arial" w:cs="Arial"/>
          <w:i/>
          <w:sz w:val="24"/>
          <w:szCs w:val="24"/>
          <w:lang w:val="en-US"/>
        </w:rPr>
      </w:pPr>
    </w:p>
    <w:p w14:paraId="68496B02" w14:textId="0FED7839" w:rsidR="009A10A7" w:rsidRDefault="009A10A7" w:rsidP="004F076E">
      <w:pPr>
        <w:spacing w:after="0" w:line="360" w:lineRule="auto"/>
        <w:jc w:val="both"/>
        <w:rPr>
          <w:rFonts w:ascii="Arial" w:hAnsi="Arial" w:cs="Arial"/>
          <w:sz w:val="24"/>
          <w:szCs w:val="24"/>
        </w:rPr>
      </w:pPr>
      <w:r w:rsidRPr="00462EEC">
        <w:rPr>
          <w:rFonts w:ascii="Arial" w:hAnsi="Arial" w:cs="Arial"/>
          <w:i/>
          <w:sz w:val="24"/>
          <w:szCs w:val="24"/>
          <w:lang w:val="en-US"/>
        </w:rPr>
        <w:t>Held that</w:t>
      </w:r>
      <w:r>
        <w:rPr>
          <w:rFonts w:ascii="Arial" w:hAnsi="Arial" w:cs="Arial"/>
          <w:sz w:val="24"/>
          <w:szCs w:val="24"/>
          <w:lang w:val="en-US"/>
        </w:rPr>
        <w:t>, t</w:t>
      </w:r>
      <w:r w:rsidRPr="00462EEC">
        <w:rPr>
          <w:rFonts w:ascii="Arial" w:hAnsi="Arial" w:cs="Arial"/>
          <w:sz w:val="24"/>
          <w:szCs w:val="24"/>
        </w:rPr>
        <w:t xml:space="preserve">he word </w:t>
      </w:r>
      <w:r w:rsidR="00E072A3">
        <w:rPr>
          <w:rFonts w:ascii="Arial" w:hAnsi="Arial" w:cs="Arial"/>
          <w:sz w:val="24"/>
          <w:szCs w:val="24"/>
        </w:rPr>
        <w:t>‘</w:t>
      </w:r>
      <w:r w:rsidRPr="0005054D">
        <w:rPr>
          <w:rFonts w:ascii="Arial" w:hAnsi="Arial" w:cs="Arial"/>
          <w:i/>
          <w:sz w:val="24"/>
          <w:szCs w:val="24"/>
        </w:rPr>
        <w:t>application</w:t>
      </w:r>
      <w:r w:rsidR="00E072A3" w:rsidRPr="0005054D">
        <w:rPr>
          <w:rFonts w:ascii="Arial" w:hAnsi="Arial" w:cs="Arial"/>
          <w:i/>
          <w:sz w:val="24"/>
          <w:szCs w:val="24"/>
        </w:rPr>
        <w:t>’</w:t>
      </w:r>
      <w:r w:rsidRPr="00462EEC">
        <w:rPr>
          <w:rFonts w:ascii="Arial" w:hAnsi="Arial" w:cs="Arial"/>
          <w:sz w:val="24"/>
          <w:szCs w:val="24"/>
        </w:rPr>
        <w:t xml:space="preserve"> is </w:t>
      </w:r>
      <w:r w:rsidR="00E072A3">
        <w:rPr>
          <w:rFonts w:ascii="Arial" w:hAnsi="Arial" w:cs="Arial"/>
          <w:sz w:val="24"/>
          <w:szCs w:val="24"/>
        </w:rPr>
        <w:t xml:space="preserve">not a term of art but </w:t>
      </w:r>
      <w:r w:rsidRPr="00462EEC">
        <w:rPr>
          <w:rFonts w:ascii="Arial" w:hAnsi="Arial" w:cs="Arial"/>
          <w:sz w:val="24"/>
          <w:szCs w:val="24"/>
        </w:rPr>
        <w:t xml:space="preserve">an ordinary word of the English language to which the </w:t>
      </w:r>
      <w:r w:rsidR="00E072A3">
        <w:rPr>
          <w:rFonts w:ascii="Arial" w:hAnsi="Arial" w:cs="Arial"/>
          <w:sz w:val="24"/>
          <w:szCs w:val="24"/>
        </w:rPr>
        <w:t xml:space="preserve">High Court Rules </w:t>
      </w:r>
      <w:r w:rsidRPr="00462EEC">
        <w:rPr>
          <w:rFonts w:ascii="Arial" w:hAnsi="Arial" w:cs="Arial"/>
          <w:sz w:val="24"/>
          <w:szCs w:val="24"/>
        </w:rPr>
        <w:t xml:space="preserve">assigned a specific meaning </w:t>
      </w:r>
      <w:r w:rsidR="00774DF6">
        <w:rPr>
          <w:rFonts w:ascii="Arial" w:hAnsi="Arial" w:cs="Arial"/>
          <w:sz w:val="24"/>
          <w:szCs w:val="24"/>
        </w:rPr>
        <w:t>– and which,</w:t>
      </w:r>
      <w:r w:rsidRPr="00462EEC">
        <w:rPr>
          <w:rFonts w:ascii="Arial" w:hAnsi="Arial" w:cs="Arial"/>
          <w:sz w:val="24"/>
          <w:szCs w:val="24"/>
        </w:rPr>
        <w:t xml:space="preserve"> </w:t>
      </w:r>
      <w:r w:rsidR="00774DF6">
        <w:rPr>
          <w:rFonts w:ascii="Arial" w:hAnsi="Arial" w:cs="Arial"/>
          <w:sz w:val="24"/>
          <w:szCs w:val="24"/>
        </w:rPr>
        <w:t xml:space="preserve">had it not been so defined, </w:t>
      </w:r>
      <w:r w:rsidRPr="00462EEC">
        <w:rPr>
          <w:rFonts w:ascii="Arial" w:hAnsi="Arial" w:cs="Arial"/>
          <w:sz w:val="24"/>
          <w:szCs w:val="24"/>
        </w:rPr>
        <w:t xml:space="preserve">would not exclude action proceedings. </w:t>
      </w:r>
      <w:r>
        <w:rPr>
          <w:rFonts w:ascii="Arial" w:hAnsi="Arial" w:cs="Arial"/>
          <w:sz w:val="24"/>
          <w:szCs w:val="24"/>
        </w:rPr>
        <w:t xml:space="preserve"> In </w:t>
      </w:r>
      <w:r w:rsidRPr="00462EEC">
        <w:rPr>
          <w:rFonts w:ascii="Arial" w:hAnsi="Arial" w:cs="Arial"/>
          <w:sz w:val="24"/>
          <w:szCs w:val="24"/>
        </w:rPr>
        <w:t xml:space="preserve">the absence of a definition of the word </w:t>
      </w:r>
      <w:r w:rsidR="00FA717B" w:rsidRPr="0005054D">
        <w:rPr>
          <w:rFonts w:ascii="Arial" w:hAnsi="Arial" w:cs="Arial"/>
          <w:i/>
          <w:sz w:val="24"/>
          <w:szCs w:val="24"/>
        </w:rPr>
        <w:t>application</w:t>
      </w:r>
      <w:r w:rsidR="00FA717B">
        <w:rPr>
          <w:rFonts w:ascii="Arial" w:hAnsi="Arial" w:cs="Arial"/>
          <w:sz w:val="24"/>
          <w:szCs w:val="24"/>
        </w:rPr>
        <w:t xml:space="preserve"> </w:t>
      </w:r>
      <w:r w:rsidRPr="00462EEC">
        <w:rPr>
          <w:rFonts w:ascii="Arial" w:hAnsi="Arial" w:cs="Arial"/>
          <w:sz w:val="24"/>
          <w:szCs w:val="24"/>
        </w:rPr>
        <w:t xml:space="preserve">in the Act and because the legislature had not by reference to another statute or </w:t>
      </w:r>
      <w:r>
        <w:rPr>
          <w:rFonts w:ascii="Arial" w:hAnsi="Arial" w:cs="Arial"/>
          <w:sz w:val="24"/>
          <w:szCs w:val="24"/>
        </w:rPr>
        <w:t xml:space="preserve">known </w:t>
      </w:r>
      <w:r w:rsidRPr="00462EEC">
        <w:rPr>
          <w:rFonts w:ascii="Arial" w:hAnsi="Arial" w:cs="Arial"/>
          <w:sz w:val="24"/>
          <w:szCs w:val="24"/>
        </w:rPr>
        <w:t>practices of the courts, assigned the word a technical meaning, the default position is that the word must be given its ordinary grammatical meaning of a ‘formal request to court’. I</w:t>
      </w:r>
      <w:r>
        <w:rPr>
          <w:rFonts w:ascii="Arial" w:hAnsi="Arial" w:cs="Arial"/>
          <w:sz w:val="24"/>
          <w:szCs w:val="24"/>
        </w:rPr>
        <w:t>f</w:t>
      </w:r>
      <w:r w:rsidRPr="00462EEC">
        <w:rPr>
          <w:rFonts w:ascii="Arial" w:hAnsi="Arial" w:cs="Arial"/>
          <w:sz w:val="24"/>
          <w:szCs w:val="24"/>
        </w:rPr>
        <w:t xml:space="preserve"> the word is given its ordinary grammatical signification, it can </w:t>
      </w:r>
      <w:r w:rsidR="00735E9C">
        <w:rPr>
          <w:rFonts w:ascii="Arial" w:hAnsi="Arial" w:cs="Arial"/>
          <w:sz w:val="24"/>
          <w:szCs w:val="24"/>
        </w:rPr>
        <w:t xml:space="preserve">include </w:t>
      </w:r>
      <w:r w:rsidRPr="00462EEC">
        <w:rPr>
          <w:rFonts w:ascii="Arial" w:hAnsi="Arial" w:cs="Arial"/>
          <w:sz w:val="24"/>
          <w:szCs w:val="24"/>
        </w:rPr>
        <w:t xml:space="preserve">either avenue available for instituting court proceedings. </w:t>
      </w:r>
    </w:p>
    <w:p w14:paraId="639B1E37" w14:textId="77777777" w:rsidR="009A10A7" w:rsidRPr="00462EEC" w:rsidRDefault="009A10A7" w:rsidP="004F076E">
      <w:pPr>
        <w:spacing w:after="0" w:line="360" w:lineRule="auto"/>
        <w:jc w:val="both"/>
        <w:rPr>
          <w:rFonts w:ascii="Arial" w:hAnsi="Arial" w:cs="Arial"/>
          <w:sz w:val="24"/>
          <w:szCs w:val="24"/>
        </w:rPr>
      </w:pPr>
    </w:p>
    <w:p w14:paraId="50E312CC" w14:textId="4B0F3181" w:rsidR="009A10A7" w:rsidRDefault="009A10A7" w:rsidP="004F076E">
      <w:pPr>
        <w:spacing w:after="0" w:line="360" w:lineRule="auto"/>
        <w:jc w:val="both"/>
        <w:rPr>
          <w:rFonts w:ascii="Arial" w:hAnsi="Arial" w:cs="Arial"/>
          <w:sz w:val="24"/>
          <w:szCs w:val="24"/>
          <w:lang w:val="en-US"/>
        </w:rPr>
      </w:pPr>
      <w:r w:rsidRPr="00462EEC">
        <w:rPr>
          <w:rFonts w:ascii="Arial" w:hAnsi="Arial" w:cs="Arial"/>
          <w:i/>
          <w:sz w:val="24"/>
          <w:szCs w:val="24"/>
        </w:rPr>
        <w:t>Held that</w:t>
      </w:r>
      <w:r w:rsidR="00735E9C">
        <w:rPr>
          <w:rFonts w:ascii="Arial" w:hAnsi="Arial" w:cs="Arial"/>
          <w:sz w:val="24"/>
          <w:szCs w:val="24"/>
        </w:rPr>
        <w:t>,</w:t>
      </w:r>
      <w:r w:rsidRPr="00462EEC">
        <w:rPr>
          <w:rFonts w:ascii="Arial" w:hAnsi="Arial" w:cs="Arial"/>
          <w:sz w:val="24"/>
          <w:szCs w:val="24"/>
        </w:rPr>
        <w:t xml:space="preserve"> because the legislature had not excluded recourse to action proceedings either expressly or by necessary implication, action proceedings should not be excluded as an alternative </w:t>
      </w:r>
      <w:r w:rsidRPr="00462EEC">
        <w:rPr>
          <w:rFonts w:ascii="Arial" w:hAnsi="Arial" w:cs="Arial"/>
          <w:sz w:val="24"/>
          <w:szCs w:val="24"/>
          <w:lang w:val="en-US"/>
        </w:rPr>
        <w:t>avenue for instituting cou</w:t>
      </w:r>
      <w:r w:rsidR="00735E9C">
        <w:rPr>
          <w:rFonts w:ascii="Arial" w:hAnsi="Arial" w:cs="Arial"/>
          <w:sz w:val="24"/>
          <w:szCs w:val="24"/>
          <w:lang w:val="en-US"/>
        </w:rPr>
        <w:t xml:space="preserve">rt proceedings in terms of s 64(1) </w:t>
      </w:r>
      <w:r w:rsidRPr="00462EEC">
        <w:rPr>
          <w:rFonts w:ascii="Arial" w:hAnsi="Arial" w:cs="Arial"/>
          <w:sz w:val="24"/>
          <w:szCs w:val="24"/>
          <w:lang w:val="en-US"/>
        </w:rPr>
        <w:t>of the Act.</w:t>
      </w:r>
    </w:p>
    <w:p w14:paraId="32550EC0" w14:textId="77777777" w:rsidR="009A10A7" w:rsidRDefault="009A10A7" w:rsidP="004F076E">
      <w:pPr>
        <w:spacing w:after="0" w:line="360" w:lineRule="auto"/>
        <w:jc w:val="both"/>
        <w:rPr>
          <w:rFonts w:ascii="Arial" w:hAnsi="Arial" w:cs="Arial"/>
          <w:sz w:val="24"/>
          <w:szCs w:val="24"/>
          <w:lang w:val="en-US"/>
        </w:rPr>
      </w:pPr>
    </w:p>
    <w:p w14:paraId="0423B225" w14:textId="77777777" w:rsidR="009A10A7" w:rsidRPr="000D33BB" w:rsidRDefault="009A10A7" w:rsidP="004F076E">
      <w:pPr>
        <w:spacing w:after="0" w:line="480" w:lineRule="auto"/>
        <w:jc w:val="both"/>
        <w:rPr>
          <w:rFonts w:ascii="Arial" w:hAnsi="Arial" w:cs="Arial"/>
          <w:sz w:val="24"/>
          <w:szCs w:val="24"/>
          <w:lang w:val="en-US"/>
        </w:rPr>
      </w:pPr>
      <w:r>
        <w:rPr>
          <w:rFonts w:ascii="Arial" w:hAnsi="Arial" w:cs="Arial"/>
          <w:sz w:val="24"/>
          <w:szCs w:val="24"/>
          <w:lang w:val="en-US"/>
        </w:rPr>
        <w:t>Appeal upheld.</w:t>
      </w:r>
    </w:p>
    <w:p w14:paraId="6875F979" w14:textId="77777777" w:rsidR="009A10A7" w:rsidRPr="00991107" w:rsidRDefault="009A10A7" w:rsidP="004F076E">
      <w:pPr>
        <w:spacing w:after="0" w:line="480" w:lineRule="auto"/>
        <w:rPr>
          <w:rFonts w:ascii="Arial" w:hAnsi="Arial" w:cs="Arial"/>
          <w:sz w:val="24"/>
          <w:szCs w:val="24"/>
        </w:rPr>
      </w:pPr>
      <w:r>
        <w:rPr>
          <w:rFonts w:ascii="Arial" w:hAnsi="Arial" w:cs="Arial"/>
          <w:sz w:val="24"/>
          <w:szCs w:val="24"/>
        </w:rPr>
        <w:lastRenderedPageBreak/>
        <w:t>_________________________________________________________________</w:t>
      </w:r>
    </w:p>
    <w:p w14:paraId="4580ED6A" w14:textId="77777777" w:rsidR="00C24953" w:rsidRPr="00C24953" w:rsidRDefault="00C24953" w:rsidP="004F076E">
      <w:pPr>
        <w:spacing w:after="0" w:line="480" w:lineRule="auto"/>
        <w:jc w:val="center"/>
        <w:rPr>
          <w:rFonts w:ascii="Arial" w:hAnsi="Arial" w:cs="Arial"/>
          <w:b/>
          <w:sz w:val="4"/>
          <w:szCs w:val="24"/>
        </w:rPr>
      </w:pPr>
    </w:p>
    <w:p w14:paraId="257F9FA6" w14:textId="77777777" w:rsidR="001B17C0" w:rsidRPr="001B17C0" w:rsidRDefault="001B17C0" w:rsidP="004F076E">
      <w:pPr>
        <w:spacing w:after="0" w:line="480" w:lineRule="auto"/>
        <w:jc w:val="center"/>
        <w:rPr>
          <w:rFonts w:ascii="Arial" w:hAnsi="Arial" w:cs="Arial"/>
          <w:b/>
          <w:sz w:val="2"/>
          <w:szCs w:val="24"/>
        </w:rPr>
      </w:pPr>
    </w:p>
    <w:p w14:paraId="10F09477" w14:textId="77777777" w:rsidR="009A10A7" w:rsidRDefault="009A10A7" w:rsidP="004F076E">
      <w:pPr>
        <w:spacing w:after="0" w:line="480" w:lineRule="auto"/>
        <w:jc w:val="center"/>
        <w:rPr>
          <w:rFonts w:ascii="Arial" w:hAnsi="Arial" w:cs="Arial"/>
          <w:b/>
          <w:sz w:val="24"/>
          <w:szCs w:val="24"/>
        </w:rPr>
      </w:pPr>
      <w:r w:rsidRPr="00970591">
        <w:rPr>
          <w:rFonts w:ascii="Arial" w:hAnsi="Arial" w:cs="Arial"/>
          <w:b/>
          <w:sz w:val="24"/>
          <w:szCs w:val="24"/>
        </w:rPr>
        <w:t>APPEAL JUDGMENT</w:t>
      </w:r>
    </w:p>
    <w:p w14:paraId="7E20E83A" w14:textId="77777777" w:rsidR="00C24953" w:rsidRPr="001B17C0" w:rsidRDefault="00C24953" w:rsidP="004F076E">
      <w:pPr>
        <w:spacing w:after="0" w:line="480" w:lineRule="auto"/>
        <w:jc w:val="center"/>
        <w:rPr>
          <w:rFonts w:ascii="Arial" w:hAnsi="Arial" w:cs="Arial"/>
          <w:b/>
          <w:sz w:val="2"/>
          <w:szCs w:val="24"/>
        </w:rPr>
      </w:pPr>
    </w:p>
    <w:p w14:paraId="787C5638" w14:textId="77777777" w:rsidR="009A10A7" w:rsidRPr="00991107" w:rsidRDefault="009A10A7" w:rsidP="004F076E">
      <w:pPr>
        <w:spacing w:after="0" w:line="480" w:lineRule="auto"/>
        <w:rPr>
          <w:rFonts w:ascii="Arial" w:hAnsi="Arial" w:cs="Arial"/>
          <w:sz w:val="24"/>
          <w:szCs w:val="24"/>
        </w:rPr>
      </w:pPr>
      <w:r>
        <w:rPr>
          <w:rFonts w:ascii="Arial" w:hAnsi="Arial" w:cs="Arial"/>
          <w:sz w:val="24"/>
          <w:szCs w:val="24"/>
        </w:rPr>
        <w:t>_________________________________________________________________</w:t>
      </w:r>
    </w:p>
    <w:p w14:paraId="2D07F02E" w14:textId="77777777" w:rsidR="009A10A7" w:rsidRDefault="009A10A7" w:rsidP="004F076E">
      <w:pPr>
        <w:spacing w:after="0" w:line="480" w:lineRule="auto"/>
        <w:jc w:val="both"/>
        <w:rPr>
          <w:rFonts w:ascii="Arial" w:hAnsi="Arial" w:cs="Arial"/>
          <w:sz w:val="24"/>
          <w:szCs w:val="24"/>
        </w:rPr>
      </w:pPr>
      <w:r>
        <w:rPr>
          <w:rFonts w:ascii="Arial" w:hAnsi="Arial" w:cs="Arial"/>
          <w:sz w:val="24"/>
          <w:szCs w:val="24"/>
        </w:rPr>
        <w:t>DAMASEB DCJ</w:t>
      </w:r>
      <w:r w:rsidRPr="00212F19">
        <w:rPr>
          <w:rFonts w:ascii="Arial" w:hAnsi="Arial" w:cs="Arial"/>
          <w:sz w:val="24"/>
          <w:szCs w:val="24"/>
        </w:rPr>
        <w:t xml:space="preserve"> (MAINGA JA and </w:t>
      </w:r>
      <w:r>
        <w:rPr>
          <w:rFonts w:ascii="Arial" w:hAnsi="Arial" w:cs="Arial"/>
          <w:sz w:val="24"/>
          <w:szCs w:val="24"/>
        </w:rPr>
        <w:t>FRANK A</w:t>
      </w:r>
      <w:r w:rsidRPr="00212F19">
        <w:rPr>
          <w:rFonts w:ascii="Arial" w:hAnsi="Arial" w:cs="Arial"/>
          <w:sz w:val="24"/>
          <w:szCs w:val="24"/>
        </w:rPr>
        <w:t>JA concurring):</w:t>
      </w:r>
    </w:p>
    <w:p w14:paraId="2495CCC2" w14:textId="77777777" w:rsidR="009A10A7" w:rsidRPr="00656BF4" w:rsidRDefault="009A10A7" w:rsidP="004F076E">
      <w:pPr>
        <w:spacing w:after="0" w:line="480" w:lineRule="auto"/>
        <w:jc w:val="both"/>
        <w:rPr>
          <w:rFonts w:ascii="Arial" w:hAnsi="Arial" w:cs="Arial"/>
          <w:sz w:val="24"/>
          <w:szCs w:val="24"/>
          <w:lang w:val="en-GB"/>
        </w:rPr>
      </w:pPr>
    </w:p>
    <w:p w14:paraId="21DD0339" w14:textId="3F8DDB3D" w:rsidR="000B0403" w:rsidRPr="004C01E3" w:rsidRDefault="004C01E3" w:rsidP="004C01E3">
      <w:pPr>
        <w:spacing w:after="0" w:line="48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9A10A7" w:rsidRPr="004C01E3">
        <w:rPr>
          <w:rFonts w:ascii="Arial" w:hAnsi="Arial" w:cs="Arial"/>
          <w:sz w:val="24"/>
          <w:szCs w:val="24"/>
          <w:lang w:val="en-US"/>
        </w:rPr>
        <w:t>If a creditor wishes to lift the corporate veil so as to hold a close corporation’s member(s) personally liable for the corporation’s debts</w:t>
      </w:r>
      <w:r w:rsidR="00735E9C">
        <w:rPr>
          <w:rStyle w:val="FootnoteReference"/>
          <w:rFonts w:ascii="Arial" w:hAnsi="Arial" w:cs="Arial"/>
          <w:sz w:val="24"/>
          <w:szCs w:val="24"/>
          <w:lang w:val="en-US"/>
        </w:rPr>
        <w:footnoteReference w:id="1"/>
      </w:r>
      <w:r w:rsidR="00735E9C">
        <w:t>,</w:t>
      </w:r>
      <w:r w:rsidR="009A10A7" w:rsidRPr="004C01E3">
        <w:rPr>
          <w:rFonts w:ascii="Arial" w:hAnsi="Arial" w:cs="Arial"/>
          <w:sz w:val="24"/>
          <w:szCs w:val="24"/>
          <w:lang w:val="en-US"/>
        </w:rPr>
        <w:t xml:space="preserve"> should he or she do so only on notice of </w:t>
      </w:r>
      <w:proofErr w:type="gramStart"/>
      <w:r w:rsidR="009A10A7" w:rsidRPr="004C01E3">
        <w:rPr>
          <w:rFonts w:ascii="Arial" w:hAnsi="Arial" w:cs="Arial"/>
          <w:sz w:val="24"/>
          <w:szCs w:val="24"/>
          <w:lang w:val="en-US"/>
        </w:rPr>
        <w:t>motion</w:t>
      </w:r>
      <w:proofErr w:type="gramEnd"/>
      <w:r w:rsidR="009A10A7" w:rsidRPr="004C01E3">
        <w:rPr>
          <w:rFonts w:ascii="Arial" w:hAnsi="Arial" w:cs="Arial"/>
          <w:sz w:val="24"/>
          <w:szCs w:val="24"/>
          <w:lang w:val="en-US"/>
        </w:rPr>
        <w:t xml:space="preserve"> or can he or she also proceed by way of action proceedings?</w:t>
      </w:r>
    </w:p>
    <w:p w14:paraId="36D165E5" w14:textId="77777777" w:rsidR="009A10A7" w:rsidRDefault="009A10A7" w:rsidP="004F076E">
      <w:pPr>
        <w:spacing w:after="0" w:line="480" w:lineRule="auto"/>
        <w:jc w:val="both"/>
        <w:rPr>
          <w:rFonts w:ascii="Arial" w:hAnsi="Arial" w:cs="Arial"/>
          <w:sz w:val="24"/>
          <w:szCs w:val="24"/>
          <w:lang w:val="en-US"/>
        </w:rPr>
      </w:pPr>
    </w:p>
    <w:p w14:paraId="1A3EC0E9" w14:textId="429264E5" w:rsidR="009A10A7" w:rsidRPr="004C01E3" w:rsidRDefault="004C01E3" w:rsidP="004C01E3">
      <w:pPr>
        <w:spacing w:after="0" w:line="480" w:lineRule="auto"/>
        <w:jc w:val="both"/>
        <w:rPr>
          <w:rFonts w:ascii="Arial" w:hAnsi="Arial" w:cs="Arial"/>
          <w:sz w:val="24"/>
          <w:szCs w:val="24"/>
          <w:lang w:val="en-US"/>
        </w:rPr>
      </w:pPr>
      <w:r w:rsidRPr="006F1BA1">
        <w:rPr>
          <w:rFonts w:ascii="Arial" w:hAnsi="Arial" w:cs="Arial"/>
          <w:sz w:val="24"/>
          <w:szCs w:val="24"/>
          <w:lang w:val="en-US"/>
        </w:rPr>
        <w:t>[2]</w:t>
      </w:r>
      <w:r w:rsidRPr="006F1BA1">
        <w:rPr>
          <w:rFonts w:ascii="Arial" w:hAnsi="Arial" w:cs="Arial"/>
          <w:sz w:val="24"/>
          <w:szCs w:val="24"/>
          <w:lang w:val="en-US"/>
        </w:rPr>
        <w:tab/>
      </w:r>
      <w:r w:rsidR="009A10A7" w:rsidRPr="004C01E3">
        <w:rPr>
          <w:rFonts w:ascii="Arial" w:hAnsi="Arial" w:cs="Arial"/>
          <w:sz w:val="24"/>
          <w:szCs w:val="24"/>
          <w:lang w:val="en-US"/>
        </w:rPr>
        <w:t xml:space="preserve">That is the narrow legal question raised on this appeal. The High Court held, following </w:t>
      </w:r>
      <w:proofErr w:type="spellStart"/>
      <w:r w:rsidR="009A10A7" w:rsidRPr="004C01E3">
        <w:rPr>
          <w:rFonts w:ascii="Arial" w:hAnsi="Arial" w:cs="Arial"/>
          <w:i/>
          <w:sz w:val="24"/>
          <w:szCs w:val="24"/>
          <w:lang w:val="en-GB"/>
        </w:rPr>
        <w:t>Teichmann</w:t>
      </w:r>
      <w:proofErr w:type="spellEnd"/>
      <w:r w:rsidR="009A10A7" w:rsidRPr="004C01E3">
        <w:rPr>
          <w:rFonts w:ascii="Arial" w:hAnsi="Arial" w:cs="Arial"/>
          <w:i/>
          <w:sz w:val="24"/>
          <w:szCs w:val="24"/>
          <w:lang w:val="en-GB"/>
        </w:rPr>
        <w:t xml:space="preserve"> Plant Hire (Pty) Ltd v Coetzee</w:t>
      </w:r>
      <w:r w:rsidR="009A10A7">
        <w:rPr>
          <w:rStyle w:val="FootnoteReference"/>
          <w:rFonts w:ascii="Arial" w:hAnsi="Arial" w:cs="Arial"/>
          <w:i/>
          <w:sz w:val="24"/>
          <w:szCs w:val="24"/>
          <w:lang w:val="en-GB"/>
        </w:rPr>
        <w:footnoteReference w:id="2"/>
      </w:r>
      <w:r w:rsidR="00931D87" w:rsidRPr="004C01E3">
        <w:rPr>
          <w:rFonts w:ascii="Arial" w:hAnsi="Arial" w:cs="Arial"/>
          <w:i/>
          <w:sz w:val="24"/>
          <w:szCs w:val="24"/>
          <w:lang w:val="en-GB"/>
        </w:rPr>
        <w:t xml:space="preserve"> </w:t>
      </w:r>
      <w:r w:rsidR="009A10A7" w:rsidRPr="004C01E3">
        <w:rPr>
          <w:rFonts w:ascii="Arial" w:hAnsi="Arial" w:cs="Arial"/>
          <w:sz w:val="24"/>
          <w:szCs w:val="24"/>
          <w:lang w:val="en-GB"/>
        </w:rPr>
        <w:t>(</w:t>
      </w:r>
      <w:proofErr w:type="spellStart"/>
      <w:r w:rsidR="009A10A7" w:rsidRPr="004C01E3">
        <w:rPr>
          <w:rFonts w:ascii="Arial" w:hAnsi="Arial" w:cs="Arial"/>
          <w:i/>
          <w:sz w:val="24"/>
          <w:szCs w:val="24"/>
          <w:lang w:val="en-US"/>
        </w:rPr>
        <w:t>Teichmann</w:t>
      </w:r>
      <w:proofErr w:type="spellEnd"/>
      <w:r w:rsidR="009A10A7" w:rsidRPr="004C01E3">
        <w:rPr>
          <w:rFonts w:ascii="Arial" w:hAnsi="Arial" w:cs="Arial"/>
          <w:sz w:val="24"/>
          <w:szCs w:val="24"/>
          <w:lang w:val="en-US"/>
        </w:rPr>
        <w:t>)</w:t>
      </w:r>
      <w:r w:rsidR="00931D87" w:rsidRPr="004C01E3">
        <w:rPr>
          <w:rFonts w:ascii="Arial" w:hAnsi="Arial" w:cs="Arial"/>
          <w:sz w:val="24"/>
          <w:szCs w:val="24"/>
          <w:lang w:val="en-US"/>
        </w:rPr>
        <w:t xml:space="preserve">, </w:t>
      </w:r>
      <w:r w:rsidR="009A10A7" w:rsidRPr="004C01E3">
        <w:rPr>
          <w:rFonts w:ascii="Arial" w:hAnsi="Arial" w:cs="Arial"/>
          <w:sz w:val="24"/>
          <w:szCs w:val="24"/>
          <w:lang w:val="en-US"/>
        </w:rPr>
        <w:t>that such a creditor must proceed by way of notice of motion to the exclusion of action proceedings.</w:t>
      </w:r>
    </w:p>
    <w:p w14:paraId="747B5F64" w14:textId="77777777" w:rsidR="009A10A7" w:rsidRPr="00656BF4" w:rsidRDefault="009A10A7" w:rsidP="004F076E">
      <w:pPr>
        <w:spacing w:after="0" w:line="480" w:lineRule="auto"/>
        <w:jc w:val="both"/>
        <w:rPr>
          <w:rFonts w:ascii="Arial" w:hAnsi="Arial" w:cs="Arial"/>
          <w:sz w:val="24"/>
          <w:szCs w:val="24"/>
          <w:lang w:val="en-GB"/>
        </w:rPr>
      </w:pPr>
    </w:p>
    <w:p w14:paraId="3C077ABC" w14:textId="13EBA0A1" w:rsidR="009A10A7" w:rsidRPr="004C01E3" w:rsidRDefault="004C01E3" w:rsidP="004C01E3">
      <w:pPr>
        <w:spacing w:after="0" w:line="480" w:lineRule="auto"/>
        <w:jc w:val="both"/>
        <w:rPr>
          <w:rFonts w:ascii="Arial" w:hAnsi="Arial" w:cs="Arial"/>
          <w:sz w:val="24"/>
          <w:szCs w:val="24"/>
          <w:lang w:val="en-GB"/>
        </w:rPr>
      </w:pPr>
      <w:r w:rsidRPr="00D37EBA">
        <w:rPr>
          <w:rFonts w:ascii="Arial" w:hAnsi="Arial" w:cs="Arial"/>
          <w:sz w:val="24"/>
          <w:szCs w:val="24"/>
          <w:lang w:val="en-GB"/>
        </w:rPr>
        <w:t>[3]</w:t>
      </w:r>
      <w:r w:rsidRPr="00D37EBA">
        <w:rPr>
          <w:rFonts w:ascii="Arial" w:hAnsi="Arial" w:cs="Arial"/>
          <w:sz w:val="24"/>
          <w:szCs w:val="24"/>
          <w:lang w:val="en-GB"/>
        </w:rPr>
        <w:tab/>
      </w:r>
      <w:r w:rsidR="009A10A7" w:rsidRPr="004C01E3">
        <w:rPr>
          <w:rFonts w:ascii="Arial" w:hAnsi="Arial" w:cs="Arial"/>
          <w:sz w:val="24"/>
          <w:szCs w:val="24"/>
        </w:rPr>
        <w:t>The appellant (</w:t>
      </w:r>
      <w:proofErr w:type="spellStart"/>
      <w:r w:rsidR="009A10A7" w:rsidRPr="004C01E3">
        <w:rPr>
          <w:rFonts w:ascii="Arial" w:hAnsi="Arial" w:cs="Arial"/>
          <w:sz w:val="24"/>
          <w:szCs w:val="24"/>
        </w:rPr>
        <w:t>Swakop</w:t>
      </w:r>
      <w:proofErr w:type="spellEnd"/>
      <w:r w:rsidR="009A10A7" w:rsidRPr="004C01E3">
        <w:rPr>
          <w:rFonts w:ascii="Arial" w:hAnsi="Arial" w:cs="Arial"/>
          <w:sz w:val="24"/>
          <w:szCs w:val="24"/>
        </w:rPr>
        <w:t xml:space="preserve"> Uranium) in its particulars of claim sough</w:t>
      </w:r>
      <w:r w:rsidR="00F130CD" w:rsidRPr="004C01E3">
        <w:rPr>
          <w:rFonts w:ascii="Arial" w:hAnsi="Arial" w:cs="Arial"/>
          <w:sz w:val="24"/>
          <w:szCs w:val="24"/>
        </w:rPr>
        <w:t>t</w:t>
      </w:r>
      <w:r w:rsidR="009A10A7" w:rsidRPr="004C01E3">
        <w:rPr>
          <w:rFonts w:ascii="Arial" w:hAnsi="Arial" w:cs="Arial"/>
          <w:sz w:val="24"/>
          <w:szCs w:val="24"/>
        </w:rPr>
        <w:t xml:space="preserve"> to hold the second respondent (Mr Lubbe) personally liable for the debts of a close corporation in liquidation, previously known as Lubbe Motor Group CC (LMG CC) – but whose name has since changed to Rensburg Motor Sales CC (RMS CC). </w:t>
      </w:r>
      <w:r w:rsidR="009A10A7" w:rsidRPr="004C01E3">
        <w:rPr>
          <w:rFonts w:ascii="Arial" w:hAnsi="Arial" w:cs="Arial"/>
          <w:sz w:val="24"/>
          <w:szCs w:val="24"/>
          <w:lang w:val="en-GB"/>
        </w:rPr>
        <w:t>Mr Lubbe is the sole member of LMG CC</w:t>
      </w:r>
      <w:r w:rsidR="00BD1D91" w:rsidRPr="004C01E3">
        <w:rPr>
          <w:rFonts w:ascii="Arial" w:hAnsi="Arial" w:cs="Arial"/>
          <w:sz w:val="24"/>
          <w:szCs w:val="24"/>
          <w:lang w:val="en-GB"/>
        </w:rPr>
        <w:t xml:space="preserve"> which</w:t>
      </w:r>
      <w:r w:rsidR="009A10A7" w:rsidRPr="004C01E3">
        <w:rPr>
          <w:rFonts w:ascii="Arial" w:hAnsi="Arial" w:cs="Arial"/>
          <w:sz w:val="24"/>
          <w:szCs w:val="24"/>
          <w:lang w:val="en-GB"/>
        </w:rPr>
        <w:t xml:space="preserve"> is represented in the proceedings </w:t>
      </w:r>
      <w:proofErr w:type="spellStart"/>
      <w:r w:rsidR="009A10A7" w:rsidRPr="004C01E3">
        <w:rPr>
          <w:rFonts w:ascii="Arial" w:hAnsi="Arial" w:cs="Arial"/>
          <w:i/>
          <w:sz w:val="24"/>
          <w:szCs w:val="24"/>
          <w:lang w:val="en-GB"/>
        </w:rPr>
        <w:t>nomino</w:t>
      </w:r>
      <w:proofErr w:type="spellEnd"/>
      <w:r w:rsidR="009A10A7" w:rsidRPr="004C01E3">
        <w:rPr>
          <w:rFonts w:ascii="Arial" w:hAnsi="Arial" w:cs="Arial"/>
          <w:i/>
          <w:sz w:val="24"/>
          <w:szCs w:val="24"/>
          <w:lang w:val="en-GB"/>
        </w:rPr>
        <w:t xml:space="preserve"> officio</w:t>
      </w:r>
      <w:r w:rsidR="009A10A7" w:rsidRPr="004C01E3">
        <w:rPr>
          <w:rFonts w:ascii="Arial" w:hAnsi="Arial" w:cs="Arial"/>
          <w:sz w:val="24"/>
          <w:szCs w:val="24"/>
          <w:lang w:val="en-GB"/>
        </w:rPr>
        <w:t xml:space="preserve"> by the </w:t>
      </w:r>
      <w:r w:rsidR="00BD1D91" w:rsidRPr="004C01E3">
        <w:rPr>
          <w:rFonts w:ascii="Arial" w:hAnsi="Arial" w:cs="Arial"/>
          <w:sz w:val="24"/>
          <w:szCs w:val="24"/>
          <w:lang w:val="en-GB"/>
        </w:rPr>
        <w:t xml:space="preserve">first </w:t>
      </w:r>
      <w:r w:rsidR="009A10A7" w:rsidRPr="004C01E3">
        <w:rPr>
          <w:rFonts w:ascii="Arial" w:hAnsi="Arial" w:cs="Arial"/>
          <w:sz w:val="24"/>
          <w:szCs w:val="24"/>
          <w:lang w:val="en-GB"/>
        </w:rPr>
        <w:t xml:space="preserve">respondent - its liquidator. </w:t>
      </w:r>
    </w:p>
    <w:p w14:paraId="05FC5E6F" w14:textId="77777777" w:rsidR="009A10A7" w:rsidRPr="00D37EBA" w:rsidRDefault="009A10A7" w:rsidP="004F076E">
      <w:pPr>
        <w:spacing w:after="0" w:line="480" w:lineRule="auto"/>
        <w:jc w:val="both"/>
        <w:rPr>
          <w:rFonts w:ascii="Arial" w:hAnsi="Arial" w:cs="Arial"/>
          <w:sz w:val="24"/>
          <w:szCs w:val="24"/>
          <w:lang w:val="en-GB"/>
        </w:rPr>
      </w:pPr>
    </w:p>
    <w:p w14:paraId="3DBF7D86" w14:textId="15ECEEC6" w:rsidR="009A10A7" w:rsidRPr="004C01E3" w:rsidRDefault="004C01E3" w:rsidP="004C01E3">
      <w:pPr>
        <w:spacing w:after="0" w:line="480" w:lineRule="auto"/>
        <w:jc w:val="both"/>
        <w:rPr>
          <w:rFonts w:ascii="Arial" w:hAnsi="Arial" w:cs="Arial"/>
          <w:sz w:val="24"/>
          <w:szCs w:val="24"/>
          <w:u w:val="single"/>
          <w:lang w:val="en-GB"/>
        </w:rPr>
      </w:pPr>
      <w:r w:rsidRPr="00D874AE">
        <w:rPr>
          <w:rFonts w:ascii="Arial" w:hAnsi="Arial" w:cs="Arial"/>
          <w:sz w:val="24"/>
          <w:szCs w:val="24"/>
          <w:lang w:val="en-GB"/>
        </w:rPr>
        <w:lastRenderedPageBreak/>
        <w:t>[4]</w:t>
      </w:r>
      <w:r w:rsidRPr="00D874AE">
        <w:rPr>
          <w:rFonts w:ascii="Arial" w:hAnsi="Arial" w:cs="Arial"/>
          <w:sz w:val="24"/>
          <w:szCs w:val="24"/>
          <w:lang w:val="en-GB"/>
        </w:rPr>
        <w:tab/>
      </w:r>
      <w:r w:rsidR="009A10A7" w:rsidRPr="004C01E3">
        <w:rPr>
          <w:rFonts w:ascii="Arial" w:hAnsi="Arial" w:cs="Arial"/>
          <w:sz w:val="24"/>
          <w:szCs w:val="24"/>
        </w:rPr>
        <w:t>Mr Lubbe raised a special plea against the appellant’s particulars of claim,</w:t>
      </w:r>
      <w:r w:rsidR="009A10A7" w:rsidRPr="004C01E3">
        <w:rPr>
          <w:rFonts w:ascii="Arial" w:hAnsi="Arial" w:cs="Arial"/>
          <w:sz w:val="24"/>
          <w:szCs w:val="24"/>
          <w:lang w:val="en-GB"/>
        </w:rPr>
        <w:t xml:space="preserve"> that he never signed surety for the debts incurred by </w:t>
      </w:r>
      <w:r w:rsidR="00E21E0C" w:rsidRPr="004C01E3">
        <w:rPr>
          <w:rFonts w:ascii="Arial" w:hAnsi="Arial" w:cs="Arial"/>
          <w:sz w:val="24"/>
          <w:szCs w:val="24"/>
          <w:lang w:val="en-GB"/>
        </w:rPr>
        <w:t>the close corporation in liquidation</w:t>
      </w:r>
      <w:r w:rsidR="00F5013F" w:rsidRPr="004C01E3">
        <w:rPr>
          <w:rFonts w:ascii="Arial" w:hAnsi="Arial" w:cs="Arial"/>
          <w:sz w:val="24"/>
          <w:szCs w:val="24"/>
          <w:lang w:val="en-GB"/>
        </w:rPr>
        <w:t>,</w:t>
      </w:r>
      <w:r w:rsidR="00E21E0C" w:rsidRPr="004C01E3">
        <w:rPr>
          <w:rFonts w:ascii="Arial" w:hAnsi="Arial" w:cs="Arial"/>
          <w:sz w:val="24"/>
          <w:szCs w:val="24"/>
          <w:lang w:val="en-GB"/>
        </w:rPr>
        <w:t xml:space="preserve"> </w:t>
      </w:r>
      <w:r w:rsidR="00097B43" w:rsidRPr="004C01E3">
        <w:rPr>
          <w:rFonts w:ascii="Arial" w:hAnsi="Arial" w:cs="Arial"/>
          <w:sz w:val="24"/>
          <w:szCs w:val="24"/>
          <w:lang w:val="en-GB"/>
        </w:rPr>
        <w:t>maintaining</w:t>
      </w:r>
      <w:r w:rsidR="009A10A7" w:rsidRPr="004C01E3">
        <w:rPr>
          <w:rFonts w:ascii="Arial" w:hAnsi="Arial" w:cs="Arial"/>
          <w:sz w:val="24"/>
          <w:szCs w:val="24"/>
          <w:lang w:val="en-GB"/>
        </w:rPr>
        <w:t xml:space="preserve"> that unless the corporate veil </w:t>
      </w:r>
      <w:r w:rsidR="00097B43" w:rsidRPr="004C01E3">
        <w:rPr>
          <w:rFonts w:ascii="Arial" w:hAnsi="Arial" w:cs="Arial"/>
          <w:sz w:val="24"/>
          <w:szCs w:val="24"/>
          <w:lang w:val="en-GB"/>
        </w:rPr>
        <w:t>is</w:t>
      </w:r>
      <w:r w:rsidR="009A10A7" w:rsidRPr="004C01E3">
        <w:rPr>
          <w:rFonts w:ascii="Arial" w:hAnsi="Arial" w:cs="Arial"/>
          <w:sz w:val="24"/>
          <w:szCs w:val="24"/>
          <w:lang w:val="en-GB"/>
        </w:rPr>
        <w:t xml:space="preserve"> pierced, he c</w:t>
      </w:r>
      <w:r w:rsidR="00097B43" w:rsidRPr="004C01E3">
        <w:rPr>
          <w:rFonts w:ascii="Arial" w:hAnsi="Arial" w:cs="Arial"/>
          <w:sz w:val="24"/>
          <w:szCs w:val="24"/>
          <w:lang w:val="en-GB"/>
        </w:rPr>
        <w:t xml:space="preserve">annot </w:t>
      </w:r>
      <w:r w:rsidR="009A10A7" w:rsidRPr="004C01E3">
        <w:rPr>
          <w:rFonts w:ascii="Arial" w:hAnsi="Arial" w:cs="Arial"/>
          <w:sz w:val="24"/>
          <w:szCs w:val="24"/>
          <w:lang w:val="en-GB"/>
        </w:rPr>
        <w:t xml:space="preserve">be held personally liable for its debts. </w:t>
      </w:r>
    </w:p>
    <w:p w14:paraId="763F562B" w14:textId="77777777" w:rsidR="009A10A7" w:rsidRPr="00D874AE" w:rsidRDefault="009A10A7" w:rsidP="004F076E">
      <w:pPr>
        <w:spacing w:after="0" w:line="480" w:lineRule="auto"/>
        <w:jc w:val="both"/>
        <w:rPr>
          <w:rFonts w:ascii="Arial" w:hAnsi="Arial" w:cs="Arial"/>
          <w:sz w:val="24"/>
          <w:szCs w:val="24"/>
          <w:u w:val="single"/>
          <w:lang w:val="en-GB"/>
        </w:rPr>
      </w:pPr>
    </w:p>
    <w:p w14:paraId="76D99D50" w14:textId="77777777" w:rsidR="009A10A7" w:rsidRPr="008964A3" w:rsidRDefault="009A10A7" w:rsidP="004F076E">
      <w:pPr>
        <w:spacing w:after="0" w:line="480" w:lineRule="auto"/>
        <w:jc w:val="both"/>
        <w:rPr>
          <w:rFonts w:ascii="Arial" w:hAnsi="Arial" w:cs="Arial"/>
          <w:sz w:val="24"/>
          <w:szCs w:val="24"/>
          <w:u w:val="single"/>
          <w:lang w:val="en-GB"/>
        </w:rPr>
      </w:pPr>
      <w:r>
        <w:rPr>
          <w:rFonts w:ascii="Arial" w:hAnsi="Arial" w:cs="Arial"/>
          <w:sz w:val="24"/>
          <w:szCs w:val="24"/>
          <w:u w:val="single"/>
          <w:lang w:val="en-GB"/>
        </w:rPr>
        <w:t>Factual background</w:t>
      </w:r>
    </w:p>
    <w:p w14:paraId="15750345" w14:textId="07D644ED" w:rsidR="009A10A7" w:rsidRPr="004C01E3" w:rsidRDefault="004C01E3" w:rsidP="004C01E3">
      <w:pPr>
        <w:spacing w:after="0" w:line="48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9A10A7" w:rsidRPr="004C01E3">
        <w:rPr>
          <w:rFonts w:ascii="Arial" w:hAnsi="Arial" w:cs="Arial"/>
          <w:sz w:val="24"/>
          <w:szCs w:val="24"/>
          <w:lang w:val="en-GB"/>
        </w:rPr>
        <w:t xml:space="preserve">During December 2016, </w:t>
      </w:r>
      <w:proofErr w:type="spellStart"/>
      <w:r w:rsidR="009A10A7" w:rsidRPr="004C01E3">
        <w:rPr>
          <w:rFonts w:ascii="Arial" w:hAnsi="Arial" w:cs="Arial"/>
          <w:sz w:val="24"/>
          <w:szCs w:val="24"/>
          <w:lang w:val="en-GB"/>
        </w:rPr>
        <w:t>Swakop</w:t>
      </w:r>
      <w:proofErr w:type="spellEnd"/>
      <w:r w:rsidR="009A10A7" w:rsidRPr="004C01E3">
        <w:rPr>
          <w:rFonts w:ascii="Arial" w:hAnsi="Arial" w:cs="Arial"/>
          <w:sz w:val="24"/>
          <w:szCs w:val="24"/>
          <w:lang w:val="en-GB"/>
        </w:rPr>
        <w:t xml:space="preserve"> Uranium purchased a forklift from LMG CC </w:t>
      </w:r>
      <w:proofErr w:type="gramStart"/>
      <w:r w:rsidR="009A10A7" w:rsidRPr="004C01E3">
        <w:rPr>
          <w:rFonts w:ascii="Arial" w:hAnsi="Arial" w:cs="Arial"/>
          <w:sz w:val="24"/>
          <w:szCs w:val="24"/>
          <w:lang w:val="en-GB"/>
        </w:rPr>
        <w:t xml:space="preserve">for the </w:t>
      </w:r>
      <w:r w:rsidR="00F5013F" w:rsidRPr="004C01E3">
        <w:rPr>
          <w:rFonts w:ascii="Arial" w:hAnsi="Arial" w:cs="Arial"/>
          <w:sz w:val="24"/>
          <w:szCs w:val="24"/>
          <w:lang w:val="en-GB"/>
        </w:rPr>
        <w:t>amount of</w:t>
      </w:r>
      <w:proofErr w:type="gramEnd"/>
      <w:r w:rsidR="00F5013F" w:rsidRPr="004C01E3">
        <w:rPr>
          <w:rFonts w:ascii="Arial" w:hAnsi="Arial" w:cs="Arial"/>
          <w:sz w:val="24"/>
          <w:szCs w:val="24"/>
          <w:lang w:val="en-GB"/>
        </w:rPr>
        <w:t xml:space="preserve"> N$763 770, </w:t>
      </w:r>
      <w:r w:rsidR="009A10A7" w:rsidRPr="004C01E3">
        <w:rPr>
          <w:rFonts w:ascii="Arial" w:hAnsi="Arial" w:cs="Arial"/>
          <w:sz w:val="24"/>
          <w:szCs w:val="24"/>
          <w:lang w:val="en-GB"/>
        </w:rPr>
        <w:t xml:space="preserve">26. It is alleged that LMG CC was at all times duly represented by Mr Lubbe. </w:t>
      </w:r>
      <w:proofErr w:type="spellStart"/>
      <w:r w:rsidR="009A10A7" w:rsidRPr="004C01E3">
        <w:rPr>
          <w:rFonts w:ascii="Arial" w:hAnsi="Arial" w:cs="Arial"/>
          <w:sz w:val="24"/>
          <w:szCs w:val="24"/>
          <w:lang w:val="en-GB"/>
        </w:rPr>
        <w:t>Swakop</w:t>
      </w:r>
      <w:proofErr w:type="spellEnd"/>
      <w:r w:rsidR="009A10A7" w:rsidRPr="004C01E3">
        <w:rPr>
          <w:rFonts w:ascii="Arial" w:hAnsi="Arial" w:cs="Arial"/>
          <w:sz w:val="24"/>
          <w:szCs w:val="24"/>
          <w:lang w:val="en-GB"/>
        </w:rPr>
        <w:t xml:space="preserve"> Uranium paid the purchase price, and the forklift was delivered.</w:t>
      </w:r>
    </w:p>
    <w:p w14:paraId="450B359F" w14:textId="77777777" w:rsidR="009A10A7" w:rsidRDefault="009A10A7" w:rsidP="004F076E">
      <w:pPr>
        <w:spacing w:after="0" w:line="480" w:lineRule="auto"/>
        <w:jc w:val="both"/>
        <w:rPr>
          <w:rFonts w:ascii="Arial" w:hAnsi="Arial" w:cs="Arial"/>
          <w:sz w:val="24"/>
          <w:szCs w:val="24"/>
          <w:lang w:val="en-GB"/>
        </w:rPr>
      </w:pPr>
    </w:p>
    <w:p w14:paraId="5A150082" w14:textId="7C819467" w:rsidR="009A10A7" w:rsidRPr="004C01E3" w:rsidRDefault="004C01E3" w:rsidP="004C01E3">
      <w:pPr>
        <w:spacing w:after="0" w:line="48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9A10A7" w:rsidRPr="004C01E3">
        <w:rPr>
          <w:rFonts w:ascii="Arial" w:hAnsi="Arial" w:cs="Arial"/>
          <w:sz w:val="24"/>
          <w:szCs w:val="24"/>
          <w:lang w:val="en-GB"/>
        </w:rPr>
        <w:t xml:space="preserve">Upon taking delivery, </w:t>
      </w:r>
      <w:proofErr w:type="spellStart"/>
      <w:r w:rsidR="009A10A7" w:rsidRPr="004C01E3">
        <w:rPr>
          <w:rFonts w:ascii="Arial" w:hAnsi="Arial" w:cs="Arial"/>
          <w:sz w:val="24"/>
          <w:szCs w:val="24"/>
          <w:lang w:val="en-GB"/>
        </w:rPr>
        <w:t>Swakop</w:t>
      </w:r>
      <w:proofErr w:type="spellEnd"/>
      <w:r w:rsidR="009A10A7" w:rsidRPr="004C01E3">
        <w:rPr>
          <w:rFonts w:ascii="Arial" w:hAnsi="Arial" w:cs="Arial"/>
          <w:sz w:val="24"/>
          <w:szCs w:val="24"/>
          <w:lang w:val="en-GB"/>
        </w:rPr>
        <w:t xml:space="preserve"> Uranium realised that the forklift was not suitable for the intended purpose</w:t>
      </w:r>
      <w:r w:rsidR="008A7531" w:rsidRPr="004C01E3">
        <w:rPr>
          <w:rFonts w:ascii="Arial" w:hAnsi="Arial" w:cs="Arial"/>
          <w:sz w:val="24"/>
          <w:szCs w:val="24"/>
          <w:lang w:val="en-GB"/>
        </w:rPr>
        <w:t>, and on 13 October 2017</w:t>
      </w:r>
      <w:r w:rsidR="009A10A7" w:rsidRPr="004C01E3">
        <w:rPr>
          <w:rFonts w:ascii="Arial" w:hAnsi="Arial" w:cs="Arial"/>
          <w:sz w:val="24"/>
          <w:szCs w:val="24"/>
          <w:lang w:val="en-GB"/>
        </w:rPr>
        <w:t xml:space="preserve"> entered into another agreement with LMG CC - again represented by Mr Lubbe. In terms of the latter agreement, </w:t>
      </w:r>
      <w:proofErr w:type="spellStart"/>
      <w:r w:rsidR="009A10A7" w:rsidRPr="004C01E3">
        <w:rPr>
          <w:rFonts w:ascii="Arial" w:hAnsi="Arial" w:cs="Arial"/>
          <w:sz w:val="24"/>
          <w:szCs w:val="24"/>
          <w:lang w:val="en-GB"/>
        </w:rPr>
        <w:t>Swakop</w:t>
      </w:r>
      <w:proofErr w:type="spellEnd"/>
      <w:r w:rsidR="009A10A7" w:rsidRPr="004C01E3">
        <w:rPr>
          <w:rFonts w:ascii="Arial" w:hAnsi="Arial" w:cs="Arial"/>
          <w:sz w:val="24"/>
          <w:szCs w:val="24"/>
          <w:lang w:val="en-GB"/>
        </w:rPr>
        <w:t xml:space="preserve"> Uranium would purchase another forklift for the amount of </w:t>
      </w:r>
      <w:r w:rsidR="004A0D5C" w:rsidRPr="004C01E3">
        <w:rPr>
          <w:rFonts w:ascii="Arial" w:hAnsi="Arial" w:cs="Arial"/>
          <w:sz w:val="24"/>
          <w:szCs w:val="24"/>
          <w:lang w:val="en-GB"/>
        </w:rPr>
        <w:br/>
      </w:r>
      <w:r w:rsidR="009A10A7" w:rsidRPr="004C01E3">
        <w:rPr>
          <w:rFonts w:ascii="Arial" w:hAnsi="Arial" w:cs="Arial"/>
          <w:sz w:val="24"/>
          <w:szCs w:val="24"/>
          <w:lang w:val="en-GB"/>
        </w:rPr>
        <w:t>N$1 245 763</w:t>
      </w:r>
      <w:r w:rsidR="00F5013F" w:rsidRPr="004C01E3">
        <w:rPr>
          <w:rFonts w:ascii="Arial" w:hAnsi="Arial" w:cs="Arial"/>
          <w:sz w:val="24"/>
          <w:szCs w:val="24"/>
          <w:lang w:val="en-GB"/>
        </w:rPr>
        <w:t xml:space="preserve">, </w:t>
      </w:r>
      <w:r w:rsidR="009A10A7" w:rsidRPr="004C01E3">
        <w:rPr>
          <w:rFonts w:ascii="Arial" w:hAnsi="Arial" w:cs="Arial"/>
          <w:sz w:val="24"/>
          <w:szCs w:val="24"/>
          <w:lang w:val="en-GB"/>
        </w:rPr>
        <w:t xml:space="preserve">93 and the previous forklift would be returned to LMG </w:t>
      </w:r>
      <w:proofErr w:type="gramStart"/>
      <w:r w:rsidR="009A10A7" w:rsidRPr="004C01E3">
        <w:rPr>
          <w:rFonts w:ascii="Arial" w:hAnsi="Arial" w:cs="Arial"/>
          <w:sz w:val="24"/>
          <w:szCs w:val="24"/>
          <w:lang w:val="en-GB"/>
        </w:rPr>
        <w:t>CC</w:t>
      </w:r>
      <w:proofErr w:type="gramEnd"/>
      <w:r w:rsidR="009A10A7" w:rsidRPr="004C01E3">
        <w:rPr>
          <w:rFonts w:ascii="Arial" w:hAnsi="Arial" w:cs="Arial"/>
          <w:sz w:val="24"/>
          <w:szCs w:val="24"/>
          <w:lang w:val="en-GB"/>
        </w:rPr>
        <w:t xml:space="preserve"> and the payment made for it would be used as part</w:t>
      </w:r>
      <w:r w:rsidR="0033294F" w:rsidRPr="004C01E3">
        <w:rPr>
          <w:rFonts w:ascii="Arial" w:hAnsi="Arial" w:cs="Arial"/>
          <w:sz w:val="24"/>
          <w:szCs w:val="24"/>
          <w:lang w:val="en-GB"/>
        </w:rPr>
        <w:t xml:space="preserve"> of the</w:t>
      </w:r>
      <w:r w:rsidR="009A10A7" w:rsidRPr="004C01E3">
        <w:rPr>
          <w:rFonts w:ascii="Arial" w:hAnsi="Arial" w:cs="Arial"/>
          <w:sz w:val="24"/>
          <w:szCs w:val="24"/>
          <w:lang w:val="en-GB"/>
        </w:rPr>
        <w:t xml:space="preserve"> payment for the new forklift.</w:t>
      </w:r>
    </w:p>
    <w:p w14:paraId="72C15CB5" w14:textId="77777777" w:rsidR="009A10A7" w:rsidRDefault="009A10A7" w:rsidP="004F076E">
      <w:pPr>
        <w:spacing w:after="0" w:line="480" w:lineRule="auto"/>
        <w:jc w:val="both"/>
        <w:rPr>
          <w:rFonts w:ascii="Arial" w:hAnsi="Arial" w:cs="Arial"/>
          <w:sz w:val="24"/>
          <w:szCs w:val="24"/>
          <w:lang w:val="en-GB"/>
        </w:rPr>
      </w:pPr>
    </w:p>
    <w:p w14:paraId="7F0E71A7" w14:textId="1322B244" w:rsidR="009A10A7" w:rsidRPr="004C01E3" w:rsidRDefault="004C01E3" w:rsidP="004C01E3">
      <w:pPr>
        <w:spacing w:after="0" w:line="480" w:lineRule="auto"/>
        <w:jc w:val="both"/>
        <w:rPr>
          <w:rFonts w:ascii="Arial" w:hAnsi="Arial" w:cs="Arial"/>
          <w:sz w:val="24"/>
          <w:szCs w:val="24"/>
          <w:lang w:val="en-GB"/>
        </w:rPr>
      </w:pPr>
      <w:r w:rsidRPr="00D043A3">
        <w:rPr>
          <w:rFonts w:ascii="Arial" w:hAnsi="Arial" w:cs="Arial"/>
          <w:sz w:val="24"/>
          <w:szCs w:val="24"/>
          <w:lang w:val="en-GB"/>
        </w:rPr>
        <w:t>[7]</w:t>
      </w:r>
      <w:r w:rsidRPr="00D043A3">
        <w:rPr>
          <w:rFonts w:ascii="Arial" w:hAnsi="Arial" w:cs="Arial"/>
          <w:sz w:val="24"/>
          <w:szCs w:val="24"/>
          <w:lang w:val="en-GB"/>
        </w:rPr>
        <w:tab/>
      </w:r>
      <w:r w:rsidR="009A10A7" w:rsidRPr="004C01E3">
        <w:rPr>
          <w:rFonts w:ascii="Arial" w:hAnsi="Arial" w:cs="Arial"/>
          <w:sz w:val="24"/>
          <w:szCs w:val="24"/>
          <w:lang w:val="en-GB"/>
        </w:rPr>
        <w:t xml:space="preserve">LMG CC never delivered the new forklift to the appellant and </w:t>
      </w:r>
      <w:proofErr w:type="spellStart"/>
      <w:r w:rsidR="009A10A7" w:rsidRPr="004C01E3">
        <w:rPr>
          <w:rFonts w:ascii="Arial" w:hAnsi="Arial" w:cs="Arial"/>
          <w:sz w:val="24"/>
          <w:szCs w:val="24"/>
          <w:lang w:val="en-GB"/>
        </w:rPr>
        <w:t>Swakop</w:t>
      </w:r>
      <w:proofErr w:type="spellEnd"/>
      <w:r w:rsidR="009A10A7" w:rsidRPr="004C01E3">
        <w:rPr>
          <w:rFonts w:ascii="Arial" w:hAnsi="Arial" w:cs="Arial"/>
          <w:sz w:val="24"/>
          <w:szCs w:val="24"/>
          <w:lang w:val="en-GB"/>
        </w:rPr>
        <w:t xml:space="preserve"> Uranium therefore alleges that </w:t>
      </w:r>
      <w:r w:rsidR="008A7531" w:rsidRPr="004C01E3">
        <w:rPr>
          <w:rFonts w:ascii="Arial" w:hAnsi="Arial" w:cs="Arial"/>
          <w:sz w:val="24"/>
          <w:szCs w:val="24"/>
          <w:lang w:val="en-GB"/>
        </w:rPr>
        <w:t>the close corporation</w:t>
      </w:r>
      <w:r w:rsidR="009A10A7" w:rsidRPr="004C01E3">
        <w:rPr>
          <w:rFonts w:ascii="Arial" w:hAnsi="Arial" w:cs="Arial"/>
          <w:sz w:val="24"/>
          <w:szCs w:val="24"/>
          <w:lang w:val="en-GB"/>
        </w:rPr>
        <w:t xml:space="preserve"> is indebted to it in the amount of N$763 770</w:t>
      </w:r>
      <w:r w:rsidR="0033294F" w:rsidRPr="004C01E3">
        <w:rPr>
          <w:rFonts w:ascii="Arial" w:hAnsi="Arial" w:cs="Arial"/>
          <w:sz w:val="24"/>
          <w:szCs w:val="24"/>
          <w:lang w:val="en-GB"/>
        </w:rPr>
        <w:t xml:space="preserve">, </w:t>
      </w:r>
      <w:r w:rsidR="009A10A7" w:rsidRPr="004C01E3">
        <w:rPr>
          <w:rFonts w:ascii="Arial" w:hAnsi="Arial" w:cs="Arial"/>
          <w:sz w:val="24"/>
          <w:szCs w:val="24"/>
          <w:lang w:val="en-GB"/>
        </w:rPr>
        <w:t>26</w:t>
      </w:r>
      <w:r w:rsidR="008A7531" w:rsidRPr="004C01E3">
        <w:rPr>
          <w:rFonts w:ascii="Arial" w:hAnsi="Arial" w:cs="Arial"/>
          <w:sz w:val="24"/>
          <w:szCs w:val="24"/>
          <w:lang w:val="en-GB"/>
        </w:rPr>
        <w:t xml:space="preserve"> b</w:t>
      </w:r>
      <w:r w:rsidR="009D4D9C" w:rsidRPr="004C01E3">
        <w:rPr>
          <w:rFonts w:ascii="Arial" w:hAnsi="Arial" w:cs="Arial"/>
          <w:sz w:val="24"/>
          <w:szCs w:val="24"/>
          <w:lang w:val="en-GB"/>
        </w:rPr>
        <w:t>eing the difference between the purchase</w:t>
      </w:r>
      <w:r w:rsidR="0033294F" w:rsidRPr="004C01E3">
        <w:rPr>
          <w:rFonts w:ascii="Arial" w:hAnsi="Arial" w:cs="Arial"/>
          <w:sz w:val="24"/>
          <w:szCs w:val="24"/>
          <w:lang w:val="en-GB"/>
        </w:rPr>
        <w:t xml:space="preserve"> price</w:t>
      </w:r>
      <w:r w:rsidR="009D4D9C" w:rsidRPr="004C01E3">
        <w:rPr>
          <w:rFonts w:ascii="Arial" w:hAnsi="Arial" w:cs="Arial"/>
          <w:sz w:val="24"/>
          <w:szCs w:val="24"/>
          <w:lang w:val="en-GB"/>
        </w:rPr>
        <w:t xml:space="preserve"> for the new forklift and the amount paid for the defective </w:t>
      </w:r>
      <w:r w:rsidR="008A7531" w:rsidRPr="004C01E3">
        <w:rPr>
          <w:rFonts w:ascii="Arial" w:hAnsi="Arial" w:cs="Arial"/>
          <w:sz w:val="24"/>
          <w:szCs w:val="24"/>
          <w:lang w:val="en-GB"/>
        </w:rPr>
        <w:t>one.</w:t>
      </w:r>
      <w:r w:rsidR="009D4D9C" w:rsidRPr="004C01E3">
        <w:rPr>
          <w:rFonts w:ascii="Arial" w:hAnsi="Arial" w:cs="Arial"/>
          <w:sz w:val="24"/>
          <w:szCs w:val="24"/>
          <w:lang w:val="en-GB"/>
        </w:rPr>
        <w:t xml:space="preserve"> </w:t>
      </w:r>
    </w:p>
    <w:p w14:paraId="682B1511" w14:textId="77777777" w:rsidR="009A10A7" w:rsidRPr="00D043A3" w:rsidRDefault="009A10A7" w:rsidP="004F076E">
      <w:pPr>
        <w:spacing w:after="0" w:line="480" w:lineRule="auto"/>
        <w:rPr>
          <w:rFonts w:ascii="Arial" w:hAnsi="Arial" w:cs="Arial"/>
          <w:sz w:val="24"/>
          <w:szCs w:val="24"/>
          <w:lang w:val="en-GB"/>
        </w:rPr>
      </w:pPr>
    </w:p>
    <w:p w14:paraId="57D421B0" w14:textId="77986480" w:rsidR="009A10A7" w:rsidRPr="004C01E3" w:rsidRDefault="004C01E3" w:rsidP="004C01E3">
      <w:pPr>
        <w:spacing w:after="0" w:line="48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9A10A7" w:rsidRPr="004C01E3">
        <w:rPr>
          <w:rFonts w:ascii="Arial" w:hAnsi="Arial" w:cs="Arial"/>
          <w:sz w:val="24"/>
          <w:szCs w:val="24"/>
          <w:lang w:val="en-GB"/>
        </w:rPr>
        <w:t xml:space="preserve">In order to recover the </w:t>
      </w:r>
      <w:proofErr w:type="gramStart"/>
      <w:r w:rsidR="009A10A7" w:rsidRPr="004C01E3">
        <w:rPr>
          <w:rFonts w:ascii="Arial" w:hAnsi="Arial" w:cs="Arial"/>
          <w:sz w:val="24"/>
          <w:szCs w:val="24"/>
          <w:lang w:val="en-GB"/>
        </w:rPr>
        <w:t>aforementioned amount</w:t>
      </w:r>
      <w:proofErr w:type="gramEnd"/>
      <w:r w:rsidR="009A10A7" w:rsidRPr="004C01E3">
        <w:rPr>
          <w:rFonts w:ascii="Arial" w:hAnsi="Arial" w:cs="Arial"/>
          <w:sz w:val="24"/>
          <w:szCs w:val="24"/>
          <w:lang w:val="en-GB"/>
        </w:rPr>
        <w:t xml:space="preserve">, </w:t>
      </w:r>
      <w:proofErr w:type="spellStart"/>
      <w:r w:rsidR="008A7531" w:rsidRPr="004C01E3">
        <w:rPr>
          <w:rFonts w:ascii="Arial" w:hAnsi="Arial" w:cs="Arial"/>
          <w:sz w:val="24"/>
          <w:szCs w:val="24"/>
          <w:lang w:val="en-GB"/>
        </w:rPr>
        <w:t>Swakop</w:t>
      </w:r>
      <w:proofErr w:type="spellEnd"/>
      <w:r w:rsidR="008A7531" w:rsidRPr="004C01E3">
        <w:rPr>
          <w:rFonts w:ascii="Arial" w:hAnsi="Arial" w:cs="Arial"/>
          <w:sz w:val="24"/>
          <w:szCs w:val="24"/>
          <w:lang w:val="en-GB"/>
        </w:rPr>
        <w:t xml:space="preserve"> Uranium instituted</w:t>
      </w:r>
      <w:r w:rsidR="009A10A7" w:rsidRPr="004C01E3">
        <w:rPr>
          <w:rFonts w:ascii="Arial" w:hAnsi="Arial" w:cs="Arial"/>
          <w:sz w:val="24"/>
          <w:szCs w:val="24"/>
          <w:lang w:val="en-GB"/>
        </w:rPr>
        <w:t xml:space="preserve"> an action in the High Court </w:t>
      </w:r>
      <w:r w:rsidR="009A10A7" w:rsidRPr="004C01E3">
        <w:rPr>
          <w:rFonts w:ascii="Arial" w:hAnsi="Arial" w:cs="Arial"/>
          <w:i/>
          <w:sz w:val="24"/>
          <w:szCs w:val="24"/>
          <w:lang w:val="en-GB"/>
        </w:rPr>
        <w:t>inter alia</w:t>
      </w:r>
      <w:r w:rsidR="009A10A7" w:rsidRPr="004C01E3">
        <w:rPr>
          <w:rFonts w:ascii="Arial" w:hAnsi="Arial" w:cs="Arial"/>
          <w:sz w:val="24"/>
          <w:szCs w:val="24"/>
          <w:lang w:val="en-GB"/>
        </w:rPr>
        <w:t xml:space="preserve"> seeking a </w:t>
      </w:r>
      <w:r w:rsidR="0082665A" w:rsidRPr="004C01E3">
        <w:rPr>
          <w:rFonts w:ascii="Arial" w:hAnsi="Arial" w:cs="Arial"/>
          <w:sz w:val="24"/>
          <w:szCs w:val="24"/>
          <w:lang w:val="en-GB"/>
        </w:rPr>
        <w:t>declarator</w:t>
      </w:r>
      <w:r w:rsidR="009A10A7" w:rsidRPr="004C01E3">
        <w:rPr>
          <w:rFonts w:ascii="Arial" w:hAnsi="Arial" w:cs="Arial"/>
          <w:sz w:val="24"/>
          <w:szCs w:val="24"/>
          <w:lang w:val="en-GB"/>
        </w:rPr>
        <w:t xml:space="preserve"> that Mr Lubbe </w:t>
      </w:r>
      <w:r w:rsidR="0082665A" w:rsidRPr="004C01E3">
        <w:rPr>
          <w:rFonts w:ascii="Arial" w:hAnsi="Arial" w:cs="Arial"/>
          <w:sz w:val="24"/>
          <w:szCs w:val="24"/>
          <w:lang w:val="en-GB"/>
        </w:rPr>
        <w:t xml:space="preserve">acted </w:t>
      </w:r>
      <w:r w:rsidR="0033294F" w:rsidRPr="004C01E3">
        <w:rPr>
          <w:rFonts w:ascii="Arial" w:hAnsi="Arial" w:cs="Arial"/>
          <w:sz w:val="24"/>
          <w:szCs w:val="24"/>
          <w:lang w:val="en-GB"/>
        </w:rPr>
        <w:lastRenderedPageBreak/>
        <w:t>recklessly and/</w:t>
      </w:r>
      <w:r w:rsidR="009A10A7" w:rsidRPr="004C01E3">
        <w:rPr>
          <w:rFonts w:ascii="Arial" w:hAnsi="Arial" w:cs="Arial"/>
          <w:sz w:val="24"/>
          <w:szCs w:val="24"/>
          <w:lang w:val="en-GB"/>
        </w:rPr>
        <w:t xml:space="preserve">or fraudulently in respect of the debt allegedly incurred by </w:t>
      </w:r>
      <w:r w:rsidR="0082665A" w:rsidRPr="004C01E3">
        <w:rPr>
          <w:rFonts w:ascii="Arial" w:hAnsi="Arial" w:cs="Arial"/>
          <w:sz w:val="24"/>
          <w:szCs w:val="24"/>
          <w:lang w:val="en-GB"/>
        </w:rPr>
        <w:t>the close corporation in liquidation</w:t>
      </w:r>
      <w:r w:rsidR="009A10A7" w:rsidRPr="004C01E3">
        <w:rPr>
          <w:rFonts w:ascii="Arial" w:hAnsi="Arial" w:cs="Arial"/>
          <w:sz w:val="24"/>
          <w:szCs w:val="24"/>
          <w:lang w:val="en-GB"/>
        </w:rPr>
        <w:t xml:space="preserve"> and that for that Mr Lubbe should be held personally liable in terms of s 64</w:t>
      </w:r>
      <w:r w:rsidR="008A7531" w:rsidRPr="004C01E3">
        <w:rPr>
          <w:rFonts w:ascii="Arial" w:hAnsi="Arial" w:cs="Arial"/>
          <w:sz w:val="24"/>
          <w:szCs w:val="24"/>
          <w:lang w:val="en-GB"/>
        </w:rPr>
        <w:t>(1)</w:t>
      </w:r>
      <w:r w:rsidR="009A10A7" w:rsidRPr="004C01E3">
        <w:rPr>
          <w:rFonts w:ascii="Arial" w:hAnsi="Arial" w:cs="Arial"/>
          <w:sz w:val="24"/>
          <w:szCs w:val="24"/>
          <w:lang w:val="en-GB"/>
        </w:rPr>
        <w:t xml:space="preserve"> of the Close Corporations Act 26 of 1988 (the Act).</w:t>
      </w:r>
    </w:p>
    <w:p w14:paraId="001D4817" w14:textId="77777777" w:rsidR="009A10A7" w:rsidRDefault="009A10A7" w:rsidP="004F076E">
      <w:pPr>
        <w:spacing w:after="0" w:line="480" w:lineRule="auto"/>
        <w:rPr>
          <w:rFonts w:ascii="Arial" w:hAnsi="Arial" w:cs="Arial"/>
          <w:sz w:val="24"/>
          <w:szCs w:val="24"/>
          <w:lang w:val="en-GB"/>
        </w:rPr>
      </w:pPr>
    </w:p>
    <w:p w14:paraId="7E634416" w14:textId="19A8064D" w:rsidR="009A10A7" w:rsidRPr="004C01E3" w:rsidRDefault="004C01E3" w:rsidP="004C01E3">
      <w:pPr>
        <w:spacing w:after="0" w:line="480" w:lineRule="auto"/>
        <w:jc w:val="both"/>
        <w:rPr>
          <w:rFonts w:ascii="Arial" w:hAnsi="Arial" w:cs="Arial"/>
          <w:sz w:val="24"/>
          <w:szCs w:val="24"/>
          <w:lang w:val="en-US"/>
        </w:rPr>
      </w:pPr>
      <w:r w:rsidRPr="0065505A">
        <w:rPr>
          <w:rFonts w:ascii="Arial" w:hAnsi="Arial" w:cs="Arial"/>
          <w:sz w:val="24"/>
          <w:szCs w:val="24"/>
          <w:lang w:val="en-US"/>
        </w:rPr>
        <w:t>[9]</w:t>
      </w:r>
      <w:r w:rsidRPr="0065505A">
        <w:rPr>
          <w:rFonts w:ascii="Arial" w:hAnsi="Arial" w:cs="Arial"/>
          <w:sz w:val="24"/>
          <w:szCs w:val="24"/>
          <w:lang w:val="en-US"/>
        </w:rPr>
        <w:tab/>
      </w:r>
      <w:proofErr w:type="spellStart"/>
      <w:r w:rsidR="009A10A7" w:rsidRPr="004C01E3">
        <w:rPr>
          <w:rFonts w:ascii="Arial" w:hAnsi="Arial" w:cs="Arial"/>
          <w:sz w:val="24"/>
          <w:szCs w:val="24"/>
          <w:lang w:val="en-US"/>
        </w:rPr>
        <w:t>Mr</w:t>
      </w:r>
      <w:proofErr w:type="spellEnd"/>
      <w:r w:rsidR="009A10A7" w:rsidRPr="004C01E3">
        <w:rPr>
          <w:rFonts w:ascii="Arial" w:hAnsi="Arial" w:cs="Arial"/>
          <w:sz w:val="24"/>
          <w:szCs w:val="24"/>
          <w:lang w:val="en-US"/>
        </w:rPr>
        <w:t xml:space="preserve"> Lubbe pleaded that in terms of s 64</w:t>
      </w:r>
      <w:r w:rsidR="0082665A" w:rsidRPr="004C01E3">
        <w:rPr>
          <w:rFonts w:ascii="Arial" w:hAnsi="Arial" w:cs="Arial"/>
          <w:sz w:val="24"/>
          <w:szCs w:val="24"/>
          <w:lang w:val="en-US"/>
        </w:rPr>
        <w:t>(1)</w:t>
      </w:r>
      <w:r w:rsidR="009A10A7" w:rsidRPr="004C01E3">
        <w:rPr>
          <w:rFonts w:ascii="Arial" w:hAnsi="Arial" w:cs="Arial"/>
          <w:sz w:val="24"/>
          <w:szCs w:val="24"/>
          <w:lang w:val="en-US"/>
        </w:rPr>
        <w:t xml:space="preserve"> of the Act the proceedings ought to have been instituted by way of notice of motion and not by way of action. </w:t>
      </w:r>
      <w:proofErr w:type="spellStart"/>
      <w:r w:rsidR="009A10A7" w:rsidRPr="004C01E3">
        <w:rPr>
          <w:rFonts w:ascii="Arial" w:hAnsi="Arial" w:cs="Arial"/>
          <w:sz w:val="24"/>
          <w:szCs w:val="24"/>
          <w:lang w:val="en-US"/>
        </w:rPr>
        <w:t>Mr</w:t>
      </w:r>
      <w:proofErr w:type="spellEnd"/>
      <w:r w:rsidR="009A10A7" w:rsidRPr="004C01E3">
        <w:rPr>
          <w:rFonts w:ascii="Arial" w:hAnsi="Arial" w:cs="Arial"/>
          <w:sz w:val="24"/>
          <w:szCs w:val="24"/>
          <w:lang w:val="en-US"/>
        </w:rPr>
        <w:t xml:space="preserve"> Lubbe relied for that proposition</w:t>
      </w:r>
      <w:r w:rsidR="009A10A7" w:rsidRPr="004C01E3">
        <w:rPr>
          <w:rFonts w:ascii="Arial" w:hAnsi="Arial" w:cs="Arial"/>
          <w:sz w:val="24"/>
          <w:szCs w:val="24"/>
          <w:lang w:val="en-GB"/>
        </w:rPr>
        <w:t xml:space="preserve"> on </w:t>
      </w:r>
      <w:proofErr w:type="spellStart"/>
      <w:r w:rsidR="009A10A7" w:rsidRPr="004C01E3">
        <w:rPr>
          <w:rFonts w:ascii="Arial" w:hAnsi="Arial" w:cs="Arial"/>
          <w:i/>
          <w:sz w:val="24"/>
          <w:szCs w:val="24"/>
          <w:lang w:val="en-GB"/>
        </w:rPr>
        <w:t>Teichmann</w:t>
      </w:r>
      <w:proofErr w:type="spellEnd"/>
      <w:r w:rsidR="009A10A7" w:rsidRPr="004C01E3">
        <w:rPr>
          <w:rFonts w:ascii="Arial" w:hAnsi="Arial" w:cs="Arial"/>
          <w:i/>
          <w:sz w:val="24"/>
          <w:szCs w:val="24"/>
          <w:lang w:val="en-GB"/>
        </w:rPr>
        <w:t xml:space="preserve"> </w:t>
      </w:r>
      <w:r w:rsidR="009A10A7" w:rsidRPr="004C01E3">
        <w:rPr>
          <w:rFonts w:ascii="Arial" w:hAnsi="Arial" w:cs="Arial"/>
          <w:sz w:val="24"/>
          <w:szCs w:val="24"/>
          <w:lang w:val="en-GB"/>
        </w:rPr>
        <w:t>which held that to invoke s 64(1) of the Act, a claimant is to bring proceedings on notice of motion in terms of Rule 65 of the Rules of the High Court</w:t>
      </w:r>
      <w:r w:rsidR="00C81BF6" w:rsidRPr="004C01E3">
        <w:rPr>
          <w:rFonts w:ascii="Arial" w:hAnsi="Arial" w:cs="Arial"/>
          <w:sz w:val="24"/>
          <w:szCs w:val="24"/>
          <w:lang w:val="en-GB"/>
        </w:rPr>
        <w:t xml:space="preserve"> (R</w:t>
      </w:r>
      <w:r w:rsidR="009A10A7" w:rsidRPr="004C01E3">
        <w:rPr>
          <w:rFonts w:ascii="Arial" w:hAnsi="Arial" w:cs="Arial"/>
          <w:sz w:val="24"/>
          <w:szCs w:val="24"/>
          <w:lang w:val="en-GB"/>
        </w:rPr>
        <w:t xml:space="preserve">ules). </w:t>
      </w:r>
    </w:p>
    <w:p w14:paraId="413806DD" w14:textId="77777777" w:rsidR="009A10A7" w:rsidRDefault="009A10A7" w:rsidP="004F076E">
      <w:pPr>
        <w:spacing w:after="0" w:line="480" w:lineRule="auto"/>
        <w:jc w:val="both"/>
        <w:rPr>
          <w:rFonts w:ascii="Arial" w:hAnsi="Arial" w:cs="Arial"/>
          <w:sz w:val="24"/>
          <w:szCs w:val="24"/>
          <w:lang w:val="en-US"/>
        </w:rPr>
      </w:pPr>
    </w:p>
    <w:p w14:paraId="1D6C32B7" w14:textId="47F44EA0" w:rsidR="009A10A7" w:rsidRPr="004C01E3" w:rsidRDefault="004C01E3" w:rsidP="004C01E3">
      <w:pPr>
        <w:spacing w:after="0" w:line="480" w:lineRule="auto"/>
        <w:jc w:val="both"/>
        <w:rPr>
          <w:rFonts w:ascii="Arial" w:hAnsi="Arial" w:cs="Arial"/>
          <w:sz w:val="24"/>
          <w:szCs w:val="24"/>
          <w:lang w:val="en-US"/>
        </w:rPr>
      </w:pPr>
      <w:r w:rsidRPr="0065505A">
        <w:rPr>
          <w:rFonts w:ascii="Arial" w:hAnsi="Arial" w:cs="Arial"/>
          <w:sz w:val="24"/>
          <w:szCs w:val="24"/>
          <w:lang w:val="en-US"/>
        </w:rPr>
        <w:t>[10]</w:t>
      </w:r>
      <w:r w:rsidRPr="0065505A">
        <w:rPr>
          <w:rFonts w:ascii="Arial" w:hAnsi="Arial" w:cs="Arial"/>
          <w:sz w:val="24"/>
          <w:szCs w:val="24"/>
          <w:lang w:val="en-US"/>
        </w:rPr>
        <w:tab/>
      </w:r>
      <w:r w:rsidR="009A10A7" w:rsidRPr="004C01E3">
        <w:rPr>
          <w:rFonts w:ascii="Arial" w:hAnsi="Arial" w:cs="Arial"/>
          <w:sz w:val="24"/>
          <w:szCs w:val="24"/>
          <w:lang w:val="en-GB"/>
        </w:rPr>
        <w:t>The cour</w:t>
      </w:r>
      <w:r w:rsidR="009C4DB0" w:rsidRPr="004C01E3">
        <w:rPr>
          <w:rFonts w:ascii="Arial" w:hAnsi="Arial" w:cs="Arial"/>
          <w:sz w:val="24"/>
          <w:szCs w:val="24"/>
          <w:lang w:val="en-GB"/>
        </w:rPr>
        <w:t xml:space="preserve">t </w:t>
      </w:r>
      <w:r w:rsidR="009C4DB0" w:rsidRPr="004C01E3">
        <w:rPr>
          <w:rFonts w:ascii="Arial" w:hAnsi="Arial" w:cs="Arial"/>
          <w:i/>
          <w:sz w:val="24"/>
          <w:szCs w:val="24"/>
          <w:lang w:val="en-GB"/>
        </w:rPr>
        <w:t>a quo</w:t>
      </w:r>
      <w:r w:rsidR="009C4DB0" w:rsidRPr="004C01E3">
        <w:rPr>
          <w:rFonts w:ascii="Arial" w:hAnsi="Arial" w:cs="Arial"/>
          <w:sz w:val="24"/>
          <w:szCs w:val="24"/>
          <w:lang w:val="en-GB"/>
        </w:rPr>
        <w:t xml:space="preserve"> upheld the special plea</w:t>
      </w:r>
      <w:r w:rsidR="009A10A7" w:rsidRPr="004C01E3">
        <w:rPr>
          <w:rFonts w:ascii="Arial" w:hAnsi="Arial" w:cs="Arial"/>
          <w:sz w:val="24"/>
          <w:szCs w:val="24"/>
          <w:lang w:val="en-GB"/>
        </w:rPr>
        <w:t xml:space="preserve"> with costs. The appeal lies against that judgment and order. </w:t>
      </w:r>
    </w:p>
    <w:p w14:paraId="5AE25592" w14:textId="77777777" w:rsidR="009A10A7" w:rsidRDefault="009A10A7" w:rsidP="004F076E">
      <w:pPr>
        <w:spacing w:after="0" w:line="480" w:lineRule="auto"/>
        <w:rPr>
          <w:rFonts w:ascii="Arial" w:hAnsi="Arial" w:cs="Arial"/>
          <w:sz w:val="24"/>
          <w:szCs w:val="24"/>
          <w:lang w:val="en-GB"/>
        </w:rPr>
      </w:pPr>
    </w:p>
    <w:p w14:paraId="37F999A2" w14:textId="262B2A00" w:rsidR="009A10A7" w:rsidRPr="004C01E3" w:rsidRDefault="004C01E3" w:rsidP="004C01E3">
      <w:pPr>
        <w:spacing w:after="0" w:line="48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9A10A7" w:rsidRPr="004C01E3">
        <w:rPr>
          <w:rFonts w:ascii="Arial" w:hAnsi="Arial" w:cs="Arial"/>
          <w:sz w:val="24"/>
          <w:szCs w:val="24"/>
          <w:lang w:val="en-US"/>
        </w:rPr>
        <w:t xml:space="preserve">Section </w:t>
      </w:r>
      <w:r w:rsidR="009E4931" w:rsidRPr="004C01E3">
        <w:rPr>
          <w:rFonts w:ascii="Arial" w:hAnsi="Arial" w:cs="Arial"/>
          <w:sz w:val="24"/>
          <w:szCs w:val="24"/>
          <w:lang w:val="en-US"/>
        </w:rPr>
        <w:t xml:space="preserve">64(1) of the </w:t>
      </w:r>
      <w:r w:rsidR="009A10A7" w:rsidRPr="004C01E3">
        <w:rPr>
          <w:rFonts w:ascii="Arial" w:hAnsi="Arial" w:cs="Arial"/>
          <w:sz w:val="24"/>
          <w:szCs w:val="24"/>
          <w:lang w:val="en-US"/>
        </w:rPr>
        <w:t>Act states:</w:t>
      </w:r>
    </w:p>
    <w:p w14:paraId="72910146" w14:textId="77777777" w:rsidR="00CE0490" w:rsidRPr="00CE0490" w:rsidRDefault="00CE0490" w:rsidP="00CE0490">
      <w:pPr>
        <w:pStyle w:val="ListParagraph"/>
        <w:spacing w:after="0" w:line="480" w:lineRule="auto"/>
        <w:ind w:left="0"/>
        <w:jc w:val="both"/>
        <w:rPr>
          <w:rFonts w:ascii="Arial" w:hAnsi="Arial" w:cs="Arial"/>
          <w:sz w:val="16"/>
          <w:szCs w:val="24"/>
          <w:lang w:val="en-US"/>
        </w:rPr>
      </w:pPr>
    </w:p>
    <w:p w14:paraId="7D879C49" w14:textId="11915265" w:rsidR="009A10A7" w:rsidRDefault="009A10A7" w:rsidP="004F076E">
      <w:pPr>
        <w:spacing w:after="0" w:line="360" w:lineRule="auto"/>
        <w:ind w:left="851"/>
        <w:rPr>
          <w:rFonts w:ascii="Arial" w:hAnsi="Arial" w:cs="Arial"/>
          <w:szCs w:val="24"/>
          <w:lang w:val="en-US"/>
        </w:rPr>
      </w:pPr>
      <w:r w:rsidRPr="00C81BF6">
        <w:rPr>
          <w:rFonts w:ascii="Arial" w:hAnsi="Arial" w:cs="Arial"/>
          <w:szCs w:val="24"/>
          <w:lang w:val="en-US"/>
        </w:rPr>
        <w:t>‘64</w:t>
      </w:r>
      <w:r w:rsidRPr="00C81BF6">
        <w:rPr>
          <w:rFonts w:ascii="Arial" w:hAnsi="Arial" w:cs="Arial"/>
          <w:sz w:val="24"/>
          <w:szCs w:val="24"/>
          <w:lang w:val="en-US"/>
        </w:rPr>
        <w:tab/>
      </w:r>
      <w:r w:rsidRPr="00C81BF6">
        <w:rPr>
          <w:rFonts w:ascii="Arial" w:hAnsi="Arial" w:cs="Arial"/>
          <w:szCs w:val="24"/>
          <w:lang w:val="en-US"/>
        </w:rPr>
        <w:t xml:space="preserve">Liability for reckless or fraudulent carrying on of business of </w:t>
      </w:r>
      <w:r w:rsidR="00701E7D" w:rsidRPr="00C81BF6">
        <w:rPr>
          <w:rFonts w:ascii="Arial" w:hAnsi="Arial" w:cs="Arial"/>
          <w:szCs w:val="24"/>
          <w:lang w:val="en-US"/>
        </w:rPr>
        <w:t>c</w:t>
      </w:r>
      <w:r w:rsidRPr="00C81BF6">
        <w:rPr>
          <w:rFonts w:ascii="Arial" w:hAnsi="Arial" w:cs="Arial"/>
          <w:szCs w:val="24"/>
          <w:lang w:val="en-US"/>
        </w:rPr>
        <w:t>orporation</w:t>
      </w:r>
    </w:p>
    <w:p w14:paraId="762D8E07" w14:textId="77777777" w:rsidR="00C81BF6" w:rsidRPr="00C81BF6" w:rsidRDefault="00C81BF6" w:rsidP="004F076E">
      <w:pPr>
        <w:spacing w:after="0" w:line="360" w:lineRule="auto"/>
        <w:ind w:left="851"/>
        <w:rPr>
          <w:rFonts w:ascii="Arial" w:hAnsi="Arial" w:cs="Arial"/>
          <w:szCs w:val="24"/>
          <w:lang w:val="en-US"/>
        </w:rPr>
      </w:pPr>
    </w:p>
    <w:p w14:paraId="5683A4D0" w14:textId="3C381E9E" w:rsidR="009A10A7" w:rsidRPr="00AD2852" w:rsidRDefault="009A10A7" w:rsidP="004F076E">
      <w:pPr>
        <w:spacing w:after="0" w:line="360" w:lineRule="auto"/>
        <w:ind w:left="851"/>
        <w:jc w:val="both"/>
        <w:rPr>
          <w:rFonts w:ascii="Arial" w:hAnsi="Arial" w:cs="Arial"/>
          <w:szCs w:val="24"/>
          <w:lang w:val="en-US"/>
        </w:rPr>
      </w:pPr>
      <w:r w:rsidRPr="00AD2852">
        <w:rPr>
          <w:rFonts w:ascii="Arial" w:hAnsi="Arial" w:cs="Arial"/>
          <w:szCs w:val="24"/>
          <w:lang w:val="en-US"/>
        </w:rPr>
        <w:t>(1) If it at any time appears that any business of a corp</w:t>
      </w:r>
      <w:r>
        <w:rPr>
          <w:rFonts w:ascii="Arial" w:hAnsi="Arial" w:cs="Arial"/>
          <w:szCs w:val="24"/>
          <w:lang w:val="en-US"/>
        </w:rPr>
        <w:t xml:space="preserve">oration was or is being carried </w:t>
      </w:r>
      <w:r w:rsidRPr="00AD2852">
        <w:rPr>
          <w:rFonts w:ascii="Arial" w:hAnsi="Arial" w:cs="Arial"/>
          <w:szCs w:val="24"/>
          <w:lang w:val="en-US"/>
        </w:rPr>
        <w:t xml:space="preserve">on recklessly, with gross negligence or with intent to defraud any person or for any fraudulent purpose, a Court may </w:t>
      </w:r>
      <w:r w:rsidRPr="00C601C6">
        <w:rPr>
          <w:rFonts w:ascii="Arial" w:hAnsi="Arial" w:cs="Arial"/>
          <w:szCs w:val="24"/>
          <w:u w:val="single"/>
          <w:lang w:val="en-US"/>
        </w:rPr>
        <w:t>on the application</w:t>
      </w:r>
      <w:r w:rsidRPr="00AD2852">
        <w:rPr>
          <w:rFonts w:ascii="Arial" w:hAnsi="Arial" w:cs="Arial"/>
          <w:szCs w:val="24"/>
          <w:lang w:val="en-US"/>
        </w:rPr>
        <w:t xml:space="preserve"> of the Master, or any creditor, member or liquidator of the corporation, </w:t>
      </w:r>
      <w:r w:rsidRPr="00863CF4">
        <w:rPr>
          <w:rFonts w:ascii="Arial" w:hAnsi="Arial" w:cs="Arial"/>
          <w:szCs w:val="24"/>
          <w:u w:val="single"/>
          <w:lang w:val="en-US"/>
        </w:rPr>
        <w:t>declare</w:t>
      </w:r>
      <w:r w:rsidRPr="00AD2852">
        <w:rPr>
          <w:rFonts w:ascii="Arial" w:hAnsi="Arial" w:cs="Arial"/>
          <w:szCs w:val="24"/>
          <w:lang w:val="en-US"/>
        </w:rPr>
        <w:t xml:space="preserve"> that any person who was knowingly a party to the carrying on of the business in any such manner, shall be personally liable for all or any of such debts or other liabilities of the corporation as the Court may direct, and the Court may give such further orders as it considers proper for the purpose of giving effect to the declaration and enforcing that liability.</w:t>
      </w:r>
      <w:r>
        <w:rPr>
          <w:rFonts w:ascii="Arial" w:hAnsi="Arial" w:cs="Arial"/>
          <w:szCs w:val="24"/>
          <w:lang w:val="en-US"/>
        </w:rPr>
        <w:t>’</w:t>
      </w:r>
      <w:r w:rsidR="0082665A">
        <w:rPr>
          <w:rFonts w:ascii="Arial" w:hAnsi="Arial" w:cs="Arial"/>
          <w:szCs w:val="24"/>
          <w:lang w:val="en-US"/>
        </w:rPr>
        <w:t xml:space="preserve"> </w:t>
      </w:r>
      <w:r w:rsidR="0082665A" w:rsidRPr="0082665A">
        <w:rPr>
          <w:rFonts w:ascii="Arial" w:hAnsi="Arial" w:cs="Arial"/>
          <w:sz w:val="24"/>
          <w:szCs w:val="24"/>
          <w:lang w:val="en-US"/>
        </w:rPr>
        <w:t>(My underlining).</w:t>
      </w:r>
    </w:p>
    <w:p w14:paraId="1356A8FD" w14:textId="77777777" w:rsidR="009A10A7" w:rsidRPr="006F1BA1" w:rsidRDefault="009A10A7" w:rsidP="004F076E">
      <w:pPr>
        <w:spacing w:after="0" w:line="360" w:lineRule="auto"/>
        <w:rPr>
          <w:rFonts w:ascii="Arial" w:hAnsi="Arial" w:cs="Arial"/>
          <w:sz w:val="24"/>
          <w:szCs w:val="24"/>
          <w:lang w:val="en-US"/>
        </w:rPr>
      </w:pPr>
    </w:p>
    <w:p w14:paraId="7E9DBB30" w14:textId="44182406" w:rsidR="009A10A7" w:rsidRPr="004C01E3" w:rsidRDefault="004C01E3" w:rsidP="004C01E3">
      <w:pPr>
        <w:spacing w:after="0" w:line="360" w:lineRule="auto"/>
        <w:jc w:val="both"/>
        <w:rPr>
          <w:rFonts w:ascii="Arial" w:hAnsi="Arial" w:cs="Arial"/>
          <w:sz w:val="24"/>
          <w:szCs w:val="24"/>
        </w:rPr>
      </w:pPr>
      <w:r w:rsidRPr="00CE0490">
        <w:rPr>
          <w:rFonts w:ascii="Arial" w:hAnsi="Arial" w:cs="Arial"/>
          <w:sz w:val="24"/>
          <w:szCs w:val="24"/>
        </w:rPr>
        <w:t>[12]</w:t>
      </w:r>
      <w:r w:rsidRPr="00CE0490">
        <w:rPr>
          <w:rFonts w:ascii="Arial" w:hAnsi="Arial" w:cs="Arial"/>
          <w:sz w:val="24"/>
          <w:szCs w:val="24"/>
        </w:rPr>
        <w:tab/>
      </w:r>
      <w:r w:rsidR="009A10A7" w:rsidRPr="004C01E3">
        <w:rPr>
          <w:rFonts w:ascii="Arial" w:hAnsi="Arial" w:cs="Arial"/>
          <w:sz w:val="24"/>
          <w:szCs w:val="24"/>
          <w:lang w:val="en-US"/>
        </w:rPr>
        <w:t xml:space="preserve">In </w:t>
      </w:r>
      <w:proofErr w:type="spellStart"/>
      <w:r w:rsidR="009A10A7" w:rsidRPr="004C01E3">
        <w:rPr>
          <w:rFonts w:ascii="Arial" w:hAnsi="Arial" w:cs="Arial"/>
          <w:i/>
          <w:sz w:val="24"/>
          <w:szCs w:val="24"/>
          <w:lang w:val="en-US"/>
        </w:rPr>
        <w:t>Teichmann</w:t>
      </w:r>
      <w:proofErr w:type="spellEnd"/>
      <w:r w:rsidR="009A10A7" w:rsidRPr="004C01E3">
        <w:rPr>
          <w:rFonts w:ascii="Arial" w:hAnsi="Arial" w:cs="Arial"/>
          <w:i/>
          <w:sz w:val="24"/>
          <w:szCs w:val="24"/>
          <w:lang w:val="en-US"/>
        </w:rPr>
        <w:t xml:space="preserve"> </w:t>
      </w:r>
      <w:r w:rsidR="009A10A7" w:rsidRPr="004C01E3">
        <w:rPr>
          <w:rFonts w:ascii="Arial" w:hAnsi="Arial" w:cs="Arial"/>
          <w:sz w:val="24"/>
          <w:szCs w:val="24"/>
          <w:lang w:val="en-US"/>
        </w:rPr>
        <w:t>the High Court held:</w:t>
      </w:r>
    </w:p>
    <w:p w14:paraId="2F0F21D0" w14:textId="77777777" w:rsidR="00CE0490" w:rsidRPr="00AD2852" w:rsidRDefault="00CE0490" w:rsidP="00CE0490">
      <w:pPr>
        <w:pStyle w:val="ListParagraph"/>
        <w:spacing w:after="0" w:line="360" w:lineRule="auto"/>
        <w:ind w:left="0"/>
        <w:jc w:val="both"/>
        <w:rPr>
          <w:rFonts w:ascii="Arial" w:hAnsi="Arial" w:cs="Arial"/>
          <w:sz w:val="24"/>
          <w:szCs w:val="24"/>
        </w:rPr>
      </w:pPr>
    </w:p>
    <w:p w14:paraId="04231302" w14:textId="77777777" w:rsidR="009A10A7" w:rsidRPr="00AD2852" w:rsidRDefault="009A10A7" w:rsidP="004F076E">
      <w:pPr>
        <w:spacing w:after="0" w:line="360" w:lineRule="auto"/>
        <w:ind w:left="851"/>
        <w:jc w:val="both"/>
        <w:rPr>
          <w:rFonts w:ascii="Arial" w:hAnsi="Arial" w:cs="Arial"/>
          <w:szCs w:val="24"/>
        </w:rPr>
      </w:pPr>
      <w:r>
        <w:rPr>
          <w:rFonts w:ascii="Arial" w:hAnsi="Arial" w:cs="Arial"/>
          <w:szCs w:val="24"/>
        </w:rPr>
        <w:lastRenderedPageBreak/>
        <w:t>‘</w:t>
      </w:r>
      <w:r w:rsidRPr="00AD2852">
        <w:rPr>
          <w:rFonts w:ascii="Arial" w:hAnsi="Arial" w:cs="Arial"/>
          <w:szCs w:val="24"/>
        </w:rPr>
        <w:t>[22]</w:t>
      </w:r>
      <w:r w:rsidRPr="00AD2852">
        <w:rPr>
          <w:rFonts w:ascii="Arial" w:hAnsi="Arial" w:cs="Arial"/>
          <w:szCs w:val="24"/>
        </w:rPr>
        <w:tab/>
        <w:t>I should pertinently point out that I am of the considered view that the word ‘application’ employed in the Act should not be regarded as idle or inconsequential. It bears a special meaning. It is unfortunately not defined in the Act and in this event, we need to find the meaning of an application elsewhere.</w:t>
      </w:r>
    </w:p>
    <w:p w14:paraId="509CDCDD" w14:textId="77777777" w:rsidR="009A10A7" w:rsidRPr="00AD2852" w:rsidRDefault="009A10A7" w:rsidP="004F076E">
      <w:pPr>
        <w:spacing w:after="0" w:line="360" w:lineRule="auto"/>
        <w:ind w:left="851"/>
        <w:jc w:val="both"/>
        <w:rPr>
          <w:rFonts w:ascii="Arial" w:hAnsi="Arial" w:cs="Arial"/>
          <w:szCs w:val="24"/>
        </w:rPr>
      </w:pPr>
    </w:p>
    <w:p w14:paraId="2CD1D969" w14:textId="77777777" w:rsidR="009A10A7" w:rsidRDefault="009A10A7" w:rsidP="004F076E">
      <w:pPr>
        <w:spacing w:after="0" w:line="360" w:lineRule="auto"/>
        <w:ind w:left="851"/>
        <w:jc w:val="both"/>
        <w:rPr>
          <w:rFonts w:ascii="Arial" w:hAnsi="Arial" w:cs="Arial"/>
          <w:szCs w:val="24"/>
        </w:rPr>
      </w:pPr>
      <w:r w:rsidRPr="00AD2852">
        <w:rPr>
          <w:rFonts w:ascii="Arial" w:hAnsi="Arial" w:cs="Arial"/>
          <w:szCs w:val="24"/>
        </w:rPr>
        <w:t>[23]</w:t>
      </w:r>
      <w:r w:rsidRPr="00AD2852">
        <w:rPr>
          <w:rFonts w:ascii="Arial" w:hAnsi="Arial" w:cs="Arial"/>
          <w:szCs w:val="24"/>
        </w:rPr>
        <w:tab/>
        <w:t xml:space="preserve">I am of the considered view that the rules of court do give guidance as to what an application is. They, in my view, should be called in aid for the reason that any such application in terms of the s.64, is to be referred to this court for determination. I say so for the reason that the definition section of the Act states that ‘Court – means the High Court of Namibia in terms of Section 7 of the Close Corporations Act 26 of 1988.’ It stands to reason therefore, that this court’s interpretation of an application as contained in this court’s rules should be followed. </w:t>
      </w:r>
    </w:p>
    <w:p w14:paraId="098E63CB" w14:textId="77777777" w:rsidR="004A0D5C" w:rsidRPr="00AD2852" w:rsidRDefault="004A0D5C" w:rsidP="004F076E">
      <w:pPr>
        <w:spacing w:after="0" w:line="360" w:lineRule="auto"/>
        <w:ind w:left="851"/>
        <w:jc w:val="both"/>
        <w:rPr>
          <w:rFonts w:ascii="Arial" w:hAnsi="Arial" w:cs="Arial"/>
          <w:szCs w:val="24"/>
        </w:rPr>
      </w:pPr>
    </w:p>
    <w:p w14:paraId="369723A3" w14:textId="77777777" w:rsidR="004A0D5C" w:rsidRPr="00AD2852" w:rsidRDefault="004A0D5C" w:rsidP="004F076E">
      <w:pPr>
        <w:spacing w:after="0" w:line="360" w:lineRule="auto"/>
        <w:ind w:left="851"/>
        <w:jc w:val="both"/>
        <w:rPr>
          <w:rFonts w:ascii="Arial" w:hAnsi="Arial" w:cs="Arial"/>
          <w:szCs w:val="24"/>
        </w:rPr>
      </w:pPr>
      <w:r w:rsidRPr="00AD2852">
        <w:rPr>
          <w:rFonts w:ascii="Arial" w:hAnsi="Arial" w:cs="Arial"/>
          <w:szCs w:val="24"/>
        </w:rPr>
        <w:t>[24]</w:t>
      </w:r>
      <w:r w:rsidRPr="00AD2852">
        <w:rPr>
          <w:rFonts w:ascii="Arial" w:hAnsi="Arial" w:cs="Arial"/>
          <w:szCs w:val="24"/>
        </w:rPr>
        <w:tab/>
        <w:t>According to the definition provisions of the rules of court, application ‘means an application on notice of motion as contemplated in Part 8.’ Rule 65 (1), found in Part 8, on the other hand, provides the following:</w:t>
      </w:r>
    </w:p>
    <w:p w14:paraId="5F3EE33A" w14:textId="77777777" w:rsidR="004A0D5C" w:rsidRPr="00AD2852" w:rsidRDefault="004A0D5C" w:rsidP="004F076E">
      <w:pPr>
        <w:spacing w:after="0" w:line="360" w:lineRule="auto"/>
        <w:ind w:left="1701" w:right="616"/>
        <w:jc w:val="both"/>
        <w:rPr>
          <w:rFonts w:ascii="Arial" w:hAnsi="Arial" w:cs="Arial"/>
          <w:szCs w:val="24"/>
        </w:rPr>
      </w:pPr>
      <w:r>
        <w:rPr>
          <w:rFonts w:ascii="Arial" w:hAnsi="Arial" w:cs="Arial"/>
          <w:szCs w:val="24"/>
        </w:rPr>
        <w:t>“</w:t>
      </w:r>
      <w:r w:rsidRPr="00AD2852">
        <w:rPr>
          <w:rFonts w:ascii="Arial" w:hAnsi="Arial" w:cs="Arial"/>
          <w:szCs w:val="24"/>
        </w:rPr>
        <w:t>Every application must be brought on notice of motion supported by affidavit on which the applicant relies for relief and every application initiating new proceedings, not forming part of an existing cause or matter, commences with the issue of the notice of motion signed by the registrar, date stamped with the official stamp and uniquely</w:t>
      </w:r>
      <w:r>
        <w:rPr>
          <w:rFonts w:ascii="Arial" w:hAnsi="Arial" w:cs="Arial"/>
          <w:szCs w:val="24"/>
        </w:rPr>
        <w:t xml:space="preserve"> numbered for identification.”</w:t>
      </w:r>
    </w:p>
    <w:p w14:paraId="0AA01F0F" w14:textId="77777777" w:rsidR="004A0D5C" w:rsidRPr="00AD2852" w:rsidRDefault="004A0D5C" w:rsidP="004F076E">
      <w:pPr>
        <w:spacing w:after="0" w:line="360" w:lineRule="auto"/>
        <w:ind w:left="851"/>
        <w:jc w:val="both"/>
        <w:rPr>
          <w:rFonts w:ascii="Arial" w:hAnsi="Arial" w:cs="Arial"/>
          <w:szCs w:val="24"/>
        </w:rPr>
      </w:pPr>
    </w:p>
    <w:p w14:paraId="3BD44702" w14:textId="0C634B63" w:rsidR="004A0D5C" w:rsidRPr="00AD2852" w:rsidRDefault="004A0D5C" w:rsidP="004F076E">
      <w:pPr>
        <w:spacing w:after="0" w:line="360" w:lineRule="auto"/>
        <w:ind w:left="851"/>
        <w:jc w:val="both"/>
        <w:rPr>
          <w:rFonts w:ascii="Arial" w:hAnsi="Arial" w:cs="Arial"/>
          <w:szCs w:val="24"/>
        </w:rPr>
      </w:pPr>
      <w:r w:rsidRPr="00AD2852">
        <w:rPr>
          <w:rFonts w:ascii="Arial" w:hAnsi="Arial" w:cs="Arial"/>
          <w:szCs w:val="24"/>
        </w:rPr>
        <w:t>[25]</w:t>
      </w:r>
      <w:r w:rsidRPr="00AD2852">
        <w:rPr>
          <w:rFonts w:ascii="Arial" w:hAnsi="Arial" w:cs="Arial"/>
          <w:szCs w:val="24"/>
        </w:rPr>
        <w:tab/>
      </w:r>
      <w:r w:rsidRPr="0082665A">
        <w:rPr>
          <w:rFonts w:ascii="Arial" w:hAnsi="Arial" w:cs="Arial"/>
          <w:szCs w:val="24"/>
        </w:rPr>
        <w:t>It follows, from the foregoing, that a party seeking to invoke the provisions of s.64, namely, to seek a declarator that a natural person should be held personally liable for the debts or liabilities of a Close Corporation, he or she should make out a case on application, i.e. on a notice of motion setting out the relief claimed and accompanied by an affidavit or affidavits on which the bases for the invocation of the said section is clearly and succinctly spelt out.’</w:t>
      </w:r>
      <w:r>
        <w:rPr>
          <w:rFonts w:ascii="Arial" w:hAnsi="Arial" w:cs="Arial"/>
          <w:szCs w:val="24"/>
        </w:rPr>
        <w:t xml:space="preserve"> </w:t>
      </w:r>
    </w:p>
    <w:p w14:paraId="59B4F948" w14:textId="77777777" w:rsidR="004A0D5C" w:rsidRDefault="004A0D5C" w:rsidP="004F076E">
      <w:pPr>
        <w:spacing w:after="0" w:line="480" w:lineRule="auto"/>
        <w:rPr>
          <w:rFonts w:ascii="Arial" w:hAnsi="Arial" w:cs="Arial"/>
          <w:sz w:val="24"/>
          <w:szCs w:val="24"/>
          <w:lang w:val="en-GB"/>
        </w:rPr>
      </w:pPr>
    </w:p>
    <w:p w14:paraId="2DA68052" w14:textId="38F99C89" w:rsidR="004A0D5C" w:rsidRPr="004C01E3" w:rsidRDefault="004C01E3" w:rsidP="004C01E3">
      <w:pPr>
        <w:spacing w:after="0" w:line="480" w:lineRule="auto"/>
        <w:jc w:val="both"/>
        <w:rPr>
          <w:rFonts w:ascii="Arial" w:hAnsi="Arial" w:cs="Arial"/>
          <w:szCs w:val="24"/>
        </w:rPr>
      </w:pPr>
      <w:r w:rsidRPr="00AD2852">
        <w:rPr>
          <w:rFonts w:ascii="Arial" w:hAnsi="Arial" w:cs="Arial"/>
          <w:sz w:val="24"/>
          <w:szCs w:val="24"/>
        </w:rPr>
        <w:t>[13]</w:t>
      </w:r>
      <w:r w:rsidRPr="00AD2852">
        <w:rPr>
          <w:rFonts w:ascii="Arial" w:hAnsi="Arial" w:cs="Arial"/>
          <w:sz w:val="24"/>
          <w:szCs w:val="24"/>
        </w:rPr>
        <w:tab/>
      </w:r>
      <w:r w:rsidR="004A0D5C" w:rsidRPr="004C01E3">
        <w:rPr>
          <w:rFonts w:ascii="Arial" w:hAnsi="Arial" w:cs="Arial"/>
          <w:sz w:val="24"/>
          <w:szCs w:val="24"/>
          <w:lang w:val="en-GB"/>
        </w:rPr>
        <w:t xml:space="preserve">When the matter was argued </w:t>
      </w:r>
      <w:r w:rsidR="004A0D5C" w:rsidRPr="004C01E3">
        <w:rPr>
          <w:rFonts w:ascii="Arial" w:hAnsi="Arial" w:cs="Arial"/>
          <w:i/>
          <w:sz w:val="24"/>
          <w:szCs w:val="24"/>
          <w:lang w:val="en-GB"/>
        </w:rPr>
        <w:t>a quo</w:t>
      </w:r>
      <w:r w:rsidR="004A0D5C" w:rsidRPr="004C01E3">
        <w:rPr>
          <w:rFonts w:ascii="Arial" w:hAnsi="Arial" w:cs="Arial"/>
          <w:sz w:val="24"/>
          <w:szCs w:val="24"/>
          <w:lang w:val="en-GB"/>
        </w:rPr>
        <w:t xml:space="preserve">, the learned judge was invited by </w:t>
      </w:r>
      <w:proofErr w:type="spellStart"/>
      <w:r w:rsidR="004A0D5C" w:rsidRPr="004C01E3">
        <w:rPr>
          <w:rFonts w:ascii="Arial" w:hAnsi="Arial" w:cs="Arial"/>
          <w:sz w:val="24"/>
          <w:szCs w:val="24"/>
          <w:lang w:val="en-GB"/>
        </w:rPr>
        <w:t>Swakop</w:t>
      </w:r>
      <w:proofErr w:type="spellEnd"/>
      <w:r w:rsidR="004A0D5C" w:rsidRPr="004C01E3">
        <w:rPr>
          <w:rFonts w:ascii="Arial" w:hAnsi="Arial" w:cs="Arial"/>
          <w:sz w:val="24"/>
          <w:szCs w:val="24"/>
          <w:lang w:val="en-GB"/>
        </w:rPr>
        <w:t xml:space="preserve"> Uranium’s counsel not to follow </w:t>
      </w:r>
      <w:proofErr w:type="spellStart"/>
      <w:r w:rsidR="004A0D5C" w:rsidRPr="004C01E3">
        <w:rPr>
          <w:rFonts w:ascii="Arial" w:hAnsi="Arial" w:cs="Arial"/>
          <w:i/>
          <w:sz w:val="24"/>
          <w:szCs w:val="24"/>
          <w:lang w:val="en-GB"/>
        </w:rPr>
        <w:t>Teichmann</w:t>
      </w:r>
      <w:proofErr w:type="spellEnd"/>
      <w:r w:rsidR="004A0D5C" w:rsidRPr="004C01E3">
        <w:rPr>
          <w:rFonts w:ascii="Arial" w:hAnsi="Arial" w:cs="Arial"/>
          <w:sz w:val="24"/>
          <w:szCs w:val="24"/>
          <w:lang w:val="en-GB"/>
        </w:rPr>
        <w:t xml:space="preserve"> but to follow the approach adopted by a </w:t>
      </w:r>
      <w:r w:rsidR="004A0D5C" w:rsidRPr="004C01E3">
        <w:rPr>
          <w:rFonts w:ascii="Arial" w:hAnsi="Arial" w:cs="Arial"/>
          <w:sz w:val="24"/>
          <w:szCs w:val="24"/>
          <w:lang w:val="en-GB"/>
        </w:rPr>
        <w:lastRenderedPageBreak/>
        <w:t xml:space="preserve">South African Court in </w:t>
      </w:r>
      <w:r w:rsidR="004A0D5C" w:rsidRPr="004C01E3">
        <w:rPr>
          <w:rFonts w:ascii="Arial" w:hAnsi="Arial" w:cs="Arial"/>
          <w:i/>
          <w:sz w:val="24"/>
          <w:szCs w:val="24"/>
          <w:lang w:val="en-US"/>
        </w:rPr>
        <w:t>Food &amp; Nutritional Products (Pty) Ltd v Neumann</w:t>
      </w:r>
      <w:r w:rsidR="004A0D5C" w:rsidRPr="000B5384">
        <w:rPr>
          <w:vertAlign w:val="superscript"/>
          <w:lang w:val="en-US"/>
        </w:rPr>
        <w:footnoteReference w:id="3"/>
      </w:r>
      <w:r w:rsidR="005B5F81" w:rsidRPr="004C01E3">
        <w:rPr>
          <w:rFonts w:ascii="Arial" w:hAnsi="Arial" w:cs="Arial"/>
          <w:i/>
          <w:sz w:val="24"/>
          <w:szCs w:val="24"/>
          <w:lang w:val="en-US"/>
        </w:rPr>
        <w:t xml:space="preserve"> </w:t>
      </w:r>
      <w:r w:rsidR="005B5F81" w:rsidRPr="004C01E3">
        <w:rPr>
          <w:rFonts w:ascii="Arial" w:hAnsi="Arial" w:cs="Arial"/>
          <w:sz w:val="24"/>
          <w:szCs w:val="24"/>
          <w:lang w:val="en-US"/>
        </w:rPr>
        <w:t>(</w:t>
      </w:r>
      <w:r w:rsidR="005B5F81" w:rsidRPr="004C01E3">
        <w:rPr>
          <w:rFonts w:ascii="Arial" w:hAnsi="Arial" w:cs="Arial"/>
          <w:i/>
          <w:sz w:val="24"/>
          <w:szCs w:val="24"/>
          <w:lang w:val="en-US"/>
        </w:rPr>
        <w:t>Neumann</w:t>
      </w:r>
      <w:r w:rsidR="005B5F81" w:rsidRPr="004C01E3">
        <w:rPr>
          <w:rFonts w:ascii="Arial" w:hAnsi="Arial" w:cs="Arial"/>
          <w:sz w:val="24"/>
          <w:szCs w:val="24"/>
          <w:lang w:val="en-US"/>
        </w:rPr>
        <w:t>)</w:t>
      </w:r>
      <w:r w:rsidR="004A0D5C" w:rsidRPr="004C01E3">
        <w:rPr>
          <w:rFonts w:ascii="Arial" w:hAnsi="Arial" w:cs="Arial"/>
          <w:sz w:val="24"/>
          <w:szCs w:val="24"/>
          <w:lang w:val="en-US"/>
        </w:rPr>
        <w:t>.</w:t>
      </w:r>
    </w:p>
    <w:p w14:paraId="67958415" w14:textId="77777777" w:rsidR="009A10A7" w:rsidRDefault="009A10A7" w:rsidP="004F076E">
      <w:pPr>
        <w:pStyle w:val="ListParagraph"/>
        <w:spacing w:after="0" w:line="480" w:lineRule="auto"/>
        <w:ind w:left="0"/>
        <w:jc w:val="both"/>
        <w:rPr>
          <w:rFonts w:ascii="Arial" w:hAnsi="Arial" w:cs="Arial"/>
          <w:sz w:val="24"/>
          <w:szCs w:val="24"/>
          <w:lang w:val="en-US"/>
        </w:rPr>
      </w:pPr>
    </w:p>
    <w:p w14:paraId="6DF8FF9B" w14:textId="4F962D5B" w:rsidR="004A0D5C" w:rsidRPr="004C01E3" w:rsidRDefault="004C01E3" w:rsidP="004C01E3">
      <w:pPr>
        <w:spacing w:after="0" w:line="480" w:lineRule="auto"/>
        <w:jc w:val="both"/>
        <w:rPr>
          <w:rFonts w:ascii="Arial" w:hAnsi="Arial" w:cs="Arial"/>
          <w:sz w:val="24"/>
          <w:szCs w:val="24"/>
        </w:rPr>
      </w:pPr>
      <w:r w:rsidRPr="00863CF4">
        <w:rPr>
          <w:rFonts w:ascii="Arial" w:hAnsi="Arial" w:cs="Arial"/>
          <w:sz w:val="24"/>
          <w:szCs w:val="24"/>
        </w:rPr>
        <w:t>[14]</w:t>
      </w:r>
      <w:r w:rsidRPr="00863CF4">
        <w:rPr>
          <w:rFonts w:ascii="Arial" w:hAnsi="Arial" w:cs="Arial"/>
          <w:sz w:val="24"/>
          <w:szCs w:val="24"/>
        </w:rPr>
        <w:tab/>
      </w:r>
      <w:r w:rsidR="004A0D5C" w:rsidRPr="004C01E3">
        <w:rPr>
          <w:rFonts w:ascii="Arial" w:hAnsi="Arial" w:cs="Arial"/>
          <w:sz w:val="24"/>
          <w:szCs w:val="24"/>
          <w:lang w:val="en-GB"/>
        </w:rPr>
        <w:t xml:space="preserve">In interpreting a similar provision in that country’s </w:t>
      </w:r>
      <w:r w:rsidR="004A0D5C" w:rsidRPr="004C01E3">
        <w:rPr>
          <w:rFonts w:ascii="Arial" w:hAnsi="Arial" w:cs="Arial"/>
          <w:sz w:val="24"/>
          <w:szCs w:val="24"/>
          <w:lang w:val="en-US"/>
        </w:rPr>
        <w:t>Companies Act 61 of 1973</w:t>
      </w:r>
      <w:r w:rsidR="004A0D5C">
        <w:rPr>
          <w:rStyle w:val="FootnoteReference"/>
          <w:rFonts w:ascii="Arial" w:hAnsi="Arial" w:cs="Arial"/>
          <w:sz w:val="24"/>
          <w:szCs w:val="24"/>
          <w:lang w:val="en-US"/>
        </w:rPr>
        <w:footnoteReference w:id="4"/>
      </w:r>
      <w:r w:rsidR="009E3BAD" w:rsidRPr="004C01E3">
        <w:rPr>
          <w:rFonts w:ascii="Arial" w:hAnsi="Arial" w:cs="Arial"/>
          <w:sz w:val="24"/>
          <w:szCs w:val="24"/>
          <w:lang w:val="en-US"/>
        </w:rPr>
        <w:t xml:space="preserve">, </w:t>
      </w:r>
      <w:r w:rsidR="005B5F81" w:rsidRPr="004C01E3">
        <w:rPr>
          <w:rFonts w:ascii="Arial" w:hAnsi="Arial" w:cs="Arial"/>
          <w:sz w:val="24"/>
          <w:szCs w:val="24"/>
          <w:lang w:val="en-US"/>
        </w:rPr>
        <w:t xml:space="preserve">(SA Companies Act) </w:t>
      </w:r>
      <w:r w:rsidR="004A0D5C" w:rsidRPr="004C01E3">
        <w:rPr>
          <w:rFonts w:ascii="Arial" w:hAnsi="Arial" w:cs="Arial"/>
          <w:sz w:val="24"/>
          <w:szCs w:val="24"/>
          <w:lang w:val="en-US"/>
        </w:rPr>
        <w:t xml:space="preserve">the court held in </w:t>
      </w:r>
      <w:r w:rsidR="004A0D5C" w:rsidRPr="004C01E3">
        <w:rPr>
          <w:rFonts w:ascii="Arial" w:hAnsi="Arial" w:cs="Arial"/>
          <w:i/>
          <w:sz w:val="24"/>
          <w:szCs w:val="24"/>
          <w:lang w:val="en-US"/>
        </w:rPr>
        <w:t>Neumann</w:t>
      </w:r>
      <w:r w:rsidR="004A0D5C" w:rsidRPr="004C01E3">
        <w:rPr>
          <w:rFonts w:ascii="Arial" w:hAnsi="Arial" w:cs="Arial"/>
          <w:sz w:val="24"/>
          <w:szCs w:val="24"/>
          <w:lang w:val="en-US"/>
        </w:rPr>
        <w:t xml:space="preserve"> that bringing proceedings on ‘application’ did not exclude action proceedings. The court held:</w:t>
      </w:r>
    </w:p>
    <w:p w14:paraId="0472BF52" w14:textId="77777777" w:rsidR="004A0D5C" w:rsidRDefault="004A0D5C" w:rsidP="004F076E">
      <w:pPr>
        <w:spacing w:after="0" w:line="360" w:lineRule="auto"/>
        <w:jc w:val="both"/>
        <w:rPr>
          <w:rFonts w:ascii="Arial" w:hAnsi="Arial" w:cs="Arial"/>
          <w:szCs w:val="24"/>
          <w:lang w:val="en-US"/>
        </w:rPr>
      </w:pPr>
    </w:p>
    <w:p w14:paraId="41225061" w14:textId="77777777" w:rsidR="004A0D5C" w:rsidRDefault="004A0D5C" w:rsidP="004F076E">
      <w:pPr>
        <w:spacing w:after="0" w:line="360" w:lineRule="auto"/>
        <w:ind w:left="720"/>
        <w:jc w:val="both"/>
        <w:rPr>
          <w:rFonts w:ascii="Arial" w:hAnsi="Arial" w:cs="Arial"/>
          <w:szCs w:val="24"/>
          <w:lang w:val="en-US"/>
        </w:rPr>
      </w:pPr>
      <w:r>
        <w:rPr>
          <w:rFonts w:ascii="Arial" w:hAnsi="Arial" w:cs="Arial"/>
          <w:szCs w:val="24"/>
          <w:lang w:val="en-US"/>
        </w:rPr>
        <w:t>‘</w:t>
      </w:r>
      <w:r w:rsidRPr="00C701F2">
        <w:rPr>
          <w:rFonts w:ascii="Arial" w:hAnsi="Arial" w:cs="Arial"/>
          <w:szCs w:val="24"/>
          <w:lang w:val="en-US"/>
        </w:rPr>
        <w:t>The conclusion to which I come is therefore that the word “application” in s 424 (1) was not intended to have the narrow meaning of proceedings by way of motion only, but that it was intended to embrace proceedings by way of action as well.</w:t>
      </w:r>
      <w:r>
        <w:rPr>
          <w:rFonts w:ascii="Arial" w:hAnsi="Arial" w:cs="Arial"/>
          <w:szCs w:val="24"/>
          <w:lang w:val="en-US"/>
        </w:rPr>
        <w:t>’</w:t>
      </w:r>
    </w:p>
    <w:p w14:paraId="5C727DCA" w14:textId="77777777" w:rsidR="004A0D5C" w:rsidRDefault="004A0D5C" w:rsidP="004F076E">
      <w:pPr>
        <w:spacing w:after="0" w:line="360" w:lineRule="auto"/>
        <w:ind w:left="720"/>
        <w:jc w:val="both"/>
        <w:rPr>
          <w:rFonts w:ascii="Arial" w:hAnsi="Arial" w:cs="Arial"/>
          <w:szCs w:val="24"/>
          <w:lang w:val="en-US"/>
        </w:rPr>
      </w:pPr>
    </w:p>
    <w:p w14:paraId="2F50A572" w14:textId="388920A2" w:rsidR="004A0D5C" w:rsidRPr="004C01E3" w:rsidRDefault="004C01E3" w:rsidP="004C01E3">
      <w:pPr>
        <w:spacing w:after="0" w:line="480" w:lineRule="auto"/>
        <w:jc w:val="both"/>
        <w:rPr>
          <w:rFonts w:ascii="Arial" w:hAnsi="Arial" w:cs="Arial"/>
          <w:szCs w:val="24"/>
          <w:lang w:val="en-US"/>
        </w:rPr>
      </w:pPr>
      <w:r w:rsidRPr="003055C2">
        <w:rPr>
          <w:rFonts w:ascii="Arial" w:hAnsi="Arial" w:cs="Arial"/>
          <w:sz w:val="24"/>
          <w:szCs w:val="24"/>
          <w:lang w:val="en-US"/>
        </w:rPr>
        <w:t>[15]</w:t>
      </w:r>
      <w:r w:rsidRPr="003055C2">
        <w:rPr>
          <w:rFonts w:ascii="Arial" w:hAnsi="Arial" w:cs="Arial"/>
          <w:sz w:val="24"/>
          <w:szCs w:val="24"/>
          <w:lang w:val="en-US"/>
        </w:rPr>
        <w:tab/>
      </w:r>
      <w:r w:rsidR="005B5F81" w:rsidRPr="004C01E3">
        <w:rPr>
          <w:rFonts w:ascii="Arial" w:hAnsi="Arial" w:cs="Arial"/>
          <w:sz w:val="24"/>
          <w:szCs w:val="24"/>
          <w:lang w:val="en-US"/>
        </w:rPr>
        <w:t>In the present case, the learned</w:t>
      </w:r>
      <w:r w:rsidR="004A0D5C" w:rsidRPr="004C01E3">
        <w:rPr>
          <w:rFonts w:ascii="Arial" w:hAnsi="Arial" w:cs="Arial"/>
          <w:sz w:val="24"/>
          <w:szCs w:val="24"/>
          <w:lang w:val="en-US"/>
        </w:rPr>
        <w:t xml:space="preserve"> judge</w:t>
      </w:r>
      <w:r w:rsidR="004A0D5C" w:rsidRPr="004C01E3">
        <w:rPr>
          <w:rFonts w:ascii="Arial" w:hAnsi="Arial" w:cs="Arial"/>
          <w:i/>
          <w:sz w:val="24"/>
          <w:szCs w:val="24"/>
          <w:lang w:val="en-US"/>
        </w:rPr>
        <w:t xml:space="preserve"> a quo </w:t>
      </w:r>
      <w:r w:rsidR="004A0D5C" w:rsidRPr="004C01E3">
        <w:rPr>
          <w:rFonts w:ascii="Arial" w:hAnsi="Arial" w:cs="Arial"/>
          <w:sz w:val="24"/>
          <w:szCs w:val="24"/>
          <w:lang w:val="en-US"/>
        </w:rPr>
        <w:t xml:space="preserve">reasoned that although the ratio in </w:t>
      </w:r>
      <w:r w:rsidR="004A0D5C" w:rsidRPr="004C01E3">
        <w:rPr>
          <w:rFonts w:ascii="Arial" w:hAnsi="Arial" w:cs="Arial"/>
          <w:i/>
          <w:sz w:val="24"/>
          <w:szCs w:val="24"/>
          <w:lang w:val="en-US"/>
        </w:rPr>
        <w:t>Neumann</w:t>
      </w:r>
      <w:r w:rsidR="004A0D5C" w:rsidRPr="004C01E3">
        <w:rPr>
          <w:rFonts w:ascii="Arial" w:hAnsi="Arial" w:cs="Arial"/>
          <w:sz w:val="24"/>
          <w:szCs w:val="24"/>
          <w:lang w:val="en-US"/>
        </w:rPr>
        <w:t xml:space="preserve"> ‘is not necessarily incorrect’, she was bound by </w:t>
      </w:r>
      <w:r w:rsidR="004A0D5C" w:rsidRPr="004C01E3">
        <w:rPr>
          <w:rFonts w:ascii="Arial" w:hAnsi="Arial" w:cs="Arial"/>
          <w:i/>
          <w:sz w:val="24"/>
          <w:szCs w:val="24"/>
          <w:lang w:val="en-US"/>
        </w:rPr>
        <w:t>stare decisis</w:t>
      </w:r>
      <w:r w:rsidR="004A0D5C" w:rsidRPr="004C01E3">
        <w:rPr>
          <w:rFonts w:ascii="Arial" w:hAnsi="Arial" w:cs="Arial"/>
          <w:sz w:val="24"/>
          <w:szCs w:val="24"/>
          <w:lang w:val="en-US"/>
        </w:rPr>
        <w:t xml:space="preserve"> to follow </w:t>
      </w:r>
      <w:proofErr w:type="spellStart"/>
      <w:r w:rsidR="004A0D5C" w:rsidRPr="004C01E3">
        <w:rPr>
          <w:rFonts w:ascii="Arial" w:hAnsi="Arial" w:cs="Arial"/>
          <w:i/>
          <w:sz w:val="24"/>
          <w:szCs w:val="24"/>
          <w:lang w:val="en-GB"/>
        </w:rPr>
        <w:t>Teichmann</w:t>
      </w:r>
      <w:proofErr w:type="spellEnd"/>
      <w:r w:rsidR="004A0D5C" w:rsidRPr="004C01E3">
        <w:rPr>
          <w:rFonts w:ascii="Arial" w:hAnsi="Arial" w:cs="Arial"/>
          <w:i/>
          <w:sz w:val="24"/>
          <w:szCs w:val="24"/>
          <w:lang w:val="en-GB"/>
        </w:rPr>
        <w:t xml:space="preserve">. </w:t>
      </w:r>
      <w:r w:rsidR="004A0D5C" w:rsidRPr="004C01E3">
        <w:rPr>
          <w:rFonts w:ascii="Arial" w:hAnsi="Arial" w:cs="Arial"/>
          <w:sz w:val="24"/>
          <w:szCs w:val="24"/>
          <w:lang w:val="en-US"/>
        </w:rPr>
        <w:t>She wrote:</w:t>
      </w:r>
    </w:p>
    <w:p w14:paraId="441772EC" w14:textId="77777777" w:rsidR="003055C2" w:rsidRDefault="003055C2" w:rsidP="003055C2">
      <w:pPr>
        <w:pStyle w:val="ListParagraph"/>
        <w:spacing w:after="0" w:line="480" w:lineRule="auto"/>
        <w:ind w:left="0"/>
        <w:jc w:val="both"/>
        <w:rPr>
          <w:rFonts w:ascii="Arial" w:hAnsi="Arial" w:cs="Arial"/>
          <w:szCs w:val="24"/>
          <w:lang w:val="en-US"/>
        </w:rPr>
      </w:pPr>
    </w:p>
    <w:p w14:paraId="43E7D1F1" w14:textId="55BC5691" w:rsidR="004A0D5C" w:rsidRDefault="00444971" w:rsidP="004A0D5C">
      <w:pPr>
        <w:spacing w:line="360" w:lineRule="auto"/>
        <w:ind w:left="851"/>
        <w:jc w:val="both"/>
        <w:rPr>
          <w:rFonts w:ascii="Arial" w:hAnsi="Arial" w:cs="Arial"/>
          <w:szCs w:val="24"/>
          <w:lang w:val="en-US"/>
        </w:rPr>
      </w:pPr>
      <w:r>
        <w:rPr>
          <w:rFonts w:ascii="Arial" w:hAnsi="Arial" w:cs="Arial"/>
          <w:szCs w:val="24"/>
          <w:lang w:val="en-US"/>
        </w:rPr>
        <w:t>‘</w:t>
      </w:r>
      <w:r w:rsidR="004A0D5C" w:rsidRPr="009F40CE">
        <w:rPr>
          <w:rFonts w:ascii="Arial" w:hAnsi="Arial" w:cs="Arial"/>
          <w:szCs w:val="24"/>
          <w:lang w:val="en-US"/>
        </w:rPr>
        <w:t xml:space="preserve">I cannot find that the </w:t>
      </w:r>
      <w:proofErr w:type="spellStart"/>
      <w:r w:rsidR="004A0D5C" w:rsidRPr="009F40CE">
        <w:rPr>
          <w:rFonts w:ascii="Arial" w:hAnsi="Arial" w:cs="Arial"/>
          <w:i/>
          <w:szCs w:val="24"/>
          <w:lang w:val="en-US"/>
        </w:rPr>
        <w:t>Teichmann</w:t>
      </w:r>
      <w:proofErr w:type="spellEnd"/>
      <w:r w:rsidR="004A0D5C" w:rsidRPr="009F40CE">
        <w:rPr>
          <w:rFonts w:ascii="Arial" w:hAnsi="Arial" w:cs="Arial"/>
          <w:i/>
          <w:szCs w:val="24"/>
          <w:lang w:val="en-US"/>
        </w:rPr>
        <w:t xml:space="preserve"> Plant Hire (Pty) Ltd</w:t>
      </w:r>
      <w:r w:rsidR="004A0D5C">
        <w:rPr>
          <w:rFonts w:ascii="Arial" w:hAnsi="Arial" w:cs="Arial"/>
          <w:szCs w:val="24"/>
          <w:lang w:val="en-US"/>
        </w:rPr>
        <w:t xml:space="preserve"> matter was arrived at by some </w:t>
      </w:r>
      <w:r w:rsidR="004A0D5C" w:rsidRPr="009F40CE">
        <w:rPr>
          <w:rFonts w:ascii="Arial" w:hAnsi="Arial" w:cs="Arial"/>
          <w:szCs w:val="24"/>
          <w:lang w:val="en-US"/>
        </w:rPr>
        <w:t>fundamental departure from principle, or a manifest overs</w:t>
      </w:r>
      <w:r w:rsidR="004A0D5C">
        <w:rPr>
          <w:rFonts w:ascii="Arial" w:hAnsi="Arial" w:cs="Arial"/>
          <w:szCs w:val="24"/>
          <w:lang w:val="en-US"/>
        </w:rPr>
        <w:t xml:space="preserve">ight or misunderstanding and </w:t>
      </w:r>
      <w:r w:rsidR="004A0D5C" w:rsidRPr="009F40CE">
        <w:rPr>
          <w:rFonts w:ascii="Arial" w:hAnsi="Arial" w:cs="Arial"/>
          <w:szCs w:val="24"/>
          <w:lang w:val="en-US"/>
        </w:rPr>
        <w:t>is therefore bound to follow it.</w:t>
      </w:r>
      <w:r w:rsidR="004A0D5C">
        <w:rPr>
          <w:rFonts w:ascii="Arial" w:hAnsi="Arial" w:cs="Arial"/>
          <w:szCs w:val="24"/>
          <w:lang w:val="en-US"/>
        </w:rPr>
        <w:t>’</w:t>
      </w:r>
    </w:p>
    <w:p w14:paraId="2F6DE7FD" w14:textId="77777777" w:rsidR="004A0D5C" w:rsidRPr="009F40CE" w:rsidRDefault="004A0D5C" w:rsidP="004A0D5C">
      <w:pPr>
        <w:spacing w:line="360" w:lineRule="auto"/>
        <w:ind w:left="851"/>
        <w:jc w:val="both"/>
        <w:rPr>
          <w:rFonts w:ascii="Arial" w:hAnsi="Arial" w:cs="Arial"/>
          <w:szCs w:val="24"/>
          <w:lang w:val="en-US"/>
        </w:rPr>
      </w:pPr>
    </w:p>
    <w:p w14:paraId="26699BCB" w14:textId="727A6FBB" w:rsidR="004A0D5C" w:rsidRPr="004C01E3" w:rsidRDefault="004C01E3" w:rsidP="004C01E3">
      <w:pPr>
        <w:spacing w:after="0" w:line="48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4A0D5C" w:rsidRPr="004C01E3">
        <w:rPr>
          <w:rFonts w:ascii="Arial" w:hAnsi="Arial" w:cs="Arial"/>
          <w:sz w:val="24"/>
          <w:szCs w:val="24"/>
          <w:lang w:val="en-US"/>
        </w:rPr>
        <w:t>According to the court</w:t>
      </w:r>
      <w:r w:rsidR="004A0D5C" w:rsidRPr="004C01E3">
        <w:rPr>
          <w:rFonts w:ascii="Arial" w:hAnsi="Arial" w:cs="Arial"/>
          <w:i/>
          <w:sz w:val="24"/>
          <w:szCs w:val="24"/>
          <w:lang w:val="en-US"/>
        </w:rPr>
        <w:t xml:space="preserve"> a quo</w:t>
      </w:r>
      <w:r w:rsidR="004A0D5C" w:rsidRPr="004C01E3">
        <w:rPr>
          <w:rFonts w:ascii="Arial" w:hAnsi="Arial" w:cs="Arial"/>
          <w:sz w:val="24"/>
          <w:szCs w:val="24"/>
          <w:lang w:val="en-US"/>
        </w:rPr>
        <w:t xml:space="preserve">, relying on </w:t>
      </w:r>
      <w:proofErr w:type="spellStart"/>
      <w:r w:rsidR="004A0D5C" w:rsidRPr="004C01E3">
        <w:rPr>
          <w:rFonts w:ascii="Arial" w:hAnsi="Arial" w:cs="Arial"/>
          <w:i/>
          <w:sz w:val="24"/>
          <w:szCs w:val="24"/>
          <w:lang w:val="en-GB"/>
        </w:rPr>
        <w:t>Teichmann</w:t>
      </w:r>
      <w:proofErr w:type="spellEnd"/>
      <w:r w:rsidR="004A0D5C" w:rsidRPr="004C01E3">
        <w:rPr>
          <w:rFonts w:ascii="Arial" w:hAnsi="Arial" w:cs="Arial"/>
          <w:sz w:val="24"/>
          <w:szCs w:val="24"/>
          <w:lang w:val="en-US"/>
        </w:rPr>
        <w:t xml:space="preserve">, the creditor had to bring an application on notice of motion for a declarator before proceeding with the matter. In other words, a two-phased process: First, an application for a declarator from the </w:t>
      </w:r>
      <w:r w:rsidR="004A0D5C" w:rsidRPr="004C01E3">
        <w:rPr>
          <w:rFonts w:ascii="Arial" w:hAnsi="Arial" w:cs="Arial"/>
          <w:sz w:val="24"/>
          <w:szCs w:val="24"/>
          <w:lang w:val="en-US"/>
        </w:rPr>
        <w:lastRenderedPageBreak/>
        <w:t xml:space="preserve">court that the member concerned knowingly traded in one or more of the manners set out in s 64 and, only then, an </w:t>
      </w:r>
      <w:r w:rsidR="009C4DB0" w:rsidRPr="004C01E3">
        <w:rPr>
          <w:rFonts w:ascii="Arial" w:hAnsi="Arial" w:cs="Arial"/>
          <w:sz w:val="24"/>
          <w:szCs w:val="24"/>
          <w:lang w:val="en-US"/>
        </w:rPr>
        <w:t>action to claim the debt</w:t>
      </w:r>
      <w:r w:rsidR="004A0D5C" w:rsidRPr="004C01E3">
        <w:rPr>
          <w:rFonts w:ascii="Arial" w:hAnsi="Arial" w:cs="Arial"/>
          <w:sz w:val="24"/>
          <w:szCs w:val="24"/>
          <w:lang w:val="en-US"/>
        </w:rPr>
        <w:t xml:space="preserve">. </w:t>
      </w:r>
    </w:p>
    <w:p w14:paraId="3C8A8E24" w14:textId="77777777" w:rsidR="004A0D5C" w:rsidRDefault="004A0D5C" w:rsidP="004F076E">
      <w:pPr>
        <w:spacing w:after="0" w:line="480" w:lineRule="auto"/>
        <w:jc w:val="both"/>
        <w:rPr>
          <w:rFonts w:ascii="Arial" w:hAnsi="Arial" w:cs="Arial"/>
          <w:sz w:val="24"/>
          <w:szCs w:val="24"/>
          <w:lang w:val="en-US"/>
        </w:rPr>
      </w:pPr>
    </w:p>
    <w:p w14:paraId="2A7BDB4A" w14:textId="78D9DA19" w:rsidR="004A0D5C" w:rsidRPr="004C01E3" w:rsidRDefault="004C01E3" w:rsidP="004C01E3">
      <w:pPr>
        <w:spacing w:after="0" w:line="480" w:lineRule="auto"/>
        <w:jc w:val="both"/>
        <w:rPr>
          <w:rFonts w:ascii="Arial" w:hAnsi="Arial" w:cs="Arial"/>
          <w:sz w:val="24"/>
          <w:szCs w:val="24"/>
          <w:lang w:val="en-US"/>
        </w:rPr>
      </w:pPr>
      <w:r w:rsidRPr="00A0781D">
        <w:rPr>
          <w:rFonts w:ascii="Arial" w:hAnsi="Arial" w:cs="Arial"/>
          <w:sz w:val="24"/>
          <w:szCs w:val="24"/>
          <w:lang w:val="en-US"/>
        </w:rPr>
        <w:t>[17]</w:t>
      </w:r>
      <w:r w:rsidRPr="00A0781D">
        <w:rPr>
          <w:rFonts w:ascii="Arial" w:hAnsi="Arial" w:cs="Arial"/>
          <w:sz w:val="24"/>
          <w:szCs w:val="24"/>
          <w:lang w:val="en-US"/>
        </w:rPr>
        <w:tab/>
      </w:r>
      <w:r w:rsidR="005B5F81" w:rsidRPr="004C01E3">
        <w:rPr>
          <w:rFonts w:ascii="Arial" w:hAnsi="Arial" w:cs="Arial"/>
          <w:sz w:val="24"/>
          <w:szCs w:val="24"/>
          <w:lang w:val="en-US"/>
        </w:rPr>
        <w:t>According to the</w:t>
      </w:r>
      <w:r w:rsidR="004A0D5C" w:rsidRPr="004C01E3">
        <w:rPr>
          <w:rFonts w:ascii="Arial" w:hAnsi="Arial" w:cs="Arial"/>
          <w:sz w:val="24"/>
          <w:szCs w:val="24"/>
          <w:lang w:val="en-US"/>
        </w:rPr>
        <w:t xml:space="preserve"> </w:t>
      </w:r>
      <w:r w:rsidR="005B5F81" w:rsidRPr="004C01E3">
        <w:rPr>
          <w:rFonts w:ascii="Arial" w:hAnsi="Arial" w:cs="Arial"/>
          <w:sz w:val="24"/>
          <w:szCs w:val="24"/>
          <w:lang w:val="en-US"/>
        </w:rPr>
        <w:t xml:space="preserve">High Court </w:t>
      </w:r>
      <w:r w:rsidR="004A0D5C" w:rsidRPr="004C01E3">
        <w:rPr>
          <w:rFonts w:ascii="Arial" w:hAnsi="Arial" w:cs="Arial"/>
          <w:sz w:val="24"/>
          <w:szCs w:val="24"/>
          <w:lang w:val="en-US"/>
        </w:rPr>
        <w:t xml:space="preserve">in </w:t>
      </w:r>
      <w:proofErr w:type="spellStart"/>
      <w:r w:rsidR="004A0D5C" w:rsidRPr="004C01E3">
        <w:rPr>
          <w:rFonts w:ascii="Arial" w:hAnsi="Arial" w:cs="Arial"/>
          <w:i/>
          <w:sz w:val="24"/>
          <w:szCs w:val="24"/>
          <w:lang w:val="en-GB"/>
        </w:rPr>
        <w:t>Teichmann</w:t>
      </w:r>
      <w:proofErr w:type="spellEnd"/>
      <w:r w:rsidR="004A0D5C" w:rsidRPr="004C01E3">
        <w:rPr>
          <w:rFonts w:ascii="Arial" w:hAnsi="Arial" w:cs="Arial"/>
          <w:sz w:val="24"/>
          <w:szCs w:val="24"/>
          <w:lang w:val="en-US"/>
        </w:rPr>
        <w:t>:</w:t>
      </w:r>
    </w:p>
    <w:p w14:paraId="6C98620C" w14:textId="77777777" w:rsidR="004A0D5C" w:rsidRPr="00A0781D" w:rsidRDefault="004A0D5C" w:rsidP="004F076E">
      <w:pPr>
        <w:spacing w:after="0" w:line="360" w:lineRule="auto"/>
        <w:rPr>
          <w:rFonts w:ascii="Arial" w:hAnsi="Arial" w:cs="Arial"/>
          <w:sz w:val="24"/>
          <w:szCs w:val="24"/>
          <w:lang w:val="en-US"/>
        </w:rPr>
      </w:pPr>
    </w:p>
    <w:p w14:paraId="2CF66118" w14:textId="02F050D9" w:rsidR="004A0D5C" w:rsidRPr="00A0781D" w:rsidRDefault="004A0D5C" w:rsidP="004F076E">
      <w:pPr>
        <w:spacing w:after="0" w:line="360" w:lineRule="auto"/>
        <w:ind w:left="851"/>
        <w:jc w:val="both"/>
        <w:rPr>
          <w:rFonts w:ascii="Arial" w:hAnsi="Arial" w:cs="Arial"/>
          <w:szCs w:val="24"/>
          <w:lang w:val="en-US"/>
        </w:rPr>
      </w:pPr>
      <w:r w:rsidRPr="003B6A68">
        <w:rPr>
          <w:rFonts w:ascii="Arial" w:hAnsi="Arial" w:cs="Arial"/>
          <w:szCs w:val="24"/>
          <w:lang w:val="en-US"/>
        </w:rPr>
        <w:t xml:space="preserve">‘[29] Where a creditor moves for a summary judgment application for payment of the amount which is the one that was sought to be claimed against the close corporation, but before a </w:t>
      </w:r>
      <w:proofErr w:type="spellStart"/>
      <w:r w:rsidRPr="003B6A68">
        <w:rPr>
          <w:rFonts w:ascii="Arial" w:hAnsi="Arial" w:cs="Arial"/>
          <w:szCs w:val="24"/>
          <w:lang w:val="en-US"/>
        </w:rPr>
        <w:t>favourable</w:t>
      </w:r>
      <w:proofErr w:type="spellEnd"/>
      <w:r w:rsidRPr="003B6A68">
        <w:rPr>
          <w:rFonts w:ascii="Arial" w:hAnsi="Arial" w:cs="Arial"/>
          <w:szCs w:val="24"/>
          <w:lang w:val="en-US"/>
        </w:rPr>
        <w:t xml:space="preserve"> declaration in ter</w:t>
      </w:r>
      <w:r w:rsidR="00AE25B0">
        <w:rPr>
          <w:rFonts w:ascii="Arial" w:hAnsi="Arial" w:cs="Arial"/>
          <w:szCs w:val="24"/>
          <w:lang w:val="en-US"/>
        </w:rPr>
        <w:t>ms of s 64 is made by the court. . .</w:t>
      </w:r>
      <w:r w:rsidRPr="003B6A68">
        <w:rPr>
          <w:rFonts w:ascii="Arial" w:hAnsi="Arial" w:cs="Arial"/>
          <w:szCs w:val="24"/>
          <w:lang w:val="en-US"/>
        </w:rPr>
        <w:t>the said creditor is guilty of putting the cart before the horse. There must first be an application for th</w:t>
      </w:r>
      <w:r w:rsidR="00AE25B0">
        <w:rPr>
          <w:rFonts w:ascii="Arial" w:hAnsi="Arial" w:cs="Arial"/>
          <w:szCs w:val="24"/>
          <w:lang w:val="en-US"/>
        </w:rPr>
        <w:t xml:space="preserve">e lifting of the corporate </w:t>
      </w:r>
      <w:r w:rsidR="00A0783A">
        <w:rPr>
          <w:rFonts w:ascii="Arial" w:hAnsi="Arial" w:cs="Arial"/>
          <w:szCs w:val="24"/>
          <w:lang w:val="en-US"/>
        </w:rPr>
        <w:t>veil .</w:t>
      </w:r>
      <w:r w:rsidR="00AE25B0">
        <w:rPr>
          <w:rFonts w:ascii="Arial" w:hAnsi="Arial" w:cs="Arial"/>
          <w:szCs w:val="24"/>
          <w:lang w:val="en-US"/>
        </w:rPr>
        <w:t xml:space="preserve"> . .</w:t>
      </w:r>
      <w:r w:rsidR="00A0783A">
        <w:rPr>
          <w:rFonts w:ascii="Arial" w:hAnsi="Arial" w:cs="Arial"/>
          <w:szCs w:val="24"/>
          <w:lang w:val="en-US"/>
        </w:rPr>
        <w:t xml:space="preserve"> </w:t>
      </w:r>
      <w:r w:rsidRPr="003B6A68">
        <w:rPr>
          <w:rFonts w:ascii="Arial" w:hAnsi="Arial" w:cs="Arial"/>
          <w:szCs w:val="24"/>
          <w:lang w:val="en-US"/>
        </w:rPr>
        <w:t>and this application should clearly and succinctly spell out the reasons why it is claimed that the said person or persons carried on the business of the said corporation in the manner set out in s 64 of the Act and that would justify</w:t>
      </w:r>
      <w:r w:rsidR="00123189" w:rsidRPr="003B6A68">
        <w:rPr>
          <w:rFonts w:ascii="Arial" w:hAnsi="Arial" w:cs="Arial"/>
          <w:szCs w:val="24"/>
          <w:lang w:val="en-US"/>
        </w:rPr>
        <w:t xml:space="preserve"> the court . . . </w:t>
      </w:r>
      <w:r w:rsidRPr="003B6A68">
        <w:rPr>
          <w:rFonts w:ascii="Arial" w:hAnsi="Arial" w:cs="Arial"/>
          <w:szCs w:val="24"/>
          <w:lang w:val="en-US"/>
        </w:rPr>
        <w:t>imputing the debts or liabilities of the corporation on the members.’</w:t>
      </w:r>
      <w:r>
        <w:rPr>
          <w:rFonts w:ascii="Arial" w:hAnsi="Arial" w:cs="Arial"/>
          <w:szCs w:val="24"/>
          <w:lang w:val="en-US"/>
        </w:rPr>
        <w:t xml:space="preserve"> </w:t>
      </w:r>
      <w:r w:rsidRPr="00A0781D">
        <w:rPr>
          <w:rFonts w:ascii="Arial" w:hAnsi="Arial" w:cs="Arial"/>
          <w:szCs w:val="24"/>
          <w:lang w:val="en-US"/>
        </w:rPr>
        <w:t xml:space="preserve"> </w:t>
      </w:r>
      <w:r w:rsidR="00123189">
        <w:rPr>
          <w:rFonts w:ascii="Arial" w:hAnsi="Arial" w:cs="Arial"/>
          <w:szCs w:val="24"/>
          <w:lang w:val="en-US"/>
        </w:rPr>
        <w:t xml:space="preserve">   </w:t>
      </w:r>
    </w:p>
    <w:p w14:paraId="02F79D94" w14:textId="77777777" w:rsidR="004A0D5C" w:rsidRDefault="004A0D5C" w:rsidP="004F076E">
      <w:pPr>
        <w:spacing w:after="0" w:line="480" w:lineRule="auto"/>
        <w:jc w:val="both"/>
        <w:rPr>
          <w:rFonts w:ascii="Arial" w:hAnsi="Arial" w:cs="Arial"/>
          <w:sz w:val="24"/>
          <w:szCs w:val="24"/>
        </w:rPr>
      </w:pPr>
      <w:r>
        <w:rPr>
          <w:rFonts w:ascii="Arial" w:hAnsi="Arial" w:cs="Arial"/>
          <w:sz w:val="24"/>
          <w:szCs w:val="24"/>
        </w:rPr>
        <w:t xml:space="preserve"> </w:t>
      </w:r>
    </w:p>
    <w:p w14:paraId="7064F1A8" w14:textId="40CBFDF8" w:rsidR="004A0D5C" w:rsidRPr="004C01E3" w:rsidRDefault="004C01E3" w:rsidP="004C01E3">
      <w:pPr>
        <w:spacing w:after="0" w:line="480" w:lineRule="auto"/>
        <w:jc w:val="both"/>
        <w:rPr>
          <w:rFonts w:ascii="Arial" w:hAnsi="Arial" w:cs="Arial"/>
          <w:sz w:val="24"/>
          <w:szCs w:val="24"/>
        </w:rPr>
      </w:pPr>
      <w:r w:rsidRPr="00A4299B">
        <w:rPr>
          <w:rFonts w:ascii="Arial" w:hAnsi="Arial" w:cs="Arial"/>
          <w:sz w:val="24"/>
          <w:szCs w:val="24"/>
        </w:rPr>
        <w:t>[18]</w:t>
      </w:r>
      <w:r w:rsidRPr="00A4299B">
        <w:rPr>
          <w:rFonts w:ascii="Arial" w:hAnsi="Arial" w:cs="Arial"/>
          <w:sz w:val="24"/>
          <w:szCs w:val="24"/>
        </w:rPr>
        <w:tab/>
      </w:r>
      <w:r w:rsidR="005B5F81" w:rsidRPr="004C01E3">
        <w:rPr>
          <w:rFonts w:ascii="Arial" w:hAnsi="Arial" w:cs="Arial"/>
          <w:sz w:val="24"/>
          <w:szCs w:val="24"/>
          <w:lang w:val="en-US"/>
        </w:rPr>
        <w:t xml:space="preserve">Based on the above reasoning which it found binding on it, the court </w:t>
      </w:r>
      <w:r w:rsidR="005B5F81" w:rsidRPr="004C01E3">
        <w:rPr>
          <w:rFonts w:ascii="Arial" w:hAnsi="Arial" w:cs="Arial"/>
          <w:i/>
          <w:sz w:val="24"/>
          <w:szCs w:val="24"/>
          <w:lang w:val="en-US"/>
        </w:rPr>
        <w:t>a quo</w:t>
      </w:r>
      <w:r w:rsidR="005B5F81" w:rsidRPr="004C01E3">
        <w:rPr>
          <w:rFonts w:ascii="Arial" w:hAnsi="Arial" w:cs="Arial"/>
          <w:sz w:val="24"/>
          <w:szCs w:val="24"/>
          <w:lang w:val="en-US"/>
        </w:rPr>
        <w:t xml:space="preserve"> </w:t>
      </w:r>
      <w:r w:rsidR="004A0D5C" w:rsidRPr="004C01E3">
        <w:rPr>
          <w:rFonts w:ascii="Arial" w:hAnsi="Arial" w:cs="Arial"/>
          <w:sz w:val="24"/>
          <w:szCs w:val="24"/>
          <w:lang w:val="en-US"/>
        </w:rPr>
        <w:t xml:space="preserve">upheld the special plea. The appeal lies against that judgment and order. </w:t>
      </w:r>
      <w:r w:rsidR="004A0D5C" w:rsidRPr="004C01E3">
        <w:rPr>
          <w:rFonts w:ascii="Arial" w:hAnsi="Arial" w:cs="Arial"/>
          <w:sz w:val="24"/>
          <w:szCs w:val="24"/>
        </w:rPr>
        <w:t xml:space="preserve">The appellant sought and was granted leave by the court </w:t>
      </w:r>
      <w:r w:rsidR="005B5F81" w:rsidRPr="004C01E3">
        <w:rPr>
          <w:rFonts w:ascii="Arial" w:hAnsi="Arial" w:cs="Arial"/>
          <w:sz w:val="24"/>
          <w:szCs w:val="24"/>
        </w:rPr>
        <w:t xml:space="preserve">below </w:t>
      </w:r>
      <w:r w:rsidR="004A0D5C" w:rsidRPr="004C01E3">
        <w:rPr>
          <w:rFonts w:ascii="Arial" w:hAnsi="Arial" w:cs="Arial"/>
          <w:sz w:val="24"/>
          <w:szCs w:val="24"/>
        </w:rPr>
        <w:t xml:space="preserve">and hence the present appeal. </w:t>
      </w:r>
    </w:p>
    <w:p w14:paraId="6B97B164" w14:textId="77777777" w:rsidR="004A0D5C" w:rsidRPr="008E664F" w:rsidRDefault="004A0D5C" w:rsidP="004F076E">
      <w:pPr>
        <w:spacing w:after="0" w:line="480" w:lineRule="auto"/>
        <w:jc w:val="both"/>
        <w:rPr>
          <w:rFonts w:ascii="Arial" w:hAnsi="Arial" w:cs="Arial"/>
          <w:sz w:val="24"/>
          <w:szCs w:val="24"/>
          <w:lang w:val="en-US"/>
        </w:rPr>
      </w:pPr>
      <w:r w:rsidRPr="00656BF4">
        <w:rPr>
          <w:rFonts w:ascii="Arial" w:hAnsi="Arial" w:cs="Arial"/>
          <w:sz w:val="24"/>
          <w:szCs w:val="24"/>
        </w:rPr>
        <w:t xml:space="preserve"> </w:t>
      </w:r>
    </w:p>
    <w:p w14:paraId="357D47BC" w14:textId="77777777" w:rsidR="004A0D5C" w:rsidRDefault="004A0D5C" w:rsidP="004F076E">
      <w:pPr>
        <w:spacing w:after="0" w:line="480" w:lineRule="auto"/>
        <w:rPr>
          <w:rFonts w:ascii="Arial" w:hAnsi="Arial" w:cs="Arial"/>
          <w:sz w:val="24"/>
          <w:szCs w:val="24"/>
          <w:u w:val="single"/>
          <w:lang w:val="en-US"/>
        </w:rPr>
      </w:pPr>
      <w:r>
        <w:rPr>
          <w:rFonts w:ascii="Arial" w:hAnsi="Arial" w:cs="Arial"/>
          <w:sz w:val="24"/>
          <w:szCs w:val="24"/>
          <w:u w:val="single"/>
          <w:lang w:val="en-US"/>
        </w:rPr>
        <w:t>The appeal</w:t>
      </w:r>
    </w:p>
    <w:p w14:paraId="2235BB42" w14:textId="2BA9D43A" w:rsidR="004A0D5C" w:rsidRPr="004C01E3" w:rsidRDefault="004C01E3" w:rsidP="004C01E3">
      <w:pPr>
        <w:spacing w:after="0" w:line="480" w:lineRule="auto"/>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proofErr w:type="spellStart"/>
      <w:r w:rsidR="004A0D5C" w:rsidRPr="004C01E3">
        <w:rPr>
          <w:rFonts w:ascii="Arial" w:hAnsi="Arial" w:cs="Arial"/>
          <w:sz w:val="24"/>
          <w:szCs w:val="24"/>
          <w:lang w:val="en-US"/>
        </w:rPr>
        <w:t>Swakop</w:t>
      </w:r>
      <w:proofErr w:type="spellEnd"/>
      <w:r w:rsidR="004A0D5C" w:rsidRPr="004C01E3">
        <w:rPr>
          <w:rFonts w:ascii="Arial" w:hAnsi="Arial" w:cs="Arial"/>
          <w:sz w:val="24"/>
          <w:szCs w:val="24"/>
          <w:lang w:val="en-US"/>
        </w:rPr>
        <w:t xml:space="preserve"> Uranium appeals against the court </w:t>
      </w:r>
      <w:r w:rsidR="004A0D5C" w:rsidRPr="004C01E3">
        <w:rPr>
          <w:rFonts w:ascii="Arial" w:hAnsi="Arial" w:cs="Arial"/>
          <w:i/>
          <w:sz w:val="24"/>
          <w:szCs w:val="24"/>
          <w:lang w:val="en-US"/>
        </w:rPr>
        <w:t>a quo’s</w:t>
      </w:r>
      <w:r w:rsidR="004A0D5C" w:rsidRPr="004C01E3">
        <w:rPr>
          <w:rFonts w:ascii="Arial" w:hAnsi="Arial" w:cs="Arial"/>
          <w:sz w:val="24"/>
          <w:szCs w:val="24"/>
          <w:lang w:val="en-US"/>
        </w:rPr>
        <w:t xml:space="preserve"> interpretation of s 64(1) of the Act. As </w:t>
      </w:r>
      <w:proofErr w:type="spellStart"/>
      <w:r w:rsidR="004A0D5C" w:rsidRPr="004C01E3">
        <w:rPr>
          <w:rFonts w:ascii="Arial" w:hAnsi="Arial" w:cs="Arial"/>
          <w:sz w:val="24"/>
          <w:szCs w:val="24"/>
          <w:lang w:val="en-US"/>
        </w:rPr>
        <w:t>Ms</w:t>
      </w:r>
      <w:proofErr w:type="spellEnd"/>
      <w:r w:rsidR="004A0D5C" w:rsidRPr="004C01E3">
        <w:rPr>
          <w:rFonts w:ascii="Arial" w:hAnsi="Arial" w:cs="Arial"/>
          <w:sz w:val="24"/>
          <w:szCs w:val="24"/>
          <w:lang w:val="en-US"/>
        </w:rPr>
        <w:t xml:space="preserve"> </w:t>
      </w:r>
      <w:proofErr w:type="spellStart"/>
      <w:r w:rsidR="004A0D5C" w:rsidRPr="004C01E3">
        <w:rPr>
          <w:rFonts w:ascii="Arial" w:hAnsi="Arial" w:cs="Arial"/>
          <w:sz w:val="24"/>
          <w:szCs w:val="24"/>
          <w:lang w:val="en-US"/>
        </w:rPr>
        <w:t>Garbers</w:t>
      </w:r>
      <w:proofErr w:type="spellEnd"/>
      <w:r w:rsidR="004A0D5C" w:rsidRPr="004C01E3">
        <w:rPr>
          <w:rFonts w:ascii="Arial" w:hAnsi="Arial" w:cs="Arial"/>
          <w:sz w:val="24"/>
          <w:szCs w:val="24"/>
          <w:lang w:val="en-US"/>
        </w:rPr>
        <w:t xml:space="preserve">-Kirsten for </w:t>
      </w:r>
      <w:proofErr w:type="spellStart"/>
      <w:r w:rsidR="004A0D5C" w:rsidRPr="004C01E3">
        <w:rPr>
          <w:rFonts w:ascii="Arial" w:hAnsi="Arial" w:cs="Arial"/>
          <w:sz w:val="24"/>
          <w:szCs w:val="24"/>
          <w:lang w:val="en-US"/>
        </w:rPr>
        <w:t>Swakop</w:t>
      </w:r>
      <w:proofErr w:type="spellEnd"/>
      <w:r w:rsidR="004A0D5C" w:rsidRPr="004C01E3">
        <w:rPr>
          <w:rFonts w:ascii="Arial" w:hAnsi="Arial" w:cs="Arial"/>
          <w:sz w:val="24"/>
          <w:szCs w:val="24"/>
          <w:lang w:val="en-US"/>
        </w:rPr>
        <w:t xml:space="preserve"> Uranium points out in the written heads of argument, the issue to be determined on this appeal is whether the relief contemplated by s 64(1) of the Act should only be sought by way of motion proceedings or whether it may also be sought by way of action.</w:t>
      </w:r>
    </w:p>
    <w:p w14:paraId="025DA327" w14:textId="77777777" w:rsidR="004A0D5C" w:rsidRDefault="004A0D5C" w:rsidP="004F076E">
      <w:pPr>
        <w:spacing w:after="0" w:line="480" w:lineRule="auto"/>
        <w:jc w:val="both"/>
        <w:rPr>
          <w:rFonts w:ascii="Arial" w:hAnsi="Arial" w:cs="Arial"/>
          <w:sz w:val="24"/>
          <w:szCs w:val="24"/>
          <w:lang w:val="en-US"/>
        </w:rPr>
      </w:pPr>
    </w:p>
    <w:p w14:paraId="5D48D047" w14:textId="418D2528" w:rsidR="004A0D5C" w:rsidRPr="004C01E3" w:rsidRDefault="004C01E3" w:rsidP="004C01E3">
      <w:pPr>
        <w:spacing w:after="0" w:line="48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4A0D5C" w:rsidRPr="004C01E3">
        <w:rPr>
          <w:rFonts w:ascii="Arial" w:hAnsi="Arial" w:cs="Arial"/>
          <w:sz w:val="24"/>
          <w:szCs w:val="24"/>
          <w:lang w:val="en-US"/>
        </w:rPr>
        <w:t>The appeal has since become unopposed.</w:t>
      </w:r>
    </w:p>
    <w:p w14:paraId="4D6B2E14" w14:textId="77777777" w:rsidR="004A0D5C" w:rsidRDefault="004A0D5C" w:rsidP="004F076E">
      <w:pPr>
        <w:spacing w:after="0" w:line="480" w:lineRule="auto"/>
        <w:rPr>
          <w:rFonts w:ascii="Arial" w:hAnsi="Arial" w:cs="Arial"/>
          <w:sz w:val="24"/>
          <w:szCs w:val="24"/>
          <w:lang w:val="en-US"/>
        </w:rPr>
      </w:pPr>
    </w:p>
    <w:p w14:paraId="23D39088" w14:textId="477CEB39" w:rsidR="004A0D5C" w:rsidRPr="004C01E3" w:rsidRDefault="004C01E3" w:rsidP="004C01E3">
      <w:pPr>
        <w:spacing w:after="0" w:line="480" w:lineRule="auto"/>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proofErr w:type="spellStart"/>
      <w:r w:rsidR="004A0D5C" w:rsidRPr="004C01E3">
        <w:rPr>
          <w:rFonts w:ascii="Arial" w:hAnsi="Arial" w:cs="Arial"/>
          <w:sz w:val="24"/>
          <w:szCs w:val="24"/>
          <w:lang w:val="en-US"/>
        </w:rPr>
        <w:t>M</w:t>
      </w:r>
      <w:r w:rsidR="005B5F81" w:rsidRPr="004C01E3">
        <w:rPr>
          <w:rFonts w:ascii="Arial" w:hAnsi="Arial" w:cs="Arial"/>
          <w:sz w:val="24"/>
          <w:szCs w:val="24"/>
          <w:lang w:val="en-US"/>
        </w:rPr>
        <w:t>s</w:t>
      </w:r>
      <w:proofErr w:type="spellEnd"/>
      <w:r w:rsidR="004A0D5C" w:rsidRPr="004C01E3">
        <w:rPr>
          <w:rFonts w:ascii="Arial" w:hAnsi="Arial" w:cs="Arial"/>
          <w:sz w:val="24"/>
          <w:szCs w:val="24"/>
          <w:lang w:val="en-US"/>
        </w:rPr>
        <w:t xml:space="preserve"> </w:t>
      </w:r>
      <w:proofErr w:type="spellStart"/>
      <w:r w:rsidR="004A0D5C" w:rsidRPr="004C01E3">
        <w:rPr>
          <w:rFonts w:ascii="Arial" w:hAnsi="Arial" w:cs="Arial"/>
          <w:sz w:val="24"/>
          <w:szCs w:val="24"/>
          <w:lang w:val="en-US"/>
        </w:rPr>
        <w:t>Garbers</w:t>
      </w:r>
      <w:proofErr w:type="spellEnd"/>
      <w:r w:rsidR="004A0D5C" w:rsidRPr="004C01E3">
        <w:rPr>
          <w:rFonts w:ascii="Arial" w:hAnsi="Arial" w:cs="Arial"/>
          <w:sz w:val="24"/>
          <w:szCs w:val="24"/>
          <w:lang w:val="en-US"/>
        </w:rPr>
        <w:t xml:space="preserve">-Kirsten argued that </w:t>
      </w:r>
      <w:proofErr w:type="spellStart"/>
      <w:r w:rsidR="004A0D5C" w:rsidRPr="004C01E3">
        <w:rPr>
          <w:rFonts w:ascii="Arial" w:hAnsi="Arial" w:cs="Arial"/>
          <w:i/>
          <w:sz w:val="24"/>
          <w:szCs w:val="24"/>
          <w:lang w:val="en-US"/>
        </w:rPr>
        <w:t>Teichmann</w:t>
      </w:r>
      <w:proofErr w:type="spellEnd"/>
      <w:r w:rsidR="004A0D5C" w:rsidRPr="004C01E3">
        <w:rPr>
          <w:rFonts w:ascii="Arial" w:hAnsi="Arial" w:cs="Arial"/>
          <w:sz w:val="24"/>
          <w:szCs w:val="24"/>
          <w:lang w:val="en-US"/>
        </w:rPr>
        <w:t xml:space="preserve"> was wrongly decided and that, in any event, it is inconsistent with a decision of the High Court preceding </w:t>
      </w:r>
      <w:r w:rsidR="00281344" w:rsidRPr="004C01E3">
        <w:rPr>
          <w:rFonts w:ascii="Arial" w:hAnsi="Arial" w:cs="Arial"/>
          <w:sz w:val="24"/>
          <w:szCs w:val="24"/>
          <w:lang w:val="en-US"/>
        </w:rPr>
        <w:t xml:space="preserve">it and another </w:t>
      </w:r>
      <w:proofErr w:type="gramStart"/>
      <w:r w:rsidR="00281344" w:rsidRPr="004C01E3">
        <w:rPr>
          <w:rFonts w:ascii="Arial" w:hAnsi="Arial" w:cs="Arial"/>
          <w:sz w:val="24"/>
          <w:szCs w:val="24"/>
          <w:lang w:val="en-US"/>
        </w:rPr>
        <w:t>subsequent to</w:t>
      </w:r>
      <w:proofErr w:type="gramEnd"/>
      <w:r w:rsidR="00281344" w:rsidRPr="004C01E3">
        <w:rPr>
          <w:rFonts w:ascii="Arial" w:hAnsi="Arial" w:cs="Arial"/>
          <w:sz w:val="24"/>
          <w:szCs w:val="24"/>
          <w:lang w:val="en-US"/>
        </w:rPr>
        <w:t xml:space="preserve"> it, </w:t>
      </w:r>
      <w:r w:rsidR="004A0D5C" w:rsidRPr="004C01E3">
        <w:rPr>
          <w:rFonts w:ascii="Arial" w:hAnsi="Arial" w:cs="Arial"/>
          <w:sz w:val="24"/>
          <w:szCs w:val="24"/>
          <w:lang w:val="en-US"/>
        </w:rPr>
        <w:t xml:space="preserve">but before the decision which is the subject of the present appeal. (In the circumstances, the High Court in the present matter was at large to consider which interpretation was the more acceptable one). </w:t>
      </w:r>
    </w:p>
    <w:p w14:paraId="065C6E07" w14:textId="77777777" w:rsidR="004A0D5C" w:rsidRDefault="004A0D5C" w:rsidP="004F076E">
      <w:pPr>
        <w:spacing w:after="0" w:line="480" w:lineRule="auto"/>
        <w:jc w:val="both"/>
        <w:rPr>
          <w:rFonts w:ascii="Arial" w:hAnsi="Arial" w:cs="Arial"/>
          <w:sz w:val="24"/>
          <w:szCs w:val="24"/>
          <w:lang w:val="en-US"/>
        </w:rPr>
      </w:pPr>
    </w:p>
    <w:p w14:paraId="22F5B3FF" w14:textId="19F77B8E" w:rsidR="004A0D5C" w:rsidRPr="004C01E3" w:rsidRDefault="004C01E3" w:rsidP="004C01E3">
      <w:pPr>
        <w:spacing w:after="0" w:line="480" w:lineRule="auto"/>
        <w:ind w:left="357" w:hanging="357"/>
        <w:jc w:val="both"/>
        <w:rPr>
          <w:rFonts w:ascii="Arial" w:hAnsi="Arial" w:cs="Arial"/>
          <w:sz w:val="24"/>
          <w:szCs w:val="24"/>
          <w:lang w:val="en-US"/>
        </w:rPr>
      </w:pPr>
      <w:r w:rsidRPr="00281344">
        <w:rPr>
          <w:rFonts w:ascii="Arial" w:hAnsi="Arial" w:cs="Arial"/>
          <w:sz w:val="24"/>
          <w:szCs w:val="24"/>
          <w:lang w:val="en-US"/>
        </w:rPr>
        <w:t>[22]</w:t>
      </w:r>
      <w:r w:rsidRPr="00281344">
        <w:rPr>
          <w:rFonts w:ascii="Arial" w:hAnsi="Arial" w:cs="Arial"/>
          <w:sz w:val="24"/>
          <w:szCs w:val="24"/>
          <w:lang w:val="en-US"/>
        </w:rPr>
        <w:tab/>
      </w:r>
      <w:proofErr w:type="spellStart"/>
      <w:r w:rsidR="00281344" w:rsidRPr="004C01E3">
        <w:rPr>
          <w:rFonts w:ascii="Arial" w:hAnsi="Arial" w:cs="Arial"/>
          <w:i/>
          <w:sz w:val="24"/>
          <w:szCs w:val="24"/>
          <w:lang w:val="en-US"/>
        </w:rPr>
        <w:t>Hangula</w:t>
      </w:r>
      <w:proofErr w:type="spellEnd"/>
      <w:r w:rsidR="00281344" w:rsidRPr="004C01E3">
        <w:rPr>
          <w:rFonts w:ascii="Arial" w:hAnsi="Arial" w:cs="Arial"/>
          <w:i/>
          <w:sz w:val="24"/>
          <w:szCs w:val="24"/>
          <w:lang w:val="en-US"/>
        </w:rPr>
        <w:t xml:space="preserve"> v Motor Vehicle Accident Fund</w:t>
      </w:r>
      <w:r w:rsidR="004A0D5C" w:rsidRPr="00281344">
        <w:rPr>
          <w:rStyle w:val="FootnoteReference"/>
          <w:rFonts w:ascii="Arial" w:hAnsi="Arial" w:cs="Arial"/>
          <w:sz w:val="24"/>
          <w:szCs w:val="24"/>
          <w:lang w:val="en-US"/>
        </w:rPr>
        <w:footnoteReference w:id="5"/>
      </w:r>
      <w:r w:rsidR="00281344" w:rsidRPr="004C01E3">
        <w:rPr>
          <w:rFonts w:ascii="Arial" w:hAnsi="Arial" w:cs="Arial"/>
          <w:sz w:val="24"/>
          <w:szCs w:val="24"/>
          <w:lang w:val="en-US"/>
        </w:rPr>
        <w:t xml:space="preserve">, </w:t>
      </w:r>
      <w:r w:rsidR="004A0D5C" w:rsidRPr="004C01E3">
        <w:rPr>
          <w:rFonts w:ascii="Arial" w:hAnsi="Arial" w:cs="Arial"/>
          <w:sz w:val="24"/>
          <w:szCs w:val="24"/>
          <w:lang w:val="en-US"/>
        </w:rPr>
        <w:t xml:space="preserve">was decided before </w:t>
      </w:r>
      <w:proofErr w:type="spellStart"/>
      <w:r w:rsidR="004A0D5C" w:rsidRPr="004C01E3">
        <w:rPr>
          <w:rFonts w:ascii="Arial" w:hAnsi="Arial" w:cs="Arial"/>
          <w:i/>
          <w:sz w:val="24"/>
          <w:szCs w:val="24"/>
          <w:lang w:val="en-US"/>
        </w:rPr>
        <w:t>Teichmann</w:t>
      </w:r>
      <w:proofErr w:type="spellEnd"/>
      <w:r w:rsidR="004A0D5C" w:rsidRPr="004C01E3">
        <w:rPr>
          <w:rFonts w:ascii="Arial" w:hAnsi="Arial" w:cs="Arial"/>
          <w:sz w:val="24"/>
          <w:szCs w:val="24"/>
          <w:lang w:val="en-US"/>
        </w:rPr>
        <w:t xml:space="preserve">. In </w:t>
      </w:r>
      <w:r w:rsidR="005B5F81" w:rsidRPr="004C01E3">
        <w:rPr>
          <w:rFonts w:ascii="Arial" w:hAnsi="Arial" w:cs="Arial"/>
          <w:sz w:val="24"/>
          <w:szCs w:val="24"/>
          <w:lang w:val="en-US"/>
        </w:rPr>
        <w:t>that case</w:t>
      </w:r>
      <w:r w:rsidR="001D55BC" w:rsidRPr="004C01E3">
        <w:rPr>
          <w:rFonts w:ascii="Arial" w:hAnsi="Arial" w:cs="Arial"/>
          <w:sz w:val="24"/>
          <w:szCs w:val="24"/>
          <w:lang w:val="en-US"/>
        </w:rPr>
        <w:t>,</w:t>
      </w:r>
      <w:r w:rsidR="005B5F81" w:rsidRPr="004C01E3">
        <w:rPr>
          <w:rFonts w:ascii="Arial" w:hAnsi="Arial" w:cs="Arial"/>
          <w:sz w:val="24"/>
          <w:szCs w:val="24"/>
          <w:lang w:val="en-US"/>
        </w:rPr>
        <w:t xml:space="preserve"> </w:t>
      </w:r>
      <w:r w:rsidR="00004253" w:rsidRPr="004C01E3">
        <w:rPr>
          <w:rFonts w:ascii="Arial" w:hAnsi="Arial" w:cs="Arial"/>
          <w:sz w:val="24"/>
          <w:szCs w:val="24"/>
          <w:lang w:val="en-US"/>
        </w:rPr>
        <w:t xml:space="preserve">the </w:t>
      </w:r>
      <w:r w:rsidR="004A0D5C" w:rsidRPr="004C01E3">
        <w:rPr>
          <w:rFonts w:ascii="Arial" w:hAnsi="Arial" w:cs="Arial"/>
          <w:sz w:val="24"/>
          <w:szCs w:val="24"/>
          <w:lang w:val="en-US"/>
        </w:rPr>
        <w:t>High Court held:</w:t>
      </w:r>
    </w:p>
    <w:p w14:paraId="470712FB" w14:textId="77777777" w:rsidR="004A0D5C" w:rsidRDefault="004A0D5C" w:rsidP="004A0D5C">
      <w:pPr>
        <w:rPr>
          <w:rFonts w:ascii="Arial" w:hAnsi="Arial" w:cs="Arial"/>
          <w:sz w:val="24"/>
          <w:szCs w:val="24"/>
          <w:u w:val="single"/>
          <w:lang w:val="en-US"/>
        </w:rPr>
      </w:pPr>
    </w:p>
    <w:p w14:paraId="756FFCC0" w14:textId="77777777" w:rsidR="004A0D5C" w:rsidRPr="008B4929" w:rsidRDefault="004A0D5C" w:rsidP="00695972">
      <w:pPr>
        <w:spacing w:after="0" w:line="360" w:lineRule="auto"/>
        <w:ind w:left="851"/>
        <w:jc w:val="both"/>
        <w:rPr>
          <w:rFonts w:ascii="Arial" w:hAnsi="Arial" w:cs="Arial"/>
          <w:szCs w:val="24"/>
          <w:lang w:val="en-US"/>
        </w:rPr>
      </w:pPr>
      <w:r>
        <w:rPr>
          <w:rFonts w:ascii="Arial" w:hAnsi="Arial" w:cs="Arial"/>
          <w:szCs w:val="24"/>
          <w:lang w:val="en-US"/>
        </w:rPr>
        <w:t>‘</w:t>
      </w:r>
      <w:r w:rsidRPr="008B4929">
        <w:rPr>
          <w:rFonts w:ascii="Arial" w:hAnsi="Arial" w:cs="Arial"/>
          <w:szCs w:val="24"/>
          <w:lang w:val="en-US"/>
        </w:rPr>
        <w:t xml:space="preserve">[13] The other objection raised by the exception is that the present proceedings should have been brought by way of motion because (i) no disputes are anticipated and (ii) it is in the nature of a mandamus. It </w:t>
      </w:r>
      <w:r>
        <w:rPr>
          <w:rFonts w:ascii="Arial" w:hAnsi="Arial" w:cs="Arial"/>
          <w:szCs w:val="24"/>
          <w:lang w:val="en-US"/>
        </w:rPr>
        <w:t>is</w:t>
      </w:r>
      <w:r w:rsidRPr="008B4929">
        <w:rPr>
          <w:rFonts w:ascii="Arial" w:hAnsi="Arial" w:cs="Arial"/>
          <w:szCs w:val="24"/>
          <w:lang w:val="en-US"/>
        </w:rPr>
        <w:t xml:space="preserve"> added for good measure that motion proceedings are faster and less costly compared to action proceedings. I am not aware of any rule of law, and none has been pointed out to me, that supports the view that a proceeding must be dismissed because it was brought by way of action when motion proceedings would have been more convenient and cost effective. In my view, it is a sort of consideration that is more appropriately had regard to when the court reaches the stage of apportioning costs. As was observed by Murray JP in </w:t>
      </w:r>
      <w:r w:rsidRPr="00340E87">
        <w:rPr>
          <w:rFonts w:ascii="Arial" w:hAnsi="Arial" w:cs="Arial"/>
          <w:i/>
          <w:szCs w:val="24"/>
          <w:lang w:val="en-US"/>
        </w:rPr>
        <w:t>Room Hire Co (Pty) Ltd v Jeppe Street Mansions (Pty) Ltd</w:t>
      </w:r>
      <w:r w:rsidRPr="008B4929">
        <w:rPr>
          <w:rFonts w:ascii="Arial" w:hAnsi="Arial" w:cs="Arial"/>
          <w:szCs w:val="24"/>
          <w:lang w:val="en-US"/>
        </w:rPr>
        <w:t xml:space="preserve"> 1949 (3) SA 1155 (T) at 1162:</w:t>
      </w:r>
    </w:p>
    <w:p w14:paraId="64403C39" w14:textId="77777777" w:rsidR="004A0D5C" w:rsidRDefault="004A0D5C" w:rsidP="00695972">
      <w:pPr>
        <w:spacing w:after="0" w:line="360" w:lineRule="auto"/>
        <w:ind w:left="1418" w:right="616"/>
        <w:jc w:val="both"/>
        <w:rPr>
          <w:rFonts w:ascii="Arial" w:hAnsi="Arial" w:cs="Arial"/>
          <w:szCs w:val="24"/>
          <w:lang w:val="en-US"/>
        </w:rPr>
      </w:pPr>
      <w:r>
        <w:rPr>
          <w:rFonts w:ascii="Arial" w:hAnsi="Arial" w:cs="Arial"/>
          <w:szCs w:val="24"/>
          <w:lang w:val="en-US"/>
        </w:rPr>
        <w:t>“</w:t>
      </w:r>
      <w:r w:rsidRPr="008B4929">
        <w:rPr>
          <w:rFonts w:ascii="Arial" w:hAnsi="Arial" w:cs="Arial"/>
          <w:szCs w:val="24"/>
          <w:lang w:val="en-US"/>
        </w:rPr>
        <w:t>(W)here no real dispute of fact exists, there is no reason for the incurrence of the delay and expense i</w:t>
      </w:r>
      <w:r>
        <w:rPr>
          <w:rFonts w:ascii="Arial" w:hAnsi="Arial" w:cs="Arial"/>
          <w:szCs w:val="24"/>
          <w:lang w:val="en-US"/>
        </w:rPr>
        <w:t>nvolved in a trial action and</w:t>
      </w:r>
      <w:r w:rsidRPr="008B4929">
        <w:rPr>
          <w:rFonts w:ascii="Arial" w:hAnsi="Arial" w:cs="Arial"/>
          <w:szCs w:val="24"/>
          <w:lang w:val="en-US"/>
        </w:rPr>
        <w:t xml:space="preserve"> motion proceedings are gener</w:t>
      </w:r>
      <w:r>
        <w:rPr>
          <w:rFonts w:ascii="Arial" w:hAnsi="Arial" w:cs="Arial"/>
          <w:szCs w:val="24"/>
          <w:lang w:val="en-US"/>
        </w:rPr>
        <w:t xml:space="preserve">ally </w:t>
      </w:r>
      <w:proofErr w:type="spellStart"/>
      <w:r>
        <w:rPr>
          <w:rFonts w:ascii="Arial" w:hAnsi="Arial" w:cs="Arial"/>
          <w:szCs w:val="24"/>
          <w:lang w:val="en-US"/>
        </w:rPr>
        <w:t>recognised</w:t>
      </w:r>
      <w:proofErr w:type="spellEnd"/>
      <w:r>
        <w:rPr>
          <w:rFonts w:ascii="Arial" w:hAnsi="Arial" w:cs="Arial"/>
          <w:szCs w:val="24"/>
          <w:lang w:val="en-US"/>
        </w:rPr>
        <w:t xml:space="preserve"> as permissible.”</w:t>
      </w:r>
    </w:p>
    <w:p w14:paraId="0F5334E5" w14:textId="77777777" w:rsidR="004A0D5C" w:rsidRPr="008B4929" w:rsidRDefault="004A0D5C" w:rsidP="004F076E">
      <w:pPr>
        <w:spacing w:after="0" w:line="360" w:lineRule="auto"/>
        <w:ind w:left="851" w:right="616"/>
        <w:jc w:val="both"/>
        <w:rPr>
          <w:rFonts w:ascii="Arial" w:hAnsi="Arial" w:cs="Arial"/>
          <w:szCs w:val="24"/>
          <w:lang w:val="en-US"/>
        </w:rPr>
      </w:pPr>
    </w:p>
    <w:p w14:paraId="0620F509" w14:textId="10A27DF9" w:rsidR="004A0D5C" w:rsidRPr="00E7252B" w:rsidRDefault="004A0D5C" w:rsidP="004F076E">
      <w:pPr>
        <w:spacing w:after="0" w:line="360" w:lineRule="auto"/>
        <w:ind w:left="851"/>
        <w:jc w:val="both"/>
        <w:rPr>
          <w:rFonts w:ascii="Arial" w:hAnsi="Arial" w:cs="Arial"/>
          <w:sz w:val="24"/>
          <w:szCs w:val="24"/>
          <w:lang w:val="en-US"/>
        </w:rPr>
      </w:pPr>
      <w:r w:rsidRPr="00E7252B">
        <w:rPr>
          <w:rFonts w:ascii="Arial" w:hAnsi="Arial" w:cs="Arial"/>
          <w:szCs w:val="24"/>
          <w:u w:val="single"/>
          <w:lang w:val="en-US"/>
        </w:rPr>
        <w:t>It is trite that even where a statute makes provision for proceedings to be initiated by way of motion it does not exclude proceedings to be brought by way of action.</w:t>
      </w:r>
      <w:r>
        <w:rPr>
          <w:rStyle w:val="FootnoteReference"/>
          <w:rFonts w:ascii="Arial" w:hAnsi="Arial" w:cs="Arial"/>
          <w:szCs w:val="24"/>
          <w:u w:val="single"/>
          <w:lang w:val="en-US"/>
        </w:rPr>
        <w:footnoteReference w:id="6"/>
      </w:r>
      <w:r w:rsidRPr="00E7252B">
        <w:rPr>
          <w:rFonts w:ascii="Arial" w:hAnsi="Arial" w:cs="Arial"/>
          <w:szCs w:val="24"/>
          <w:u w:val="single"/>
          <w:lang w:val="en-US"/>
        </w:rPr>
        <w:t xml:space="preserve"> </w:t>
      </w:r>
      <w:r w:rsidRPr="00E7252B">
        <w:rPr>
          <w:rFonts w:ascii="Arial" w:hAnsi="Arial" w:cs="Arial"/>
          <w:szCs w:val="24"/>
          <w:u w:val="single"/>
          <w:lang w:val="en-US"/>
        </w:rPr>
        <w:lastRenderedPageBreak/>
        <w:t>A fortiori, where a statute does not expressly provide for motion proceedings, there can be no bar in principle to proceeding by way of action</w:t>
      </w:r>
      <w:proofErr w:type="gramStart"/>
      <w:r w:rsidR="003D01F0">
        <w:rPr>
          <w:rFonts w:ascii="Arial" w:hAnsi="Arial" w:cs="Arial"/>
          <w:szCs w:val="24"/>
          <w:u w:val="single"/>
          <w:lang w:val="en-US"/>
        </w:rPr>
        <w:t>’</w:t>
      </w:r>
      <w:r w:rsidRPr="008B4929">
        <w:rPr>
          <w:rFonts w:ascii="Arial" w:hAnsi="Arial" w:cs="Arial"/>
          <w:szCs w:val="24"/>
          <w:lang w:val="en-US"/>
        </w:rPr>
        <w:t>.</w:t>
      </w:r>
      <w:r w:rsidRPr="00E7252B">
        <w:rPr>
          <w:rFonts w:ascii="Arial" w:hAnsi="Arial" w:cs="Arial"/>
          <w:sz w:val="24"/>
          <w:szCs w:val="24"/>
          <w:lang w:val="en-US"/>
        </w:rPr>
        <w:t>(</w:t>
      </w:r>
      <w:proofErr w:type="gramEnd"/>
      <w:r w:rsidRPr="00E7252B">
        <w:rPr>
          <w:rFonts w:ascii="Arial" w:hAnsi="Arial" w:cs="Arial"/>
          <w:sz w:val="24"/>
          <w:szCs w:val="24"/>
          <w:lang w:val="en-US"/>
        </w:rPr>
        <w:t>Own Emphasis Added)</w:t>
      </w:r>
    </w:p>
    <w:p w14:paraId="39650474" w14:textId="77777777" w:rsidR="004A0D5C" w:rsidRDefault="004A0D5C" w:rsidP="004F076E">
      <w:pPr>
        <w:spacing w:after="0" w:line="480" w:lineRule="auto"/>
        <w:jc w:val="both"/>
        <w:rPr>
          <w:rFonts w:ascii="Arial" w:hAnsi="Arial" w:cs="Arial"/>
          <w:sz w:val="24"/>
          <w:szCs w:val="24"/>
          <w:u w:val="single"/>
          <w:lang w:val="en-US"/>
        </w:rPr>
      </w:pPr>
    </w:p>
    <w:p w14:paraId="7368BA18" w14:textId="5922E1EA" w:rsidR="004A0D5C" w:rsidRPr="004C01E3" w:rsidRDefault="004C01E3" w:rsidP="004C01E3">
      <w:pPr>
        <w:spacing w:after="0" w:line="480" w:lineRule="auto"/>
        <w:jc w:val="both"/>
        <w:rPr>
          <w:rFonts w:ascii="Arial" w:hAnsi="Arial" w:cs="Arial"/>
          <w:sz w:val="24"/>
          <w:szCs w:val="24"/>
          <w:lang w:val="en-US"/>
        </w:rPr>
      </w:pPr>
      <w:r w:rsidRPr="002C1601">
        <w:rPr>
          <w:rFonts w:ascii="Arial" w:hAnsi="Arial" w:cs="Arial"/>
          <w:sz w:val="24"/>
          <w:szCs w:val="24"/>
          <w:lang w:val="en-US"/>
        </w:rPr>
        <w:t>[23]</w:t>
      </w:r>
      <w:r w:rsidRPr="002C1601">
        <w:rPr>
          <w:rFonts w:ascii="Arial" w:hAnsi="Arial" w:cs="Arial"/>
          <w:sz w:val="24"/>
          <w:szCs w:val="24"/>
          <w:lang w:val="en-US"/>
        </w:rPr>
        <w:tab/>
      </w:r>
      <w:r w:rsidR="004A0D5C" w:rsidRPr="004C01E3">
        <w:rPr>
          <w:rFonts w:ascii="Arial" w:hAnsi="Arial" w:cs="Arial"/>
          <w:sz w:val="24"/>
          <w:szCs w:val="24"/>
        </w:rPr>
        <w:t xml:space="preserve">The other decision which points in the opposite direction </w:t>
      </w:r>
      <w:r w:rsidR="008831CD" w:rsidRPr="004C01E3">
        <w:rPr>
          <w:rFonts w:ascii="Arial" w:hAnsi="Arial" w:cs="Arial"/>
          <w:sz w:val="24"/>
          <w:szCs w:val="24"/>
        </w:rPr>
        <w:t>of</w:t>
      </w:r>
      <w:r w:rsidR="004A0D5C" w:rsidRPr="004C01E3">
        <w:rPr>
          <w:rFonts w:ascii="Arial" w:hAnsi="Arial" w:cs="Arial"/>
          <w:sz w:val="24"/>
          <w:szCs w:val="24"/>
        </w:rPr>
        <w:t xml:space="preserve"> </w:t>
      </w:r>
      <w:proofErr w:type="spellStart"/>
      <w:r w:rsidR="004A0D5C" w:rsidRPr="004C01E3">
        <w:rPr>
          <w:rFonts w:ascii="Arial" w:hAnsi="Arial" w:cs="Arial"/>
          <w:i/>
          <w:sz w:val="24"/>
          <w:szCs w:val="24"/>
        </w:rPr>
        <w:t>Teichmann</w:t>
      </w:r>
      <w:proofErr w:type="spellEnd"/>
      <w:r w:rsidR="004A0D5C" w:rsidRPr="004C01E3">
        <w:rPr>
          <w:rFonts w:ascii="Arial" w:hAnsi="Arial" w:cs="Arial"/>
          <w:sz w:val="24"/>
          <w:szCs w:val="24"/>
        </w:rPr>
        <w:t xml:space="preserve"> but subsequent to it</w:t>
      </w:r>
      <w:r w:rsidR="001D55BC" w:rsidRPr="004C01E3">
        <w:rPr>
          <w:rFonts w:ascii="Arial" w:hAnsi="Arial" w:cs="Arial"/>
          <w:sz w:val="24"/>
          <w:szCs w:val="24"/>
        </w:rPr>
        <w:t>,</w:t>
      </w:r>
      <w:r w:rsidR="004A0D5C" w:rsidRPr="004C01E3">
        <w:rPr>
          <w:rFonts w:ascii="Arial" w:hAnsi="Arial" w:cs="Arial"/>
          <w:sz w:val="24"/>
          <w:szCs w:val="24"/>
        </w:rPr>
        <w:t xml:space="preserve"> is </w:t>
      </w:r>
      <w:proofErr w:type="gramStart"/>
      <w:r w:rsidR="004A0D5C" w:rsidRPr="004C01E3">
        <w:rPr>
          <w:rFonts w:ascii="Arial" w:hAnsi="Arial" w:cs="Arial"/>
          <w:i/>
          <w:sz w:val="24"/>
          <w:szCs w:val="24"/>
        </w:rPr>
        <w:t>Eighty Four</w:t>
      </w:r>
      <w:proofErr w:type="gramEnd"/>
      <w:r w:rsidR="004A0D5C" w:rsidRPr="004C01E3">
        <w:rPr>
          <w:rFonts w:ascii="Arial" w:hAnsi="Arial" w:cs="Arial"/>
          <w:i/>
          <w:sz w:val="24"/>
          <w:szCs w:val="24"/>
        </w:rPr>
        <w:t xml:space="preserve"> CC T/A </w:t>
      </w:r>
      <w:proofErr w:type="spellStart"/>
      <w:r w:rsidR="004A0D5C" w:rsidRPr="004C01E3">
        <w:rPr>
          <w:rFonts w:ascii="Arial" w:hAnsi="Arial" w:cs="Arial"/>
          <w:i/>
          <w:sz w:val="24"/>
          <w:szCs w:val="24"/>
        </w:rPr>
        <w:t>Shisa</w:t>
      </w:r>
      <w:proofErr w:type="spellEnd"/>
      <w:r w:rsidR="004A0D5C" w:rsidRPr="004C01E3">
        <w:rPr>
          <w:rFonts w:ascii="Arial" w:hAnsi="Arial" w:cs="Arial"/>
          <w:i/>
          <w:sz w:val="24"/>
          <w:szCs w:val="24"/>
        </w:rPr>
        <w:t xml:space="preserve"> </w:t>
      </w:r>
      <w:proofErr w:type="spellStart"/>
      <w:r w:rsidR="004A0D5C" w:rsidRPr="004C01E3">
        <w:rPr>
          <w:rFonts w:ascii="Arial" w:hAnsi="Arial" w:cs="Arial"/>
          <w:i/>
          <w:sz w:val="24"/>
          <w:szCs w:val="24"/>
        </w:rPr>
        <w:t>Nyama</w:t>
      </w:r>
      <w:proofErr w:type="spellEnd"/>
      <w:r w:rsidR="004A0D5C" w:rsidRPr="004C01E3">
        <w:rPr>
          <w:rFonts w:ascii="Arial" w:hAnsi="Arial" w:cs="Arial"/>
          <w:i/>
          <w:sz w:val="24"/>
          <w:szCs w:val="24"/>
        </w:rPr>
        <w:t xml:space="preserve"> </w:t>
      </w:r>
      <w:proofErr w:type="spellStart"/>
      <w:r w:rsidR="004A0D5C" w:rsidRPr="004C01E3">
        <w:rPr>
          <w:rFonts w:ascii="Arial" w:hAnsi="Arial" w:cs="Arial"/>
          <w:i/>
          <w:sz w:val="24"/>
          <w:szCs w:val="24"/>
        </w:rPr>
        <w:t>Wernhil</w:t>
      </w:r>
      <w:proofErr w:type="spellEnd"/>
      <w:r w:rsidR="004A0D5C" w:rsidRPr="00582A5C">
        <w:rPr>
          <w:rStyle w:val="FootnoteReference"/>
          <w:rFonts w:ascii="Arial" w:hAnsi="Arial" w:cs="Arial"/>
          <w:sz w:val="24"/>
          <w:szCs w:val="24"/>
        </w:rPr>
        <w:footnoteReference w:id="7"/>
      </w:r>
      <w:r w:rsidR="004A0D5C" w:rsidRPr="004C01E3">
        <w:rPr>
          <w:rFonts w:ascii="Arial" w:hAnsi="Arial" w:cs="Arial"/>
          <w:i/>
          <w:sz w:val="24"/>
          <w:szCs w:val="24"/>
        </w:rPr>
        <w:t xml:space="preserve">. </w:t>
      </w:r>
      <w:r w:rsidR="004A0D5C" w:rsidRPr="004C01E3">
        <w:rPr>
          <w:rFonts w:ascii="Arial" w:hAnsi="Arial" w:cs="Arial"/>
          <w:sz w:val="24"/>
          <w:szCs w:val="24"/>
        </w:rPr>
        <w:t>In that case</w:t>
      </w:r>
      <w:r w:rsidR="00582A5C" w:rsidRPr="004C01E3">
        <w:rPr>
          <w:rFonts w:ascii="Arial" w:hAnsi="Arial" w:cs="Arial"/>
          <w:sz w:val="24"/>
          <w:szCs w:val="24"/>
        </w:rPr>
        <w:t>,</w:t>
      </w:r>
      <w:r w:rsidR="004A0D5C" w:rsidRPr="004C01E3">
        <w:rPr>
          <w:rFonts w:ascii="Arial" w:hAnsi="Arial" w:cs="Arial"/>
          <w:i/>
          <w:sz w:val="24"/>
          <w:szCs w:val="24"/>
        </w:rPr>
        <w:t xml:space="preserve"> </w:t>
      </w:r>
      <w:r w:rsidR="004A0D5C" w:rsidRPr="004C01E3">
        <w:rPr>
          <w:rFonts w:ascii="Arial" w:hAnsi="Arial" w:cs="Arial"/>
          <w:sz w:val="24"/>
          <w:szCs w:val="24"/>
        </w:rPr>
        <w:t xml:space="preserve">the court was faced with a similar situation as the present. The defendant raised a special plea to the effect that the plaintiff ought first to have brought an application to lift the corporate veil by way of motion proceedings before proceeding to sue by way of action. </w:t>
      </w:r>
    </w:p>
    <w:p w14:paraId="13B81066" w14:textId="77777777" w:rsidR="004A0D5C" w:rsidRPr="002C1601" w:rsidRDefault="004A0D5C" w:rsidP="004F076E">
      <w:pPr>
        <w:spacing w:after="0" w:line="480" w:lineRule="auto"/>
        <w:jc w:val="both"/>
        <w:rPr>
          <w:rFonts w:ascii="Arial" w:hAnsi="Arial" w:cs="Arial"/>
          <w:sz w:val="24"/>
          <w:szCs w:val="24"/>
          <w:lang w:val="en-US"/>
        </w:rPr>
      </w:pPr>
    </w:p>
    <w:p w14:paraId="1759DF44" w14:textId="47D6C5B8" w:rsidR="004A0D5C" w:rsidRPr="004C01E3" w:rsidRDefault="004C01E3" w:rsidP="004C01E3">
      <w:pPr>
        <w:spacing w:after="0" w:line="480" w:lineRule="auto"/>
        <w:jc w:val="both"/>
        <w:rPr>
          <w:rFonts w:ascii="Arial" w:hAnsi="Arial" w:cs="Arial"/>
          <w:sz w:val="24"/>
          <w:szCs w:val="24"/>
          <w:lang w:val="en-US"/>
        </w:rPr>
      </w:pPr>
      <w:r w:rsidRPr="00D71A28">
        <w:rPr>
          <w:rFonts w:ascii="Arial" w:hAnsi="Arial" w:cs="Arial"/>
          <w:sz w:val="24"/>
          <w:szCs w:val="24"/>
          <w:lang w:val="en-US"/>
        </w:rPr>
        <w:t>[24]</w:t>
      </w:r>
      <w:r w:rsidRPr="00D71A28">
        <w:rPr>
          <w:rFonts w:ascii="Arial" w:hAnsi="Arial" w:cs="Arial"/>
          <w:sz w:val="24"/>
          <w:szCs w:val="24"/>
          <w:lang w:val="en-US"/>
        </w:rPr>
        <w:tab/>
      </w:r>
      <w:r w:rsidR="004A0D5C" w:rsidRPr="004C01E3">
        <w:rPr>
          <w:rFonts w:ascii="Arial" w:hAnsi="Arial" w:cs="Arial"/>
          <w:sz w:val="24"/>
          <w:szCs w:val="24"/>
        </w:rPr>
        <w:t>The court held that s 64(1) of the Act should not be given a restrictive interpretation and that where a dispute of fact is foreseen, the right procedure to follow is action proceedings. Given the averments of reckless and negligent running of the affairs of the corporation, disputes of fact will most certainly arise, therefore it was correct to proceed by way of action to invoke s 64(1).</w:t>
      </w:r>
    </w:p>
    <w:p w14:paraId="6DD6EEBF" w14:textId="77777777" w:rsidR="004A0D5C" w:rsidRDefault="004A0D5C" w:rsidP="004F076E">
      <w:pPr>
        <w:spacing w:after="0" w:line="480" w:lineRule="auto"/>
        <w:rPr>
          <w:rFonts w:ascii="Arial" w:hAnsi="Arial" w:cs="Arial"/>
          <w:sz w:val="24"/>
          <w:szCs w:val="24"/>
          <w:lang w:val="en-US"/>
        </w:rPr>
      </w:pPr>
    </w:p>
    <w:p w14:paraId="6991F452" w14:textId="1AF9946C" w:rsidR="004A0D5C" w:rsidRPr="004C01E3" w:rsidRDefault="004C01E3" w:rsidP="004C01E3">
      <w:pPr>
        <w:spacing w:after="0" w:line="480" w:lineRule="auto"/>
        <w:jc w:val="both"/>
        <w:rPr>
          <w:rFonts w:ascii="Arial" w:hAnsi="Arial" w:cs="Arial"/>
          <w:sz w:val="24"/>
          <w:szCs w:val="24"/>
          <w:u w:val="single"/>
          <w:lang w:val="en-US"/>
        </w:rPr>
      </w:pPr>
      <w:r w:rsidRPr="00800544">
        <w:rPr>
          <w:rFonts w:ascii="Arial" w:hAnsi="Arial" w:cs="Arial"/>
          <w:sz w:val="24"/>
          <w:szCs w:val="24"/>
          <w:lang w:val="en-US"/>
        </w:rPr>
        <w:t>[25]</w:t>
      </w:r>
      <w:r w:rsidRPr="00800544">
        <w:rPr>
          <w:rFonts w:ascii="Arial" w:hAnsi="Arial" w:cs="Arial"/>
          <w:sz w:val="24"/>
          <w:szCs w:val="24"/>
          <w:lang w:val="en-US"/>
        </w:rPr>
        <w:tab/>
      </w:r>
      <w:r w:rsidR="004A0D5C" w:rsidRPr="004C01E3">
        <w:rPr>
          <w:rFonts w:ascii="Arial" w:hAnsi="Arial" w:cs="Arial"/>
          <w:sz w:val="24"/>
          <w:szCs w:val="24"/>
          <w:lang w:val="en-US"/>
        </w:rPr>
        <w:t xml:space="preserve">In the South African case of </w:t>
      </w:r>
      <w:proofErr w:type="spellStart"/>
      <w:r w:rsidR="004A0D5C" w:rsidRPr="004C01E3">
        <w:rPr>
          <w:rFonts w:ascii="Arial" w:hAnsi="Arial" w:cs="Arial"/>
          <w:i/>
          <w:sz w:val="24"/>
          <w:szCs w:val="24"/>
        </w:rPr>
        <w:t>Adfin</w:t>
      </w:r>
      <w:proofErr w:type="spellEnd"/>
      <w:r w:rsidR="004A0D5C" w:rsidRPr="004C01E3">
        <w:rPr>
          <w:rFonts w:ascii="Arial" w:hAnsi="Arial" w:cs="Arial"/>
          <w:i/>
          <w:sz w:val="24"/>
          <w:szCs w:val="24"/>
        </w:rPr>
        <w:t xml:space="preserve"> (Pty) Ltd v Durable Engineering Works (Pty) Ltd</w:t>
      </w:r>
      <w:r w:rsidR="004A0D5C" w:rsidRPr="00582A5C">
        <w:rPr>
          <w:rStyle w:val="FootnoteReference"/>
          <w:rFonts w:ascii="Arial" w:hAnsi="Arial" w:cs="Arial"/>
          <w:sz w:val="24"/>
          <w:szCs w:val="24"/>
        </w:rPr>
        <w:footnoteReference w:id="8"/>
      </w:r>
      <w:r w:rsidR="004A0D5C" w:rsidRPr="004C01E3">
        <w:rPr>
          <w:rFonts w:ascii="Arial" w:hAnsi="Arial" w:cs="Arial"/>
          <w:sz w:val="24"/>
          <w:szCs w:val="24"/>
        </w:rPr>
        <w:t xml:space="preserve">, which was cited with approval in </w:t>
      </w:r>
      <w:r w:rsidR="004A0D5C" w:rsidRPr="004C01E3">
        <w:rPr>
          <w:rFonts w:ascii="Arial" w:hAnsi="Arial" w:cs="Arial"/>
          <w:i/>
          <w:sz w:val="24"/>
          <w:szCs w:val="24"/>
          <w:lang w:val="en-US"/>
        </w:rPr>
        <w:t xml:space="preserve">Hangula, </w:t>
      </w:r>
      <w:r w:rsidR="004A0D5C" w:rsidRPr="004C01E3">
        <w:rPr>
          <w:rFonts w:ascii="Arial" w:hAnsi="Arial" w:cs="Arial"/>
          <w:sz w:val="24"/>
          <w:szCs w:val="24"/>
          <w:lang w:val="en-US"/>
        </w:rPr>
        <w:t xml:space="preserve">the court was </w:t>
      </w:r>
      <w:r w:rsidR="008831CD" w:rsidRPr="004C01E3">
        <w:rPr>
          <w:rFonts w:ascii="Arial" w:hAnsi="Arial" w:cs="Arial"/>
          <w:sz w:val="24"/>
          <w:szCs w:val="24"/>
          <w:lang w:val="en-US"/>
        </w:rPr>
        <w:t xml:space="preserve">approached on summons </w:t>
      </w:r>
      <w:r w:rsidR="004A0D5C" w:rsidRPr="004C01E3">
        <w:rPr>
          <w:rFonts w:ascii="Arial" w:hAnsi="Arial" w:cs="Arial"/>
          <w:sz w:val="24"/>
          <w:szCs w:val="24"/>
          <w:lang w:val="en-US"/>
        </w:rPr>
        <w:t>to set aside a decision of the Master of the High Court, rejecting an objection to a liquidator’s account. Section 407(4)(</w:t>
      </w:r>
      <w:r w:rsidR="004A0D5C" w:rsidRPr="004C01E3">
        <w:rPr>
          <w:rFonts w:ascii="Arial" w:hAnsi="Arial" w:cs="Arial"/>
          <w:i/>
          <w:sz w:val="24"/>
          <w:szCs w:val="24"/>
          <w:lang w:val="en-US"/>
        </w:rPr>
        <w:t>a</w:t>
      </w:r>
      <w:r w:rsidR="004A0D5C" w:rsidRPr="004C01E3">
        <w:rPr>
          <w:rFonts w:ascii="Arial" w:hAnsi="Arial" w:cs="Arial"/>
          <w:sz w:val="24"/>
          <w:szCs w:val="24"/>
          <w:lang w:val="en-US"/>
        </w:rPr>
        <w:t>) of the</w:t>
      </w:r>
      <w:r w:rsidR="007D1A90" w:rsidRPr="004C01E3">
        <w:rPr>
          <w:rFonts w:ascii="Arial" w:hAnsi="Arial" w:cs="Arial"/>
          <w:sz w:val="24"/>
          <w:szCs w:val="24"/>
          <w:lang w:val="en-US"/>
        </w:rPr>
        <w:t xml:space="preserve"> SA</w:t>
      </w:r>
      <w:r w:rsidR="004A0D5C" w:rsidRPr="004C01E3">
        <w:rPr>
          <w:rFonts w:ascii="Arial" w:hAnsi="Arial" w:cs="Arial"/>
          <w:sz w:val="24"/>
          <w:szCs w:val="24"/>
          <w:lang w:val="en-US"/>
        </w:rPr>
        <w:t xml:space="preserve"> Companies Act provides that a person aggrieved by a correction of the Master may apply to court for an order setting aside the </w:t>
      </w:r>
      <w:proofErr w:type="gramStart"/>
      <w:r w:rsidR="004A0D5C" w:rsidRPr="004C01E3">
        <w:rPr>
          <w:rFonts w:ascii="Arial" w:hAnsi="Arial" w:cs="Arial"/>
          <w:sz w:val="24"/>
          <w:szCs w:val="24"/>
          <w:lang w:val="en-US"/>
        </w:rPr>
        <w:t>Master’s</w:t>
      </w:r>
      <w:proofErr w:type="gramEnd"/>
      <w:r w:rsidR="004A0D5C" w:rsidRPr="004C01E3">
        <w:rPr>
          <w:rFonts w:ascii="Arial" w:hAnsi="Arial" w:cs="Arial"/>
          <w:sz w:val="24"/>
          <w:szCs w:val="24"/>
          <w:lang w:val="en-US"/>
        </w:rPr>
        <w:t xml:space="preserve"> decision. </w:t>
      </w:r>
    </w:p>
    <w:p w14:paraId="1F56CD06" w14:textId="77777777" w:rsidR="004A0D5C" w:rsidRDefault="004A0D5C" w:rsidP="004A0D5C">
      <w:pPr>
        <w:spacing w:line="480" w:lineRule="auto"/>
        <w:jc w:val="both"/>
        <w:rPr>
          <w:rFonts w:ascii="Arial" w:hAnsi="Arial" w:cs="Arial"/>
          <w:sz w:val="24"/>
          <w:szCs w:val="24"/>
          <w:lang w:val="en-US"/>
        </w:rPr>
      </w:pPr>
    </w:p>
    <w:p w14:paraId="600433D9" w14:textId="27EE8211" w:rsidR="004A0D5C" w:rsidRPr="004C01E3" w:rsidRDefault="004C01E3" w:rsidP="004C01E3">
      <w:pPr>
        <w:spacing w:after="0" w:line="480" w:lineRule="auto"/>
        <w:jc w:val="both"/>
        <w:rPr>
          <w:rFonts w:ascii="Arial" w:hAnsi="Arial" w:cs="Arial"/>
          <w:sz w:val="24"/>
          <w:szCs w:val="24"/>
          <w:u w:val="single"/>
          <w:lang w:val="en-US"/>
        </w:rPr>
      </w:pPr>
      <w:r w:rsidRPr="00800544">
        <w:rPr>
          <w:rFonts w:ascii="Arial" w:hAnsi="Arial" w:cs="Arial"/>
          <w:sz w:val="24"/>
          <w:szCs w:val="24"/>
          <w:lang w:val="en-US"/>
        </w:rPr>
        <w:lastRenderedPageBreak/>
        <w:t>[26]</w:t>
      </w:r>
      <w:r w:rsidRPr="00800544">
        <w:rPr>
          <w:rFonts w:ascii="Arial" w:hAnsi="Arial" w:cs="Arial"/>
          <w:sz w:val="24"/>
          <w:szCs w:val="24"/>
          <w:lang w:val="en-US"/>
        </w:rPr>
        <w:tab/>
      </w:r>
      <w:r w:rsidR="004A0D5C" w:rsidRPr="004C01E3">
        <w:rPr>
          <w:rFonts w:ascii="Arial" w:hAnsi="Arial" w:cs="Arial"/>
          <w:sz w:val="24"/>
          <w:szCs w:val="24"/>
          <w:lang w:val="en-US"/>
        </w:rPr>
        <w:t xml:space="preserve">The applicant in the matter sought an order setting aside the respondent’s combined summons as an irregular proceeding on the ground that relief should have been sought on notice of motion and not by way of action. The court dismissed the </w:t>
      </w:r>
      <w:proofErr w:type="gramStart"/>
      <w:r w:rsidR="004A0D5C" w:rsidRPr="004C01E3">
        <w:rPr>
          <w:rFonts w:ascii="Arial" w:hAnsi="Arial" w:cs="Arial"/>
          <w:sz w:val="24"/>
          <w:szCs w:val="24"/>
          <w:lang w:val="en-US"/>
        </w:rPr>
        <w:t xml:space="preserve">objection </w:t>
      </w:r>
      <w:r w:rsidR="00061F80" w:rsidRPr="004C01E3">
        <w:rPr>
          <w:rFonts w:ascii="Arial" w:hAnsi="Arial" w:cs="Arial"/>
          <w:sz w:val="24"/>
          <w:szCs w:val="24"/>
          <w:lang w:val="en-US"/>
        </w:rPr>
        <w:t xml:space="preserve"> </w:t>
      </w:r>
      <w:r w:rsidR="004A0D5C" w:rsidRPr="004C01E3">
        <w:rPr>
          <w:rFonts w:ascii="Arial" w:hAnsi="Arial" w:cs="Arial"/>
          <w:sz w:val="24"/>
          <w:szCs w:val="24"/>
          <w:lang w:val="en-US"/>
        </w:rPr>
        <w:t>on</w:t>
      </w:r>
      <w:proofErr w:type="gramEnd"/>
      <w:r w:rsidR="004A0D5C" w:rsidRPr="004C01E3">
        <w:rPr>
          <w:rFonts w:ascii="Arial" w:hAnsi="Arial" w:cs="Arial"/>
          <w:sz w:val="24"/>
          <w:szCs w:val="24"/>
          <w:lang w:val="en-US"/>
        </w:rPr>
        <w:t xml:space="preserve"> </w:t>
      </w:r>
      <w:r w:rsidR="00061F80" w:rsidRPr="004C01E3">
        <w:rPr>
          <w:rFonts w:ascii="Arial" w:hAnsi="Arial" w:cs="Arial"/>
          <w:sz w:val="24"/>
          <w:szCs w:val="24"/>
          <w:lang w:val="en-US"/>
        </w:rPr>
        <w:t xml:space="preserve"> </w:t>
      </w:r>
      <w:r w:rsidR="004A0D5C" w:rsidRPr="004C01E3">
        <w:rPr>
          <w:rFonts w:ascii="Arial" w:hAnsi="Arial" w:cs="Arial"/>
          <w:sz w:val="24"/>
          <w:szCs w:val="24"/>
          <w:lang w:val="en-US"/>
        </w:rPr>
        <w:t xml:space="preserve">the </w:t>
      </w:r>
      <w:r w:rsidR="00061F80" w:rsidRPr="004C01E3">
        <w:rPr>
          <w:rFonts w:ascii="Arial" w:hAnsi="Arial" w:cs="Arial"/>
          <w:sz w:val="24"/>
          <w:szCs w:val="24"/>
          <w:lang w:val="en-US"/>
        </w:rPr>
        <w:t xml:space="preserve"> </w:t>
      </w:r>
      <w:r w:rsidR="004A0D5C" w:rsidRPr="004C01E3">
        <w:rPr>
          <w:rFonts w:ascii="Arial" w:hAnsi="Arial" w:cs="Arial"/>
          <w:sz w:val="24"/>
          <w:szCs w:val="24"/>
          <w:lang w:val="en-US"/>
        </w:rPr>
        <w:t xml:space="preserve">ground </w:t>
      </w:r>
      <w:r w:rsidR="00061F80" w:rsidRPr="004C01E3">
        <w:rPr>
          <w:rFonts w:ascii="Arial" w:hAnsi="Arial" w:cs="Arial"/>
          <w:sz w:val="24"/>
          <w:szCs w:val="24"/>
          <w:lang w:val="en-US"/>
        </w:rPr>
        <w:t xml:space="preserve"> </w:t>
      </w:r>
      <w:r w:rsidR="004A0D5C" w:rsidRPr="004C01E3">
        <w:rPr>
          <w:rFonts w:ascii="Arial" w:hAnsi="Arial" w:cs="Arial"/>
          <w:sz w:val="24"/>
          <w:szCs w:val="24"/>
          <w:lang w:val="en-US"/>
        </w:rPr>
        <w:t xml:space="preserve">that </w:t>
      </w:r>
      <w:r w:rsidR="00061F80" w:rsidRPr="004C01E3">
        <w:rPr>
          <w:rFonts w:ascii="Arial" w:hAnsi="Arial" w:cs="Arial"/>
          <w:sz w:val="24"/>
          <w:szCs w:val="24"/>
          <w:lang w:val="en-US"/>
        </w:rPr>
        <w:t xml:space="preserve"> </w:t>
      </w:r>
      <w:r w:rsidR="004A0D5C" w:rsidRPr="004C01E3">
        <w:rPr>
          <w:rFonts w:ascii="Arial" w:hAnsi="Arial" w:cs="Arial"/>
          <w:sz w:val="24"/>
          <w:szCs w:val="24"/>
          <w:lang w:val="en-US"/>
        </w:rPr>
        <w:t xml:space="preserve">neither Rule 53 of the Uniform Rules of Court </w:t>
      </w:r>
      <w:r w:rsidR="00061F80" w:rsidRPr="004C01E3">
        <w:rPr>
          <w:rFonts w:ascii="Arial" w:hAnsi="Arial" w:cs="Arial"/>
          <w:sz w:val="24"/>
          <w:szCs w:val="24"/>
          <w:lang w:val="en-US"/>
        </w:rPr>
        <w:t xml:space="preserve"> </w:t>
      </w:r>
      <w:r w:rsidR="004A0D5C" w:rsidRPr="004C01E3">
        <w:rPr>
          <w:rFonts w:ascii="Arial" w:hAnsi="Arial" w:cs="Arial"/>
          <w:sz w:val="24"/>
          <w:szCs w:val="24"/>
          <w:lang w:val="en-US"/>
        </w:rPr>
        <w:t xml:space="preserve">nor </w:t>
      </w:r>
      <w:r w:rsidR="00061F80" w:rsidRPr="004C01E3">
        <w:rPr>
          <w:rFonts w:ascii="Arial" w:hAnsi="Arial" w:cs="Arial"/>
          <w:sz w:val="24"/>
          <w:szCs w:val="24"/>
          <w:lang w:val="en-US"/>
        </w:rPr>
        <w:t xml:space="preserve"> </w:t>
      </w:r>
      <w:r w:rsidR="004A0D5C" w:rsidRPr="004C01E3">
        <w:rPr>
          <w:rFonts w:ascii="Arial" w:hAnsi="Arial" w:cs="Arial"/>
          <w:sz w:val="24"/>
          <w:szCs w:val="24"/>
          <w:lang w:val="en-US"/>
        </w:rPr>
        <w:t>s 407(4)</w:t>
      </w:r>
      <w:r w:rsidR="00714761" w:rsidRPr="004C01E3">
        <w:rPr>
          <w:rFonts w:ascii="Arial" w:hAnsi="Arial" w:cs="Arial"/>
          <w:sz w:val="24"/>
          <w:szCs w:val="24"/>
          <w:lang w:val="en-US"/>
        </w:rPr>
        <w:t xml:space="preserve"> </w:t>
      </w:r>
      <w:r w:rsidR="004A0D5C" w:rsidRPr="004C01E3">
        <w:rPr>
          <w:rFonts w:ascii="Arial" w:hAnsi="Arial" w:cs="Arial"/>
          <w:sz w:val="24"/>
          <w:szCs w:val="24"/>
          <w:lang w:val="en-US"/>
        </w:rPr>
        <w:t>(</w:t>
      </w:r>
      <w:r w:rsidR="004A0D5C" w:rsidRPr="004C01E3">
        <w:rPr>
          <w:rFonts w:ascii="Arial" w:hAnsi="Arial" w:cs="Arial"/>
          <w:i/>
          <w:sz w:val="24"/>
          <w:szCs w:val="24"/>
          <w:lang w:val="en-US"/>
        </w:rPr>
        <w:t>a</w:t>
      </w:r>
      <w:r w:rsidR="004A0D5C" w:rsidRPr="004C01E3">
        <w:rPr>
          <w:rFonts w:ascii="Arial" w:hAnsi="Arial" w:cs="Arial"/>
          <w:sz w:val="24"/>
          <w:szCs w:val="24"/>
          <w:lang w:val="en-US"/>
        </w:rPr>
        <w:t xml:space="preserve">) of the </w:t>
      </w:r>
      <w:r w:rsidR="00B82DE5" w:rsidRPr="004C01E3">
        <w:rPr>
          <w:rFonts w:ascii="Arial" w:hAnsi="Arial" w:cs="Arial"/>
          <w:sz w:val="24"/>
          <w:szCs w:val="24"/>
          <w:lang w:val="en-US"/>
        </w:rPr>
        <w:t xml:space="preserve">South African </w:t>
      </w:r>
      <w:r w:rsidR="004A0D5C" w:rsidRPr="004C01E3">
        <w:rPr>
          <w:rFonts w:ascii="Arial" w:hAnsi="Arial" w:cs="Arial"/>
          <w:sz w:val="24"/>
          <w:szCs w:val="24"/>
          <w:lang w:val="en-US"/>
        </w:rPr>
        <w:t>Companies Act render proceedings</w:t>
      </w:r>
      <w:r w:rsidR="00582A5C" w:rsidRPr="004C01E3">
        <w:rPr>
          <w:rFonts w:ascii="Arial" w:hAnsi="Arial" w:cs="Arial"/>
          <w:sz w:val="24"/>
          <w:szCs w:val="24"/>
          <w:lang w:val="en-US"/>
        </w:rPr>
        <w:t xml:space="preserve"> by way of notice of motion peremptory</w:t>
      </w:r>
      <w:r w:rsidR="004A0D5C" w:rsidRPr="004C01E3">
        <w:rPr>
          <w:rFonts w:ascii="Arial" w:hAnsi="Arial" w:cs="Arial"/>
          <w:sz w:val="24"/>
          <w:szCs w:val="24"/>
          <w:lang w:val="en-US"/>
        </w:rPr>
        <w:t xml:space="preserve">. </w:t>
      </w:r>
    </w:p>
    <w:p w14:paraId="1C45EF6A" w14:textId="77777777" w:rsidR="004A0D5C" w:rsidRPr="000318E6" w:rsidRDefault="004A0D5C" w:rsidP="004F076E">
      <w:pPr>
        <w:spacing w:after="0" w:line="480" w:lineRule="auto"/>
        <w:jc w:val="both"/>
        <w:rPr>
          <w:rFonts w:ascii="Arial" w:hAnsi="Arial" w:cs="Arial"/>
          <w:sz w:val="24"/>
          <w:szCs w:val="24"/>
          <w:u w:val="single"/>
          <w:lang w:val="en-US"/>
        </w:rPr>
      </w:pPr>
      <w:r>
        <w:rPr>
          <w:rFonts w:ascii="Arial" w:hAnsi="Arial" w:cs="Arial"/>
          <w:sz w:val="24"/>
          <w:szCs w:val="24"/>
          <w:lang w:val="en-US"/>
        </w:rPr>
        <w:t xml:space="preserve"> </w:t>
      </w:r>
    </w:p>
    <w:p w14:paraId="41FE7858" w14:textId="4C118C4B" w:rsidR="004A0D5C" w:rsidRPr="004C01E3" w:rsidRDefault="004C01E3" w:rsidP="004C01E3">
      <w:pPr>
        <w:spacing w:after="0" w:line="480" w:lineRule="auto"/>
        <w:jc w:val="both"/>
        <w:rPr>
          <w:rFonts w:ascii="Arial" w:hAnsi="Arial" w:cs="Arial"/>
          <w:i/>
          <w:sz w:val="28"/>
          <w:szCs w:val="24"/>
          <w:lang w:val="en-US"/>
        </w:rPr>
      </w:pPr>
      <w:r w:rsidRPr="00E3327B">
        <w:rPr>
          <w:rFonts w:ascii="Arial" w:hAnsi="Arial" w:cs="Arial"/>
          <w:sz w:val="24"/>
          <w:szCs w:val="24"/>
          <w:lang w:val="en-US"/>
        </w:rPr>
        <w:t>[27]</w:t>
      </w:r>
      <w:r w:rsidRPr="00E3327B">
        <w:rPr>
          <w:rFonts w:ascii="Arial" w:hAnsi="Arial" w:cs="Arial"/>
          <w:sz w:val="24"/>
          <w:szCs w:val="24"/>
          <w:lang w:val="en-US"/>
        </w:rPr>
        <w:tab/>
      </w:r>
      <w:r w:rsidR="004A0D5C" w:rsidRPr="004C01E3">
        <w:rPr>
          <w:rFonts w:ascii="Arial" w:hAnsi="Arial" w:cs="Arial"/>
          <w:sz w:val="24"/>
          <w:szCs w:val="24"/>
          <w:lang w:val="en-US"/>
        </w:rPr>
        <w:t xml:space="preserve">Another case referred to in </w:t>
      </w:r>
      <w:r w:rsidR="004A0D5C" w:rsidRPr="004C01E3">
        <w:rPr>
          <w:rFonts w:ascii="Arial" w:hAnsi="Arial" w:cs="Arial"/>
          <w:i/>
          <w:sz w:val="24"/>
          <w:szCs w:val="24"/>
          <w:lang w:val="en-US"/>
        </w:rPr>
        <w:t>Hangula</w:t>
      </w:r>
      <w:r w:rsidR="004A0D5C" w:rsidRPr="004C01E3">
        <w:rPr>
          <w:rFonts w:ascii="Arial" w:hAnsi="Arial" w:cs="Arial"/>
          <w:sz w:val="24"/>
          <w:szCs w:val="24"/>
          <w:lang w:val="en-US"/>
        </w:rPr>
        <w:t xml:space="preserve"> is </w:t>
      </w:r>
      <w:r w:rsidR="004A0D5C" w:rsidRPr="004C01E3">
        <w:rPr>
          <w:rFonts w:ascii="Arial" w:hAnsi="Arial" w:cs="Arial"/>
          <w:i/>
          <w:sz w:val="24"/>
        </w:rPr>
        <w:t xml:space="preserve">Howard v </w:t>
      </w:r>
      <w:proofErr w:type="spellStart"/>
      <w:r w:rsidR="004A0D5C" w:rsidRPr="004C01E3">
        <w:rPr>
          <w:rFonts w:ascii="Arial" w:hAnsi="Arial" w:cs="Arial"/>
          <w:i/>
          <w:sz w:val="24"/>
        </w:rPr>
        <w:t>Herrigel</w:t>
      </w:r>
      <w:proofErr w:type="spellEnd"/>
      <w:r w:rsidR="004A0D5C" w:rsidRPr="004C01E3">
        <w:rPr>
          <w:rFonts w:ascii="Arial" w:hAnsi="Arial" w:cs="Arial"/>
          <w:i/>
          <w:sz w:val="24"/>
        </w:rPr>
        <w:t xml:space="preserve"> and Another NNO</w:t>
      </w:r>
      <w:r w:rsidR="00111793" w:rsidRPr="008048A9">
        <w:rPr>
          <w:rStyle w:val="FootnoteReference"/>
          <w:rFonts w:ascii="Arial" w:hAnsi="Arial" w:cs="Arial"/>
          <w:sz w:val="24"/>
        </w:rPr>
        <w:footnoteReference w:id="9"/>
      </w:r>
      <w:r w:rsidR="004A0D5C" w:rsidRPr="004C01E3">
        <w:rPr>
          <w:rFonts w:ascii="Arial" w:hAnsi="Arial" w:cs="Arial"/>
          <w:sz w:val="24"/>
        </w:rPr>
        <w:t xml:space="preserve">, which concerned the question whether the respondents were entitled to seek relief in terms of s 424(1) of the </w:t>
      </w:r>
      <w:r w:rsidR="00B82DE5" w:rsidRPr="004C01E3">
        <w:rPr>
          <w:rFonts w:ascii="Arial" w:hAnsi="Arial" w:cs="Arial"/>
          <w:sz w:val="24"/>
        </w:rPr>
        <w:t xml:space="preserve">South African </w:t>
      </w:r>
      <w:r w:rsidR="004A0D5C" w:rsidRPr="004C01E3">
        <w:rPr>
          <w:rFonts w:ascii="Arial" w:hAnsi="Arial" w:cs="Arial"/>
          <w:sz w:val="24"/>
        </w:rPr>
        <w:t xml:space="preserve">Companies Act by application proceedings and not by way of action. The court accepted the dictum in </w:t>
      </w:r>
      <w:r w:rsidR="004A0D5C" w:rsidRPr="004C01E3">
        <w:rPr>
          <w:rFonts w:ascii="Arial" w:hAnsi="Arial" w:cs="Arial"/>
          <w:i/>
          <w:sz w:val="24"/>
        </w:rPr>
        <w:t xml:space="preserve">Neumann </w:t>
      </w:r>
      <w:r w:rsidR="004A0D5C" w:rsidRPr="004C01E3">
        <w:rPr>
          <w:rFonts w:ascii="Arial" w:hAnsi="Arial" w:cs="Arial"/>
          <w:sz w:val="24"/>
        </w:rPr>
        <w:t xml:space="preserve">that a wide interpretation should be accorded to the form of proceedings to be used when an order is sought to declare a person personally liable for the debts by lifting the corporate veil.  The court reasoned that the correct approach is that a litigant is entitled to seek relief by way of </w:t>
      </w:r>
      <w:r w:rsidR="00BB3765" w:rsidRPr="004C01E3">
        <w:rPr>
          <w:rFonts w:ascii="Arial" w:hAnsi="Arial" w:cs="Arial"/>
          <w:sz w:val="24"/>
        </w:rPr>
        <w:t xml:space="preserve">action </w:t>
      </w:r>
      <w:r w:rsidR="004A0D5C" w:rsidRPr="004C01E3">
        <w:rPr>
          <w:rFonts w:ascii="Arial" w:hAnsi="Arial" w:cs="Arial"/>
          <w:sz w:val="24"/>
        </w:rPr>
        <w:t xml:space="preserve">if it has reason to believe that disputes of fact might arise. </w:t>
      </w:r>
    </w:p>
    <w:p w14:paraId="5A5BA2B5" w14:textId="77777777" w:rsidR="004A0D5C" w:rsidRPr="00A17FEA" w:rsidRDefault="004A0D5C" w:rsidP="004F076E">
      <w:pPr>
        <w:spacing w:after="0" w:line="480" w:lineRule="auto"/>
        <w:jc w:val="both"/>
        <w:rPr>
          <w:rFonts w:ascii="Arial" w:hAnsi="Arial" w:cs="Arial"/>
          <w:szCs w:val="24"/>
          <w:lang w:val="en-US"/>
        </w:rPr>
      </w:pPr>
    </w:p>
    <w:p w14:paraId="087DD253" w14:textId="77777777" w:rsidR="004A0D5C" w:rsidRPr="00F51BFC" w:rsidRDefault="004A0D5C" w:rsidP="004F076E">
      <w:pPr>
        <w:spacing w:after="0" w:line="480" w:lineRule="auto"/>
        <w:rPr>
          <w:rFonts w:ascii="Arial" w:hAnsi="Arial" w:cs="Arial"/>
          <w:sz w:val="24"/>
          <w:szCs w:val="24"/>
          <w:u w:val="single"/>
          <w:lang w:val="en-US"/>
        </w:rPr>
      </w:pPr>
      <w:r w:rsidRPr="00F51BFC">
        <w:rPr>
          <w:rFonts w:ascii="Arial" w:hAnsi="Arial" w:cs="Arial"/>
          <w:sz w:val="24"/>
          <w:szCs w:val="24"/>
          <w:u w:val="single"/>
          <w:lang w:val="en-US"/>
        </w:rPr>
        <w:t>Dis</w:t>
      </w:r>
      <w:r>
        <w:rPr>
          <w:rFonts w:ascii="Arial" w:hAnsi="Arial" w:cs="Arial"/>
          <w:sz w:val="24"/>
          <w:szCs w:val="24"/>
          <w:u w:val="single"/>
          <w:lang w:val="en-US"/>
        </w:rPr>
        <w:t>posal</w:t>
      </w:r>
    </w:p>
    <w:p w14:paraId="5DFA6216" w14:textId="05B68E92" w:rsidR="004A0D5C" w:rsidRPr="004C01E3" w:rsidRDefault="004C01E3" w:rsidP="004C01E3">
      <w:pPr>
        <w:spacing w:after="0"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4A0D5C" w:rsidRPr="004C01E3">
        <w:rPr>
          <w:rFonts w:ascii="Arial" w:hAnsi="Arial" w:cs="Arial"/>
          <w:sz w:val="24"/>
          <w:szCs w:val="24"/>
        </w:rPr>
        <w:t>The question is, by referring to ‘upon application to court’, did the legislature have in mind the specific meaning that the word bears in</w:t>
      </w:r>
      <w:r w:rsidR="00FD6F00" w:rsidRPr="004C01E3">
        <w:rPr>
          <w:rFonts w:ascii="Arial" w:hAnsi="Arial" w:cs="Arial"/>
          <w:sz w:val="24"/>
          <w:szCs w:val="24"/>
        </w:rPr>
        <w:t xml:space="preserve"> the r</w:t>
      </w:r>
      <w:r w:rsidR="004A0D5C" w:rsidRPr="004C01E3">
        <w:rPr>
          <w:rFonts w:ascii="Arial" w:hAnsi="Arial" w:cs="Arial"/>
          <w:sz w:val="24"/>
          <w:szCs w:val="24"/>
        </w:rPr>
        <w:t>ules made in terms of s 39 of the High Court Act</w:t>
      </w:r>
      <w:r w:rsidR="00FD6F00" w:rsidRPr="004C01E3">
        <w:rPr>
          <w:rFonts w:ascii="Arial" w:hAnsi="Arial" w:cs="Arial"/>
          <w:sz w:val="24"/>
          <w:szCs w:val="24"/>
        </w:rPr>
        <w:t xml:space="preserve"> 16 of 1990</w:t>
      </w:r>
      <w:r w:rsidR="004A0D5C" w:rsidRPr="004C01E3">
        <w:rPr>
          <w:rFonts w:ascii="Arial" w:hAnsi="Arial" w:cs="Arial"/>
          <w:sz w:val="24"/>
          <w:szCs w:val="24"/>
        </w:rPr>
        <w:t>? Does it follow, as the High Court assumed</w:t>
      </w:r>
      <w:r w:rsidR="00311B58" w:rsidRPr="004C01E3">
        <w:rPr>
          <w:rFonts w:ascii="Arial" w:hAnsi="Arial" w:cs="Arial"/>
          <w:sz w:val="24"/>
          <w:szCs w:val="24"/>
        </w:rPr>
        <w:t xml:space="preserve"> in </w:t>
      </w:r>
      <w:proofErr w:type="spellStart"/>
      <w:r w:rsidR="00311B58" w:rsidRPr="004C01E3">
        <w:rPr>
          <w:rFonts w:ascii="Arial" w:hAnsi="Arial" w:cs="Arial"/>
          <w:i/>
          <w:sz w:val="24"/>
          <w:szCs w:val="24"/>
        </w:rPr>
        <w:t>Teichmann</w:t>
      </w:r>
      <w:proofErr w:type="spellEnd"/>
      <w:r w:rsidR="004A0D5C" w:rsidRPr="004C01E3">
        <w:rPr>
          <w:rFonts w:ascii="Arial" w:hAnsi="Arial" w:cs="Arial"/>
          <w:sz w:val="24"/>
          <w:szCs w:val="24"/>
        </w:rPr>
        <w:t>, that because the word applicatio</w:t>
      </w:r>
      <w:r w:rsidR="00311B58" w:rsidRPr="004C01E3">
        <w:rPr>
          <w:rFonts w:ascii="Arial" w:hAnsi="Arial" w:cs="Arial"/>
          <w:sz w:val="24"/>
          <w:szCs w:val="24"/>
        </w:rPr>
        <w:t>n is not defined in the Act</w:t>
      </w:r>
      <w:r w:rsidR="003250F4" w:rsidRPr="004C01E3">
        <w:rPr>
          <w:rFonts w:ascii="Arial" w:hAnsi="Arial" w:cs="Arial"/>
          <w:sz w:val="24"/>
          <w:szCs w:val="24"/>
        </w:rPr>
        <w:t xml:space="preserve">, </w:t>
      </w:r>
      <w:r w:rsidR="004A0D5C" w:rsidRPr="004C01E3">
        <w:rPr>
          <w:rFonts w:ascii="Arial" w:hAnsi="Arial" w:cs="Arial"/>
          <w:sz w:val="24"/>
          <w:szCs w:val="24"/>
        </w:rPr>
        <w:t>it must have the</w:t>
      </w:r>
      <w:r w:rsidR="00FD6F00" w:rsidRPr="004C01E3">
        <w:rPr>
          <w:rFonts w:ascii="Arial" w:hAnsi="Arial" w:cs="Arial"/>
          <w:sz w:val="24"/>
          <w:szCs w:val="24"/>
        </w:rPr>
        <w:t xml:space="preserve"> meaning assigned to it in the r</w:t>
      </w:r>
      <w:r w:rsidR="004A0D5C" w:rsidRPr="004C01E3">
        <w:rPr>
          <w:rFonts w:ascii="Arial" w:hAnsi="Arial" w:cs="Arial"/>
          <w:sz w:val="24"/>
          <w:szCs w:val="24"/>
        </w:rPr>
        <w:t xml:space="preserve">ules? </w:t>
      </w:r>
    </w:p>
    <w:p w14:paraId="6991DF13" w14:textId="77777777" w:rsidR="004A0D5C" w:rsidRDefault="004A0D5C" w:rsidP="004A0D5C">
      <w:pPr>
        <w:spacing w:line="480" w:lineRule="auto"/>
        <w:jc w:val="both"/>
        <w:rPr>
          <w:rFonts w:ascii="Arial" w:hAnsi="Arial" w:cs="Arial"/>
          <w:sz w:val="24"/>
          <w:szCs w:val="24"/>
        </w:rPr>
      </w:pPr>
    </w:p>
    <w:p w14:paraId="1C27CA20" w14:textId="34DA41A2" w:rsidR="004A0D5C" w:rsidRPr="004C01E3" w:rsidRDefault="004C01E3" w:rsidP="004C01E3">
      <w:pPr>
        <w:spacing w:after="0"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4A0D5C" w:rsidRPr="004C01E3">
        <w:rPr>
          <w:rFonts w:ascii="Arial" w:hAnsi="Arial" w:cs="Arial"/>
          <w:sz w:val="24"/>
          <w:szCs w:val="24"/>
        </w:rPr>
        <w:t xml:space="preserve">The difficulty with </w:t>
      </w:r>
      <w:r w:rsidR="00CE2129" w:rsidRPr="004C01E3">
        <w:rPr>
          <w:rFonts w:ascii="Arial" w:hAnsi="Arial" w:cs="Arial"/>
          <w:sz w:val="24"/>
          <w:szCs w:val="24"/>
        </w:rPr>
        <w:t xml:space="preserve">the </w:t>
      </w:r>
      <w:proofErr w:type="spellStart"/>
      <w:r w:rsidR="00CE2129" w:rsidRPr="004C01E3">
        <w:rPr>
          <w:rFonts w:ascii="Arial" w:hAnsi="Arial" w:cs="Arial"/>
          <w:i/>
          <w:sz w:val="24"/>
          <w:szCs w:val="24"/>
        </w:rPr>
        <w:t>Teichmann</w:t>
      </w:r>
      <w:proofErr w:type="spellEnd"/>
      <w:r w:rsidR="00CE2129" w:rsidRPr="004C01E3">
        <w:rPr>
          <w:rFonts w:ascii="Arial" w:hAnsi="Arial" w:cs="Arial"/>
          <w:sz w:val="24"/>
          <w:szCs w:val="24"/>
        </w:rPr>
        <w:t xml:space="preserve"> </w:t>
      </w:r>
      <w:r w:rsidR="004A0D5C" w:rsidRPr="004C01E3">
        <w:rPr>
          <w:rFonts w:ascii="Arial" w:hAnsi="Arial" w:cs="Arial"/>
          <w:sz w:val="24"/>
          <w:szCs w:val="24"/>
        </w:rPr>
        <w:t xml:space="preserve">approach is that the Act gives no indication that by using the word </w:t>
      </w:r>
      <w:r w:rsidR="004A0D5C" w:rsidRPr="004C01E3">
        <w:rPr>
          <w:rFonts w:ascii="Arial" w:hAnsi="Arial" w:cs="Arial"/>
          <w:i/>
          <w:sz w:val="24"/>
          <w:szCs w:val="24"/>
        </w:rPr>
        <w:t>application</w:t>
      </w:r>
      <w:r w:rsidR="004A0D5C" w:rsidRPr="004C01E3">
        <w:rPr>
          <w:rFonts w:ascii="Arial" w:hAnsi="Arial" w:cs="Arial"/>
          <w:sz w:val="24"/>
          <w:szCs w:val="24"/>
        </w:rPr>
        <w:t xml:space="preserve"> the legislature intended to give it a technical legal signification. That is not to disregard the maxim that the legislature is presumed to know the law and that it must be assumed to have been aware that under the </w:t>
      </w:r>
      <w:r w:rsidR="00311B58" w:rsidRPr="004C01E3">
        <w:rPr>
          <w:rFonts w:ascii="Arial" w:hAnsi="Arial" w:cs="Arial"/>
          <w:sz w:val="24"/>
          <w:szCs w:val="24"/>
        </w:rPr>
        <w:t xml:space="preserve">Rules </w:t>
      </w:r>
      <w:r w:rsidR="004A0D5C" w:rsidRPr="004C01E3">
        <w:rPr>
          <w:rFonts w:ascii="Arial" w:hAnsi="Arial" w:cs="Arial"/>
          <w:i/>
          <w:sz w:val="24"/>
          <w:szCs w:val="24"/>
        </w:rPr>
        <w:t>application</w:t>
      </w:r>
      <w:r w:rsidR="004A0D5C" w:rsidRPr="004C01E3">
        <w:rPr>
          <w:rFonts w:ascii="Arial" w:hAnsi="Arial" w:cs="Arial"/>
          <w:sz w:val="24"/>
          <w:szCs w:val="24"/>
        </w:rPr>
        <w:t xml:space="preserve"> means proceedings by way of notice of motion. </w:t>
      </w:r>
    </w:p>
    <w:p w14:paraId="3D81E885" w14:textId="77777777" w:rsidR="004A0D5C" w:rsidRDefault="004A0D5C" w:rsidP="004F076E">
      <w:pPr>
        <w:spacing w:after="0" w:line="480" w:lineRule="auto"/>
        <w:jc w:val="both"/>
        <w:rPr>
          <w:rFonts w:ascii="Arial" w:hAnsi="Arial" w:cs="Arial"/>
          <w:sz w:val="24"/>
          <w:szCs w:val="24"/>
        </w:rPr>
      </w:pPr>
    </w:p>
    <w:p w14:paraId="3BC20751" w14:textId="45860C4A" w:rsidR="004A0D5C" w:rsidRPr="004C01E3" w:rsidRDefault="004C01E3" w:rsidP="004C01E3">
      <w:pPr>
        <w:spacing w:after="0" w:line="480" w:lineRule="auto"/>
        <w:jc w:val="both"/>
        <w:rPr>
          <w:rFonts w:ascii="Arial" w:hAnsi="Arial" w:cs="Arial"/>
          <w:sz w:val="24"/>
          <w:szCs w:val="24"/>
        </w:rPr>
      </w:pPr>
      <w:r w:rsidRPr="00F51BFC">
        <w:rPr>
          <w:rFonts w:ascii="Arial" w:hAnsi="Arial" w:cs="Arial"/>
          <w:sz w:val="24"/>
          <w:szCs w:val="24"/>
        </w:rPr>
        <w:t>[30]</w:t>
      </w:r>
      <w:r w:rsidRPr="00F51BFC">
        <w:rPr>
          <w:rFonts w:ascii="Arial" w:hAnsi="Arial" w:cs="Arial"/>
          <w:sz w:val="24"/>
          <w:szCs w:val="24"/>
        </w:rPr>
        <w:tab/>
      </w:r>
      <w:r w:rsidR="004A0D5C" w:rsidRPr="004C01E3">
        <w:rPr>
          <w:rFonts w:ascii="Arial" w:hAnsi="Arial" w:cs="Arial"/>
          <w:sz w:val="24"/>
          <w:szCs w:val="24"/>
        </w:rPr>
        <w:t xml:space="preserve">To come to that result however we must be satisfied from the language used in the Act that action proceedings were excluded. </w:t>
      </w:r>
    </w:p>
    <w:p w14:paraId="1D9F6F77" w14:textId="77777777" w:rsidR="004A0D5C" w:rsidRPr="00F51BFC" w:rsidRDefault="004A0D5C" w:rsidP="004F076E">
      <w:pPr>
        <w:spacing w:after="0" w:line="480" w:lineRule="auto"/>
        <w:jc w:val="both"/>
        <w:rPr>
          <w:rFonts w:ascii="Arial" w:hAnsi="Arial" w:cs="Arial"/>
          <w:sz w:val="24"/>
          <w:szCs w:val="24"/>
        </w:rPr>
      </w:pPr>
    </w:p>
    <w:p w14:paraId="0883F52F" w14:textId="007164BB" w:rsidR="004A0D5C" w:rsidRPr="004C01E3" w:rsidRDefault="004C01E3" w:rsidP="004C01E3">
      <w:pPr>
        <w:spacing w:after="0"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4A0D5C" w:rsidRPr="004C01E3">
        <w:rPr>
          <w:rFonts w:ascii="Arial" w:hAnsi="Arial" w:cs="Arial"/>
          <w:sz w:val="24"/>
          <w:szCs w:val="24"/>
        </w:rPr>
        <w:t xml:space="preserve">The word </w:t>
      </w:r>
      <w:r w:rsidR="004A0D5C" w:rsidRPr="004C01E3">
        <w:rPr>
          <w:rFonts w:ascii="Arial" w:hAnsi="Arial" w:cs="Arial"/>
          <w:i/>
          <w:sz w:val="24"/>
          <w:szCs w:val="24"/>
        </w:rPr>
        <w:t>application</w:t>
      </w:r>
      <w:r w:rsidR="004A0D5C" w:rsidRPr="004C01E3">
        <w:rPr>
          <w:rFonts w:ascii="Arial" w:hAnsi="Arial" w:cs="Arial"/>
          <w:sz w:val="24"/>
          <w:szCs w:val="24"/>
        </w:rPr>
        <w:t xml:space="preserve"> is not a term of art</w:t>
      </w:r>
      <w:r w:rsidR="004A0D5C">
        <w:rPr>
          <w:rStyle w:val="FootnoteReference"/>
          <w:rFonts w:ascii="Arial" w:hAnsi="Arial" w:cs="Arial"/>
          <w:sz w:val="24"/>
          <w:szCs w:val="24"/>
        </w:rPr>
        <w:footnoteReference w:id="10"/>
      </w:r>
      <w:r w:rsidR="000626ED" w:rsidRPr="004C01E3">
        <w:rPr>
          <w:rFonts w:ascii="Arial" w:hAnsi="Arial" w:cs="Arial"/>
          <w:sz w:val="24"/>
          <w:szCs w:val="24"/>
        </w:rPr>
        <w:t xml:space="preserve">, </w:t>
      </w:r>
      <w:r w:rsidR="004A0D5C" w:rsidRPr="004C01E3">
        <w:rPr>
          <w:rFonts w:ascii="Arial" w:hAnsi="Arial" w:cs="Arial"/>
          <w:sz w:val="24"/>
          <w:szCs w:val="24"/>
        </w:rPr>
        <w:t xml:space="preserve">but an ordinary word of the English language to which the </w:t>
      </w:r>
      <w:r w:rsidR="00FD1B2C" w:rsidRPr="004C01E3">
        <w:rPr>
          <w:rFonts w:ascii="Arial" w:hAnsi="Arial" w:cs="Arial"/>
          <w:sz w:val="24"/>
          <w:szCs w:val="24"/>
        </w:rPr>
        <w:t xml:space="preserve">Rules </w:t>
      </w:r>
      <w:r w:rsidR="004A0D5C" w:rsidRPr="004C01E3">
        <w:rPr>
          <w:rFonts w:ascii="Arial" w:hAnsi="Arial" w:cs="Arial"/>
          <w:sz w:val="24"/>
          <w:szCs w:val="24"/>
        </w:rPr>
        <w:t xml:space="preserve">assign a very specific meaning which, </w:t>
      </w:r>
      <w:r w:rsidR="009A4D4D" w:rsidRPr="004C01E3">
        <w:rPr>
          <w:rFonts w:ascii="Arial" w:hAnsi="Arial" w:cs="Arial"/>
          <w:sz w:val="24"/>
          <w:szCs w:val="24"/>
        </w:rPr>
        <w:t xml:space="preserve">had it not been so </w:t>
      </w:r>
      <w:r w:rsidR="004A0D5C" w:rsidRPr="004C01E3">
        <w:rPr>
          <w:rFonts w:ascii="Arial" w:hAnsi="Arial" w:cs="Arial"/>
          <w:sz w:val="24"/>
          <w:szCs w:val="24"/>
        </w:rPr>
        <w:t>defined, would not exclude action proceedings. The Oxford Advanced Learners Dictionary (International Student’s Edition) defines the verb ‘apply’ as ‘to make a formal request, usually in writing’. It renders the noun ‘</w:t>
      </w:r>
      <w:r w:rsidR="004A0D5C" w:rsidRPr="004C01E3">
        <w:rPr>
          <w:rFonts w:ascii="Arial" w:hAnsi="Arial" w:cs="Arial"/>
          <w:i/>
          <w:sz w:val="24"/>
          <w:szCs w:val="24"/>
        </w:rPr>
        <w:t>application</w:t>
      </w:r>
      <w:r w:rsidR="004A0D5C" w:rsidRPr="004C01E3">
        <w:rPr>
          <w:rFonts w:ascii="Arial" w:hAnsi="Arial" w:cs="Arial"/>
          <w:sz w:val="24"/>
          <w:szCs w:val="24"/>
        </w:rPr>
        <w:t>’ as ‘a formal (often written) request for something: [for example] his application to court for bail has been refused’).</w:t>
      </w:r>
    </w:p>
    <w:p w14:paraId="4961D474" w14:textId="77777777" w:rsidR="004A0D5C" w:rsidRPr="00F51BFC" w:rsidRDefault="004A0D5C" w:rsidP="004F076E">
      <w:pPr>
        <w:spacing w:after="0" w:line="480" w:lineRule="auto"/>
        <w:jc w:val="both"/>
        <w:rPr>
          <w:rFonts w:ascii="Arial" w:hAnsi="Arial" w:cs="Arial"/>
          <w:sz w:val="24"/>
          <w:szCs w:val="24"/>
        </w:rPr>
      </w:pPr>
    </w:p>
    <w:p w14:paraId="492051D0" w14:textId="7415EB49" w:rsidR="004A0D5C" w:rsidRPr="004C01E3" w:rsidRDefault="004C01E3" w:rsidP="004C01E3">
      <w:pPr>
        <w:spacing w:after="0" w:line="480" w:lineRule="auto"/>
        <w:jc w:val="both"/>
        <w:rPr>
          <w:rFonts w:ascii="Arial" w:hAnsi="Arial" w:cs="Arial"/>
          <w:sz w:val="24"/>
          <w:szCs w:val="24"/>
        </w:rPr>
      </w:pPr>
      <w:r w:rsidRPr="00F51BFC">
        <w:rPr>
          <w:rFonts w:ascii="Arial" w:hAnsi="Arial" w:cs="Arial"/>
          <w:sz w:val="24"/>
          <w:szCs w:val="24"/>
        </w:rPr>
        <w:t>[32]</w:t>
      </w:r>
      <w:r w:rsidRPr="00F51BFC">
        <w:rPr>
          <w:rFonts w:ascii="Arial" w:hAnsi="Arial" w:cs="Arial"/>
          <w:sz w:val="24"/>
          <w:szCs w:val="24"/>
        </w:rPr>
        <w:tab/>
      </w:r>
      <w:r w:rsidR="00023128" w:rsidRPr="004C01E3">
        <w:rPr>
          <w:rFonts w:ascii="Arial" w:hAnsi="Arial" w:cs="Arial"/>
          <w:sz w:val="24"/>
          <w:szCs w:val="24"/>
        </w:rPr>
        <w:t>I</w:t>
      </w:r>
      <w:r w:rsidR="004A0D5C" w:rsidRPr="004C01E3">
        <w:rPr>
          <w:rFonts w:ascii="Arial" w:hAnsi="Arial" w:cs="Arial"/>
          <w:sz w:val="24"/>
          <w:szCs w:val="24"/>
        </w:rPr>
        <w:t xml:space="preserve">n the absence of a definition of the word </w:t>
      </w:r>
      <w:r w:rsidR="004A0D5C" w:rsidRPr="004C01E3">
        <w:rPr>
          <w:rFonts w:ascii="Arial" w:hAnsi="Arial" w:cs="Arial"/>
          <w:i/>
          <w:sz w:val="24"/>
          <w:szCs w:val="24"/>
        </w:rPr>
        <w:t>application</w:t>
      </w:r>
      <w:r w:rsidR="004A0D5C" w:rsidRPr="004C01E3">
        <w:rPr>
          <w:rFonts w:ascii="Arial" w:hAnsi="Arial" w:cs="Arial"/>
          <w:sz w:val="24"/>
          <w:szCs w:val="24"/>
        </w:rPr>
        <w:t xml:space="preserve"> in the Act - and because the legislature had not by reference to another statute</w:t>
      </w:r>
      <w:r w:rsidR="004A0D5C">
        <w:rPr>
          <w:rStyle w:val="FootnoteReference"/>
          <w:rFonts w:ascii="Arial" w:hAnsi="Arial" w:cs="Arial"/>
          <w:sz w:val="24"/>
          <w:szCs w:val="24"/>
        </w:rPr>
        <w:footnoteReference w:id="11"/>
      </w:r>
      <w:r w:rsidR="004A0D5C" w:rsidRPr="004C01E3">
        <w:rPr>
          <w:rFonts w:ascii="Arial" w:hAnsi="Arial" w:cs="Arial"/>
          <w:sz w:val="24"/>
          <w:szCs w:val="24"/>
        </w:rPr>
        <w:t xml:space="preserve"> or known practices of the courts - assigned the word a technical meaning, the default position is that the word must be given its ordinary grammatical meaning of</w:t>
      </w:r>
      <w:r w:rsidR="00995155" w:rsidRPr="004C01E3">
        <w:rPr>
          <w:rFonts w:ascii="Arial" w:hAnsi="Arial" w:cs="Arial"/>
          <w:sz w:val="24"/>
          <w:szCs w:val="24"/>
        </w:rPr>
        <w:t xml:space="preserve"> a ‘formal request to court’. If</w:t>
      </w:r>
      <w:r w:rsidR="004A0D5C" w:rsidRPr="004C01E3">
        <w:rPr>
          <w:rFonts w:ascii="Arial" w:hAnsi="Arial" w:cs="Arial"/>
          <w:sz w:val="24"/>
          <w:szCs w:val="24"/>
        </w:rPr>
        <w:t xml:space="preserve"> the </w:t>
      </w:r>
      <w:r w:rsidR="004A0D5C" w:rsidRPr="004C01E3">
        <w:rPr>
          <w:rFonts w:ascii="Arial" w:hAnsi="Arial" w:cs="Arial"/>
          <w:sz w:val="24"/>
          <w:szCs w:val="24"/>
        </w:rPr>
        <w:lastRenderedPageBreak/>
        <w:t xml:space="preserve">word is given its ordinary grammatical </w:t>
      </w:r>
      <w:r w:rsidR="00F66AB1" w:rsidRPr="004C01E3">
        <w:rPr>
          <w:rFonts w:ascii="Arial" w:hAnsi="Arial" w:cs="Arial"/>
          <w:sz w:val="24"/>
          <w:szCs w:val="24"/>
        </w:rPr>
        <w:t>meaning</w:t>
      </w:r>
      <w:r w:rsidR="004A0D5C" w:rsidRPr="004C01E3">
        <w:rPr>
          <w:rFonts w:ascii="Arial" w:hAnsi="Arial" w:cs="Arial"/>
          <w:sz w:val="24"/>
          <w:szCs w:val="24"/>
        </w:rPr>
        <w:t xml:space="preserve">, it </w:t>
      </w:r>
      <w:r w:rsidR="00A42512" w:rsidRPr="004C01E3">
        <w:rPr>
          <w:rFonts w:ascii="Arial" w:hAnsi="Arial" w:cs="Arial"/>
          <w:sz w:val="24"/>
          <w:szCs w:val="24"/>
        </w:rPr>
        <w:t xml:space="preserve">includes </w:t>
      </w:r>
      <w:r w:rsidR="004A0D5C" w:rsidRPr="004C01E3">
        <w:rPr>
          <w:rFonts w:ascii="Arial" w:hAnsi="Arial" w:cs="Arial"/>
          <w:sz w:val="24"/>
          <w:szCs w:val="24"/>
        </w:rPr>
        <w:t>either avenue available for instituting court proceedings</w:t>
      </w:r>
      <w:r w:rsidR="00A42512" w:rsidRPr="004C01E3">
        <w:rPr>
          <w:rFonts w:ascii="Arial" w:hAnsi="Arial" w:cs="Arial"/>
          <w:sz w:val="24"/>
          <w:szCs w:val="24"/>
        </w:rPr>
        <w:t xml:space="preserve"> in the High Court</w:t>
      </w:r>
      <w:r w:rsidR="004A0D5C" w:rsidRPr="004C01E3">
        <w:rPr>
          <w:rFonts w:ascii="Arial" w:hAnsi="Arial" w:cs="Arial"/>
          <w:sz w:val="24"/>
          <w:szCs w:val="24"/>
        </w:rPr>
        <w:t xml:space="preserve">. </w:t>
      </w:r>
    </w:p>
    <w:p w14:paraId="77EF7313" w14:textId="77777777" w:rsidR="004A0D5C" w:rsidRPr="00F51BFC" w:rsidRDefault="004A0D5C" w:rsidP="004F076E">
      <w:pPr>
        <w:spacing w:after="0" w:line="480" w:lineRule="auto"/>
        <w:jc w:val="both"/>
        <w:rPr>
          <w:rFonts w:ascii="Arial" w:hAnsi="Arial" w:cs="Arial"/>
          <w:sz w:val="24"/>
          <w:szCs w:val="24"/>
        </w:rPr>
      </w:pPr>
    </w:p>
    <w:p w14:paraId="381E89ED" w14:textId="6433D93D" w:rsidR="004A0D5C" w:rsidRPr="004C01E3" w:rsidRDefault="004C01E3" w:rsidP="004C01E3">
      <w:pPr>
        <w:spacing w:after="0"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4A0D5C" w:rsidRPr="004C01E3">
        <w:rPr>
          <w:rFonts w:ascii="Arial" w:hAnsi="Arial" w:cs="Arial"/>
          <w:sz w:val="24"/>
          <w:szCs w:val="24"/>
        </w:rPr>
        <w:t xml:space="preserve">That this interpretation should be preferred to the one adopted in </w:t>
      </w:r>
      <w:proofErr w:type="spellStart"/>
      <w:r w:rsidR="004A0D5C" w:rsidRPr="004C01E3">
        <w:rPr>
          <w:rFonts w:ascii="Arial" w:hAnsi="Arial" w:cs="Arial"/>
          <w:i/>
          <w:sz w:val="24"/>
          <w:szCs w:val="24"/>
        </w:rPr>
        <w:t>Teichmann</w:t>
      </w:r>
      <w:proofErr w:type="spellEnd"/>
      <w:r w:rsidR="004A0D5C" w:rsidRPr="004C01E3">
        <w:rPr>
          <w:rFonts w:ascii="Arial" w:hAnsi="Arial" w:cs="Arial"/>
          <w:sz w:val="24"/>
          <w:szCs w:val="24"/>
        </w:rPr>
        <w:t xml:space="preserve"> is demonstrated by the inevitable absurdity </w:t>
      </w:r>
      <w:r w:rsidR="00DD2CC2" w:rsidRPr="004C01E3">
        <w:rPr>
          <w:rFonts w:ascii="Arial" w:hAnsi="Arial" w:cs="Arial"/>
          <w:sz w:val="24"/>
          <w:szCs w:val="24"/>
        </w:rPr>
        <w:t xml:space="preserve">that will result </w:t>
      </w:r>
      <w:r w:rsidR="004A0D5C" w:rsidRPr="004C01E3">
        <w:rPr>
          <w:rFonts w:ascii="Arial" w:hAnsi="Arial" w:cs="Arial"/>
          <w:sz w:val="24"/>
          <w:szCs w:val="24"/>
        </w:rPr>
        <w:t>if the opposite view prevails. In our practice</w:t>
      </w:r>
      <w:r w:rsidR="007B5139" w:rsidRPr="004C01E3">
        <w:rPr>
          <w:rFonts w:ascii="Arial" w:hAnsi="Arial" w:cs="Arial"/>
          <w:sz w:val="24"/>
          <w:szCs w:val="24"/>
        </w:rPr>
        <w:t>,</w:t>
      </w:r>
      <w:r w:rsidR="004A0D5C" w:rsidRPr="004C01E3">
        <w:rPr>
          <w:rFonts w:ascii="Arial" w:hAnsi="Arial" w:cs="Arial"/>
          <w:sz w:val="24"/>
          <w:szCs w:val="24"/>
        </w:rPr>
        <w:t xml:space="preserve"> </w:t>
      </w:r>
      <w:r w:rsidR="00677ACC" w:rsidRPr="004C01E3">
        <w:rPr>
          <w:rFonts w:ascii="Arial" w:hAnsi="Arial" w:cs="Arial"/>
          <w:sz w:val="24"/>
          <w:szCs w:val="24"/>
        </w:rPr>
        <w:t>where</w:t>
      </w:r>
      <w:r w:rsidR="004A0D5C" w:rsidRPr="004C01E3">
        <w:rPr>
          <w:rFonts w:ascii="Arial" w:hAnsi="Arial" w:cs="Arial"/>
          <w:sz w:val="24"/>
          <w:szCs w:val="24"/>
        </w:rPr>
        <w:t xml:space="preserve"> </w:t>
      </w:r>
      <w:r w:rsidR="00C10A50" w:rsidRPr="004C01E3">
        <w:rPr>
          <w:rFonts w:ascii="Arial" w:hAnsi="Arial" w:cs="Arial"/>
          <w:sz w:val="24"/>
          <w:szCs w:val="24"/>
        </w:rPr>
        <w:t>in motion proceedings the court</w:t>
      </w:r>
      <w:r w:rsidR="008E3F8B" w:rsidRPr="004C01E3">
        <w:rPr>
          <w:rFonts w:ascii="Arial" w:hAnsi="Arial" w:cs="Arial"/>
          <w:sz w:val="24"/>
          <w:szCs w:val="24"/>
        </w:rPr>
        <w:t xml:space="preserve"> </w:t>
      </w:r>
      <w:r w:rsidR="004A0D5C" w:rsidRPr="004C01E3">
        <w:rPr>
          <w:rFonts w:ascii="Arial" w:hAnsi="Arial" w:cs="Arial"/>
          <w:sz w:val="24"/>
          <w:szCs w:val="24"/>
        </w:rPr>
        <w:t>is unable to resolve disputes of fact on affidavit</w:t>
      </w:r>
      <w:r w:rsidR="007B5139" w:rsidRPr="004C01E3">
        <w:rPr>
          <w:rFonts w:ascii="Arial" w:hAnsi="Arial" w:cs="Arial"/>
          <w:sz w:val="24"/>
          <w:szCs w:val="24"/>
        </w:rPr>
        <w:t xml:space="preserve">, </w:t>
      </w:r>
      <w:r w:rsidR="004A0D5C" w:rsidRPr="004C01E3">
        <w:rPr>
          <w:rFonts w:ascii="Arial" w:hAnsi="Arial" w:cs="Arial"/>
          <w:sz w:val="24"/>
          <w:szCs w:val="24"/>
        </w:rPr>
        <w:t xml:space="preserve">it may direct that oral evidence be led. Resolving disputes of fact by oral evidence is a procedure unique to action proceedings while motion proceedings are intended for the resolution of disputes on common cause of facts. </w:t>
      </w:r>
    </w:p>
    <w:p w14:paraId="069E23D7" w14:textId="77777777" w:rsidR="004A0D5C" w:rsidRDefault="004A0D5C" w:rsidP="004F076E">
      <w:pPr>
        <w:spacing w:after="0" w:line="480" w:lineRule="auto"/>
        <w:jc w:val="both"/>
        <w:rPr>
          <w:rFonts w:ascii="Arial" w:hAnsi="Arial" w:cs="Arial"/>
          <w:sz w:val="24"/>
          <w:szCs w:val="24"/>
        </w:rPr>
      </w:pPr>
    </w:p>
    <w:p w14:paraId="7BD1A14E" w14:textId="342DFF40" w:rsidR="004A0D5C" w:rsidRPr="004C01E3" w:rsidRDefault="004C01E3" w:rsidP="004C01E3">
      <w:pPr>
        <w:spacing w:after="0" w:line="480" w:lineRule="auto"/>
        <w:jc w:val="both"/>
        <w:rPr>
          <w:rFonts w:ascii="Arial" w:hAnsi="Arial" w:cs="Arial"/>
          <w:sz w:val="24"/>
          <w:szCs w:val="24"/>
        </w:rPr>
      </w:pPr>
      <w:r w:rsidRPr="00F51BFC">
        <w:rPr>
          <w:rFonts w:ascii="Arial" w:hAnsi="Arial" w:cs="Arial"/>
          <w:sz w:val="24"/>
          <w:szCs w:val="24"/>
        </w:rPr>
        <w:t>[34]</w:t>
      </w:r>
      <w:r w:rsidRPr="00F51BFC">
        <w:rPr>
          <w:rFonts w:ascii="Arial" w:hAnsi="Arial" w:cs="Arial"/>
          <w:sz w:val="24"/>
          <w:szCs w:val="24"/>
        </w:rPr>
        <w:tab/>
      </w:r>
      <w:r w:rsidR="004A0D5C" w:rsidRPr="004C01E3">
        <w:rPr>
          <w:rFonts w:ascii="Arial" w:hAnsi="Arial" w:cs="Arial"/>
          <w:sz w:val="24"/>
          <w:szCs w:val="24"/>
        </w:rPr>
        <w:t xml:space="preserve">The view that ‘upon application’ in s 64(1) of the Act connotes notice of motion to the exclusion </w:t>
      </w:r>
      <w:proofErr w:type="gramStart"/>
      <w:r w:rsidR="004A0D5C" w:rsidRPr="004C01E3">
        <w:rPr>
          <w:rFonts w:ascii="Arial" w:hAnsi="Arial" w:cs="Arial"/>
          <w:sz w:val="24"/>
          <w:szCs w:val="24"/>
        </w:rPr>
        <w:t>of  action</w:t>
      </w:r>
      <w:proofErr w:type="gramEnd"/>
      <w:r w:rsidR="004A0D5C" w:rsidRPr="004C01E3">
        <w:rPr>
          <w:rFonts w:ascii="Arial" w:hAnsi="Arial" w:cs="Arial"/>
          <w:sz w:val="24"/>
          <w:szCs w:val="24"/>
        </w:rPr>
        <w:t xml:space="preserve"> proceedings would mean that the court may not have recourse to oral evidence on disputed facts under s 64(1) of the Act. That cannot be correct.</w:t>
      </w:r>
    </w:p>
    <w:p w14:paraId="34262200" w14:textId="77777777" w:rsidR="004A0D5C" w:rsidRPr="00F51BFC" w:rsidRDefault="004A0D5C" w:rsidP="004F076E">
      <w:pPr>
        <w:spacing w:after="0" w:line="480" w:lineRule="auto"/>
        <w:jc w:val="both"/>
        <w:rPr>
          <w:rFonts w:ascii="Arial" w:hAnsi="Arial" w:cs="Arial"/>
          <w:sz w:val="24"/>
          <w:szCs w:val="24"/>
        </w:rPr>
      </w:pPr>
    </w:p>
    <w:p w14:paraId="35F32CCC" w14:textId="08AEDF4B" w:rsidR="004A0D5C" w:rsidRPr="004C01E3" w:rsidRDefault="004C01E3" w:rsidP="004C01E3">
      <w:pPr>
        <w:spacing w:after="0" w:line="480" w:lineRule="auto"/>
        <w:jc w:val="both"/>
        <w:rPr>
          <w:rFonts w:ascii="Arial" w:hAnsi="Arial" w:cs="Arial"/>
          <w:sz w:val="24"/>
          <w:szCs w:val="24"/>
          <w:lang w:val="en-US"/>
        </w:rPr>
      </w:pPr>
      <w:r>
        <w:rPr>
          <w:rFonts w:ascii="Arial" w:hAnsi="Arial" w:cs="Arial"/>
          <w:sz w:val="24"/>
          <w:szCs w:val="24"/>
          <w:lang w:val="en-US"/>
        </w:rPr>
        <w:t>[35]</w:t>
      </w:r>
      <w:r>
        <w:rPr>
          <w:rFonts w:ascii="Arial" w:hAnsi="Arial" w:cs="Arial"/>
          <w:sz w:val="24"/>
          <w:szCs w:val="24"/>
          <w:lang w:val="en-US"/>
        </w:rPr>
        <w:tab/>
      </w:r>
      <w:r w:rsidR="004A0D5C" w:rsidRPr="004C01E3">
        <w:rPr>
          <w:rFonts w:ascii="Arial" w:hAnsi="Arial" w:cs="Arial"/>
          <w:sz w:val="24"/>
          <w:szCs w:val="24"/>
        </w:rPr>
        <w:t xml:space="preserve">I </w:t>
      </w:r>
      <w:proofErr w:type="gramStart"/>
      <w:r w:rsidR="004A0D5C" w:rsidRPr="004C01E3">
        <w:rPr>
          <w:rFonts w:ascii="Arial" w:hAnsi="Arial" w:cs="Arial"/>
          <w:sz w:val="24"/>
          <w:szCs w:val="24"/>
        </w:rPr>
        <w:t>come to the conclusion</w:t>
      </w:r>
      <w:proofErr w:type="gramEnd"/>
      <w:r w:rsidR="004A0D5C" w:rsidRPr="004C01E3">
        <w:rPr>
          <w:rFonts w:ascii="Arial" w:hAnsi="Arial" w:cs="Arial"/>
          <w:sz w:val="24"/>
          <w:szCs w:val="24"/>
        </w:rPr>
        <w:t xml:space="preserve"> that because the legislature had not excluded recourse to action proceedings either expressly or by necessary implication, action proceedings should not be excluded as an alternative </w:t>
      </w:r>
      <w:r w:rsidR="004A0D5C" w:rsidRPr="004C01E3">
        <w:rPr>
          <w:rFonts w:ascii="Arial" w:hAnsi="Arial" w:cs="Arial"/>
          <w:sz w:val="24"/>
          <w:szCs w:val="24"/>
          <w:lang w:val="en-US"/>
        </w:rPr>
        <w:t xml:space="preserve">avenue for instituting court proceedings in terms of s 64(1) of the Act. </w:t>
      </w:r>
    </w:p>
    <w:p w14:paraId="4D0A5CEF" w14:textId="77777777" w:rsidR="004A0D5C" w:rsidRPr="00A5595D" w:rsidRDefault="004A0D5C" w:rsidP="004F076E">
      <w:pPr>
        <w:spacing w:after="0" w:line="480" w:lineRule="auto"/>
        <w:jc w:val="both"/>
        <w:rPr>
          <w:rFonts w:ascii="Arial" w:hAnsi="Arial" w:cs="Arial"/>
          <w:sz w:val="24"/>
          <w:szCs w:val="24"/>
          <w:lang w:val="en-US"/>
        </w:rPr>
      </w:pPr>
    </w:p>
    <w:p w14:paraId="219C19F6" w14:textId="77777777" w:rsidR="004A0D5C" w:rsidRPr="00CB68CB" w:rsidRDefault="004A0D5C" w:rsidP="004F076E">
      <w:pPr>
        <w:spacing w:after="0" w:line="480" w:lineRule="auto"/>
        <w:jc w:val="both"/>
        <w:rPr>
          <w:rFonts w:ascii="Arial" w:hAnsi="Arial" w:cs="Arial"/>
          <w:sz w:val="24"/>
          <w:szCs w:val="24"/>
          <w:u w:val="single"/>
        </w:rPr>
      </w:pPr>
      <w:r w:rsidRPr="00CB68CB">
        <w:rPr>
          <w:rFonts w:ascii="Arial" w:hAnsi="Arial" w:cs="Arial"/>
          <w:sz w:val="24"/>
          <w:szCs w:val="24"/>
          <w:u w:val="single"/>
        </w:rPr>
        <w:t>Order</w:t>
      </w:r>
    </w:p>
    <w:p w14:paraId="7C9CC3BC" w14:textId="2FBCC329" w:rsidR="004A0D5C" w:rsidRPr="004C01E3" w:rsidRDefault="004C01E3" w:rsidP="004C01E3">
      <w:pPr>
        <w:spacing w:after="0"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4A0D5C" w:rsidRPr="004C01E3">
        <w:rPr>
          <w:rFonts w:ascii="Arial" w:hAnsi="Arial" w:cs="Arial"/>
          <w:sz w:val="24"/>
          <w:szCs w:val="24"/>
        </w:rPr>
        <w:t>In the result the appeal succeeds</w:t>
      </w:r>
      <w:r w:rsidR="0025333F" w:rsidRPr="004C01E3">
        <w:rPr>
          <w:rFonts w:ascii="Arial" w:hAnsi="Arial" w:cs="Arial"/>
          <w:sz w:val="24"/>
          <w:szCs w:val="24"/>
        </w:rPr>
        <w:t xml:space="preserve"> </w:t>
      </w:r>
      <w:r w:rsidR="004A0D5C" w:rsidRPr="004C01E3">
        <w:rPr>
          <w:rFonts w:ascii="Arial" w:hAnsi="Arial" w:cs="Arial"/>
          <w:sz w:val="24"/>
          <w:szCs w:val="24"/>
        </w:rPr>
        <w:t xml:space="preserve">with costs, including costs occasioned by the employment of instructed counsel, and the judgment and order of the High Court are set aside and replaced with the following: </w:t>
      </w:r>
    </w:p>
    <w:p w14:paraId="250E0D8B" w14:textId="77777777" w:rsidR="004A0D5C" w:rsidRDefault="004A0D5C" w:rsidP="004E400F">
      <w:pPr>
        <w:spacing w:after="0" w:line="480" w:lineRule="auto"/>
        <w:ind w:left="720"/>
        <w:jc w:val="both"/>
        <w:rPr>
          <w:rFonts w:ascii="Arial" w:hAnsi="Arial" w:cs="Arial"/>
          <w:sz w:val="24"/>
          <w:szCs w:val="24"/>
        </w:rPr>
      </w:pPr>
      <w:r>
        <w:rPr>
          <w:rFonts w:ascii="Arial" w:hAnsi="Arial" w:cs="Arial"/>
          <w:sz w:val="24"/>
          <w:szCs w:val="24"/>
        </w:rPr>
        <w:lastRenderedPageBreak/>
        <w:t xml:space="preserve">‘The special plea is dismissed, with </w:t>
      </w:r>
      <w:proofErr w:type="gramStart"/>
      <w:r>
        <w:rPr>
          <w:rFonts w:ascii="Arial" w:hAnsi="Arial" w:cs="Arial"/>
          <w:sz w:val="24"/>
          <w:szCs w:val="24"/>
        </w:rPr>
        <w:t>costs’</w:t>
      </w:r>
      <w:proofErr w:type="gramEnd"/>
      <w:r>
        <w:rPr>
          <w:rFonts w:ascii="Arial" w:hAnsi="Arial" w:cs="Arial"/>
          <w:sz w:val="24"/>
          <w:szCs w:val="24"/>
        </w:rPr>
        <w:t>.</w:t>
      </w:r>
    </w:p>
    <w:p w14:paraId="2CFB0581" w14:textId="77777777" w:rsidR="00926ABA" w:rsidRDefault="00926ABA" w:rsidP="004E400F">
      <w:pPr>
        <w:spacing w:after="0" w:line="480" w:lineRule="auto"/>
        <w:ind w:left="720"/>
        <w:jc w:val="both"/>
        <w:rPr>
          <w:rFonts w:ascii="Arial" w:hAnsi="Arial" w:cs="Arial"/>
          <w:sz w:val="24"/>
          <w:szCs w:val="24"/>
        </w:rPr>
      </w:pPr>
    </w:p>
    <w:p w14:paraId="272A45EB" w14:textId="18B0F1CE" w:rsidR="004A0D5C" w:rsidRPr="004C01E3" w:rsidRDefault="004C01E3" w:rsidP="004C01E3">
      <w:pPr>
        <w:spacing w:after="0"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4A0D5C" w:rsidRPr="004C01E3">
        <w:rPr>
          <w:rFonts w:ascii="Arial" w:hAnsi="Arial" w:cs="Arial"/>
          <w:sz w:val="24"/>
          <w:szCs w:val="24"/>
        </w:rPr>
        <w:t xml:space="preserve">The matter is remitted to the High Court </w:t>
      </w:r>
      <w:r w:rsidR="00B8591D" w:rsidRPr="004C01E3">
        <w:rPr>
          <w:rFonts w:ascii="Arial" w:hAnsi="Arial" w:cs="Arial"/>
          <w:sz w:val="24"/>
          <w:szCs w:val="24"/>
        </w:rPr>
        <w:t xml:space="preserve">(managing judge) </w:t>
      </w:r>
      <w:r w:rsidR="004A0D5C" w:rsidRPr="004C01E3">
        <w:rPr>
          <w:rFonts w:ascii="Arial" w:hAnsi="Arial" w:cs="Arial"/>
          <w:sz w:val="24"/>
          <w:szCs w:val="24"/>
        </w:rPr>
        <w:t>for further case management in terms of the Rules of the High Court.</w:t>
      </w:r>
    </w:p>
    <w:p w14:paraId="2FAAB5D9" w14:textId="77777777" w:rsidR="004A0D5C" w:rsidRDefault="004A0D5C" w:rsidP="004F076E">
      <w:pPr>
        <w:spacing w:after="0" w:line="480" w:lineRule="auto"/>
        <w:rPr>
          <w:rFonts w:ascii="Arial" w:hAnsi="Arial" w:cs="Arial"/>
          <w:b/>
          <w:sz w:val="24"/>
          <w:szCs w:val="24"/>
        </w:rPr>
      </w:pPr>
    </w:p>
    <w:p w14:paraId="430F0F56" w14:textId="77777777" w:rsidR="004A0D5C" w:rsidRPr="00991107" w:rsidRDefault="004A0D5C" w:rsidP="004F076E">
      <w:pPr>
        <w:spacing w:after="0" w:line="480" w:lineRule="auto"/>
        <w:rPr>
          <w:rFonts w:ascii="Arial" w:hAnsi="Arial" w:cs="Arial"/>
          <w:b/>
          <w:sz w:val="24"/>
          <w:szCs w:val="24"/>
        </w:rPr>
      </w:pPr>
    </w:p>
    <w:p w14:paraId="06CC5AD7" w14:textId="76F7073D" w:rsidR="00E75764" w:rsidRDefault="00E75764" w:rsidP="00316CA7">
      <w:pPr>
        <w:spacing w:after="0" w:line="240" w:lineRule="auto"/>
        <w:jc w:val="both"/>
        <w:rPr>
          <w:rFonts w:ascii="Arial" w:hAnsi="Arial" w:cs="Arial"/>
          <w:b/>
          <w:sz w:val="24"/>
          <w:szCs w:val="24"/>
        </w:rPr>
      </w:pPr>
    </w:p>
    <w:p w14:paraId="33CC375A" w14:textId="68C5A333" w:rsidR="004A0D5C" w:rsidRPr="00F4471E" w:rsidRDefault="004A0D5C" w:rsidP="00316CA7">
      <w:pPr>
        <w:spacing w:after="0" w:line="240" w:lineRule="auto"/>
        <w:jc w:val="both"/>
        <w:rPr>
          <w:rFonts w:ascii="Arial" w:hAnsi="Arial" w:cs="Arial"/>
          <w:b/>
          <w:sz w:val="24"/>
          <w:szCs w:val="24"/>
        </w:rPr>
      </w:pPr>
      <w:r>
        <w:rPr>
          <w:rFonts w:ascii="Arial" w:hAnsi="Arial" w:cs="Arial"/>
          <w:b/>
          <w:sz w:val="24"/>
          <w:szCs w:val="24"/>
        </w:rPr>
        <w:t>__________________</w:t>
      </w:r>
    </w:p>
    <w:p w14:paraId="3C743AC2" w14:textId="77777777" w:rsidR="004A0D5C" w:rsidRPr="005912D7" w:rsidRDefault="004A0D5C" w:rsidP="004F076E">
      <w:pPr>
        <w:spacing w:after="0" w:line="480" w:lineRule="auto"/>
        <w:jc w:val="both"/>
        <w:rPr>
          <w:rFonts w:ascii="Arial" w:hAnsi="Arial" w:cs="Arial"/>
          <w:b/>
          <w:sz w:val="24"/>
          <w:szCs w:val="24"/>
        </w:rPr>
      </w:pPr>
      <w:r>
        <w:rPr>
          <w:rFonts w:ascii="Arial" w:hAnsi="Arial" w:cs="Arial"/>
          <w:b/>
          <w:sz w:val="24"/>
          <w:szCs w:val="24"/>
        </w:rPr>
        <w:t>DAMASEB DCJ</w:t>
      </w:r>
    </w:p>
    <w:p w14:paraId="51FEEDC1" w14:textId="77777777" w:rsidR="004A0D5C" w:rsidRDefault="004A0D5C" w:rsidP="004F076E">
      <w:pPr>
        <w:spacing w:after="0" w:line="480" w:lineRule="auto"/>
        <w:jc w:val="both"/>
        <w:rPr>
          <w:rFonts w:ascii="Arial" w:hAnsi="Arial" w:cs="Arial"/>
          <w:b/>
          <w:sz w:val="24"/>
          <w:szCs w:val="24"/>
        </w:rPr>
      </w:pPr>
    </w:p>
    <w:p w14:paraId="365C7BDF" w14:textId="77777777" w:rsidR="00316CA7" w:rsidRPr="005912D7" w:rsidRDefault="00316CA7" w:rsidP="004F076E">
      <w:pPr>
        <w:spacing w:after="0" w:line="480" w:lineRule="auto"/>
        <w:jc w:val="both"/>
        <w:rPr>
          <w:rFonts w:ascii="Arial" w:hAnsi="Arial" w:cs="Arial"/>
          <w:b/>
          <w:sz w:val="24"/>
          <w:szCs w:val="24"/>
        </w:rPr>
      </w:pPr>
    </w:p>
    <w:p w14:paraId="7474B08B" w14:textId="77777777" w:rsidR="0005054D" w:rsidRPr="00F4471E" w:rsidRDefault="0005054D" w:rsidP="0005054D">
      <w:pPr>
        <w:spacing w:after="0" w:line="240" w:lineRule="auto"/>
        <w:jc w:val="both"/>
        <w:rPr>
          <w:rFonts w:ascii="Arial" w:hAnsi="Arial" w:cs="Arial"/>
          <w:b/>
          <w:sz w:val="24"/>
          <w:szCs w:val="24"/>
        </w:rPr>
      </w:pPr>
      <w:r>
        <w:rPr>
          <w:rFonts w:ascii="Arial" w:hAnsi="Arial" w:cs="Arial"/>
          <w:b/>
          <w:sz w:val="24"/>
          <w:szCs w:val="24"/>
        </w:rPr>
        <w:t>__________________</w:t>
      </w:r>
    </w:p>
    <w:p w14:paraId="4786CC18" w14:textId="1FD00D43" w:rsidR="004A0D5C" w:rsidRPr="005912D7" w:rsidRDefault="004A0D5C" w:rsidP="00316CA7">
      <w:pPr>
        <w:spacing w:after="0" w:line="240" w:lineRule="auto"/>
        <w:jc w:val="both"/>
        <w:rPr>
          <w:rFonts w:ascii="Arial" w:hAnsi="Arial" w:cs="Arial"/>
          <w:b/>
          <w:sz w:val="24"/>
          <w:szCs w:val="24"/>
        </w:rPr>
      </w:pPr>
      <w:r w:rsidRPr="005912D7">
        <w:rPr>
          <w:rFonts w:ascii="Arial" w:hAnsi="Arial" w:cs="Arial"/>
          <w:b/>
          <w:sz w:val="24"/>
          <w:szCs w:val="24"/>
        </w:rPr>
        <w:t>MAINGA JA</w:t>
      </w:r>
    </w:p>
    <w:p w14:paraId="1950A0FE" w14:textId="77777777" w:rsidR="004A0D5C" w:rsidRDefault="004A0D5C" w:rsidP="00316CA7">
      <w:pPr>
        <w:spacing w:after="0" w:line="240" w:lineRule="auto"/>
        <w:jc w:val="both"/>
        <w:rPr>
          <w:rFonts w:ascii="Arial" w:hAnsi="Arial" w:cs="Arial"/>
          <w:b/>
          <w:sz w:val="24"/>
          <w:szCs w:val="24"/>
        </w:rPr>
      </w:pPr>
    </w:p>
    <w:p w14:paraId="3BD9C22E" w14:textId="77777777" w:rsidR="00316CA7" w:rsidRPr="005912D7" w:rsidRDefault="00316CA7" w:rsidP="00316CA7">
      <w:pPr>
        <w:spacing w:after="0" w:line="240" w:lineRule="auto"/>
        <w:jc w:val="both"/>
        <w:rPr>
          <w:rFonts w:ascii="Arial" w:hAnsi="Arial" w:cs="Arial"/>
          <w:b/>
          <w:sz w:val="24"/>
          <w:szCs w:val="24"/>
        </w:rPr>
      </w:pPr>
    </w:p>
    <w:p w14:paraId="696A61DA" w14:textId="77777777" w:rsidR="0025333F" w:rsidRDefault="0025333F" w:rsidP="004F076E">
      <w:pPr>
        <w:spacing w:after="0" w:line="480" w:lineRule="auto"/>
        <w:jc w:val="both"/>
        <w:rPr>
          <w:rFonts w:ascii="Arial" w:hAnsi="Arial" w:cs="Arial"/>
          <w:b/>
          <w:sz w:val="24"/>
          <w:szCs w:val="24"/>
        </w:rPr>
      </w:pPr>
    </w:p>
    <w:p w14:paraId="14632F38" w14:textId="77777777" w:rsidR="004A0D5C" w:rsidRPr="005912D7" w:rsidRDefault="004A0D5C" w:rsidP="00316CA7">
      <w:pPr>
        <w:spacing w:after="0" w:line="240" w:lineRule="auto"/>
        <w:jc w:val="both"/>
        <w:rPr>
          <w:rFonts w:ascii="Arial" w:hAnsi="Arial" w:cs="Arial"/>
          <w:b/>
          <w:sz w:val="24"/>
          <w:szCs w:val="24"/>
        </w:rPr>
      </w:pPr>
      <w:r w:rsidRPr="005912D7">
        <w:rPr>
          <w:rFonts w:ascii="Arial" w:hAnsi="Arial" w:cs="Arial"/>
          <w:b/>
          <w:sz w:val="24"/>
          <w:szCs w:val="24"/>
        </w:rPr>
        <w:t>__________________</w:t>
      </w:r>
    </w:p>
    <w:p w14:paraId="3C173E60" w14:textId="77777777" w:rsidR="004A0D5C" w:rsidRPr="005912D7" w:rsidRDefault="004A0D5C" w:rsidP="004F076E">
      <w:pPr>
        <w:spacing w:after="0" w:line="480" w:lineRule="auto"/>
        <w:jc w:val="both"/>
        <w:rPr>
          <w:rFonts w:ascii="Arial" w:hAnsi="Arial" w:cs="Arial"/>
          <w:b/>
          <w:sz w:val="24"/>
          <w:szCs w:val="24"/>
        </w:rPr>
      </w:pPr>
      <w:r>
        <w:rPr>
          <w:rFonts w:ascii="Arial" w:hAnsi="Arial" w:cs="Arial"/>
          <w:b/>
          <w:sz w:val="24"/>
          <w:szCs w:val="24"/>
        </w:rPr>
        <w:t>FRANK A</w:t>
      </w:r>
      <w:r w:rsidRPr="005912D7">
        <w:rPr>
          <w:rFonts w:ascii="Arial" w:hAnsi="Arial" w:cs="Arial"/>
          <w:b/>
          <w:sz w:val="24"/>
          <w:szCs w:val="24"/>
        </w:rPr>
        <w:t>JA</w:t>
      </w:r>
    </w:p>
    <w:p w14:paraId="62C0CA34" w14:textId="77777777" w:rsidR="004A0D5C" w:rsidRDefault="004A0D5C" w:rsidP="004F076E">
      <w:pPr>
        <w:pStyle w:val="BodyText"/>
        <w:autoSpaceDE w:val="0"/>
        <w:autoSpaceDN w:val="0"/>
        <w:adjustRightInd w:val="0"/>
        <w:spacing w:line="480" w:lineRule="auto"/>
        <w:jc w:val="both"/>
        <w:rPr>
          <w:rFonts w:ascii="Arial" w:hAnsi="Arial" w:cs="Arial"/>
        </w:rPr>
      </w:pPr>
    </w:p>
    <w:p w14:paraId="191A2B39" w14:textId="77777777" w:rsidR="004A0D5C" w:rsidRPr="005912D7" w:rsidRDefault="004A0D5C" w:rsidP="004F076E">
      <w:pPr>
        <w:pStyle w:val="BodyText"/>
        <w:autoSpaceDE w:val="0"/>
        <w:autoSpaceDN w:val="0"/>
        <w:adjustRightInd w:val="0"/>
        <w:spacing w:line="480" w:lineRule="auto"/>
        <w:jc w:val="both"/>
        <w:rPr>
          <w:rFonts w:ascii="Arial" w:hAnsi="Arial" w:cs="Arial"/>
        </w:rPr>
      </w:pPr>
    </w:p>
    <w:p w14:paraId="1BF8E6A0" w14:textId="77777777" w:rsidR="00B019ED" w:rsidRDefault="00B019ED">
      <w:pPr>
        <w:spacing w:after="0" w:line="240" w:lineRule="auto"/>
        <w:rPr>
          <w:rFonts w:ascii="Arial" w:eastAsia="Times New Roman" w:hAnsi="Arial" w:cs="Arial"/>
          <w:sz w:val="24"/>
          <w:szCs w:val="24"/>
          <w:lang w:val="en-GB"/>
        </w:rPr>
      </w:pPr>
      <w:r>
        <w:rPr>
          <w:rFonts w:ascii="Arial" w:hAnsi="Arial" w:cs="Arial"/>
        </w:rPr>
        <w:br w:type="page"/>
      </w:r>
    </w:p>
    <w:p w14:paraId="36B45574" w14:textId="3138D691" w:rsidR="004A0D5C" w:rsidRPr="005912D7" w:rsidRDefault="004A0D5C" w:rsidP="004F076E">
      <w:pPr>
        <w:pStyle w:val="BodyText"/>
        <w:autoSpaceDE w:val="0"/>
        <w:autoSpaceDN w:val="0"/>
        <w:adjustRightInd w:val="0"/>
        <w:spacing w:line="480" w:lineRule="auto"/>
        <w:jc w:val="both"/>
        <w:rPr>
          <w:rFonts w:ascii="Arial" w:hAnsi="Arial" w:cs="Arial"/>
        </w:rPr>
      </w:pPr>
      <w:r w:rsidRPr="005912D7">
        <w:rPr>
          <w:rFonts w:ascii="Arial" w:hAnsi="Arial" w:cs="Arial"/>
        </w:rPr>
        <w:lastRenderedPageBreak/>
        <w:t>APPEARANCES</w:t>
      </w:r>
      <w:r w:rsidR="0025333F">
        <w:rPr>
          <w:rFonts w:ascii="Arial" w:hAnsi="Arial" w:cs="Arial"/>
        </w:rPr>
        <w:t>:</w:t>
      </w:r>
    </w:p>
    <w:p w14:paraId="3F3F0800" w14:textId="77777777" w:rsidR="004A0D5C" w:rsidRPr="005912D7" w:rsidRDefault="004A0D5C" w:rsidP="004F076E">
      <w:pPr>
        <w:pStyle w:val="BodyText"/>
        <w:autoSpaceDE w:val="0"/>
        <w:autoSpaceDN w:val="0"/>
        <w:adjustRightInd w:val="0"/>
        <w:spacing w:line="480" w:lineRule="auto"/>
        <w:jc w:val="both"/>
        <w:rPr>
          <w:rFonts w:ascii="Arial" w:hAnsi="Arial" w:cs="Arial"/>
        </w:rPr>
      </w:pPr>
    </w:p>
    <w:tbl>
      <w:tblPr>
        <w:tblW w:w="0" w:type="auto"/>
        <w:tblLook w:val="04A0" w:firstRow="1" w:lastRow="0" w:firstColumn="1" w:lastColumn="0" w:noHBand="0" w:noVBand="1"/>
      </w:tblPr>
      <w:tblGrid>
        <w:gridCol w:w="4403"/>
        <w:gridCol w:w="4384"/>
      </w:tblGrid>
      <w:tr w:rsidR="004A0D5C" w:rsidRPr="009F40CE" w14:paraId="6C762BCD" w14:textId="77777777" w:rsidTr="00D80DAB">
        <w:tc>
          <w:tcPr>
            <w:tcW w:w="4555" w:type="dxa"/>
            <w:shd w:val="clear" w:color="auto" w:fill="auto"/>
          </w:tcPr>
          <w:p w14:paraId="7022BF10" w14:textId="77777777" w:rsidR="004A0D5C" w:rsidRPr="009F40CE" w:rsidRDefault="004A0D5C" w:rsidP="004F076E">
            <w:pPr>
              <w:pStyle w:val="BodyText"/>
              <w:autoSpaceDE w:val="0"/>
              <w:autoSpaceDN w:val="0"/>
              <w:adjustRightInd w:val="0"/>
              <w:spacing w:line="480" w:lineRule="auto"/>
              <w:ind w:left="-108"/>
              <w:jc w:val="both"/>
              <w:rPr>
                <w:rFonts w:ascii="Arial" w:hAnsi="Arial" w:cs="Arial"/>
              </w:rPr>
            </w:pPr>
            <w:r w:rsidRPr="009F40CE">
              <w:rPr>
                <w:rFonts w:ascii="Arial" w:hAnsi="Arial" w:cs="Arial"/>
              </w:rPr>
              <w:t>APPELLANT:</w:t>
            </w:r>
          </w:p>
        </w:tc>
        <w:tc>
          <w:tcPr>
            <w:tcW w:w="4556" w:type="dxa"/>
            <w:shd w:val="clear" w:color="auto" w:fill="auto"/>
          </w:tcPr>
          <w:p w14:paraId="0008CB91" w14:textId="77777777" w:rsidR="004A0D5C" w:rsidRPr="009F40CE" w:rsidRDefault="004A0D5C" w:rsidP="004F076E">
            <w:pPr>
              <w:pStyle w:val="BodyText"/>
              <w:autoSpaceDE w:val="0"/>
              <w:autoSpaceDN w:val="0"/>
              <w:adjustRightInd w:val="0"/>
              <w:spacing w:line="480" w:lineRule="auto"/>
              <w:jc w:val="left"/>
              <w:rPr>
                <w:rFonts w:ascii="Arial" w:hAnsi="Arial" w:cs="Arial"/>
              </w:rPr>
            </w:pPr>
            <w:r>
              <w:rPr>
                <w:rFonts w:ascii="Arial" w:hAnsi="Arial" w:cs="Arial"/>
              </w:rPr>
              <w:t xml:space="preserve">H Garbers-Kirsten </w:t>
            </w:r>
          </w:p>
        </w:tc>
      </w:tr>
      <w:tr w:rsidR="004A0D5C" w:rsidRPr="009F40CE" w14:paraId="199AD9EB" w14:textId="77777777" w:rsidTr="00D80DAB">
        <w:tc>
          <w:tcPr>
            <w:tcW w:w="4555" w:type="dxa"/>
            <w:shd w:val="clear" w:color="auto" w:fill="auto"/>
          </w:tcPr>
          <w:p w14:paraId="0C7B452C" w14:textId="77777777" w:rsidR="004A0D5C" w:rsidRPr="009F40CE" w:rsidRDefault="004A0D5C" w:rsidP="004F076E">
            <w:pPr>
              <w:pStyle w:val="BodyText"/>
              <w:autoSpaceDE w:val="0"/>
              <w:autoSpaceDN w:val="0"/>
              <w:adjustRightInd w:val="0"/>
              <w:spacing w:line="480" w:lineRule="auto"/>
              <w:ind w:left="-108"/>
              <w:jc w:val="both"/>
              <w:rPr>
                <w:rFonts w:ascii="Arial" w:hAnsi="Arial" w:cs="Arial"/>
              </w:rPr>
            </w:pPr>
          </w:p>
        </w:tc>
        <w:tc>
          <w:tcPr>
            <w:tcW w:w="4556" w:type="dxa"/>
            <w:shd w:val="clear" w:color="auto" w:fill="auto"/>
          </w:tcPr>
          <w:p w14:paraId="7019673F" w14:textId="04F8E56A" w:rsidR="004A0D5C" w:rsidRPr="009F40CE" w:rsidRDefault="004A0D5C" w:rsidP="004F076E">
            <w:pPr>
              <w:pStyle w:val="BodyText"/>
              <w:autoSpaceDE w:val="0"/>
              <w:autoSpaceDN w:val="0"/>
              <w:adjustRightInd w:val="0"/>
              <w:spacing w:line="480" w:lineRule="auto"/>
              <w:jc w:val="left"/>
              <w:rPr>
                <w:rFonts w:ascii="Arial" w:hAnsi="Arial" w:cs="Arial"/>
              </w:rPr>
            </w:pPr>
            <w:r w:rsidRPr="009F40CE">
              <w:rPr>
                <w:rFonts w:ascii="Arial" w:hAnsi="Arial" w:cs="Arial"/>
              </w:rPr>
              <w:t xml:space="preserve">Instructed by </w:t>
            </w:r>
            <w:proofErr w:type="spellStart"/>
            <w:r w:rsidR="0025333F">
              <w:rPr>
                <w:rFonts w:ascii="Arial" w:hAnsi="Arial" w:cs="Arial"/>
              </w:rPr>
              <w:t>Koep</w:t>
            </w:r>
            <w:proofErr w:type="spellEnd"/>
            <w:r w:rsidR="0025333F">
              <w:rPr>
                <w:rFonts w:ascii="Arial" w:hAnsi="Arial" w:cs="Arial"/>
              </w:rPr>
              <w:t xml:space="preserve"> &amp;</w:t>
            </w:r>
            <w:r>
              <w:rPr>
                <w:rFonts w:ascii="Arial" w:hAnsi="Arial" w:cs="Arial"/>
              </w:rPr>
              <w:t xml:space="preserve"> Partners </w:t>
            </w:r>
          </w:p>
        </w:tc>
      </w:tr>
      <w:tr w:rsidR="004A0D5C" w:rsidRPr="009F40CE" w14:paraId="4A023DF3" w14:textId="77777777" w:rsidTr="00D80DAB">
        <w:tc>
          <w:tcPr>
            <w:tcW w:w="4555" w:type="dxa"/>
            <w:shd w:val="clear" w:color="auto" w:fill="auto"/>
          </w:tcPr>
          <w:p w14:paraId="64A6D3ED" w14:textId="77777777" w:rsidR="004A0D5C" w:rsidRPr="009F40CE" w:rsidRDefault="004A0D5C" w:rsidP="004F076E">
            <w:pPr>
              <w:pStyle w:val="BodyText"/>
              <w:autoSpaceDE w:val="0"/>
              <w:autoSpaceDN w:val="0"/>
              <w:adjustRightInd w:val="0"/>
              <w:spacing w:line="480" w:lineRule="auto"/>
              <w:ind w:left="-108"/>
              <w:jc w:val="both"/>
              <w:rPr>
                <w:rFonts w:ascii="Arial" w:hAnsi="Arial" w:cs="Arial"/>
              </w:rPr>
            </w:pPr>
          </w:p>
        </w:tc>
        <w:tc>
          <w:tcPr>
            <w:tcW w:w="4556" w:type="dxa"/>
            <w:shd w:val="clear" w:color="auto" w:fill="auto"/>
          </w:tcPr>
          <w:p w14:paraId="6F1D16D8" w14:textId="77777777" w:rsidR="004A0D5C" w:rsidRPr="009F40CE" w:rsidRDefault="004A0D5C" w:rsidP="004F076E">
            <w:pPr>
              <w:pStyle w:val="BodyText"/>
              <w:autoSpaceDE w:val="0"/>
              <w:autoSpaceDN w:val="0"/>
              <w:adjustRightInd w:val="0"/>
              <w:spacing w:line="480" w:lineRule="auto"/>
              <w:jc w:val="left"/>
              <w:rPr>
                <w:rFonts w:ascii="Arial" w:hAnsi="Arial" w:cs="Arial"/>
              </w:rPr>
            </w:pPr>
          </w:p>
        </w:tc>
      </w:tr>
      <w:tr w:rsidR="004A0D5C" w:rsidRPr="009F40CE" w14:paraId="387161B7" w14:textId="77777777" w:rsidTr="00D80DAB">
        <w:tc>
          <w:tcPr>
            <w:tcW w:w="4555" w:type="dxa"/>
            <w:shd w:val="clear" w:color="auto" w:fill="auto"/>
          </w:tcPr>
          <w:p w14:paraId="530F7941" w14:textId="77777777" w:rsidR="004A0D5C" w:rsidRPr="009F40CE" w:rsidRDefault="004A0D5C" w:rsidP="004F076E">
            <w:pPr>
              <w:pStyle w:val="BodyText"/>
              <w:autoSpaceDE w:val="0"/>
              <w:autoSpaceDN w:val="0"/>
              <w:adjustRightInd w:val="0"/>
              <w:spacing w:line="480" w:lineRule="auto"/>
              <w:ind w:left="-108"/>
              <w:jc w:val="both"/>
              <w:rPr>
                <w:rFonts w:ascii="Arial" w:hAnsi="Arial" w:cs="Arial"/>
              </w:rPr>
            </w:pPr>
          </w:p>
        </w:tc>
        <w:tc>
          <w:tcPr>
            <w:tcW w:w="4556" w:type="dxa"/>
            <w:shd w:val="clear" w:color="auto" w:fill="auto"/>
          </w:tcPr>
          <w:p w14:paraId="13AB949F" w14:textId="77777777" w:rsidR="004A0D5C" w:rsidRPr="009F40CE" w:rsidRDefault="004A0D5C" w:rsidP="004F076E">
            <w:pPr>
              <w:pStyle w:val="BodyText"/>
              <w:autoSpaceDE w:val="0"/>
              <w:autoSpaceDN w:val="0"/>
              <w:adjustRightInd w:val="0"/>
              <w:spacing w:line="480" w:lineRule="auto"/>
              <w:jc w:val="left"/>
              <w:rPr>
                <w:rFonts w:ascii="Arial" w:hAnsi="Arial" w:cs="Arial"/>
              </w:rPr>
            </w:pPr>
          </w:p>
        </w:tc>
      </w:tr>
      <w:tr w:rsidR="004A0D5C" w:rsidRPr="009F40CE" w14:paraId="2FE058B3" w14:textId="77777777" w:rsidTr="00D80DAB">
        <w:tc>
          <w:tcPr>
            <w:tcW w:w="4555" w:type="dxa"/>
            <w:shd w:val="clear" w:color="auto" w:fill="auto"/>
          </w:tcPr>
          <w:p w14:paraId="70BE8E08" w14:textId="77777777" w:rsidR="004A0D5C" w:rsidRPr="009F40CE" w:rsidRDefault="004A0D5C" w:rsidP="00D80DAB">
            <w:pPr>
              <w:pStyle w:val="BodyText"/>
              <w:autoSpaceDE w:val="0"/>
              <w:autoSpaceDN w:val="0"/>
              <w:adjustRightInd w:val="0"/>
              <w:spacing w:line="480" w:lineRule="auto"/>
              <w:ind w:left="-108"/>
              <w:jc w:val="both"/>
              <w:rPr>
                <w:rFonts w:ascii="Arial" w:hAnsi="Arial" w:cs="Arial"/>
              </w:rPr>
            </w:pPr>
            <w:r>
              <w:rPr>
                <w:rFonts w:ascii="Arial" w:hAnsi="Arial" w:cs="Arial"/>
              </w:rPr>
              <w:t xml:space="preserve">FIRST </w:t>
            </w:r>
            <w:r w:rsidRPr="009F40CE">
              <w:rPr>
                <w:rFonts w:ascii="Arial" w:hAnsi="Arial" w:cs="Arial"/>
              </w:rPr>
              <w:t>RESPONDENT:</w:t>
            </w:r>
          </w:p>
        </w:tc>
        <w:tc>
          <w:tcPr>
            <w:tcW w:w="4556" w:type="dxa"/>
            <w:shd w:val="clear" w:color="auto" w:fill="auto"/>
          </w:tcPr>
          <w:p w14:paraId="595BBFF7" w14:textId="77777777" w:rsidR="004A0D5C" w:rsidRPr="009F40CE" w:rsidRDefault="004A0D5C" w:rsidP="00D80DAB">
            <w:pPr>
              <w:pStyle w:val="BodyText"/>
              <w:autoSpaceDE w:val="0"/>
              <w:autoSpaceDN w:val="0"/>
              <w:adjustRightInd w:val="0"/>
              <w:spacing w:line="480" w:lineRule="auto"/>
              <w:jc w:val="left"/>
              <w:rPr>
                <w:rFonts w:ascii="Arial" w:hAnsi="Arial" w:cs="Arial"/>
              </w:rPr>
            </w:pPr>
            <w:r>
              <w:rPr>
                <w:rFonts w:ascii="Arial" w:hAnsi="Arial" w:cs="Arial"/>
              </w:rPr>
              <w:t xml:space="preserve">No appearance </w:t>
            </w:r>
          </w:p>
        </w:tc>
      </w:tr>
      <w:tr w:rsidR="004A0D5C" w:rsidRPr="009F40CE" w14:paraId="2E536FBE" w14:textId="77777777" w:rsidTr="00D80DAB">
        <w:tc>
          <w:tcPr>
            <w:tcW w:w="4555" w:type="dxa"/>
            <w:shd w:val="clear" w:color="auto" w:fill="auto"/>
          </w:tcPr>
          <w:p w14:paraId="4CB78911" w14:textId="77777777" w:rsidR="004A0D5C" w:rsidRPr="009F40CE" w:rsidRDefault="004A0D5C" w:rsidP="00D80DAB">
            <w:pPr>
              <w:pStyle w:val="BodyText"/>
              <w:autoSpaceDE w:val="0"/>
              <w:autoSpaceDN w:val="0"/>
              <w:adjustRightInd w:val="0"/>
              <w:spacing w:line="480" w:lineRule="auto"/>
              <w:ind w:left="-108"/>
              <w:jc w:val="both"/>
              <w:rPr>
                <w:rFonts w:ascii="Arial" w:hAnsi="Arial" w:cs="Arial"/>
              </w:rPr>
            </w:pPr>
          </w:p>
        </w:tc>
        <w:tc>
          <w:tcPr>
            <w:tcW w:w="4556" w:type="dxa"/>
            <w:shd w:val="clear" w:color="auto" w:fill="auto"/>
          </w:tcPr>
          <w:p w14:paraId="38123A4D" w14:textId="77777777" w:rsidR="004A0D5C" w:rsidRPr="009F40CE" w:rsidRDefault="004A0D5C" w:rsidP="00D80DAB">
            <w:pPr>
              <w:pStyle w:val="BodyText"/>
              <w:autoSpaceDE w:val="0"/>
              <w:autoSpaceDN w:val="0"/>
              <w:adjustRightInd w:val="0"/>
              <w:spacing w:line="480" w:lineRule="auto"/>
              <w:jc w:val="left"/>
              <w:rPr>
                <w:rFonts w:ascii="Arial" w:hAnsi="Arial" w:cs="Arial"/>
              </w:rPr>
            </w:pPr>
            <w:r>
              <w:rPr>
                <w:rFonts w:ascii="Arial" w:hAnsi="Arial" w:cs="Arial"/>
              </w:rPr>
              <w:t xml:space="preserve"> </w:t>
            </w:r>
          </w:p>
        </w:tc>
      </w:tr>
      <w:tr w:rsidR="004A0D5C" w:rsidRPr="009F40CE" w14:paraId="4123A83D" w14:textId="77777777" w:rsidTr="00D80DAB">
        <w:tc>
          <w:tcPr>
            <w:tcW w:w="4555" w:type="dxa"/>
            <w:shd w:val="clear" w:color="auto" w:fill="auto"/>
          </w:tcPr>
          <w:p w14:paraId="51F2A8B5" w14:textId="77777777" w:rsidR="004A0D5C" w:rsidRPr="009F40CE" w:rsidRDefault="004A0D5C" w:rsidP="00D80DAB">
            <w:pPr>
              <w:pStyle w:val="BodyText"/>
              <w:autoSpaceDE w:val="0"/>
              <w:autoSpaceDN w:val="0"/>
              <w:adjustRightInd w:val="0"/>
              <w:spacing w:line="480" w:lineRule="auto"/>
              <w:ind w:left="-108"/>
              <w:jc w:val="both"/>
              <w:rPr>
                <w:rFonts w:ascii="Arial" w:hAnsi="Arial" w:cs="Arial"/>
              </w:rPr>
            </w:pPr>
            <w:r>
              <w:rPr>
                <w:rFonts w:ascii="Arial" w:hAnsi="Arial" w:cs="Arial"/>
              </w:rPr>
              <w:t>SECOND RESPONDENT:</w:t>
            </w:r>
          </w:p>
        </w:tc>
        <w:tc>
          <w:tcPr>
            <w:tcW w:w="4556" w:type="dxa"/>
            <w:shd w:val="clear" w:color="auto" w:fill="auto"/>
          </w:tcPr>
          <w:p w14:paraId="653F1C0A" w14:textId="77777777" w:rsidR="004A0D5C" w:rsidRDefault="004A0D5C" w:rsidP="00D80DAB">
            <w:pPr>
              <w:pStyle w:val="BodyText"/>
              <w:autoSpaceDE w:val="0"/>
              <w:autoSpaceDN w:val="0"/>
              <w:adjustRightInd w:val="0"/>
              <w:spacing w:line="480" w:lineRule="auto"/>
              <w:jc w:val="left"/>
              <w:rPr>
                <w:rFonts w:ascii="Arial" w:hAnsi="Arial" w:cs="Arial"/>
              </w:rPr>
            </w:pPr>
            <w:r>
              <w:rPr>
                <w:rFonts w:ascii="Arial" w:hAnsi="Arial" w:cs="Arial"/>
              </w:rPr>
              <w:t>No appearance</w:t>
            </w:r>
          </w:p>
        </w:tc>
      </w:tr>
    </w:tbl>
    <w:p w14:paraId="0FFA08A0" w14:textId="77777777" w:rsidR="004A0D5C" w:rsidRPr="009A10A7" w:rsidRDefault="004A0D5C" w:rsidP="009A10A7">
      <w:pPr>
        <w:pStyle w:val="ListParagraph"/>
        <w:spacing w:after="0" w:line="480" w:lineRule="auto"/>
        <w:ind w:left="0"/>
        <w:jc w:val="both"/>
        <w:rPr>
          <w:rFonts w:ascii="Arial" w:hAnsi="Arial" w:cs="Arial"/>
          <w:sz w:val="24"/>
          <w:szCs w:val="24"/>
          <w:lang w:val="en-US"/>
        </w:rPr>
      </w:pPr>
    </w:p>
    <w:sectPr w:rsidR="004A0D5C" w:rsidRPr="009A10A7" w:rsidSect="00DA1DFA">
      <w:headerReference w:type="default" r:id="rId12"/>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81D7" w14:textId="77777777" w:rsidR="001E521C" w:rsidRDefault="001E521C" w:rsidP="009A10A7">
      <w:pPr>
        <w:spacing w:after="0" w:line="240" w:lineRule="auto"/>
      </w:pPr>
      <w:r>
        <w:separator/>
      </w:r>
    </w:p>
  </w:endnote>
  <w:endnote w:type="continuationSeparator" w:id="0">
    <w:p w14:paraId="4359BE65" w14:textId="77777777" w:rsidR="001E521C" w:rsidRDefault="001E521C" w:rsidP="009A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89E7" w14:textId="77777777" w:rsidR="001E521C" w:rsidRDefault="001E521C" w:rsidP="009A10A7">
      <w:pPr>
        <w:spacing w:after="0" w:line="240" w:lineRule="auto"/>
      </w:pPr>
      <w:r>
        <w:separator/>
      </w:r>
    </w:p>
  </w:footnote>
  <w:footnote w:type="continuationSeparator" w:id="0">
    <w:p w14:paraId="1E5D8072" w14:textId="77777777" w:rsidR="001E521C" w:rsidRDefault="001E521C" w:rsidP="009A10A7">
      <w:pPr>
        <w:spacing w:after="0" w:line="240" w:lineRule="auto"/>
      </w:pPr>
      <w:r>
        <w:continuationSeparator/>
      </w:r>
    </w:p>
  </w:footnote>
  <w:footnote w:id="1">
    <w:p w14:paraId="704B8B21" w14:textId="106518A4" w:rsidR="00735E9C" w:rsidRPr="00075DD3" w:rsidRDefault="00735E9C">
      <w:pPr>
        <w:pStyle w:val="FootnoteText"/>
        <w:rPr>
          <w:rFonts w:ascii="Arial" w:hAnsi="Arial" w:cs="Arial"/>
          <w:lang w:val="en-US"/>
        </w:rPr>
      </w:pPr>
      <w:r w:rsidRPr="00075DD3">
        <w:rPr>
          <w:rStyle w:val="FootnoteReference"/>
          <w:rFonts w:ascii="Arial" w:hAnsi="Arial" w:cs="Arial"/>
        </w:rPr>
        <w:footnoteRef/>
      </w:r>
      <w:r w:rsidRPr="00075DD3">
        <w:rPr>
          <w:rFonts w:ascii="Arial" w:hAnsi="Arial" w:cs="Arial"/>
        </w:rPr>
        <w:t xml:space="preserve"> </w:t>
      </w:r>
      <w:r w:rsidRPr="00075DD3">
        <w:rPr>
          <w:rFonts w:ascii="Arial" w:hAnsi="Arial" w:cs="Arial"/>
          <w:lang w:val="en-US"/>
        </w:rPr>
        <w:t>In terms of s 64(1) of the Close Corporations Act 26 of 1988.</w:t>
      </w:r>
    </w:p>
  </w:footnote>
  <w:footnote w:id="2">
    <w:p w14:paraId="1B29D0CE" w14:textId="08599C2D" w:rsidR="009A10A7" w:rsidRPr="004F076E" w:rsidRDefault="009A10A7" w:rsidP="004F076E">
      <w:pPr>
        <w:pStyle w:val="FootnoteText"/>
        <w:jc w:val="both"/>
        <w:rPr>
          <w:rFonts w:ascii="Arial" w:hAnsi="Arial" w:cs="Arial"/>
          <w:lang w:val="en-US"/>
        </w:rPr>
      </w:pPr>
      <w:r w:rsidRPr="00075DD3">
        <w:rPr>
          <w:rStyle w:val="FootnoteReference"/>
          <w:rFonts w:ascii="Arial" w:hAnsi="Arial" w:cs="Arial"/>
        </w:rPr>
        <w:footnoteRef/>
      </w:r>
      <w:proofErr w:type="spellStart"/>
      <w:r w:rsidRPr="00075DD3">
        <w:rPr>
          <w:rFonts w:ascii="Arial" w:hAnsi="Arial" w:cs="Arial"/>
          <w:i/>
          <w:lang w:val="en-GB"/>
        </w:rPr>
        <w:t>Teichmann</w:t>
      </w:r>
      <w:proofErr w:type="spellEnd"/>
      <w:r w:rsidRPr="00075DD3">
        <w:rPr>
          <w:rFonts w:ascii="Arial" w:hAnsi="Arial" w:cs="Arial"/>
          <w:i/>
          <w:lang w:val="en-GB"/>
        </w:rPr>
        <w:t xml:space="preserve"> Plant Hire (Pty) Ltd v Coetzee</w:t>
      </w:r>
      <w:r w:rsidRPr="00075DD3">
        <w:rPr>
          <w:rFonts w:ascii="Arial" w:hAnsi="Arial" w:cs="Arial"/>
          <w:lang w:val="en-GB"/>
        </w:rPr>
        <w:t xml:space="preserve"> (HC-MD-CIV-ACT 2016-03173) [2017] NAHCMD 61(8 March 2017)</w:t>
      </w:r>
      <w:r w:rsidR="00075DD3">
        <w:rPr>
          <w:rFonts w:ascii="Arial" w:hAnsi="Arial" w:cs="Arial"/>
          <w:lang w:val="en-GB"/>
        </w:rPr>
        <w:t>.</w:t>
      </w:r>
    </w:p>
  </w:footnote>
  <w:footnote w:id="3">
    <w:p w14:paraId="2E3C1EDE" w14:textId="305101C0" w:rsidR="004A0D5C" w:rsidRPr="009E3BAD" w:rsidRDefault="004A0D5C" w:rsidP="004F076E">
      <w:pPr>
        <w:pStyle w:val="FootnoteText"/>
        <w:rPr>
          <w:rFonts w:ascii="Arial" w:hAnsi="Arial" w:cs="Arial"/>
          <w:lang w:val="en-US"/>
        </w:rPr>
      </w:pPr>
      <w:r w:rsidRPr="009E3BAD">
        <w:rPr>
          <w:rStyle w:val="FootnoteReference"/>
          <w:rFonts w:ascii="Arial" w:hAnsi="Arial" w:cs="Arial"/>
        </w:rPr>
        <w:footnoteRef/>
      </w:r>
      <w:r w:rsidRPr="009E3BAD">
        <w:rPr>
          <w:rFonts w:ascii="Arial" w:hAnsi="Arial" w:cs="Arial"/>
        </w:rPr>
        <w:t xml:space="preserve"> </w:t>
      </w:r>
      <w:r w:rsidRPr="009E3BAD">
        <w:rPr>
          <w:rFonts w:ascii="Arial" w:hAnsi="Arial" w:cs="Arial"/>
          <w:i/>
          <w:lang w:val="en-US"/>
        </w:rPr>
        <w:t>Food &amp; Nutritional Products (Pty) Ltd v Neumann</w:t>
      </w:r>
      <w:r w:rsidRPr="009E3BAD">
        <w:rPr>
          <w:rFonts w:ascii="Arial" w:hAnsi="Arial" w:cs="Arial"/>
          <w:lang w:val="en-US"/>
        </w:rPr>
        <w:t xml:space="preserve"> 1986 (3) SA 464 (W) at 475</w:t>
      </w:r>
      <w:r w:rsidR="009E3BAD" w:rsidRPr="009E3BAD">
        <w:rPr>
          <w:rFonts w:ascii="Arial" w:hAnsi="Arial" w:cs="Arial"/>
          <w:lang w:val="en-US"/>
        </w:rPr>
        <w:t>.</w:t>
      </w:r>
    </w:p>
  </w:footnote>
  <w:footnote w:id="4">
    <w:p w14:paraId="5378EEAF" w14:textId="14EE8AF4" w:rsidR="004A0D5C" w:rsidRPr="009E3BAD" w:rsidRDefault="004A0D5C" w:rsidP="004F076E">
      <w:pPr>
        <w:spacing w:after="0" w:line="240" w:lineRule="auto"/>
        <w:jc w:val="both"/>
        <w:rPr>
          <w:rFonts w:ascii="Arial" w:hAnsi="Arial" w:cs="Arial"/>
          <w:sz w:val="20"/>
          <w:szCs w:val="20"/>
          <w:lang w:val="en-US"/>
        </w:rPr>
      </w:pPr>
      <w:r w:rsidRPr="009E3BAD">
        <w:rPr>
          <w:rStyle w:val="FootnoteReference"/>
          <w:rFonts w:ascii="Arial" w:hAnsi="Arial" w:cs="Arial"/>
          <w:sz w:val="20"/>
          <w:szCs w:val="20"/>
        </w:rPr>
        <w:footnoteRef/>
      </w:r>
      <w:r w:rsidR="00A123B5">
        <w:rPr>
          <w:rFonts w:ascii="Arial" w:hAnsi="Arial" w:cs="Arial"/>
          <w:sz w:val="20"/>
          <w:szCs w:val="20"/>
          <w:lang w:val="en-US"/>
        </w:rPr>
        <w:t xml:space="preserve"> </w:t>
      </w:r>
      <w:r w:rsidRPr="009E3BAD">
        <w:rPr>
          <w:rFonts w:ascii="Arial" w:hAnsi="Arial" w:cs="Arial"/>
          <w:sz w:val="20"/>
          <w:szCs w:val="20"/>
          <w:lang w:val="en-US"/>
        </w:rPr>
        <w:t>‘(1) When it appears, whether it be in a winding-up, judicial management or otherwise, that any business of the company was or is being carried on recklessly or with intent to defraud creditors of the company or creditors of any other person or for any fraudulent purpose, the Court may, on the application of the Master, the liquidator, the judicial manager, any creditor or member or contributory of the company, declare that any person who was knowingly a party to the carrying on of the business in the manner aforesaid, shall be personally responsible, without any limitation of liability, for all or any of the debts or other liabilities of the company as the Court may direct.’</w:t>
      </w:r>
    </w:p>
    <w:p w14:paraId="616986B7" w14:textId="77777777" w:rsidR="004A0D5C" w:rsidRPr="00930144" w:rsidRDefault="004A0D5C" w:rsidP="004A0D5C">
      <w:pPr>
        <w:pStyle w:val="FootnoteText"/>
        <w:rPr>
          <w:lang w:val="en-US"/>
        </w:rPr>
      </w:pPr>
    </w:p>
  </w:footnote>
  <w:footnote w:id="5">
    <w:p w14:paraId="2861FDD6" w14:textId="329ECC98" w:rsidR="004A0D5C" w:rsidRPr="00ED61A8" w:rsidRDefault="004A0D5C" w:rsidP="004F076E">
      <w:pPr>
        <w:pStyle w:val="FootnoteText"/>
        <w:rPr>
          <w:rFonts w:ascii="Arial" w:hAnsi="Arial" w:cs="Arial"/>
          <w:lang w:val="en-US"/>
        </w:rPr>
      </w:pPr>
      <w:r w:rsidRPr="00ED61A8">
        <w:rPr>
          <w:rStyle w:val="FootnoteReference"/>
          <w:rFonts w:ascii="Arial" w:hAnsi="Arial" w:cs="Arial"/>
        </w:rPr>
        <w:footnoteRef/>
      </w:r>
      <w:r w:rsidRPr="00ED61A8">
        <w:rPr>
          <w:rFonts w:ascii="Arial" w:hAnsi="Arial" w:cs="Arial"/>
        </w:rPr>
        <w:t xml:space="preserve"> </w:t>
      </w:r>
      <w:r w:rsidRPr="00ED61A8">
        <w:rPr>
          <w:rFonts w:ascii="Arial" w:hAnsi="Arial" w:cs="Arial"/>
          <w:i/>
          <w:lang w:val="en-US"/>
        </w:rPr>
        <w:t>Hangula v Motor Vehicle Accident Fund</w:t>
      </w:r>
      <w:r w:rsidRPr="00ED61A8">
        <w:rPr>
          <w:rFonts w:ascii="Arial" w:hAnsi="Arial" w:cs="Arial"/>
          <w:lang w:val="en-US"/>
        </w:rPr>
        <w:t xml:space="preserve"> 2013 (2) NR 358 (HC)</w:t>
      </w:r>
      <w:r w:rsidR="00AF3418">
        <w:rPr>
          <w:rFonts w:ascii="Arial" w:hAnsi="Arial" w:cs="Arial"/>
          <w:lang w:val="en-US"/>
        </w:rPr>
        <w:t>.</w:t>
      </w:r>
    </w:p>
  </w:footnote>
  <w:footnote w:id="6">
    <w:p w14:paraId="5253CF09" w14:textId="77777777" w:rsidR="004A0D5C" w:rsidRPr="00ED61A8" w:rsidRDefault="004A0D5C" w:rsidP="004F076E">
      <w:pPr>
        <w:pStyle w:val="FootnoteText"/>
        <w:jc w:val="both"/>
        <w:rPr>
          <w:rFonts w:ascii="Arial" w:hAnsi="Arial" w:cs="Arial"/>
          <w:lang w:val="en-US"/>
        </w:rPr>
      </w:pPr>
      <w:r w:rsidRPr="00ED61A8">
        <w:rPr>
          <w:rStyle w:val="FootnoteReference"/>
          <w:rFonts w:ascii="Arial" w:hAnsi="Arial" w:cs="Arial"/>
        </w:rPr>
        <w:footnoteRef/>
      </w:r>
      <w:r w:rsidRPr="00ED61A8">
        <w:rPr>
          <w:rFonts w:ascii="Arial" w:hAnsi="Arial" w:cs="Arial"/>
        </w:rPr>
        <w:t xml:space="preserve"> See </w:t>
      </w:r>
      <w:r w:rsidRPr="00ED61A8">
        <w:rPr>
          <w:rFonts w:ascii="Arial" w:hAnsi="Arial" w:cs="Arial"/>
          <w:i/>
        </w:rPr>
        <w:t>Food &amp; Nutritional Products (Pty) Ltd v Neumann</w:t>
      </w:r>
      <w:r w:rsidRPr="00ED61A8">
        <w:rPr>
          <w:rFonts w:ascii="Arial" w:hAnsi="Arial" w:cs="Arial"/>
        </w:rPr>
        <w:t xml:space="preserve"> 1986 (3) SA 464 (W); </w:t>
      </w:r>
      <w:proofErr w:type="spellStart"/>
      <w:r w:rsidRPr="00ED61A8">
        <w:rPr>
          <w:rFonts w:ascii="Arial" w:hAnsi="Arial" w:cs="Arial"/>
          <w:i/>
        </w:rPr>
        <w:t>Adfin</w:t>
      </w:r>
      <w:proofErr w:type="spellEnd"/>
      <w:r w:rsidRPr="00ED61A8">
        <w:rPr>
          <w:rFonts w:ascii="Arial" w:hAnsi="Arial" w:cs="Arial"/>
          <w:i/>
        </w:rPr>
        <w:t xml:space="preserve"> (Pty) Ltd v Durable Engineering Works (Pty) Ltd</w:t>
      </w:r>
      <w:r w:rsidRPr="00ED61A8">
        <w:rPr>
          <w:rFonts w:ascii="Arial" w:hAnsi="Arial" w:cs="Arial"/>
        </w:rPr>
        <w:t xml:space="preserve"> 1991 (2) SA 366 (C); </w:t>
      </w:r>
      <w:r w:rsidRPr="00ED61A8">
        <w:rPr>
          <w:rFonts w:ascii="Arial" w:hAnsi="Arial" w:cs="Arial"/>
          <w:i/>
        </w:rPr>
        <w:t xml:space="preserve">Howard v </w:t>
      </w:r>
      <w:proofErr w:type="spellStart"/>
      <w:r w:rsidRPr="00ED61A8">
        <w:rPr>
          <w:rFonts w:ascii="Arial" w:hAnsi="Arial" w:cs="Arial"/>
          <w:i/>
        </w:rPr>
        <w:t>Herrigel</w:t>
      </w:r>
      <w:proofErr w:type="spellEnd"/>
      <w:r w:rsidRPr="00ED61A8">
        <w:rPr>
          <w:rFonts w:ascii="Arial" w:hAnsi="Arial" w:cs="Arial"/>
          <w:i/>
        </w:rPr>
        <w:t xml:space="preserve"> and Another NNO </w:t>
      </w:r>
      <w:r w:rsidRPr="00ED61A8">
        <w:rPr>
          <w:rFonts w:ascii="Arial" w:hAnsi="Arial" w:cs="Arial"/>
        </w:rPr>
        <w:t>1991 (2) SA 660 (A).</w:t>
      </w:r>
    </w:p>
  </w:footnote>
  <w:footnote w:id="7">
    <w:p w14:paraId="743A735E" w14:textId="111BB7BE" w:rsidR="004A0D5C" w:rsidRPr="00ED61A8" w:rsidRDefault="004A0D5C" w:rsidP="004F076E">
      <w:pPr>
        <w:pStyle w:val="FootnoteText"/>
        <w:jc w:val="both"/>
        <w:rPr>
          <w:rFonts w:ascii="Arial" w:hAnsi="Arial" w:cs="Arial"/>
          <w:lang w:val="en-US"/>
        </w:rPr>
      </w:pPr>
      <w:r w:rsidRPr="00ED61A8">
        <w:rPr>
          <w:rStyle w:val="FootnoteReference"/>
          <w:rFonts w:ascii="Arial" w:hAnsi="Arial" w:cs="Arial"/>
        </w:rPr>
        <w:footnoteRef/>
      </w:r>
      <w:r w:rsidRPr="00ED61A8">
        <w:rPr>
          <w:rFonts w:ascii="Arial" w:hAnsi="Arial" w:cs="Arial"/>
        </w:rPr>
        <w:t xml:space="preserve"> </w:t>
      </w:r>
      <w:r w:rsidRPr="00ED61A8">
        <w:rPr>
          <w:rFonts w:ascii="Arial" w:hAnsi="Arial" w:cs="Arial"/>
          <w:i/>
        </w:rPr>
        <w:t xml:space="preserve">CJ Smith &amp; CO v CJ Investments Number Eighty Four CC T/A </w:t>
      </w:r>
      <w:proofErr w:type="spellStart"/>
      <w:r w:rsidRPr="00ED61A8">
        <w:rPr>
          <w:rFonts w:ascii="Arial" w:hAnsi="Arial" w:cs="Arial"/>
          <w:i/>
        </w:rPr>
        <w:t>Shisa</w:t>
      </w:r>
      <w:proofErr w:type="spellEnd"/>
      <w:r w:rsidRPr="00ED61A8">
        <w:rPr>
          <w:rFonts w:ascii="Arial" w:hAnsi="Arial" w:cs="Arial"/>
          <w:i/>
        </w:rPr>
        <w:t xml:space="preserve"> </w:t>
      </w:r>
      <w:proofErr w:type="spellStart"/>
      <w:r w:rsidRPr="00ED61A8">
        <w:rPr>
          <w:rFonts w:ascii="Arial" w:hAnsi="Arial" w:cs="Arial"/>
          <w:i/>
        </w:rPr>
        <w:t>Nyama</w:t>
      </w:r>
      <w:proofErr w:type="spellEnd"/>
      <w:r w:rsidRPr="00ED61A8">
        <w:rPr>
          <w:rFonts w:ascii="Arial" w:hAnsi="Arial" w:cs="Arial"/>
          <w:i/>
        </w:rPr>
        <w:t xml:space="preserve"> </w:t>
      </w:r>
      <w:proofErr w:type="spellStart"/>
      <w:r w:rsidRPr="00ED61A8">
        <w:rPr>
          <w:rFonts w:ascii="Arial" w:hAnsi="Arial" w:cs="Arial"/>
          <w:i/>
        </w:rPr>
        <w:t>Wernhil</w:t>
      </w:r>
      <w:proofErr w:type="spellEnd"/>
      <w:r w:rsidRPr="00ED61A8">
        <w:rPr>
          <w:rFonts w:ascii="Arial" w:hAnsi="Arial" w:cs="Arial"/>
          <w:i/>
        </w:rPr>
        <w:t xml:space="preserve"> </w:t>
      </w:r>
      <w:r w:rsidRPr="00ED61A8">
        <w:rPr>
          <w:rFonts w:ascii="Arial" w:hAnsi="Arial" w:cs="Arial"/>
        </w:rPr>
        <w:t>(HC-MD-CIV-ACT-OTH-2019/04027) [2021] NAHCMD 154 (27 October 2021)</w:t>
      </w:r>
      <w:r w:rsidR="00AF3418">
        <w:rPr>
          <w:rFonts w:ascii="Arial" w:hAnsi="Arial" w:cs="Arial"/>
        </w:rPr>
        <w:t>.</w:t>
      </w:r>
    </w:p>
  </w:footnote>
  <w:footnote w:id="8">
    <w:p w14:paraId="0168DAF5" w14:textId="6F64A34D" w:rsidR="004A0D5C" w:rsidRPr="00ED61A8" w:rsidRDefault="004A0D5C" w:rsidP="004F076E">
      <w:pPr>
        <w:pStyle w:val="FootnoteText"/>
        <w:jc w:val="both"/>
        <w:rPr>
          <w:rFonts w:ascii="Arial" w:hAnsi="Arial" w:cs="Arial"/>
          <w:lang w:val="en-US"/>
        </w:rPr>
      </w:pPr>
      <w:r w:rsidRPr="00ED61A8">
        <w:rPr>
          <w:rStyle w:val="FootnoteReference"/>
          <w:rFonts w:ascii="Arial" w:hAnsi="Arial" w:cs="Arial"/>
        </w:rPr>
        <w:footnoteRef/>
      </w:r>
      <w:r w:rsidRPr="00ED61A8">
        <w:rPr>
          <w:rFonts w:ascii="Arial" w:hAnsi="Arial" w:cs="Arial"/>
        </w:rPr>
        <w:t xml:space="preserve"> </w:t>
      </w:r>
      <w:proofErr w:type="spellStart"/>
      <w:r w:rsidRPr="00ED61A8">
        <w:rPr>
          <w:rFonts w:ascii="Arial" w:hAnsi="Arial" w:cs="Arial"/>
          <w:i/>
        </w:rPr>
        <w:t>Adfin</w:t>
      </w:r>
      <w:proofErr w:type="spellEnd"/>
      <w:r w:rsidRPr="00ED61A8">
        <w:rPr>
          <w:rFonts w:ascii="Arial" w:hAnsi="Arial" w:cs="Arial"/>
          <w:i/>
        </w:rPr>
        <w:t xml:space="preserve"> (Pty) Ltd v Durable Engineering Works (Pty) Ltd</w:t>
      </w:r>
      <w:r w:rsidRPr="00ED61A8">
        <w:rPr>
          <w:rFonts w:ascii="Arial" w:hAnsi="Arial" w:cs="Arial"/>
        </w:rPr>
        <w:t xml:space="preserve"> 1991 (2) SA 366 (C)</w:t>
      </w:r>
      <w:r w:rsidR="00AF3418">
        <w:rPr>
          <w:rFonts w:ascii="Arial" w:hAnsi="Arial" w:cs="Arial"/>
        </w:rPr>
        <w:t>.</w:t>
      </w:r>
    </w:p>
  </w:footnote>
  <w:footnote w:id="9">
    <w:p w14:paraId="1476C1FE" w14:textId="52A3C1AE" w:rsidR="00111793" w:rsidRPr="002832DB" w:rsidRDefault="00111793">
      <w:pPr>
        <w:pStyle w:val="FootnoteText"/>
        <w:rPr>
          <w:rFonts w:ascii="Arial" w:hAnsi="Arial" w:cs="Arial"/>
          <w:lang w:val="en-US"/>
        </w:rPr>
      </w:pPr>
      <w:r w:rsidRPr="002832DB">
        <w:rPr>
          <w:rStyle w:val="FootnoteReference"/>
          <w:rFonts w:ascii="Arial" w:hAnsi="Arial" w:cs="Arial"/>
        </w:rPr>
        <w:footnoteRef/>
      </w:r>
      <w:r w:rsidRPr="002832DB">
        <w:rPr>
          <w:rFonts w:ascii="Arial" w:hAnsi="Arial" w:cs="Arial"/>
        </w:rPr>
        <w:t xml:space="preserve"> </w:t>
      </w:r>
      <w:r w:rsidR="0030305F">
        <w:rPr>
          <w:rFonts w:ascii="Arial" w:hAnsi="Arial" w:cs="Arial"/>
          <w:i/>
        </w:rPr>
        <w:t xml:space="preserve">Howard v </w:t>
      </w:r>
      <w:proofErr w:type="spellStart"/>
      <w:r w:rsidR="0030305F">
        <w:rPr>
          <w:rFonts w:ascii="Arial" w:hAnsi="Arial" w:cs="Arial"/>
          <w:i/>
        </w:rPr>
        <w:t>Herrigel</w:t>
      </w:r>
      <w:proofErr w:type="spellEnd"/>
      <w:r w:rsidR="0030305F">
        <w:rPr>
          <w:rFonts w:ascii="Arial" w:hAnsi="Arial" w:cs="Arial"/>
          <w:i/>
        </w:rPr>
        <w:t xml:space="preserve"> NO &amp; a</w:t>
      </w:r>
      <w:r w:rsidRPr="002832DB">
        <w:rPr>
          <w:rFonts w:ascii="Arial" w:hAnsi="Arial" w:cs="Arial"/>
          <w:i/>
        </w:rPr>
        <w:t>nother</w:t>
      </w:r>
      <w:r w:rsidRPr="002832DB">
        <w:rPr>
          <w:rFonts w:ascii="Arial" w:hAnsi="Arial" w:cs="Arial"/>
        </w:rPr>
        <w:t xml:space="preserve"> (130/89) [1991] ZASCA 7; 1991 (2) SA 660 (AD); [1991] 2 All SA 113 (A) (8 March 1991).</w:t>
      </w:r>
    </w:p>
  </w:footnote>
  <w:footnote w:id="10">
    <w:p w14:paraId="2EA49B95" w14:textId="77777777" w:rsidR="004A0D5C" w:rsidRPr="000626ED" w:rsidRDefault="004A0D5C" w:rsidP="00D25D2A">
      <w:pPr>
        <w:pStyle w:val="FootnoteText"/>
        <w:jc w:val="both"/>
        <w:rPr>
          <w:rFonts w:ascii="Arial" w:hAnsi="Arial" w:cs="Arial"/>
          <w:lang w:val="en-US"/>
        </w:rPr>
      </w:pPr>
      <w:r w:rsidRPr="000626ED">
        <w:rPr>
          <w:rStyle w:val="FootnoteReference"/>
          <w:rFonts w:ascii="Arial" w:hAnsi="Arial" w:cs="Arial"/>
        </w:rPr>
        <w:footnoteRef/>
      </w:r>
      <w:r w:rsidRPr="000626ED">
        <w:rPr>
          <w:rFonts w:ascii="Arial" w:hAnsi="Arial" w:cs="Arial"/>
        </w:rPr>
        <w:t xml:space="preserve"> </w:t>
      </w:r>
      <w:r w:rsidRPr="000626ED">
        <w:rPr>
          <w:rFonts w:ascii="Arial" w:hAnsi="Arial" w:cs="Arial"/>
          <w:lang w:val="en-US"/>
        </w:rPr>
        <w:t>A term of art is a word or phrase that has a precise, specialized meaning in a particular field or profession.</w:t>
      </w:r>
    </w:p>
  </w:footnote>
  <w:footnote w:id="11">
    <w:p w14:paraId="7BF16DE8" w14:textId="17E596B3" w:rsidR="004A0D5C" w:rsidRPr="004F076E" w:rsidRDefault="004A0D5C" w:rsidP="00D25D2A">
      <w:pPr>
        <w:pStyle w:val="FootnoteText"/>
        <w:jc w:val="both"/>
        <w:rPr>
          <w:rFonts w:ascii="Arial" w:hAnsi="Arial" w:cs="Arial"/>
          <w:lang w:val="en-US"/>
        </w:rPr>
      </w:pPr>
      <w:r w:rsidRPr="000626ED">
        <w:rPr>
          <w:rStyle w:val="FootnoteReference"/>
          <w:rFonts w:ascii="Arial" w:hAnsi="Arial" w:cs="Arial"/>
        </w:rPr>
        <w:footnoteRef/>
      </w:r>
      <w:r w:rsidRPr="000626ED">
        <w:rPr>
          <w:rFonts w:ascii="Arial" w:hAnsi="Arial" w:cs="Arial"/>
        </w:rPr>
        <w:t xml:space="preserve"> </w:t>
      </w:r>
      <w:r w:rsidRPr="000626ED">
        <w:rPr>
          <w:rFonts w:ascii="Arial" w:hAnsi="Arial" w:cs="Arial"/>
          <w:lang w:val="en-US"/>
        </w:rPr>
        <w:t xml:space="preserve">The High Court Act 16 of 1990 which is the foundation for the High Court Rules makes no </w:t>
      </w:r>
      <w:r w:rsidR="000626ED">
        <w:rPr>
          <w:rFonts w:ascii="Arial" w:hAnsi="Arial" w:cs="Arial"/>
          <w:lang w:val="en-US"/>
        </w:rPr>
        <w:t>p</w:t>
      </w:r>
      <w:r w:rsidRPr="000626ED">
        <w:rPr>
          <w:rFonts w:ascii="Arial" w:hAnsi="Arial" w:cs="Arial"/>
          <w:lang w:val="en-US"/>
        </w:rPr>
        <w:t>rovision that proceedings in the High Court by application shall exclude action proceedings.</w:t>
      </w:r>
      <w:r w:rsidRPr="004F076E">
        <w:rPr>
          <w:rFonts w:ascii="Arial" w:hAnsi="Arial" w:cs="Arial"/>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651360760"/>
      <w:docPartObj>
        <w:docPartGallery w:val="Page Numbers (Top of Page)"/>
        <w:docPartUnique/>
      </w:docPartObj>
    </w:sdtPr>
    <w:sdtEndPr>
      <w:rPr>
        <w:noProof/>
      </w:rPr>
    </w:sdtEndPr>
    <w:sdtContent>
      <w:p w14:paraId="3D42A977" w14:textId="67B885D3" w:rsidR="00135920" w:rsidRPr="00F5013F" w:rsidRDefault="00135920">
        <w:pPr>
          <w:pStyle w:val="Header"/>
          <w:jc w:val="right"/>
          <w:rPr>
            <w:rFonts w:ascii="Arial" w:hAnsi="Arial" w:cs="Arial"/>
            <w:sz w:val="24"/>
            <w:szCs w:val="24"/>
          </w:rPr>
        </w:pPr>
        <w:r w:rsidRPr="00F5013F">
          <w:rPr>
            <w:rFonts w:ascii="Arial" w:hAnsi="Arial" w:cs="Arial"/>
            <w:sz w:val="24"/>
            <w:szCs w:val="24"/>
          </w:rPr>
          <w:fldChar w:fldCharType="begin"/>
        </w:r>
        <w:r w:rsidRPr="00F5013F">
          <w:rPr>
            <w:rFonts w:ascii="Arial" w:hAnsi="Arial" w:cs="Arial"/>
            <w:sz w:val="24"/>
            <w:szCs w:val="24"/>
          </w:rPr>
          <w:instrText xml:space="preserve"> PAGE   \* MERGEFORMAT </w:instrText>
        </w:r>
        <w:r w:rsidRPr="00F5013F">
          <w:rPr>
            <w:rFonts w:ascii="Arial" w:hAnsi="Arial" w:cs="Arial"/>
            <w:sz w:val="24"/>
            <w:szCs w:val="24"/>
          </w:rPr>
          <w:fldChar w:fldCharType="separate"/>
        </w:r>
        <w:r w:rsidR="00061F80">
          <w:rPr>
            <w:rFonts w:ascii="Arial" w:hAnsi="Arial" w:cs="Arial"/>
            <w:noProof/>
            <w:sz w:val="24"/>
            <w:szCs w:val="24"/>
          </w:rPr>
          <w:t>4</w:t>
        </w:r>
        <w:r w:rsidRPr="00F5013F">
          <w:rPr>
            <w:rFonts w:ascii="Arial" w:hAnsi="Arial" w:cs="Arial"/>
            <w:noProof/>
            <w:sz w:val="24"/>
            <w:szCs w:val="24"/>
          </w:rPr>
          <w:fldChar w:fldCharType="end"/>
        </w:r>
      </w:p>
    </w:sdtContent>
  </w:sdt>
  <w:p w14:paraId="5A032C8E" w14:textId="77777777" w:rsidR="00135920" w:rsidRDefault="00135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763"/>
    <w:multiLevelType w:val="hybridMultilevel"/>
    <w:tmpl w:val="C59EDB6C"/>
    <w:lvl w:ilvl="0" w:tplc="5A249E86">
      <w:start w:val="1"/>
      <w:numFmt w:val="decimal"/>
      <w:lvlText w:val="[%1]"/>
      <w:lvlJc w:val="left"/>
      <w:pPr>
        <w:ind w:left="720" w:hanging="360"/>
      </w:pPr>
      <w:rPr>
        <w:rFonts w:hint="default"/>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2581D3E"/>
    <w:multiLevelType w:val="hybridMultilevel"/>
    <w:tmpl w:val="B98A60F4"/>
    <w:lvl w:ilvl="0" w:tplc="EA8A5586">
      <w:start w:val="1"/>
      <w:numFmt w:val="decimal"/>
      <w:lvlText w:val="[%1]"/>
      <w:lvlJc w:val="left"/>
      <w:pPr>
        <w:ind w:left="9290" w:hanging="360"/>
      </w:pPr>
      <w:rPr>
        <w:rFonts w:hint="default"/>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534149623">
    <w:abstractNumId w:val="0"/>
  </w:num>
  <w:num w:numId="2" w16cid:durableId="1840196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A7"/>
    <w:rsid w:val="00004253"/>
    <w:rsid w:val="0002297E"/>
    <w:rsid w:val="00023128"/>
    <w:rsid w:val="0005054D"/>
    <w:rsid w:val="000505DB"/>
    <w:rsid w:val="00053CB3"/>
    <w:rsid w:val="00061F80"/>
    <w:rsid w:val="000626ED"/>
    <w:rsid w:val="00075DD3"/>
    <w:rsid w:val="00085AD4"/>
    <w:rsid w:val="00096086"/>
    <w:rsid w:val="00097B43"/>
    <w:rsid w:val="000A74D4"/>
    <w:rsid w:val="000D0B50"/>
    <w:rsid w:val="00111793"/>
    <w:rsid w:val="001207D7"/>
    <w:rsid w:val="00123189"/>
    <w:rsid w:val="00126D95"/>
    <w:rsid w:val="0013238C"/>
    <w:rsid w:val="00135920"/>
    <w:rsid w:val="0017201A"/>
    <w:rsid w:val="001B17C0"/>
    <w:rsid w:val="001D55BC"/>
    <w:rsid w:val="001E521C"/>
    <w:rsid w:val="00232292"/>
    <w:rsid w:val="0025333F"/>
    <w:rsid w:val="00281344"/>
    <w:rsid w:val="00281BCD"/>
    <w:rsid w:val="002832DB"/>
    <w:rsid w:val="0030305F"/>
    <w:rsid w:val="003055C2"/>
    <w:rsid w:val="00311B58"/>
    <w:rsid w:val="00316CA7"/>
    <w:rsid w:val="003250F4"/>
    <w:rsid w:val="0033294F"/>
    <w:rsid w:val="003B6A68"/>
    <w:rsid w:val="003D01F0"/>
    <w:rsid w:val="003D65F8"/>
    <w:rsid w:val="003F5DA7"/>
    <w:rsid w:val="00441961"/>
    <w:rsid w:val="00444971"/>
    <w:rsid w:val="00457BCF"/>
    <w:rsid w:val="004A0D5C"/>
    <w:rsid w:val="004C01E3"/>
    <w:rsid w:val="004E400F"/>
    <w:rsid w:val="004F076E"/>
    <w:rsid w:val="005602E5"/>
    <w:rsid w:val="005812F9"/>
    <w:rsid w:val="00582A5C"/>
    <w:rsid w:val="005B5F81"/>
    <w:rsid w:val="005C2843"/>
    <w:rsid w:val="00677ACC"/>
    <w:rsid w:val="00692482"/>
    <w:rsid w:val="00695972"/>
    <w:rsid w:val="006B3812"/>
    <w:rsid w:val="006F205A"/>
    <w:rsid w:val="006F2F48"/>
    <w:rsid w:val="00701E7D"/>
    <w:rsid w:val="00714761"/>
    <w:rsid w:val="00735E9C"/>
    <w:rsid w:val="00774DF6"/>
    <w:rsid w:val="007A69BE"/>
    <w:rsid w:val="007B10D4"/>
    <w:rsid w:val="007B5139"/>
    <w:rsid w:val="007C0D51"/>
    <w:rsid w:val="007D1A90"/>
    <w:rsid w:val="007D2437"/>
    <w:rsid w:val="008048A9"/>
    <w:rsid w:val="00805A24"/>
    <w:rsid w:val="0082665A"/>
    <w:rsid w:val="008831CD"/>
    <w:rsid w:val="008A7531"/>
    <w:rsid w:val="008B4F6B"/>
    <w:rsid w:val="008E3F8B"/>
    <w:rsid w:val="00926ABA"/>
    <w:rsid w:val="009308C0"/>
    <w:rsid w:val="00931D87"/>
    <w:rsid w:val="00940EF2"/>
    <w:rsid w:val="00995155"/>
    <w:rsid w:val="009A10A7"/>
    <w:rsid w:val="009A4D4D"/>
    <w:rsid w:val="009B302A"/>
    <w:rsid w:val="009B5C7C"/>
    <w:rsid w:val="009C4DB0"/>
    <w:rsid w:val="009D099E"/>
    <w:rsid w:val="009D4D9C"/>
    <w:rsid w:val="009E3BAD"/>
    <w:rsid w:val="009E4931"/>
    <w:rsid w:val="00A0783A"/>
    <w:rsid w:val="00A123B5"/>
    <w:rsid w:val="00A42512"/>
    <w:rsid w:val="00A53527"/>
    <w:rsid w:val="00A948F0"/>
    <w:rsid w:val="00AE25B0"/>
    <w:rsid w:val="00AF3418"/>
    <w:rsid w:val="00B019ED"/>
    <w:rsid w:val="00B82DE5"/>
    <w:rsid w:val="00B8591D"/>
    <w:rsid w:val="00BB3765"/>
    <w:rsid w:val="00BD1D91"/>
    <w:rsid w:val="00BF1800"/>
    <w:rsid w:val="00C048E4"/>
    <w:rsid w:val="00C10A50"/>
    <w:rsid w:val="00C24953"/>
    <w:rsid w:val="00C30585"/>
    <w:rsid w:val="00C30667"/>
    <w:rsid w:val="00C81BF6"/>
    <w:rsid w:val="00C925C1"/>
    <w:rsid w:val="00CA4AA9"/>
    <w:rsid w:val="00CD3E4A"/>
    <w:rsid w:val="00CE0490"/>
    <w:rsid w:val="00CE2129"/>
    <w:rsid w:val="00CF52D3"/>
    <w:rsid w:val="00D25D2A"/>
    <w:rsid w:val="00D36146"/>
    <w:rsid w:val="00D44747"/>
    <w:rsid w:val="00D66C51"/>
    <w:rsid w:val="00DA1DFA"/>
    <w:rsid w:val="00DC294B"/>
    <w:rsid w:val="00DD2CC2"/>
    <w:rsid w:val="00DD4EB2"/>
    <w:rsid w:val="00E072A3"/>
    <w:rsid w:val="00E21E0C"/>
    <w:rsid w:val="00E63E5D"/>
    <w:rsid w:val="00E75764"/>
    <w:rsid w:val="00EF19D9"/>
    <w:rsid w:val="00F130CD"/>
    <w:rsid w:val="00F31C08"/>
    <w:rsid w:val="00F45832"/>
    <w:rsid w:val="00F5013F"/>
    <w:rsid w:val="00F62337"/>
    <w:rsid w:val="00F66AB1"/>
    <w:rsid w:val="00FA717B"/>
    <w:rsid w:val="00FD1B2C"/>
    <w:rsid w:val="00FD6F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041CA"/>
  <w15:chartTrackingRefBased/>
  <w15:docId w15:val="{12F3FF3A-CAD4-4D7D-B6B3-62468BCA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A7"/>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10A7"/>
    <w:pPr>
      <w:spacing w:after="0" w:line="240" w:lineRule="auto"/>
    </w:pPr>
    <w:rPr>
      <w:sz w:val="20"/>
      <w:szCs w:val="20"/>
    </w:rPr>
  </w:style>
  <w:style w:type="character" w:customStyle="1" w:styleId="FootnoteTextChar">
    <w:name w:val="Footnote Text Char"/>
    <w:basedOn w:val="DefaultParagraphFont"/>
    <w:link w:val="FootnoteText"/>
    <w:uiPriority w:val="99"/>
    <w:rsid w:val="009A10A7"/>
    <w:rPr>
      <w:rFonts w:ascii="Calibri" w:eastAsia="Calibri" w:hAnsi="Calibri" w:cs="Times New Roman"/>
      <w:sz w:val="20"/>
      <w:szCs w:val="20"/>
    </w:rPr>
  </w:style>
  <w:style w:type="character" w:styleId="FootnoteReference">
    <w:name w:val="footnote reference"/>
    <w:uiPriority w:val="99"/>
    <w:unhideWhenUsed/>
    <w:rsid w:val="009A10A7"/>
    <w:rPr>
      <w:vertAlign w:val="superscript"/>
    </w:rPr>
  </w:style>
  <w:style w:type="paragraph" w:styleId="ListParagraph">
    <w:name w:val="List Paragraph"/>
    <w:basedOn w:val="Normal"/>
    <w:uiPriority w:val="34"/>
    <w:qFormat/>
    <w:rsid w:val="009A10A7"/>
    <w:pPr>
      <w:ind w:left="720"/>
      <w:contextualSpacing/>
    </w:pPr>
  </w:style>
  <w:style w:type="table" w:styleId="TableGrid">
    <w:name w:val="Table Grid"/>
    <w:basedOn w:val="TableNormal"/>
    <w:uiPriority w:val="39"/>
    <w:rsid w:val="009A10A7"/>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A0D5C"/>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4A0D5C"/>
    <w:rPr>
      <w:rFonts w:ascii="Times New Roman" w:eastAsia="Times New Roman" w:hAnsi="Times New Roman" w:cs="Times New Roman"/>
      <w:szCs w:val="24"/>
      <w:lang w:val="en-GB"/>
    </w:rPr>
  </w:style>
  <w:style w:type="paragraph" w:styleId="Header">
    <w:name w:val="header"/>
    <w:basedOn w:val="Normal"/>
    <w:link w:val="HeaderChar"/>
    <w:uiPriority w:val="99"/>
    <w:unhideWhenUsed/>
    <w:rsid w:val="00135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920"/>
    <w:rPr>
      <w:rFonts w:ascii="Calibri" w:eastAsia="Calibri" w:hAnsi="Calibri" w:cs="Times New Roman"/>
      <w:sz w:val="22"/>
    </w:rPr>
  </w:style>
  <w:style w:type="paragraph" w:styleId="Footer">
    <w:name w:val="footer"/>
    <w:basedOn w:val="Normal"/>
    <w:link w:val="FooterChar"/>
    <w:uiPriority w:val="99"/>
    <w:unhideWhenUsed/>
    <w:rsid w:val="00135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920"/>
    <w:rPr>
      <w:rFonts w:ascii="Calibri" w:eastAsia="Calibri" w:hAnsi="Calibri" w:cs="Times New Roman"/>
      <w:sz w:val="22"/>
    </w:rPr>
  </w:style>
  <w:style w:type="paragraph" w:styleId="BalloonText">
    <w:name w:val="Balloon Text"/>
    <w:basedOn w:val="Normal"/>
    <w:link w:val="BalloonTextChar"/>
    <w:uiPriority w:val="99"/>
    <w:semiHidden/>
    <w:unhideWhenUsed/>
    <w:rsid w:val="00050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54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2022-11-20T18:30:00+00:00</Judgment_x0020_Date>
    <Year xmlns="63bdd487-88aa-4c54-b893-ddaa81ed2e7c">2022</Year>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570F1-F262-455D-90A2-D51B05CC0FEA}">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43449E2D-F4F6-42A8-B2E3-7921525060B4}">
  <ds:schemaRefs>
    <ds:schemaRef ds:uri="http://schemas.openxmlformats.org/officeDocument/2006/bibliography"/>
  </ds:schemaRefs>
</ds:datastoreItem>
</file>

<file path=customXml/itemProps3.xml><?xml version="1.0" encoding="utf-8"?>
<ds:datastoreItem xmlns:ds="http://schemas.openxmlformats.org/officeDocument/2006/customXml" ds:itemID="{B7A3052B-02BB-462C-A78D-2282C014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D8F097-A81C-4C03-803A-C30046A115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Swakop Uranium (Pty) Ltd v McLaren Ian Robert and Another  (SA 64-2020) 2022 NASC (21 November 2022)</dc:title>
  <dc:subject/>
  <dc:creator>Iyaloo Haimbodi</dc:creator>
  <cp:keywords/>
  <dc:description/>
  <cp:lastModifiedBy>Mariana Anguelov</cp:lastModifiedBy>
  <cp:revision>3</cp:revision>
  <cp:lastPrinted>2022-11-18T14:10:00Z</cp:lastPrinted>
  <dcterms:created xsi:type="dcterms:W3CDTF">2022-11-21T12:39:00Z</dcterms:created>
  <dcterms:modified xsi:type="dcterms:W3CDTF">2022-11-29T17:51:00Z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