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8313" w14:textId="77777777" w:rsidR="00DF3064" w:rsidRDefault="00DF3064" w:rsidP="0019258F">
      <w:pPr>
        <w:spacing w:line="480" w:lineRule="auto"/>
        <w:jc w:val="right"/>
        <w:rPr>
          <w:rFonts w:ascii="Arial" w:hAnsi="Arial"/>
          <w:b/>
        </w:rPr>
      </w:pPr>
      <w:bookmarkStart w:id="0" w:name="_GoBack"/>
      <w:bookmarkEnd w:id="0"/>
    </w:p>
    <w:p w14:paraId="28324266" w14:textId="77777777" w:rsidR="00DF3064" w:rsidRDefault="00DF3064" w:rsidP="0019258F">
      <w:pPr>
        <w:spacing w:line="480" w:lineRule="auto"/>
        <w:jc w:val="right"/>
        <w:rPr>
          <w:rFonts w:ascii="Arial" w:hAnsi="Arial"/>
          <w:b/>
        </w:rPr>
      </w:pPr>
    </w:p>
    <w:p w14:paraId="2B2A1C5F" w14:textId="77777777" w:rsidR="00DF3064" w:rsidRDefault="00DF3064" w:rsidP="0019258F">
      <w:pPr>
        <w:spacing w:line="480" w:lineRule="auto"/>
        <w:jc w:val="right"/>
        <w:rPr>
          <w:rFonts w:ascii="Arial" w:hAnsi="Arial"/>
          <w:b/>
        </w:rPr>
      </w:pPr>
    </w:p>
    <w:p w14:paraId="098F2FC6" w14:textId="77777777" w:rsidR="00DF3064" w:rsidRDefault="00DF3064" w:rsidP="0019258F">
      <w:pPr>
        <w:spacing w:line="480" w:lineRule="auto"/>
        <w:jc w:val="right"/>
        <w:rPr>
          <w:rFonts w:ascii="Arial" w:hAnsi="Arial"/>
          <w:b/>
        </w:rPr>
      </w:pPr>
      <w:r w:rsidRPr="00742222">
        <w:rPr>
          <w:noProof/>
          <w:lang w:val="en-ZA" w:eastAsia="en-ZA"/>
        </w:rPr>
        <w:drawing>
          <wp:anchor distT="0" distB="0" distL="114300" distR="114300" simplePos="0" relativeHeight="251659264" behindDoc="0" locked="0" layoutInCell="1" allowOverlap="1" wp14:anchorId="78EC5724" wp14:editId="1DD7E95B">
            <wp:simplePos x="0" y="0"/>
            <wp:positionH relativeFrom="page">
              <wp:align>center</wp:align>
            </wp:positionH>
            <wp:positionV relativeFrom="margin">
              <wp:posOffset>-752475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r>
        <w:rPr>
          <w:rFonts w:ascii="Arial" w:hAnsi="Arial"/>
          <w:b/>
        </w:rPr>
        <w:t>REPORTABLE</w:t>
      </w:r>
    </w:p>
    <w:p w14:paraId="55286870" w14:textId="77777777" w:rsidR="00DF3064" w:rsidRDefault="00DF3064" w:rsidP="0019258F">
      <w:pPr>
        <w:spacing w:line="480" w:lineRule="auto"/>
        <w:jc w:val="right"/>
        <w:rPr>
          <w:rFonts w:ascii="Arial" w:hAnsi="Arial"/>
        </w:rPr>
      </w:pPr>
      <w:r>
        <w:rPr>
          <w:rFonts w:ascii="Arial" w:hAnsi="Arial"/>
        </w:rPr>
        <w:t>CASE NO: SA 4/202</w:t>
      </w:r>
      <w:r w:rsidR="00952673">
        <w:rPr>
          <w:rFonts w:ascii="Arial" w:hAnsi="Arial"/>
        </w:rPr>
        <w:t>0</w:t>
      </w:r>
    </w:p>
    <w:p w14:paraId="0A3B82A8" w14:textId="77777777" w:rsidR="00DF3064" w:rsidRDefault="00DF3064" w:rsidP="0019258F">
      <w:pPr>
        <w:spacing w:line="480" w:lineRule="auto"/>
        <w:rPr>
          <w:rFonts w:ascii="Arial" w:hAnsi="Arial"/>
          <w:b/>
        </w:rPr>
      </w:pPr>
      <w:r>
        <w:rPr>
          <w:rFonts w:ascii="Arial" w:hAnsi="Arial"/>
          <w:b/>
        </w:rPr>
        <w:t>IN THE SUPREME COURT OF NAMIBIA</w:t>
      </w:r>
    </w:p>
    <w:p w14:paraId="28102513" w14:textId="77777777" w:rsidR="00DF3064" w:rsidRDefault="00DF3064" w:rsidP="0019258F">
      <w:pPr>
        <w:spacing w:line="480" w:lineRule="auto"/>
        <w:rPr>
          <w:rFonts w:ascii="Arial" w:hAnsi="Arial"/>
          <w:b/>
        </w:rPr>
      </w:pPr>
    </w:p>
    <w:p w14:paraId="0E6B0CAB" w14:textId="77777777" w:rsidR="00DF3064" w:rsidRDefault="00DF3064" w:rsidP="0019258F">
      <w:pPr>
        <w:spacing w:line="480" w:lineRule="auto"/>
        <w:rPr>
          <w:rFonts w:ascii="Arial" w:hAnsi="Arial"/>
        </w:rPr>
      </w:pPr>
      <w:r>
        <w:rPr>
          <w:rFonts w:ascii="Arial" w:hAnsi="Arial"/>
        </w:rPr>
        <w:t>In the matter between</w:t>
      </w:r>
      <w:r w:rsidR="006C13DE">
        <w:rPr>
          <w:rFonts w:ascii="Arial" w:hAnsi="Arial"/>
        </w:rPr>
        <w:t>:</w:t>
      </w:r>
    </w:p>
    <w:p w14:paraId="3BD1A987" w14:textId="77777777" w:rsidR="006C13DE" w:rsidRDefault="006C13DE" w:rsidP="0019258F">
      <w:pPr>
        <w:spacing w:line="480" w:lineRule="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0"/>
        <w:gridCol w:w="2611"/>
      </w:tblGrid>
      <w:tr w:rsidR="00DF3064" w14:paraId="461F04C4" w14:textId="77777777" w:rsidTr="004D10CD">
        <w:tc>
          <w:tcPr>
            <w:tcW w:w="6170" w:type="dxa"/>
          </w:tcPr>
          <w:p w14:paraId="75617CBA" w14:textId="77777777" w:rsidR="00952673" w:rsidRDefault="00952673" w:rsidP="0019258F">
            <w:pPr>
              <w:spacing w:line="480" w:lineRule="auto"/>
              <w:ind w:hanging="108"/>
              <w:rPr>
                <w:rFonts w:ascii="Arial" w:hAnsi="Arial"/>
                <w:b/>
              </w:rPr>
            </w:pPr>
            <w:r>
              <w:rPr>
                <w:rFonts w:ascii="Arial" w:hAnsi="Arial"/>
                <w:b/>
              </w:rPr>
              <w:t>MINISTER OF SAFETY AND SECURITY</w:t>
            </w:r>
          </w:p>
          <w:p w14:paraId="37FADFDC" w14:textId="77777777" w:rsidR="00952673" w:rsidRDefault="00393649" w:rsidP="0019258F">
            <w:pPr>
              <w:spacing w:line="480" w:lineRule="auto"/>
              <w:ind w:hanging="108"/>
              <w:rPr>
                <w:rFonts w:ascii="Arial" w:hAnsi="Arial"/>
                <w:b/>
              </w:rPr>
            </w:pPr>
            <w:r>
              <w:rPr>
                <w:rFonts w:ascii="Arial" w:hAnsi="Arial"/>
                <w:b/>
              </w:rPr>
              <w:t>COMMISSIONER-</w:t>
            </w:r>
            <w:r w:rsidR="00952673">
              <w:rPr>
                <w:rFonts w:ascii="Arial" w:hAnsi="Arial"/>
                <w:b/>
              </w:rPr>
              <w:t>GENERAL OF THE NAMIBIAN</w:t>
            </w:r>
          </w:p>
          <w:p w14:paraId="2E6AD12A" w14:textId="77777777" w:rsidR="00952673" w:rsidRDefault="00952673" w:rsidP="0019258F">
            <w:pPr>
              <w:spacing w:line="480" w:lineRule="auto"/>
              <w:ind w:hanging="108"/>
              <w:rPr>
                <w:rFonts w:ascii="Arial" w:hAnsi="Arial"/>
                <w:b/>
              </w:rPr>
            </w:pPr>
            <w:r>
              <w:rPr>
                <w:rFonts w:ascii="Arial" w:hAnsi="Arial"/>
                <w:b/>
              </w:rPr>
              <w:t xml:space="preserve">CORRECTIONAL SERVICE </w:t>
            </w:r>
          </w:p>
          <w:p w14:paraId="52E714B8" w14:textId="77777777" w:rsidR="00952673" w:rsidRDefault="00952673" w:rsidP="0019258F">
            <w:pPr>
              <w:spacing w:line="480" w:lineRule="auto"/>
              <w:ind w:hanging="108"/>
              <w:rPr>
                <w:rFonts w:ascii="Arial" w:hAnsi="Arial"/>
                <w:b/>
              </w:rPr>
            </w:pPr>
            <w:r>
              <w:rPr>
                <w:rFonts w:ascii="Arial" w:hAnsi="Arial"/>
                <w:b/>
              </w:rPr>
              <w:t xml:space="preserve">SENIOR SUPERINTENDENT OF THE NAMIBIAN </w:t>
            </w:r>
          </w:p>
          <w:p w14:paraId="0612B63B" w14:textId="7D5F499C" w:rsidR="00DF3064" w:rsidRDefault="00952673" w:rsidP="0019258F">
            <w:pPr>
              <w:spacing w:line="480" w:lineRule="auto"/>
              <w:ind w:hanging="108"/>
              <w:rPr>
                <w:rFonts w:ascii="Arial" w:hAnsi="Arial"/>
              </w:rPr>
            </w:pPr>
            <w:r>
              <w:rPr>
                <w:rFonts w:ascii="Arial" w:hAnsi="Arial"/>
                <w:b/>
              </w:rPr>
              <w:t>CORRECTIONAL SERVICE: SILA</w:t>
            </w:r>
            <w:r w:rsidR="001151E7">
              <w:rPr>
                <w:rFonts w:ascii="Arial" w:hAnsi="Arial"/>
                <w:b/>
              </w:rPr>
              <w:t>S</w:t>
            </w:r>
            <w:r>
              <w:rPr>
                <w:rFonts w:ascii="Arial" w:hAnsi="Arial"/>
                <w:b/>
              </w:rPr>
              <w:t xml:space="preserve"> MATHEWS     </w:t>
            </w:r>
          </w:p>
        </w:tc>
        <w:tc>
          <w:tcPr>
            <w:tcW w:w="2611" w:type="dxa"/>
          </w:tcPr>
          <w:p w14:paraId="16E5B1AE" w14:textId="77777777" w:rsidR="00DF3064" w:rsidRDefault="00952673" w:rsidP="0019258F">
            <w:pPr>
              <w:spacing w:line="480" w:lineRule="auto"/>
              <w:jc w:val="right"/>
              <w:rPr>
                <w:rFonts w:ascii="Arial" w:hAnsi="Arial"/>
                <w:b/>
              </w:rPr>
            </w:pPr>
            <w:r>
              <w:rPr>
                <w:rFonts w:ascii="Arial" w:hAnsi="Arial"/>
                <w:b/>
              </w:rPr>
              <w:t xml:space="preserve">First </w:t>
            </w:r>
            <w:r w:rsidR="00DF3064" w:rsidRPr="00DE17E7">
              <w:rPr>
                <w:rFonts w:ascii="Arial" w:hAnsi="Arial"/>
                <w:b/>
              </w:rPr>
              <w:t>Appellant</w:t>
            </w:r>
          </w:p>
          <w:p w14:paraId="6C43BAB9" w14:textId="77777777" w:rsidR="001151E7" w:rsidRDefault="001151E7" w:rsidP="0019258F">
            <w:pPr>
              <w:spacing w:line="480" w:lineRule="auto"/>
              <w:jc w:val="right"/>
              <w:rPr>
                <w:rFonts w:ascii="Arial" w:hAnsi="Arial"/>
                <w:b/>
              </w:rPr>
            </w:pPr>
          </w:p>
          <w:p w14:paraId="04DE1530" w14:textId="77777777" w:rsidR="00952673" w:rsidRDefault="00F70731" w:rsidP="0019258F">
            <w:pPr>
              <w:spacing w:line="480" w:lineRule="auto"/>
              <w:jc w:val="right"/>
              <w:rPr>
                <w:rFonts w:ascii="Arial" w:hAnsi="Arial"/>
                <w:b/>
              </w:rPr>
            </w:pPr>
            <w:r>
              <w:rPr>
                <w:rFonts w:ascii="Arial" w:hAnsi="Arial"/>
                <w:b/>
              </w:rPr>
              <w:t>Second Appellant</w:t>
            </w:r>
          </w:p>
          <w:p w14:paraId="56DF9606" w14:textId="35249D7F" w:rsidR="00952673" w:rsidRDefault="00952673" w:rsidP="0019258F">
            <w:pPr>
              <w:spacing w:line="480" w:lineRule="auto"/>
              <w:jc w:val="right"/>
              <w:rPr>
                <w:rFonts w:ascii="Arial" w:hAnsi="Arial"/>
                <w:b/>
              </w:rPr>
            </w:pPr>
            <w:r>
              <w:rPr>
                <w:rFonts w:ascii="Arial" w:hAnsi="Arial"/>
                <w:b/>
              </w:rPr>
              <w:t xml:space="preserve"> </w:t>
            </w:r>
          </w:p>
          <w:p w14:paraId="5A8B37E0" w14:textId="77777777" w:rsidR="00952673" w:rsidRDefault="00F70731" w:rsidP="0019258F">
            <w:pPr>
              <w:spacing w:line="480" w:lineRule="auto"/>
              <w:jc w:val="right"/>
              <w:rPr>
                <w:rFonts w:ascii="Arial" w:hAnsi="Arial"/>
                <w:b/>
              </w:rPr>
            </w:pPr>
            <w:r>
              <w:rPr>
                <w:rFonts w:ascii="Arial" w:hAnsi="Arial"/>
                <w:b/>
              </w:rPr>
              <w:t>Third Appellant</w:t>
            </w:r>
          </w:p>
          <w:p w14:paraId="29EB6218" w14:textId="15CF8AC1" w:rsidR="00952673" w:rsidRPr="00DE17E7" w:rsidRDefault="00952673" w:rsidP="0019258F">
            <w:pPr>
              <w:spacing w:line="480" w:lineRule="auto"/>
              <w:jc w:val="right"/>
              <w:rPr>
                <w:rFonts w:ascii="Arial" w:hAnsi="Arial"/>
                <w:b/>
              </w:rPr>
            </w:pPr>
          </w:p>
        </w:tc>
      </w:tr>
      <w:tr w:rsidR="00DF3064" w14:paraId="6DC39A11" w14:textId="77777777" w:rsidTr="004D10CD">
        <w:tc>
          <w:tcPr>
            <w:tcW w:w="6170" w:type="dxa"/>
          </w:tcPr>
          <w:p w14:paraId="2D90F786" w14:textId="560AC961" w:rsidR="00DF3064" w:rsidRPr="00835AA9" w:rsidRDefault="001151E7" w:rsidP="0019258F">
            <w:pPr>
              <w:spacing w:line="480" w:lineRule="auto"/>
              <w:ind w:hanging="108"/>
              <w:rPr>
                <w:rFonts w:ascii="Arial" w:hAnsi="Arial"/>
              </w:rPr>
            </w:pPr>
            <w:r>
              <w:rPr>
                <w:rFonts w:ascii="Arial" w:hAnsi="Arial"/>
              </w:rPr>
              <w:t>a</w:t>
            </w:r>
            <w:r w:rsidR="00DF3064" w:rsidRPr="00835AA9">
              <w:rPr>
                <w:rFonts w:ascii="Arial" w:hAnsi="Arial"/>
              </w:rPr>
              <w:t>nd</w:t>
            </w:r>
          </w:p>
        </w:tc>
        <w:tc>
          <w:tcPr>
            <w:tcW w:w="2611" w:type="dxa"/>
          </w:tcPr>
          <w:p w14:paraId="2D749D4F" w14:textId="77777777" w:rsidR="00DF3064" w:rsidRPr="00DE17E7" w:rsidRDefault="00DF3064" w:rsidP="0019258F">
            <w:pPr>
              <w:spacing w:line="480" w:lineRule="auto"/>
              <w:jc w:val="right"/>
              <w:rPr>
                <w:rFonts w:ascii="Arial" w:hAnsi="Arial"/>
                <w:b/>
              </w:rPr>
            </w:pPr>
            <w:r>
              <w:rPr>
                <w:rFonts w:ascii="Arial" w:hAnsi="Arial"/>
                <w:b/>
              </w:rPr>
              <w:t> </w:t>
            </w:r>
          </w:p>
        </w:tc>
      </w:tr>
      <w:tr w:rsidR="00DF3064" w14:paraId="5F83D5E0" w14:textId="77777777" w:rsidTr="004D10CD">
        <w:tc>
          <w:tcPr>
            <w:tcW w:w="6170" w:type="dxa"/>
          </w:tcPr>
          <w:p w14:paraId="03FA6B20" w14:textId="77777777" w:rsidR="00DF3064" w:rsidRPr="00835AA9" w:rsidRDefault="00DF3064" w:rsidP="0019258F">
            <w:pPr>
              <w:spacing w:line="480" w:lineRule="auto"/>
              <w:rPr>
                <w:rFonts w:ascii="Arial" w:hAnsi="Arial"/>
              </w:rPr>
            </w:pPr>
          </w:p>
        </w:tc>
        <w:tc>
          <w:tcPr>
            <w:tcW w:w="2611" w:type="dxa"/>
          </w:tcPr>
          <w:p w14:paraId="38EC624C" w14:textId="77777777" w:rsidR="00DF3064" w:rsidRPr="00DE17E7" w:rsidRDefault="00DF3064" w:rsidP="0019258F">
            <w:pPr>
              <w:spacing w:line="480" w:lineRule="auto"/>
              <w:jc w:val="right"/>
              <w:rPr>
                <w:rFonts w:ascii="Arial" w:hAnsi="Arial"/>
                <w:b/>
              </w:rPr>
            </w:pPr>
          </w:p>
        </w:tc>
      </w:tr>
      <w:tr w:rsidR="00DF3064" w:rsidRPr="00111379" w14:paraId="6698B496" w14:textId="77777777" w:rsidTr="004D10CD">
        <w:tc>
          <w:tcPr>
            <w:tcW w:w="6170" w:type="dxa"/>
          </w:tcPr>
          <w:p w14:paraId="5FB0CB2A" w14:textId="77777777" w:rsidR="00DF3064" w:rsidRPr="00111379" w:rsidRDefault="00393649" w:rsidP="00393649">
            <w:pPr>
              <w:tabs>
                <w:tab w:val="left" w:pos="3555"/>
              </w:tabs>
              <w:spacing w:line="480" w:lineRule="auto"/>
              <w:ind w:hanging="108"/>
              <w:rPr>
                <w:rFonts w:ascii="Arial" w:hAnsi="Arial"/>
                <w:b/>
              </w:rPr>
            </w:pPr>
            <w:r>
              <w:rPr>
                <w:rFonts w:ascii="Arial" w:hAnsi="Arial"/>
                <w:b/>
              </w:rPr>
              <w:t xml:space="preserve">ELIA </w:t>
            </w:r>
            <w:r w:rsidR="00952673">
              <w:rPr>
                <w:rFonts w:ascii="Arial" w:hAnsi="Arial"/>
                <w:b/>
              </w:rPr>
              <w:t>AVELINU</w:t>
            </w:r>
            <w:r w:rsidR="00952673">
              <w:rPr>
                <w:rFonts w:ascii="Arial" w:hAnsi="Arial"/>
                <w:b/>
              </w:rPr>
              <w:tab/>
            </w:r>
          </w:p>
        </w:tc>
        <w:tc>
          <w:tcPr>
            <w:tcW w:w="2611" w:type="dxa"/>
          </w:tcPr>
          <w:p w14:paraId="1C6EED77" w14:textId="77777777" w:rsidR="00DF3064" w:rsidRPr="00111379" w:rsidRDefault="00DF3064" w:rsidP="0019258F">
            <w:pPr>
              <w:spacing w:line="480" w:lineRule="auto"/>
              <w:jc w:val="right"/>
              <w:rPr>
                <w:rFonts w:ascii="Arial" w:hAnsi="Arial"/>
                <w:b/>
              </w:rPr>
            </w:pPr>
            <w:r w:rsidRPr="00111379">
              <w:rPr>
                <w:rFonts w:ascii="Arial" w:hAnsi="Arial"/>
                <w:b/>
              </w:rPr>
              <w:t>Respondent</w:t>
            </w:r>
          </w:p>
        </w:tc>
      </w:tr>
    </w:tbl>
    <w:p w14:paraId="75D3E980" w14:textId="77777777" w:rsidR="000476ED" w:rsidRDefault="000476ED" w:rsidP="0019258F">
      <w:pPr>
        <w:spacing w:line="480" w:lineRule="auto"/>
        <w:rPr>
          <w:rFonts w:ascii="Arial" w:hAnsi="Arial"/>
          <w:b/>
        </w:rPr>
      </w:pPr>
    </w:p>
    <w:p w14:paraId="4F69616F" w14:textId="77777777" w:rsidR="00952673" w:rsidRDefault="00DF3064" w:rsidP="0019258F">
      <w:pPr>
        <w:spacing w:line="480" w:lineRule="auto"/>
        <w:rPr>
          <w:rFonts w:ascii="Arial" w:hAnsi="Arial"/>
          <w:b/>
        </w:rPr>
      </w:pPr>
      <w:r>
        <w:rPr>
          <w:rFonts w:ascii="Arial" w:hAnsi="Arial"/>
          <w:b/>
        </w:rPr>
        <w:t>C</w:t>
      </w:r>
      <w:r w:rsidR="00C0233F">
        <w:rPr>
          <w:rFonts w:ascii="Arial" w:hAnsi="Arial"/>
          <w:b/>
        </w:rPr>
        <w:t>oram</w:t>
      </w:r>
      <w:r>
        <w:rPr>
          <w:rFonts w:ascii="Arial" w:hAnsi="Arial"/>
          <w:b/>
        </w:rPr>
        <w:t xml:space="preserve">: </w:t>
      </w:r>
      <w:r>
        <w:rPr>
          <w:rFonts w:ascii="Arial" w:hAnsi="Arial"/>
          <w:b/>
        </w:rPr>
        <w:tab/>
      </w:r>
      <w:r>
        <w:rPr>
          <w:rFonts w:ascii="Arial" w:hAnsi="Arial"/>
          <w:b/>
        </w:rPr>
        <w:tab/>
      </w:r>
      <w:r>
        <w:rPr>
          <w:rFonts w:ascii="Arial" w:hAnsi="Arial"/>
        </w:rPr>
        <w:t xml:space="preserve">SHIVUTE CJ, </w:t>
      </w:r>
      <w:r w:rsidR="00952673">
        <w:rPr>
          <w:rFonts w:ascii="Arial" w:hAnsi="Arial"/>
        </w:rPr>
        <w:t xml:space="preserve">SMUTS JA </w:t>
      </w:r>
      <w:r>
        <w:rPr>
          <w:rFonts w:ascii="Arial" w:hAnsi="Arial"/>
        </w:rPr>
        <w:t xml:space="preserve">and </w:t>
      </w:r>
      <w:r w:rsidR="00952673">
        <w:rPr>
          <w:rFonts w:ascii="Arial" w:hAnsi="Arial" w:cs="Arial"/>
          <w:lang w:val="en-ZA"/>
        </w:rPr>
        <w:t>LIEBENBERG</w:t>
      </w:r>
      <w:r w:rsidR="00952673" w:rsidRPr="006B344C">
        <w:rPr>
          <w:rFonts w:ascii="Arial" w:hAnsi="Arial" w:cs="Arial"/>
          <w:lang w:val="en-ZA"/>
        </w:rPr>
        <w:t xml:space="preserve"> </w:t>
      </w:r>
      <w:r w:rsidR="00952673">
        <w:rPr>
          <w:rFonts w:ascii="Arial" w:hAnsi="Arial" w:cs="Arial"/>
          <w:lang w:val="en-ZA"/>
        </w:rPr>
        <w:t>AJA</w:t>
      </w:r>
      <w:r w:rsidR="00952673">
        <w:rPr>
          <w:rFonts w:ascii="Arial" w:hAnsi="Arial"/>
          <w:b/>
        </w:rPr>
        <w:t xml:space="preserve"> </w:t>
      </w:r>
    </w:p>
    <w:p w14:paraId="18CBBF3C" w14:textId="77777777" w:rsidR="00DF3064" w:rsidRDefault="00DF3064" w:rsidP="0019258F">
      <w:pPr>
        <w:spacing w:line="480" w:lineRule="auto"/>
        <w:rPr>
          <w:rFonts w:ascii="Arial" w:hAnsi="Arial"/>
        </w:rPr>
      </w:pPr>
      <w:r>
        <w:rPr>
          <w:rFonts w:ascii="Arial" w:hAnsi="Arial"/>
          <w:b/>
        </w:rPr>
        <w:t>Heard:</w:t>
      </w:r>
      <w:r>
        <w:rPr>
          <w:rFonts w:ascii="Arial" w:hAnsi="Arial"/>
          <w:b/>
        </w:rPr>
        <w:tab/>
      </w:r>
      <w:r>
        <w:rPr>
          <w:rFonts w:ascii="Arial" w:hAnsi="Arial"/>
          <w:b/>
        </w:rPr>
        <w:tab/>
      </w:r>
      <w:r w:rsidR="00952673">
        <w:rPr>
          <w:rFonts w:ascii="Arial" w:hAnsi="Arial"/>
          <w:b/>
        </w:rPr>
        <w:t>7 March 2022</w:t>
      </w:r>
    </w:p>
    <w:p w14:paraId="5B742774" w14:textId="310A7090" w:rsidR="00DF3064" w:rsidRPr="00C306D2" w:rsidRDefault="00DF3064" w:rsidP="0019258F">
      <w:pPr>
        <w:spacing w:line="480" w:lineRule="auto"/>
        <w:rPr>
          <w:rFonts w:ascii="Arial" w:hAnsi="Arial"/>
        </w:rPr>
      </w:pPr>
      <w:r>
        <w:rPr>
          <w:rFonts w:ascii="Arial" w:hAnsi="Arial"/>
          <w:b/>
        </w:rPr>
        <w:t>Delivered:</w:t>
      </w:r>
      <w:r>
        <w:rPr>
          <w:rFonts w:ascii="Arial" w:hAnsi="Arial"/>
          <w:b/>
        </w:rPr>
        <w:tab/>
      </w:r>
      <w:r w:rsidR="00F17BB0">
        <w:rPr>
          <w:rFonts w:ascii="Arial" w:hAnsi="Arial"/>
          <w:b/>
        </w:rPr>
        <w:tab/>
        <w:t>30 March 2022</w:t>
      </w:r>
    </w:p>
    <w:p w14:paraId="121A71FF" w14:textId="77777777" w:rsidR="00DF3064" w:rsidRDefault="00DF3064" w:rsidP="00C0233F">
      <w:pPr>
        <w:spacing w:line="480" w:lineRule="auto"/>
        <w:rPr>
          <w:rFonts w:ascii="Arial" w:hAnsi="Arial"/>
          <w:b/>
        </w:rPr>
      </w:pPr>
    </w:p>
    <w:p w14:paraId="5BCEF48B" w14:textId="5DD90C0C" w:rsidR="003937C3" w:rsidRDefault="003937C3" w:rsidP="003937C3">
      <w:pPr>
        <w:spacing w:line="360" w:lineRule="auto"/>
        <w:jc w:val="both"/>
        <w:rPr>
          <w:rFonts w:ascii="Arial" w:hAnsi="Arial"/>
        </w:rPr>
      </w:pPr>
      <w:r>
        <w:rPr>
          <w:rFonts w:ascii="Arial" w:hAnsi="Arial"/>
          <w:b/>
        </w:rPr>
        <w:t xml:space="preserve">Summary: </w:t>
      </w:r>
      <w:r>
        <w:rPr>
          <w:rFonts w:ascii="Arial" w:hAnsi="Arial"/>
        </w:rPr>
        <w:t xml:space="preserve">This appeal emanates from an action instituted by the respondent against the appellants in the High Court claiming damages in the amount of </w:t>
      </w:r>
      <w:r>
        <w:rPr>
          <w:rFonts w:ascii="Arial" w:hAnsi="Arial"/>
        </w:rPr>
        <w:lastRenderedPageBreak/>
        <w:t xml:space="preserve">N$500 000 for assault allegedly perpetrated by members of the Namibian Correctional Service. An exception was successfully taken to the particulars of claim on the ground that they did not disclose a cause of action as they failed to allege and show proof that a written statutory notice, in terms of s 133(4) of the Correctional Service </w:t>
      </w:r>
      <w:r w:rsidRPr="00C32287">
        <w:rPr>
          <w:rFonts w:ascii="Arial" w:hAnsi="Arial"/>
        </w:rPr>
        <w:t>Act</w:t>
      </w:r>
      <w:r>
        <w:rPr>
          <w:rFonts w:ascii="Arial" w:hAnsi="Arial"/>
        </w:rPr>
        <w:t xml:space="preserve"> 9 of 2012 (the Act), had been given to the appellants before the institution of the action. The court thereafter granted leave to the respondent to amend his particulars of claim within ten days of its order. The appellants were also granted leave to apply for the dismissal of the respondent’s action in the event that he failed to amend his particulars of claim within the period set out in the order.  </w:t>
      </w:r>
    </w:p>
    <w:p w14:paraId="2D8870E8" w14:textId="77777777" w:rsidR="003937C3" w:rsidRDefault="003937C3" w:rsidP="003937C3">
      <w:pPr>
        <w:spacing w:line="360" w:lineRule="auto"/>
        <w:jc w:val="both"/>
        <w:rPr>
          <w:rFonts w:ascii="Arial" w:hAnsi="Arial"/>
        </w:rPr>
      </w:pPr>
    </w:p>
    <w:p w14:paraId="66604A26" w14:textId="3217150B" w:rsidR="003937C3" w:rsidRDefault="003937C3" w:rsidP="003937C3">
      <w:pPr>
        <w:spacing w:line="360" w:lineRule="auto"/>
        <w:jc w:val="both"/>
        <w:rPr>
          <w:rFonts w:ascii="Arial" w:hAnsi="Arial"/>
        </w:rPr>
      </w:pPr>
      <w:r>
        <w:rPr>
          <w:rFonts w:ascii="Arial" w:hAnsi="Arial"/>
        </w:rPr>
        <w:t xml:space="preserve">The appellants, with the leave of the High Court, have now appealed against the decision of the court granting leave to the respondent to amend his particulars of claim. Although the appeal was initially opposed, the respondent has since withdrawn his opposition to it. The principal argument advanced by the appellants is that s 133(4) of the Act </w:t>
      </w:r>
      <w:r w:rsidRPr="008147D8">
        <w:rPr>
          <w:rFonts w:ascii="Arial" w:hAnsi="Arial"/>
        </w:rPr>
        <w:t xml:space="preserve">imposes an absolute prohibition </w:t>
      </w:r>
      <w:r>
        <w:rPr>
          <w:rFonts w:ascii="Arial" w:hAnsi="Arial"/>
        </w:rPr>
        <w:t xml:space="preserve">on </w:t>
      </w:r>
      <w:r w:rsidRPr="008147D8">
        <w:rPr>
          <w:rFonts w:ascii="Arial" w:hAnsi="Arial"/>
        </w:rPr>
        <w:t xml:space="preserve">the institution of legal proceedings without the requisite notice having </w:t>
      </w:r>
      <w:r>
        <w:rPr>
          <w:rFonts w:ascii="Arial" w:hAnsi="Arial"/>
        </w:rPr>
        <w:t xml:space="preserve">first </w:t>
      </w:r>
      <w:r w:rsidRPr="008147D8">
        <w:rPr>
          <w:rFonts w:ascii="Arial" w:hAnsi="Arial"/>
        </w:rPr>
        <w:t>been given</w:t>
      </w:r>
      <w:r>
        <w:rPr>
          <w:rFonts w:ascii="Arial" w:hAnsi="Arial"/>
        </w:rPr>
        <w:t xml:space="preserve"> to the defendant. Non-compliance with this provision attracts invalidity of the instituted legal proceedings. The appellants thus argued that consequent to the upholding of their exception, the court </w:t>
      </w:r>
      <w:r w:rsidRPr="00CE2D66">
        <w:rPr>
          <w:rFonts w:ascii="Arial" w:hAnsi="Arial"/>
          <w:i/>
        </w:rPr>
        <w:t>a quo</w:t>
      </w:r>
      <w:r>
        <w:rPr>
          <w:rFonts w:ascii="Arial" w:hAnsi="Arial"/>
        </w:rPr>
        <w:t xml:space="preserve"> should have dismissed the respondent’s action instead of granting him leave to amend his particulars of claim.  </w:t>
      </w:r>
    </w:p>
    <w:p w14:paraId="170973CA" w14:textId="77777777" w:rsidR="003937C3" w:rsidRDefault="003937C3" w:rsidP="003937C3">
      <w:pPr>
        <w:spacing w:line="360" w:lineRule="auto"/>
        <w:jc w:val="both"/>
        <w:rPr>
          <w:rFonts w:ascii="Arial" w:hAnsi="Arial"/>
        </w:rPr>
      </w:pPr>
    </w:p>
    <w:p w14:paraId="60ABDA02" w14:textId="77777777" w:rsidR="003937C3" w:rsidRDefault="003937C3" w:rsidP="003937C3">
      <w:pPr>
        <w:spacing w:line="360" w:lineRule="auto"/>
        <w:jc w:val="both"/>
        <w:rPr>
          <w:rFonts w:ascii="Arial" w:hAnsi="Arial"/>
          <w:color w:val="000000" w:themeColor="text1"/>
        </w:rPr>
      </w:pPr>
      <w:r w:rsidRPr="00E37A3C">
        <w:rPr>
          <w:rFonts w:ascii="Arial" w:hAnsi="Arial" w:cs="Arial"/>
          <w:i/>
        </w:rPr>
        <w:t>Held that</w:t>
      </w:r>
      <w:r>
        <w:rPr>
          <w:rFonts w:ascii="Arial" w:hAnsi="Arial" w:cs="Arial"/>
        </w:rPr>
        <w:t xml:space="preserve">, </w:t>
      </w:r>
      <w:r>
        <w:rPr>
          <w:rFonts w:ascii="Arial" w:hAnsi="Arial"/>
          <w:color w:val="000000" w:themeColor="text1"/>
        </w:rPr>
        <w:t>it had always been the practice that in a successful exception on the ground that a pleading did not disclose a cause of action, a court should not dismiss the action. Instead, it should set aside the impugned pleading and give the plaintiff leave to amend.</w:t>
      </w:r>
    </w:p>
    <w:p w14:paraId="3BD75F76" w14:textId="77777777" w:rsidR="003937C3" w:rsidRDefault="003937C3" w:rsidP="003937C3">
      <w:pPr>
        <w:spacing w:line="360" w:lineRule="auto"/>
        <w:jc w:val="both"/>
        <w:rPr>
          <w:rFonts w:ascii="Arial" w:hAnsi="Arial"/>
          <w:color w:val="000000" w:themeColor="text1"/>
        </w:rPr>
      </w:pPr>
    </w:p>
    <w:p w14:paraId="5075F873" w14:textId="77777777" w:rsidR="003937C3" w:rsidRDefault="003937C3" w:rsidP="003937C3">
      <w:pPr>
        <w:spacing w:line="360" w:lineRule="auto"/>
        <w:jc w:val="both"/>
        <w:rPr>
          <w:rFonts w:ascii="Arial" w:hAnsi="Arial"/>
          <w:color w:val="000000" w:themeColor="text1"/>
        </w:rPr>
      </w:pPr>
      <w:r>
        <w:rPr>
          <w:rFonts w:ascii="Arial" w:hAnsi="Arial"/>
          <w:i/>
          <w:color w:val="000000" w:themeColor="text1"/>
        </w:rPr>
        <w:t xml:space="preserve">Held </w:t>
      </w:r>
      <w:r>
        <w:rPr>
          <w:rFonts w:ascii="Arial" w:hAnsi="Arial"/>
          <w:color w:val="000000" w:themeColor="text1"/>
        </w:rPr>
        <w:t xml:space="preserve">further that, the absence of an indication at the time of the hearing of the exception that the plaintiff wished to amend their particulars of claim did not entitle the successful excipient to an order dismissing the plaintiff’s action. </w:t>
      </w:r>
    </w:p>
    <w:p w14:paraId="58C931A9" w14:textId="77777777" w:rsidR="003937C3" w:rsidRDefault="003937C3" w:rsidP="003937C3">
      <w:pPr>
        <w:spacing w:line="360" w:lineRule="auto"/>
        <w:jc w:val="both"/>
        <w:rPr>
          <w:rFonts w:ascii="Arial" w:hAnsi="Arial"/>
          <w:color w:val="000000" w:themeColor="text1"/>
        </w:rPr>
      </w:pPr>
    </w:p>
    <w:p w14:paraId="39831116" w14:textId="77777777" w:rsidR="003937C3" w:rsidRDefault="003937C3" w:rsidP="003937C3">
      <w:pPr>
        <w:spacing w:line="360" w:lineRule="auto"/>
        <w:jc w:val="both"/>
        <w:rPr>
          <w:rFonts w:ascii="Arial" w:hAnsi="Arial" w:cs="Arial"/>
          <w:color w:val="000000" w:themeColor="text1"/>
          <w:shd w:val="clear" w:color="auto" w:fill="FFFFFF"/>
        </w:rPr>
      </w:pPr>
      <w:r>
        <w:rPr>
          <w:rFonts w:ascii="Arial" w:hAnsi="Arial"/>
          <w:i/>
          <w:color w:val="000000" w:themeColor="text1"/>
        </w:rPr>
        <w:t xml:space="preserve">Held </w:t>
      </w:r>
      <w:r>
        <w:rPr>
          <w:rFonts w:ascii="Arial" w:hAnsi="Arial"/>
          <w:color w:val="000000" w:themeColor="text1"/>
        </w:rPr>
        <w:t xml:space="preserve">further that, </w:t>
      </w:r>
      <w:r w:rsidRPr="004D7075">
        <w:rPr>
          <w:rFonts w:ascii="Arial" w:hAnsi="Arial" w:cs="Arial"/>
          <w:color w:val="000000" w:themeColor="text1"/>
          <w:shd w:val="clear" w:color="auto" w:fill="FFFFFF"/>
        </w:rPr>
        <w:t xml:space="preserve">the </w:t>
      </w:r>
      <w:r>
        <w:rPr>
          <w:rFonts w:ascii="Arial" w:hAnsi="Arial" w:cs="Arial"/>
          <w:color w:val="000000" w:themeColor="text1"/>
          <w:shd w:val="clear" w:color="auto" w:fill="FFFFFF"/>
        </w:rPr>
        <w:t>High Court</w:t>
      </w:r>
      <w:r w:rsidRPr="004D7075">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was correct</w:t>
      </w:r>
      <w:r w:rsidRPr="004D7075">
        <w:rPr>
          <w:rFonts w:ascii="Arial" w:hAnsi="Arial" w:cs="Arial"/>
          <w:color w:val="000000" w:themeColor="text1"/>
          <w:shd w:val="clear" w:color="auto" w:fill="FFFFFF"/>
        </w:rPr>
        <w:t xml:space="preserve"> in granting the respondent </w:t>
      </w:r>
      <w:r>
        <w:rPr>
          <w:rFonts w:ascii="Arial" w:hAnsi="Arial" w:cs="Arial"/>
          <w:color w:val="000000" w:themeColor="text1"/>
          <w:shd w:val="clear" w:color="auto" w:fill="FFFFFF"/>
        </w:rPr>
        <w:t xml:space="preserve">leave </w:t>
      </w:r>
      <w:r w:rsidRPr="004D7075">
        <w:rPr>
          <w:rFonts w:ascii="Arial" w:hAnsi="Arial" w:cs="Arial"/>
          <w:color w:val="000000" w:themeColor="text1"/>
          <w:shd w:val="clear" w:color="auto" w:fill="FFFFFF"/>
        </w:rPr>
        <w:t>to amend his particulars of claim</w:t>
      </w:r>
      <w:r>
        <w:rPr>
          <w:rFonts w:ascii="Arial" w:hAnsi="Arial" w:cs="Arial"/>
          <w:color w:val="000000" w:themeColor="text1"/>
          <w:shd w:val="clear" w:color="auto" w:fill="FFFFFF"/>
        </w:rPr>
        <w:t xml:space="preserve">. </w:t>
      </w:r>
      <w:r w:rsidRPr="004D7075">
        <w:rPr>
          <w:rFonts w:ascii="Arial" w:hAnsi="Arial" w:cs="Arial"/>
          <w:color w:val="000000" w:themeColor="text1"/>
          <w:shd w:val="clear" w:color="auto" w:fill="FFFFFF"/>
        </w:rPr>
        <w:t>As to the appropriate order th</w:t>
      </w:r>
      <w:r>
        <w:rPr>
          <w:rFonts w:ascii="Arial" w:hAnsi="Arial" w:cs="Arial"/>
          <w:color w:val="000000" w:themeColor="text1"/>
          <w:shd w:val="clear" w:color="auto" w:fill="FFFFFF"/>
        </w:rPr>
        <w:t xml:space="preserve">at </w:t>
      </w:r>
      <w:r w:rsidRPr="004D7075">
        <w:rPr>
          <w:rFonts w:ascii="Arial" w:hAnsi="Arial" w:cs="Arial"/>
          <w:color w:val="000000" w:themeColor="text1"/>
          <w:shd w:val="clear" w:color="auto" w:fill="FFFFFF"/>
        </w:rPr>
        <w:t xml:space="preserve">court should have </w:t>
      </w:r>
      <w:r>
        <w:rPr>
          <w:rFonts w:ascii="Arial" w:hAnsi="Arial" w:cs="Arial"/>
          <w:color w:val="000000" w:themeColor="text1"/>
          <w:shd w:val="clear" w:color="auto" w:fill="FFFFFF"/>
        </w:rPr>
        <w:t>made</w:t>
      </w:r>
      <w:r w:rsidRPr="004D7075">
        <w:rPr>
          <w:rFonts w:ascii="Arial" w:hAnsi="Arial" w:cs="Arial"/>
          <w:color w:val="000000" w:themeColor="text1"/>
          <w:shd w:val="clear" w:color="auto" w:fill="FFFFFF"/>
        </w:rPr>
        <w:t xml:space="preserve">, in light of the </w:t>
      </w:r>
      <w:r>
        <w:rPr>
          <w:rFonts w:ascii="Arial" w:hAnsi="Arial" w:cs="Arial"/>
          <w:color w:val="000000" w:themeColor="text1"/>
          <w:shd w:val="clear" w:color="auto" w:fill="FFFFFF"/>
        </w:rPr>
        <w:t xml:space="preserve">invariable practice followed in this jurisdiction, it should have </w:t>
      </w:r>
      <w:r>
        <w:rPr>
          <w:rFonts w:ascii="Arial" w:hAnsi="Arial" w:cs="Arial"/>
          <w:color w:val="000000" w:themeColor="text1"/>
          <w:shd w:val="clear" w:color="auto" w:fill="FFFFFF"/>
        </w:rPr>
        <w:lastRenderedPageBreak/>
        <w:t xml:space="preserve">set aside </w:t>
      </w:r>
      <w:r w:rsidRPr="004D7075">
        <w:rPr>
          <w:rFonts w:ascii="Arial" w:hAnsi="Arial" w:cs="Arial"/>
          <w:color w:val="000000" w:themeColor="text1"/>
          <w:shd w:val="clear" w:color="auto" w:fill="FFFFFF"/>
        </w:rPr>
        <w:t xml:space="preserve">the </w:t>
      </w:r>
      <w:r>
        <w:rPr>
          <w:rFonts w:ascii="Arial" w:hAnsi="Arial" w:cs="Arial"/>
          <w:color w:val="000000" w:themeColor="text1"/>
          <w:shd w:val="clear" w:color="auto" w:fill="FFFFFF"/>
        </w:rPr>
        <w:t xml:space="preserve">respondent’s </w:t>
      </w:r>
      <w:r w:rsidRPr="004D7075">
        <w:rPr>
          <w:rFonts w:ascii="Arial" w:hAnsi="Arial" w:cs="Arial"/>
          <w:color w:val="000000" w:themeColor="text1"/>
          <w:shd w:val="clear" w:color="auto" w:fill="FFFFFF"/>
        </w:rPr>
        <w:t xml:space="preserve">particulars of claim before granting </w:t>
      </w:r>
      <w:r>
        <w:rPr>
          <w:rFonts w:ascii="Arial" w:hAnsi="Arial" w:cs="Arial"/>
          <w:color w:val="000000" w:themeColor="text1"/>
          <w:shd w:val="clear" w:color="auto" w:fill="FFFFFF"/>
        </w:rPr>
        <w:t xml:space="preserve">him </w:t>
      </w:r>
      <w:r w:rsidRPr="004D7075">
        <w:rPr>
          <w:rFonts w:ascii="Arial" w:hAnsi="Arial" w:cs="Arial"/>
          <w:color w:val="000000" w:themeColor="text1"/>
          <w:shd w:val="clear" w:color="auto" w:fill="FFFFFF"/>
        </w:rPr>
        <w:t>leave to</w:t>
      </w:r>
      <w:r>
        <w:rPr>
          <w:rFonts w:ascii="Arial" w:hAnsi="Arial" w:cs="Arial"/>
          <w:color w:val="000000" w:themeColor="text1"/>
          <w:shd w:val="clear" w:color="auto" w:fill="FFFFFF"/>
        </w:rPr>
        <w:t xml:space="preserve"> </w:t>
      </w:r>
      <w:r w:rsidRPr="004D7075">
        <w:rPr>
          <w:rFonts w:ascii="Arial" w:hAnsi="Arial" w:cs="Arial"/>
          <w:color w:val="000000" w:themeColor="text1"/>
          <w:shd w:val="clear" w:color="auto" w:fill="FFFFFF"/>
        </w:rPr>
        <w:t xml:space="preserve">amend </w:t>
      </w:r>
      <w:r>
        <w:rPr>
          <w:rFonts w:ascii="Arial" w:hAnsi="Arial" w:cs="Arial"/>
          <w:color w:val="000000" w:themeColor="text1"/>
          <w:shd w:val="clear" w:color="auto" w:fill="FFFFFF"/>
        </w:rPr>
        <w:t xml:space="preserve">them. </w:t>
      </w:r>
    </w:p>
    <w:p w14:paraId="74335A05" w14:textId="77777777" w:rsidR="003937C3" w:rsidRDefault="003937C3" w:rsidP="003937C3">
      <w:pPr>
        <w:spacing w:line="360" w:lineRule="auto"/>
        <w:jc w:val="both"/>
        <w:rPr>
          <w:rFonts w:ascii="Arial" w:hAnsi="Arial" w:cs="Arial"/>
          <w:color w:val="000000" w:themeColor="text1"/>
          <w:shd w:val="clear" w:color="auto" w:fill="FFFFFF"/>
        </w:rPr>
      </w:pPr>
    </w:p>
    <w:p w14:paraId="71117AA2" w14:textId="77777777" w:rsidR="003937C3" w:rsidRPr="009B01C0" w:rsidRDefault="003937C3" w:rsidP="003937C3">
      <w:pPr>
        <w:spacing w:line="360" w:lineRule="auto"/>
        <w:jc w:val="both"/>
        <w:rPr>
          <w:rFonts w:ascii="Arial" w:hAnsi="Arial"/>
          <w:color w:val="000000" w:themeColor="text1"/>
        </w:rPr>
      </w:pPr>
      <w:r>
        <w:rPr>
          <w:rFonts w:ascii="Arial" w:hAnsi="Arial" w:cs="Arial"/>
          <w:color w:val="000000" w:themeColor="text1"/>
          <w:shd w:val="clear" w:color="auto" w:fill="FFFFFF"/>
        </w:rPr>
        <w:t xml:space="preserve">The appeal is </w:t>
      </w:r>
      <w:r>
        <w:rPr>
          <w:rFonts w:ascii="Arial" w:hAnsi="Arial"/>
        </w:rPr>
        <w:t xml:space="preserve">dismissed and the order of the High Court is altered to read that the particulars of claim are set aside and the plaintiff is given leave, if so advised or minded, to file amended particulars of claim within one month of this judgment. </w:t>
      </w:r>
    </w:p>
    <w:p w14:paraId="194A84E1" w14:textId="77777777" w:rsidR="00DF3064" w:rsidRDefault="00DF3064" w:rsidP="0019258F">
      <w:pPr>
        <w:jc w:val="both"/>
        <w:rPr>
          <w:rFonts w:ascii="Arial" w:hAnsi="Arial"/>
          <w:b/>
        </w:rPr>
      </w:pPr>
    </w:p>
    <w:p w14:paraId="5AD8644F" w14:textId="77777777" w:rsidR="00C0233F" w:rsidRDefault="00C0233F" w:rsidP="00C0233F">
      <w:pPr>
        <w:pBdr>
          <w:top w:val="single" w:sz="4" w:space="1" w:color="auto"/>
        </w:pBdr>
        <w:jc w:val="both"/>
        <w:rPr>
          <w:rFonts w:ascii="Arial" w:hAnsi="Arial"/>
          <w:b/>
        </w:rPr>
      </w:pPr>
    </w:p>
    <w:p w14:paraId="3A8D09DC" w14:textId="14F05147" w:rsidR="00DF3064" w:rsidRDefault="00DF3064" w:rsidP="00C0233F">
      <w:pPr>
        <w:pBdr>
          <w:bottom w:val="single" w:sz="4" w:space="1" w:color="auto"/>
        </w:pBdr>
        <w:jc w:val="center"/>
        <w:rPr>
          <w:rFonts w:ascii="Arial" w:hAnsi="Arial"/>
          <w:b/>
        </w:rPr>
      </w:pPr>
      <w:r>
        <w:rPr>
          <w:rFonts w:ascii="Arial" w:hAnsi="Arial"/>
          <w:b/>
        </w:rPr>
        <w:t>APPEAL JUDGMENT</w:t>
      </w:r>
    </w:p>
    <w:p w14:paraId="4FC00A9F" w14:textId="77777777" w:rsidR="00C0233F" w:rsidRDefault="00C0233F" w:rsidP="00C0233F">
      <w:pPr>
        <w:pBdr>
          <w:bottom w:val="single" w:sz="4" w:space="1" w:color="auto"/>
        </w:pBdr>
        <w:jc w:val="center"/>
        <w:rPr>
          <w:rFonts w:ascii="Arial" w:hAnsi="Arial"/>
          <w:b/>
        </w:rPr>
      </w:pPr>
    </w:p>
    <w:p w14:paraId="15645D77" w14:textId="77777777" w:rsidR="00DF3064" w:rsidRDefault="00DF3064" w:rsidP="0019258F">
      <w:pPr>
        <w:rPr>
          <w:rFonts w:ascii="Arial" w:hAnsi="Arial"/>
          <w:b/>
        </w:rPr>
      </w:pPr>
    </w:p>
    <w:p w14:paraId="466260B1" w14:textId="77777777" w:rsidR="00DF3064" w:rsidRDefault="00DF3064" w:rsidP="0019258F">
      <w:pPr>
        <w:spacing w:line="480" w:lineRule="auto"/>
        <w:rPr>
          <w:rFonts w:ascii="Arial" w:hAnsi="Arial"/>
        </w:rPr>
      </w:pPr>
      <w:r w:rsidRPr="00AC0B17">
        <w:rPr>
          <w:rFonts w:ascii="Arial" w:hAnsi="Arial"/>
        </w:rPr>
        <w:t>SHIVUTE CJ</w:t>
      </w:r>
      <w:r>
        <w:rPr>
          <w:rFonts w:ascii="Arial" w:hAnsi="Arial"/>
        </w:rPr>
        <w:t xml:space="preserve"> (</w:t>
      </w:r>
      <w:r w:rsidR="00952673">
        <w:rPr>
          <w:rFonts w:ascii="Arial" w:hAnsi="Arial"/>
        </w:rPr>
        <w:t xml:space="preserve">SMUTS </w:t>
      </w:r>
      <w:r w:rsidR="00952673" w:rsidRPr="00A01E99">
        <w:rPr>
          <w:rFonts w:ascii="Arial" w:hAnsi="Arial"/>
        </w:rPr>
        <w:t>JA</w:t>
      </w:r>
      <w:r w:rsidR="00952673">
        <w:rPr>
          <w:rFonts w:ascii="Arial" w:hAnsi="Arial"/>
        </w:rPr>
        <w:t xml:space="preserve"> </w:t>
      </w:r>
      <w:r w:rsidRPr="00A01E99">
        <w:rPr>
          <w:rFonts w:ascii="Arial" w:hAnsi="Arial"/>
        </w:rPr>
        <w:t>and</w:t>
      </w:r>
      <w:r w:rsidR="00952673">
        <w:rPr>
          <w:rFonts w:ascii="Arial" w:hAnsi="Arial"/>
        </w:rPr>
        <w:t xml:space="preserve"> </w:t>
      </w:r>
      <w:r w:rsidR="00952673">
        <w:rPr>
          <w:rFonts w:ascii="Arial" w:hAnsi="Arial" w:cs="Arial"/>
          <w:lang w:val="en-ZA"/>
        </w:rPr>
        <w:t>LIEBENBERG</w:t>
      </w:r>
      <w:r w:rsidR="00952673" w:rsidRPr="006B344C">
        <w:rPr>
          <w:rFonts w:ascii="Arial" w:hAnsi="Arial" w:cs="Arial"/>
          <w:lang w:val="en-ZA"/>
        </w:rPr>
        <w:t xml:space="preserve"> </w:t>
      </w:r>
      <w:r w:rsidR="00952673">
        <w:rPr>
          <w:rFonts w:ascii="Arial" w:hAnsi="Arial" w:cs="Arial"/>
          <w:lang w:val="en-ZA"/>
        </w:rPr>
        <w:t>AJA</w:t>
      </w:r>
      <w:r w:rsidR="00952673">
        <w:rPr>
          <w:rFonts w:ascii="Arial" w:hAnsi="Arial"/>
          <w:b/>
        </w:rPr>
        <w:t xml:space="preserve"> </w:t>
      </w:r>
      <w:r>
        <w:rPr>
          <w:rFonts w:ascii="Arial" w:hAnsi="Arial"/>
        </w:rPr>
        <w:t>concurring):</w:t>
      </w:r>
    </w:p>
    <w:p w14:paraId="4724448F" w14:textId="77777777" w:rsidR="00F70731" w:rsidRPr="001151E7" w:rsidRDefault="00F70731" w:rsidP="0019258F">
      <w:pPr>
        <w:spacing w:line="480" w:lineRule="auto"/>
        <w:rPr>
          <w:rFonts w:ascii="Arial" w:hAnsi="Arial"/>
          <w:u w:val="single"/>
        </w:rPr>
      </w:pPr>
      <w:r w:rsidRPr="001151E7">
        <w:rPr>
          <w:rFonts w:ascii="Arial" w:hAnsi="Arial"/>
          <w:u w:val="single"/>
        </w:rPr>
        <w:t>Introduction</w:t>
      </w:r>
    </w:p>
    <w:p w14:paraId="5C411844" w14:textId="53D0AD6C" w:rsidR="005C4B38" w:rsidRDefault="00606FB0" w:rsidP="000476ED">
      <w:pPr>
        <w:pStyle w:val="ListParagraph"/>
        <w:numPr>
          <w:ilvl w:val="0"/>
          <w:numId w:val="1"/>
        </w:numPr>
        <w:spacing w:line="480" w:lineRule="auto"/>
        <w:contextualSpacing w:val="0"/>
        <w:jc w:val="both"/>
        <w:rPr>
          <w:rFonts w:ascii="Arial" w:hAnsi="Arial"/>
        </w:rPr>
      </w:pPr>
      <w:r w:rsidRPr="003A7BFC">
        <w:rPr>
          <w:rFonts w:ascii="Arial" w:hAnsi="Arial"/>
        </w:rPr>
        <w:t xml:space="preserve">The </w:t>
      </w:r>
      <w:r w:rsidR="003A7BFC">
        <w:rPr>
          <w:rFonts w:ascii="Arial" w:hAnsi="Arial"/>
        </w:rPr>
        <w:t>n</w:t>
      </w:r>
      <w:r w:rsidR="003A7BFC" w:rsidRPr="003A7BFC">
        <w:rPr>
          <w:rFonts w:ascii="Arial" w:hAnsi="Arial"/>
        </w:rPr>
        <w:t xml:space="preserve">arrow </w:t>
      </w:r>
      <w:r w:rsidRPr="003A7BFC">
        <w:rPr>
          <w:rFonts w:ascii="Arial" w:hAnsi="Arial"/>
        </w:rPr>
        <w:t xml:space="preserve">issue in this appeal is whether </w:t>
      </w:r>
      <w:r w:rsidR="008F30C6">
        <w:rPr>
          <w:rFonts w:ascii="Arial" w:hAnsi="Arial"/>
        </w:rPr>
        <w:t xml:space="preserve">the </w:t>
      </w:r>
      <w:r w:rsidR="00F70731">
        <w:rPr>
          <w:rFonts w:ascii="Arial" w:hAnsi="Arial"/>
        </w:rPr>
        <w:t>High C</w:t>
      </w:r>
      <w:r w:rsidR="008F30C6">
        <w:rPr>
          <w:rFonts w:ascii="Arial" w:hAnsi="Arial"/>
        </w:rPr>
        <w:t xml:space="preserve">ourt </w:t>
      </w:r>
      <w:r w:rsidR="000A27E8">
        <w:rPr>
          <w:rFonts w:ascii="Arial" w:hAnsi="Arial"/>
        </w:rPr>
        <w:t>misdirected itself in</w:t>
      </w:r>
      <w:r w:rsidR="008F30C6">
        <w:rPr>
          <w:rFonts w:ascii="Arial" w:hAnsi="Arial"/>
        </w:rPr>
        <w:t xml:space="preserve"> </w:t>
      </w:r>
      <w:r w:rsidR="003A7BFC" w:rsidRPr="003A7BFC">
        <w:rPr>
          <w:rFonts w:ascii="Arial" w:hAnsi="Arial"/>
        </w:rPr>
        <w:t xml:space="preserve">granting the respondent </w:t>
      </w:r>
      <w:r w:rsidR="00AE12EF">
        <w:rPr>
          <w:rFonts w:ascii="Arial" w:hAnsi="Arial"/>
        </w:rPr>
        <w:t xml:space="preserve">leave </w:t>
      </w:r>
      <w:r w:rsidR="00E931B0" w:rsidRPr="003A7BFC">
        <w:rPr>
          <w:rFonts w:ascii="Arial" w:hAnsi="Arial"/>
        </w:rPr>
        <w:t xml:space="preserve">to amend his particulars </w:t>
      </w:r>
      <w:r w:rsidR="003A7BFC">
        <w:rPr>
          <w:rFonts w:ascii="Arial" w:hAnsi="Arial"/>
        </w:rPr>
        <w:t xml:space="preserve">of claim </w:t>
      </w:r>
      <w:r w:rsidR="00E931B0" w:rsidRPr="003A7BFC">
        <w:rPr>
          <w:rFonts w:ascii="Arial" w:hAnsi="Arial"/>
        </w:rPr>
        <w:t>despite</w:t>
      </w:r>
      <w:r w:rsidR="009A47E1" w:rsidRPr="003A7BFC">
        <w:rPr>
          <w:rFonts w:ascii="Arial" w:hAnsi="Arial"/>
        </w:rPr>
        <w:t xml:space="preserve"> </w:t>
      </w:r>
      <w:r w:rsidR="00B3673D" w:rsidRPr="003A7BFC">
        <w:rPr>
          <w:rFonts w:ascii="Arial" w:hAnsi="Arial"/>
        </w:rPr>
        <w:t>upholding the appellants</w:t>
      </w:r>
      <w:r w:rsidR="007B2003" w:rsidRPr="003A7BFC">
        <w:rPr>
          <w:rFonts w:ascii="Arial" w:hAnsi="Arial"/>
        </w:rPr>
        <w:t>’</w:t>
      </w:r>
      <w:r w:rsidR="00B3673D" w:rsidRPr="003A7BFC">
        <w:rPr>
          <w:rFonts w:ascii="Arial" w:hAnsi="Arial"/>
        </w:rPr>
        <w:t xml:space="preserve"> exception </w:t>
      </w:r>
      <w:r w:rsidR="00E72AD3" w:rsidRPr="003A7BFC">
        <w:rPr>
          <w:rFonts w:ascii="Arial" w:hAnsi="Arial"/>
        </w:rPr>
        <w:t xml:space="preserve">on the ground </w:t>
      </w:r>
      <w:r w:rsidR="008110EB" w:rsidRPr="003A7BFC">
        <w:rPr>
          <w:rFonts w:ascii="Arial" w:hAnsi="Arial"/>
        </w:rPr>
        <w:t xml:space="preserve">that </w:t>
      </w:r>
      <w:r w:rsidR="00E72AD3" w:rsidRPr="003A7BFC">
        <w:rPr>
          <w:rFonts w:ascii="Arial" w:hAnsi="Arial"/>
        </w:rPr>
        <w:t xml:space="preserve">the respondent’s particulars of claim </w:t>
      </w:r>
      <w:r w:rsidR="00F70731">
        <w:rPr>
          <w:rFonts w:ascii="Arial" w:hAnsi="Arial"/>
        </w:rPr>
        <w:t>did not</w:t>
      </w:r>
      <w:r w:rsidR="00E72AD3" w:rsidRPr="003A7BFC">
        <w:rPr>
          <w:rFonts w:ascii="Arial" w:hAnsi="Arial"/>
        </w:rPr>
        <w:t xml:space="preserve"> disclose a cause of action.</w:t>
      </w:r>
      <w:r w:rsidR="00F70731">
        <w:rPr>
          <w:rFonts w:ascii="Arial" w:hAnsi="Arial"/>
        </w:rPr>
        <w:t xml:space="preserve"> The appeal is with leave of the High Court</w:t>
      </w:r>
      <w:r w:rsidR="00AE12EF">
        <w:rPr>
          <w:rFonts w:ascii="Arial" w:hAnsi="Arial"/>
        </w:rPr>
        <w:t xml:space="preserve"> and</w:t>
      </w:r>
      <w:r w:rsidR="00F70731">
        <w:rPr>
          <w:rFonts w:ascii="Arial" w:hAnsi="Arial"/>
        </w:rPr>
        <w:t xml:space="preserve"> is unopposed following the withdrawal of the respondent’s notice of opposition to </w:t>
      </w:r>
      <w:r w:rsidR="00AE12EF">
        <w:rPr>
          <w:rFonts w:ascii="Arial" w:hAnsi="Arial"/>
        </w:rPr>
        <w:t>i</w:t>
      </w:r>
      <w:r w:rsidR="00F70731">
        <w:rPr>
          <w:rFonts w:ascii="Arial" w:hAnsi="Arial"/>
        </w:rPr>
        <w:t>t.</w:t>
      </w:r>
    </w:p>
    <w:p w14:paraId="484CCAEF" w14:textId="77777777" w:rsidR="00DF3064" w:rsidRPr="00D1467B" w:rsidRDefault="00DF3064" w:rsidP="000476ED">
      <w:pPr>
        <w:spacing w:line="480" w:lineRule="auto"/>
        <w:jc w:val="both"/>
        <w:rPr>
          <w:rFonts w:ascii="Arial" w:hAnsi="Arial"/>
        </w:rPr>
      </w:pPr>
    </w:p>
    <w:p w14:paraId="451211AF" w14:textId="77777777" w:rsidR="00DF3064" w:rsidRPr="005C25DC" w:rsidRDefault="002E0EEE" w:rsidP="000476ED">
      <w:pPr>
        <w:spacing w:line="480" w:lineRule="auto"/>
        <w:rPr>
          <w:rFonts w:ascii="Arial" w:hAnsi="Arial"/>
          <w:u w:val="single"/>
        </w:rPr>
      </w:pPr>
      <w:r>
        <w:rPr>
          <w:rFonts w:ascii="Arial" w:hAnsi="Arial"/>
          <w:u w:val="single"/>
        </w:rPr>
        <w:t xml:space="preserve">Proceedings in the </w:t>
      </w:r>
      <w:r w:rsidR="00DF3064" w:rsidRPr="005C25DC">
        <w:rPr>
          <w:rFonts w:ascii="Arial" w:hAnsi="Arial"/>
          <w:u w:val="single"/>
        </w:rPr>
        <w:t>High Court</w:t>
      </w:r>
    </w:p>
    <w:p w14:paraId="613D3EC3" w14:textId="3652E2CF" w:rsidR="002E0EEE" w:rsidRDefault="001466B9" w:rsidP="000476ED">
      <w:pPr>
        <w:pStyle w:val="ListParagraph"/>
        <w:numPr>
          <w:ilvl w:val="0"/>
          <w:numId w:val="1"/>
        </w:numPr>
        <w:spacing w:line="480" w:lineRule="auto"/>
        <w:contextualSpacing w:val="0"/>
        <w:jc w:val="both"/>
        <w:rPr>
          <w:rFonts w:ascii="Arial" w:hAnsi="Arial"/>
        </w:rPr>
      </w:pPr>
      <w:r>
        <w:rPr>
          <w:rFonts w:ascii="Arial" w:hAnsi="Arial"/>
        </w:rPr>
        <w:t xml:space="preserve">As plaintiff, </w:t>
      </w:r>
      <w:r w:rsidR="00A92F9E">
        <w:rPr>
          <w:rFonts w:ascii="Arial" w:hAnsi="Arial"/>
        </w:rPr>
        <w:t xml:space="preserve">the </w:t>
      </w:r>
      <w:r w:rsidR="002E0EEE">
        <w:rPr>
          <w:rFonts w:ascii="Arial" w:hAnsi="Arial"/>
        </w:rPr>
        <w:t>respondent instituted an action against the appellants</w:t>
      </w:r>
      <w:r w:rsidR="00EE0AE3">
        <w:rPr>
          <w:rFonts w:ascii="Arial" w:hAnsi="Arial"/>
        </w:rPr>
        <w:t xml:space="preserve"> </w:t>
      </w:r>
      <w:r w:rsidR="00187A59">
        <w:rPr>
          <w:rFonts w:ascii="Arial" w:hAnsi="Arial"/>
        </w:rPr>
        <w:t xml:space="preserve">(defendants </w:t>
      </w:r>
      <w:r w:rsidR="00187A59" w:rsidRPr="00187A59">
        <w:rPr>
          <w:rFonts w:ascii="Arial" w:hAnsi="Arial"/>
          <w:i/>
        </w:rPr>
        <w:t>a quo</w:t>
      </w:r>
      <w:r w:rsidR="00187A59">
        <w:rPr>
          <w:rFonts w:ascii="Arial" w:hAnsi="Arial"/>
        </w:rPr>
        <w:t xml:space="preserve">) </w:t>
      </w:r>
      <w:r w:rsidR="002E0EEE">
        <w:rPr>
          <w:rFonts w:ascii="Arial" w:hAnsi="Arial"/>
        </w:rPr>
        <w:t xml:space="preserve">in which he claimed damages </w:t>
      </w:r>
      <w:r w:rsidR="00A92F9E">
        <w:rPr>
          <w:rFonts w:ascii="Arial" w:hAnsi="Arial"/>
        </w:rPr>
        <w:t xml:space="preserve">in the amount of N$500 000 </w:t>
      </w:r>
      <w:r w:rsidR="002E0EEE">
        <w:rPr>
          <w:rFonts w:ascii="Arial" w:hAnsi="Arial"/>
        </w:rPr>
        <w:t xml:space="preserve">for assault allegedly perpetrated by </w:t>
      </w:r>
      <w:r w:rsidR="00740399">
        <w:rPr>
          <w:rFonts w:ascii="Arial" w:hAnsi="Arial"/>
        </w:rPr>
        <w:t xml:space="preserve">members of the </w:t>
      </w:r>
      <w:r w:rsidR="00A92F9E">
        <w:rPr>
          <w:rFonts w:ascii="Arial" w:hAnsi="Arial"/>
        </w:rPr>
        <w:t xml:space="preserve">Namibian </w:t>
      </w:r>
      <w:r w:rsidR="006118D6">
        <w:rPr>
          <w:rFonts w:ascii="Arial" w:hAnsi="Arial"/>
        </w:rPr>
        <w:t>C</w:t>
      </w:r>
      <w:r w:rsidR="00E57509">
        <w:rPr>
          <w:rFonts w:ascii="Arial" w:hAnsi="Arial"/>
        </w:rPr>
        <w:t xml:space="preserve">orrectional </w:t>
      </w:r>
      <w:r w:rsidR="006118D6">
        <w:rPr>
          <w:rFonts w:ascii="Arial" w:hAnsi="Arial"/>
        </w:rPr>
        <w:t>S</w:t>
      </w:r>
      <w:r w:rsidR="00740399">
        <w:rPr>
          <w:rFonts w:ascii="Arial" w:hAnsi="Arial"/>
        </w:rPr>
        <w:t>ervice</w:t>
      </w:r>
      <w:r w:rsidR="00E57509">
        <w:rPr>
          <w:rFonts w:ascii="Arial" w:hAnsi="Arial"/>
        </w:rPr>
        <w:t xml:space="preserve">. </w:t>
      </w:r>
    </w:p>
    <w:p w14:paraId="059DB707" w14:textId="77777777" w:rsidR="00A52186" w:rsidRDefault="00A52186" w:rsidP="000476ED">
      <w:pPr>
        <w:pStyle w:val="ListParagraph"/>
        <w:spacing w:line="480" w:lineRule="auto"/>
        <w:ind w:left="0"/>
        <w:contextualSpacing w:val="0"/>
        <w:jc w:val="both"/>
        <w:rPr>
          <w:rFonts w:ascii="Arial" w:hAnsi="Arial"/>
        </w:rPr>
      </w:pPr>
    </w:p>
    <w:p w14:paraId="0E834882" w14:textId="13A52585" w:rsidR="00E57509" w:rsidRPr="00C32287" w:rsidRDefault="0010704B" w:rsidP="000476ED">
      <w:pPr>
        <w:pStyle w:val="ListParagraph"/>
        <w:numPr>
          <w:ilvl w:val="0"/>
          <w:numId w:val="1"/>
        </w:numPr>
        <w:spacing w:line="480" w:lineRule="auto"/>
        <w:contextualSpacing w:val="0"/>
        <w:jc w:val="both"/>
        <w:rPr>
          <w:rFonts w:ascii="Arial" w:hAnsi="Arial"/>
        </w:rPr>
      </w:pPr>
      <w:r w:rsidRPr="00C32287">
        <w:rPr>
          <w:rFonts w:ascii="Arial" w:hAnsi="Arial"/>
        </w:rPr>
        <w:t>T</w:t>
      </w:r>
      <w:r w:rsidR="00E57509" w:rsidRPr="00C32287">
        <w:rPr>
          <w:rFonts w:ascii="Arial" w:hAnsi="Arial"/>
        </w:rPr>
        <w:t>he appellants</w:t>
      </w:r>
      <w:r w:rsidR="006118D6" w:rsidRPr="00C32287">
        <w:rPr>
          <w:rFonts w:ascii="Arial" w:hAnsi="Arial"/>
        </w:rPr>
        <w:t xml:space="preserve"> </w:t>
      </w:r>
      <w:r w:rsidRPr="00C32287">
        <w:rPr>
          <w:rFonts w:ascii="Arial" w:hAnsi="Arial"/>
        </w:rPr>
        <w:t xml:space="preserve">defended the action and </w:t>
      </w:r>
      <w:r w:rsidR="006118D6" w:rsidRPr="00C32287">
        <w:rPr>
          <w:rFonts w:ascii="Arial" w:hAnsi="Arial"/>
        </w:rPr>
        <w:t>took several exceptions</w:t>
      </w:r>
      <w:r w:rsidR="005668BD">
        <w:rPr>
          <w:rFonts w:ascii="Arial" w:hAnsi="Arial"/>
        </w:rPr>
        <w:t xml:space="preserve"> to the </w:t>
      </w:r>
      <w:r w:rsidR="00215037">
        <w:rPr>
          <w:rFonts w:ascii="Arial" w:hAnsi="Arial"/>
        </w:rPr>
        <w:t>respondent</w:t>
      </w:r>
      <w:r w:rsidR="005668BD">
        <w:rPr>
          <w:rFonts w:ascii="Arial" w:hAnsi="Arial"/>
        </w:rPr>
        <w:t>’s initial pleadings</w:t>
      </w:r>
      <w:r w:rsidR="00F53643">
        <w:rPr>
          <w:rFonts w:ascii="Arial" w:hAnsi="Arial"/>
        </w:rPr>
        <w:t xml:space="preserve">, the </w:t>
      </w:r>
      <w:r w:rsidR="00184642">
        <w:rPr>
          <w:rFonts w:ascii="Arial" w:hAnsi="Arial"/>
        </w:rPr>
        <w:t xml:space="preserve">one </w:t>
      </w:r>
      <w:r w:rsidR="00F53643">
        <w:rPr>
          <w:rFonts w:ascii="Arial" w:hAnsi="Arial"/>
        </w:rPr>
        <w:t xml:space="preserve">relevant to the </w:t>
      </w:r>
      <w:r w:rsidR="00184642">
        <w:rPr>
          <w:rFonts w:ascii="Arial" w:hAnsi="Arial"/>
        </w:rPr>
        <w:t xml:space="preserve">present </w:t>
      </w:r>
      <w:r w:rsidR="00F53643">
        <w:rPr>
          <w:rFonts w:ascii="Arial" w:hAnsi="Arial"/>
        </w:rPr>
        <w:t xml:space="preserve">appeal </w:t>
      </w:r>
      <w:r w:rsidR="001E286F">
        <w:rPr>
          <w:rFonts w:ascii="Arial" w:hAnsi="Arial"/>
        </w:rPr>
        <w:t>wa</w:t>
      </w:r>
      <w:r w:rsidR="00F53643">
        <w:rPr>
          <w:rFonts w:ascii="Arial" w:hAnsi="Arial"/>
        </w:rPr>
        <w:t>s</w:t>
      </w:r>
      <w:r w:rsidR="00184642">
        <w:rPr>
          <w:rFonts w:ascii="Arial" w:hAnsi="Arial"/>
        </w:rPr>
        <w:t xml:space="preserve"> that the respondent did not comply </w:t>
      </w:r>
      <w:r w:rsidR="00AA2CA2" w:rsidRPr="00C32287">
        <w:rPr>
          <w:rFonts w:ascii="Arial" w:hAnsi="Arial"/>
        </w:rPr>
        <w:t>w</w:t>
      </w:r>
      <w:r w:rsidRPr="00C32287">
        <w:rPr>
          <w:rFonts w:ascii="Arial" w:hAnsi="Arial"/>
        </w:rPr>
        <w:t>ith</w:t>
      </w:r>
      <w:r w:rsidR="00E57509" w:rsidRPr="00C32287">
        <w:rPr>
          <w:rFonts w:ascii="Arial" w:hAnsi="Arial"/>
        </w:rPr>
        <w:t xml:space="preserve"> s 133(4) of the </w:t>
      </w:r>
      <w:r w:rsidR="001E286F">
        <w:rPr>
          <w:rFonts w:ascii="Arial" w:hAnsi="Arial"/>
        </w:rPr>
        <w:t xml:space="preserve">Correctional Service </w:t>
      </w:r>
      <w:r w:rsidR="00E57509" w:rsidRPr="00C32287">
        <w:rPr>
          <w:rFonts w:ascii="Arial" w:hAnsi="Arial"/>
        </w:rPr>
        <w:t>Act</w:t>
      </w:r>
      <w:r w:rsidR="00215037">
        <w:rPr>
          <w:rFonts w:ascii="Arial" w:hAnsi="Arial"/>
        </w:rPr>
        <w:t xml:space="preserve"> </w:t>
      </w:r>
      <w:r w:rsidR="001E286F">
        <w:rPr>
          <w:rFonts w:ascii="Arial" w:hAnsi="Arial"/>
        </w:rPr>
        <w:t xml:space="preserve">9 of 2012 </w:t>
      </w:r>
      <w:r w:rsidR="00A95717">
        <w:rPr>
          <w:rFonts w:ascii="Arial" w:hAnsi="Arial"/>
        </w:rPr>
        <w:t xml:space="preserve">(the Act) </w:t>
      </w:r>
      <w:r w:rsidR="00215037">
        <w:rPr>
          <w:rFonts w:ascii="Arial" w:hAnsi="Arial"/>
        </w:rPr>
        <w:t xml:space="preserve">that requires notice </w:t>
      </w:r>
      <w:r w:rsidR="001E286F">
        <w:rPr>
          <w:rFonts w:ascii="Arial" w:hAnsi="Arial"/>
        </w:rPr>
        <w:t xml:space="preserve">in writing of every action </w:t>
      </w:r>
      <w:r w:rsidR="00215037">
        <w:rPr>
          <w:rFonts w:ascii="Arial" w:hAnsi="Arial"/>
        </w:rPr>
        <w:t xml:space="preserve">to be given to </w:t>
      </w:r>
      <w:r w:rsidR="001E286F">
        <w:rPr>
          <w:rFonts w:ascii="Arial" w:hAnsi="Arial"/>
        </w:rPr>
        <w:t>a defendant</w:t>
      </w:r>
      <w:r w:rsidR="00215037">
        <w:rPr>
          <w:rFonts w:ascii="Arial" w:hAnsi="Arial"/>
        </w:rPr>
        <w:t xml:space="preserve"> </w:t>
      </w:r>
      <w:r w:rsidR="001E286F">
        <w:rPr>
          <w:rFonts w:ascii="Arial" w:hAnsi="Arial"/>
        </w:rPr>
        <w:t xml:space="preserve">at least one month before </w:t>
      </w:r>
      <w:r w:rsidR="00004C3C">
        <w:rPr>
          <w:rFonts w:ascii="Arial" w:hAnsi="Arial"/>
        </w:rPr>
        <w:t>its ins</w:t>
      </w:r>
      <w:r w:rsidR="001E286F">
        <w:rPr>
          <w:rFonts w:ascii="Arial" w:hAnsi="Arial"/>
        </w:rPr>
        <w:t>t</w:t>
      </w:r>
      <w:r w:rsidR="00004C3C">
        <w:rPr>
          <w:rFonts w:ascii="Arial" w:hAnsi="Arial"/>
        </w:rPr>
        <w:t>itution</w:t>
      </w:r>
      <w:r w:rsidR="001A726E" w:rsidRPr="00C32287">
        <w:rPr>
          <w:rFonts w:ascii="Arial" w:hAnsi="Arial"/>
        </w:rPr>
        <w:t xml:space="preserve">. </w:t>
      </w:r>
    </w:p>
    <w:p w14:paraId="48AE091E" w14:textId="68EE210A" w:rsidR="00E32736" w:rsidRDefault="00C94D60" w:rsidP="000476ED">
      <w:pPr>
        <w:pStyle w:val="ListParagraph"/>
        <w:numPr>
          <w:ilvl w:val="0"/>
          <w:numId w:val="1"/>
        </w:numPr>
        <w:spacing w:line="480" w:lineRule="auto"/>
        <w:contextualSpacing w:val="0"/>
        <w:jc w:val="both"/>
        <w:rPr>
          <w:rFonts w:ascii="Arial" w:hAnsi="Arial"/>
        </w:rPr>
      </w:pPr>
      <w:r>
        <w:rPr>
          <w:rFonts w:ascii="Arial" w:hAnsi="Arial"/>
        </w:rPr>
        <w:lastRenderedPageBreak/>
        <w:t>On the da</w:t>
      </w:r>
      <w:r w:rsidR="00213F8B">
        <w:rPr>
          <w:rFonts w:ascii="Arial" w:hAnsi="Arial"/>
        </w:rPr>
        <w:t>te</w:t>
      </w:r>
      <w:r>
        <w:rPr>
          <w:rFonts w:ascii="Arial" w:hAnsi="Arial"/>
        </w:rPr>
        <w:t xml:space="preserve"> of the </w:t>
      </w:r>
      <w:r w:rsidR="000A27E8">
        <w:rPr>
          <w:rFonts w:ascii="Arial" w:hAnsi="Arial"/>
        </w:rPr>
        <w:t xml:space="preserve">hearing of </w:t>
      </w:r>
      <w:r w:rsidR="005668BD">
        <w:rPr>
          <w:rFonts w:ascii="Arial" w:hAnsi="Arial"/>
        </w:rPr>
        <w:t>argument on</w:t>
      </w:r>
      <w:r w:rsidR="000A27E8">
        <w:rPr>
          <w:rFonts w:ascii="Arial" w:hAnsi="Arial"/>
        </w:rPr>
        <w:t xml:space="preserve"> </w:t>
      </w:r>
      <w:r w:rsidR="003F4590">
        <w:rPr>
          <w:rFonts w:ascii="Arial" w:hAnsi="Arial"/>
        </w:rPr>
        <w:t>exception,</w:t>
      </w:r>
      <w:r w:rsidR="000A27E8">
        <w:rPr>
          <w:rFonts w:ascii="Arial" w:hAnsi="Arial"/>
        </w:rPr>
        <w:t xml:space="preserve"> the respondent </w:t>
      </w:r>
      <w:r w:rsidR="00206CC9">
        <w:rPr>
          <w:rFonts w:ascii="Arial" w:hAnsi="Arial"/>
        </w:rPr>
        <w:t>file</w:t>
      </w:r>
      <w:r w:rsidR="000A27E8">
        <w:rPr>
          <w:rFonts w:ascii="Arial" w:hAnsi="Arial"/>
        </w:rPr>
        <w:t>d</w:t>
      </w:r>
      <w:r w:rsidR="00206CC9">
        <w:rPr>
          <w:rFonts w:ascii="Arial" w:hAnsi="Arial"/>
        </w:rPr>
        <w:t xml:space="preserve"> </w:t>
      </w:r>
      <w:r w:rsidR="003F4590">
        <w:rPr>
          <w:rFonts w:ascii="Arial" w:hAnsi="Arial"/>
        </w:rPr>
        <w:t xml:space="preserve">an application </w:t>
      </w:r>
      <w:r w:rsidR="000A27E8">
        <w:rPr>
          <w:rFonts w:ascii="Arial" w:hAnsi="Arial"/>
        </w:rPr>
        <w:t xml:space="preserve">in which </w:t>
      </w:r>
      <w:r w:rsidR="00A95717">
        <w:rPr>
          <w:rFonts w:ascii="Arial" w:hAnsi="Arial"/>
        </w:rPr>
        <w:t xml:space="preserve"> </w:t>
      </w:r>
      <w:r w:rsidR="000A27E8">
        <w:rPr>
          <w:rFonts w:ascii="Arial" w:hAnsi="Arial"/>
        </w:rPr>
        <w:t xml:space="preserve">he </w:t>
      </w:r>
      <w:r w:rsidR="00A95717">
        <w:rPr>
          <w:rFonts w:ascii="Arial" w:hAnsi="Arial"/>
        </w:rPr>
        <w:t xml:space="preserve"> </w:t>
      </w:r>
      <w:r w:rsidR="000A27E8">
        <w:rPr>
          <w:rFonts w:ascii="Arial" w:hAnsi="Arial"/>
        </w:rPr>
        <w:t xml:space="preserve">sought </w:t>
      </w:r>
      <w:r w:rsidR="00A95717">
        <w:rPr>
          <w:rFonts w:ascii="Arial" w:hAnsi="Arial"/>
        </w:rPr>
        <w:t xml:space="preserve"> </w:t>
      </w:r>
      <w:r w:rsidR="00206CC9">
        <w:rPr>
          <w:rFonts w:ascii="Arial" w:hAnsi="Arial"/>
        </w:rPr>
        <w:t xml:space="preserve">an </w:t>
      </w:r>
      <w:r w:rsidR="00A95717">
        <w:rPr>
          <w:rFonts w:ascii="Arial" w:hAnsi="Arial"/>
        </w:rPr>
        <w:t xml:space="preserve"> </w:t>
      </w:r>
      <w:r w:rsidR="00206CC9">
        <w:rPr>
          <w:rFonts w:ascii="Arial" w:hAnsi="Arial"/>
        </w:rPr>
        <w:t xml:space="preserve">order </w:t>
      </w:r>
      <w:r w:rsidR="00A95717">
        <w:rPr>
          <w:rFonts w:ascii="Arial" w:hAnsi="Arial"/>
        </w:rPr>
        <w:t xml:space="preserve"> </w:t>
      </w:r>
      <w:r w:rsidR="00206CC9">
        <w:rPr>
          <w:rFonts w:ascii="Arial" w:hAnsi="Arial"/>
        </w:rPr>
        <w:t xml:space="preserve">condoning </w:t>
      </w:r>
      <w:r w:rsidR="00A95717">
        <w:rPr>
          <w:rFonts w:ascii="Arial" w:hAnsi="Arial"/>
        </w:rPr>
        <w:t xml:space="preserve"> </w:t>
      </w:r>
      <w:r w:rsidR="00206CC9">
        <w:rPr>
          <w:rFonts w:ascii="Arial" w:hAnsi="Arial"/>
        </w:rPr>
        <w:t xml:space="preserve">his </w:t>
      </w:r>
      <w:r w:rsidR="00A95717">
        <w:rPr>
          <w:rFonts w:ascii="Arial" w:hAnsi="Arial"/>
        </w:rPr>
        <w:t xml:space="preserve"> </w:t>
      </w:r>
      <w:r w:rsidR="00206CC9">
        <w:rPr>
          <w:rFonts w:ascii="Arial" w:hAnsi="Arial"/>
        </w:rPr>
        <w:t xml:space="preserve">failure </w:t>
      </w:r>
      <w:r w:rsidR="00A95717">
        <w:rPr>
          <w:rFonts w:ascii="Arial" w:hAnsi="Arial"/>
        </w:rPr>
        <w:t xml:space="preserve"> </w:t>
      </w:r>
      <w:r w:rsidR="00206CC9">
        <w:rPr>
          <w:rFonts w:ascii="Arial" w:hAnsi="Arial"/>
        </w:rPr>
        <w:t xml:space="preserve">to </w:t>
      </w:r>
      <w:r w:rsidR="00A95717">
        <w:rPr>
          <w:rFonts w:ascii="Arial" w:hAnsi="Arial"/>
        </w:rPr>
        <w:t xml:space="preserve"> </w:t>
      </w:r>
      <w:r w:rsidR="00206CC9">
        <w:rPr>
          <w:rFonts w:ascii="Arial" w:hAnsi="Arial"/>
        </w:rPr>
        <w:t xml:space="preserve">comply </w:t>
      </w:r>
      <w:r w:rsidR="00A95717">
        <w:rPr>
          <w:rFonts w:ascii="Arial" w:hAnsi="Arial"/>
        </w:rPr>
        <w:t xml:space="preserve"> </w:t>
      </w:r>
      <w:r w:rsidR="00206CC9">
        <w:rPr>
          <w:rFonts w:ascii="Arial" w:hAnsi="Arial"/>
        </w:rPr>
        <w:t xml:space="preserve">with s 133(4). </w:t>
      </w:r>
      <w:r w:rsidR="00213F8B">
        <w:rPr>
          <w:rFonts w:ascii="Arial" w:hAnsi="Arial"/>
        </w:rPr>
        <w:t>A</w:t>
      </w:r>
      <w:r w:rsidR="00580F0E">
        <w:rPr>
          <w:rFonts w:ascii="Arial" w:hAnsi="Arial"/>
        </w:rPr>
        <w:t>ddition</w:t>
      </w:r>
      <w:r w:rsidR="00213F8B">
        <w:rPr>
          <w:rFonts w:ascii="Arial" w:hAnsi="Arial"/>
        </w:rPr>
        <w:t xml:space="preserve">al </w:t>
      </w:r>
      <w:r w:rsidR="00580F0E">
        <w:rPr>
          <w:rFonts w:ascii="Arial" w:hAnsi="Arial"/>
        </w:rPr>
        <w:t>to the condonation application</w:t>
      </w:r>
      <w:r w:rsidR="00213F8B">
        <w:rPr>
          <w:rFonts w:ascii="Arial" w:hAnsi="Arial"/>
        </w:rPr>
        <w:t>, the respondent</w:t>
      </w:r>
      <w:r w:rsidR="00580F0E">
        <w:rPr>
          <w:rFonts w:ascii="Arial" w:hAnsi="Arial"/>
        </w:rPr>
        <w:t xml:space="preserve"> for the first time, raised </w:t>
      </w:r>
      <w:r w:rsidR="00206CC9">
        <w:rPr>
          <w:rFonts w:ascii="Arial" w:hAnsi="Arial"/>
        </w:rPr>
        <w:t xml:space="preserve">in </w:t>
      </w:r>
      <w:r w:rsidR="00580F0E">
        <w:rPr>
          <w:rFonts w:ascii="Arial" w:hAnsi="Arial"/>
        </w:rPr>
        <w:t xml:space="preserve">his </w:t>
      </w:r>
      <w:r w:rsidR="00206CC9">
        <w:rPr>
          <w:rFonts w:ascii="Arial" w:hAnsi="Arial"/>
        </w:rPr>
        <w:t xml:space="preserve">heads </w:t>
      </w:r>
      <w:r w:rsidR="00580F0E">
        <w:rPr>
          <w:rFonts w:ascii="Arial" w:hAnsi="Arial"/>
        </w:rPr>
        <w:t xml:space="preserve">of argument a constitutional </w:t>
      </w:r>
      <w:r w:rsidR="00004C3C">
        <w:rPr>
          <w:rFonts w:ascii="Arial" w:hAnsi="Arial"/>
        </w:rPr>
        <w:t>point</w:t>
      </w:r>
      <w:r w:rsidR="0092340A">
        <w:rPr>
          <w:rFonts w:ascii="Arial" w:hAnsi="Arial"/>
        </w:rPr>
        <w:t xml:space="preserve"> that </w:t>
      </w:r>
      <w:r w:rsidR="000A27E8">
        <w:rPr>
          <w:rFonts w:ascii="Arial" w:hAnsi="Arial"/>
        </w:rPr>
        <w:t xml:space="preserve">the dismissal of </w:t>
      </w:r>
      <w:r w:rsidR="0092340A">
        <w:rPr>
          <w:rFonts w:ascii="Arial" w:hAnsi="Arial"/>
        </w:rPr>
        <w:t xml:space="preserve">his action </w:t>
      </w:r>
      <w:r w:rsidR="009B4A4F">
        <w:rPr>
          <w:rFonts w:ascii="Arial" w:hAnsi="Arial"/>
        </w:rPr>
        <w:t xml:space="preserve">would </w:t>
      </w:r>
      <w:r w:rsidR="0092340A">
        <w:rPr>
          <w:rFonts w:ascii="Arial" w:hAnsi="Arial"/>
        </w:rPr>
        <w:t xml:space="preserve">violate his fair trial rights guaranteed </w:t>
      </w:r>
      <w:r w:rsidR="00D55AD3">
        <w:rPr>
          <w:rFonts w:ascii="Arial" w:hAnsi="Arial"/>
        </w:rPr>
        <w:t xml:space="preserve">under Article 12 of </w:t>
      </w:r>
      <w:r w:rsidR="0092340A">
        <w:rPr>
          <w:rFonts w:ascii="Arial" w:hAnsi="Arial"/>
        </w:rPr>
        <w:t>the Namibian Constitution</w:t>
      </w:r>
      <w:r w:rsidR="009B4A4F">
        <w:rPr>
          <w:rFonts w:ascii="Arial" w:hAnsi="Arial"/>
        </w:rPr>
        <w:t>. The appellants opposed b</w:t>
      </w:r>
      <w:r w:rsidR="00423A76">
        <w:rPr>
          <w:rFonts w:ascii="Arial" w:hAnsi="Arial"/>
        </w:rPr>
        <w:t xml:space="preserve">oth </w:t>
      </w:r>
      <w:r w:rsidR="00186325">
        <w:rPr>
          <w:rFonts w:ascii="Arial" w:hAnsi="Arial"/>
        </w:rPr>
        <w:t xml:space="preserve">the </w:t>
      </w:r>
      <w:r w:rsidR="005218F3">
        <w:rPr>
          <w:rFonts w:ascii="Arial" w:hAnsi="Arial"/>
        </w:rPr>
        <w:t xml:space="preserve">condonation application and the </w:t>
      </w:r>
      <w:r w:rsidR="00D55AD3">
        <w:rPr>
          <w:rFonts w:ascii="Arial" w:hAnsi="Arial"/>
        </w:rPr>
        <w:t xml:space="preserve">constitutional </w:t>
      </w:r>
      <w:r w:rsidR="005218F3">
        <w:rPr>
          <w:rFonts w:ascii="Arial" w:hAnsi="Arial"/>
        </w:rPr>
        <w:t>challenge</w:t>
      </w:r>
      <w:r w:rsidR="00580F0E">
        <w:rPr>
          <w:rFonts w:ascii="Arial" w:hAnsi="Arial"/>
        </w:rPr>
        <w:t>.</w:t>
      </w:r>
    </w:p>
    <w:p w14:paraId="57A0AF32" w14:textId="77777777" w:rsidR="00E32736" w:rsidRPr="00E32736" w:rsidRDefault="00E32736" w:rsidP="000476ED">
      <w:pPr>
        <w:pStyle w:val="ListParagraph"/>
        <w:spacing w:line="480" w:lineRule="auto"/>
        <w:rPr>
          <w:rFonts w:ascii="Arial" w:hAnsi="Arial"/>
        </w:rPr>
      </w:pPr>
    </w:p>
    <w:p w14:paraId="4A6DEF33" w14:textId="6B608CA2" w:rsidR="0096005C" w:rsidRDefault="000A27E8" w:rsidP="000476ED">
      <w:pPr>
        <w:pStyle w:val="ListParagraph"/>
        <w:numPr>
          <w:ilvl w:val="0"/>
          <w:numId w:val="1"/>
        </w:numPr>
        <w:spacing w:line="480" w:lineRule="auto"/>
        <w:contextualSpacing w:val="0"/>
        <w:jc w:val="both"/>
        <w:rPr>
          <w:rFonts w:ascii="Arial" w:hAnsi="Arial"/>
        </w:rPr>
      </w:pPr>
      <w:r>
        <w:rPr>
          <w:rFonts w:ascii="Arial" w:hAnsi="Arial"/>
        </w:rPr>
        <w:t>Arguments on the exception were heard and the</w:t>
      </w:r>
      <w:r w:rsidR="0073345E">
        <w:rPr>
          <w:rFonts w:ascii="Arial" w:hAnsi="Arial"/>
        </w:rPr>
        <w:t xml:space="preserve"> </w:t>
      </w:r>
      <w:r w:rsidR="000820D4">
        <w:rPr>
          <w:rFonts w:ascii="Arial" w:hAnsi="Arial"/>
        </w:rPr>
        <w:t xml:space="preserve">appellants’ </w:t>
      </w:r>
      <w:r w:rsidR="0073345E">
        <w:rPr>
          <w:rFonts w:ascii="Arial" w:hAnsi="Arial"/>
        </w:rPr>
        <w:t xml:space="preserve">exception </w:t>
      </w:r>
      <w:r w:rsidR="00D67DD9">
        <w:rPr>
          <w:rFonts w:ascii="Arial" w:hAnsi="Arial"/>
        </w:rPr>
        <w:t xml:space="preserve">was upheld </w:t>
      </w:r>
      <w:r w:rsidR="0073345E">
        <w:rPr>
          <w:rFonts w:ascii="Arial" w:hAnsi="Arial"/>
        </w:rPr>
        <w:t xml:space="preserve">with </w:t>
      </w:r>
      <w:r w:rsidR="00005921">
        <w:rPr>
          <w:rFonts w:ascii="Arial" w:hAnsi="Arial"/>
        </w:rPr>
        <w:t xml:space="preserve">costs. </w:t>
      </w:r>
      <w:r w:rsidR="00213F8B">
        <w:rPr>
          <w:rFonts w:ascii="Arial" w:hAnsi="Arial"/>
        </w:rPr>
        <w:t>I</w:t>
      </w:r>
      <w:r w:rsidR="000820D4">
        <w:rPr>
          <w:rFonts w:ascii="Arial" w:hAnsi="Arial"/>
        </w:rPr>
        <w:t>n upholding the exception</w:t>
      </w:r>
      <w:r w:rsidR="00213F8B">
        <w:rPr>
          <w:rFonts w:ascii="Arial" w:hAnsi="Arial"/>
        </w:rPr>
        <w:t>, the court</w:t>
      </w:r>
      <w:r w:rsidR="000820D4">
        <w:rPr>
          <w:rFonts w:ascii="Arial" w:hAnsi="Arial"/>
        </w:rPr>
        <w:t xml:space="preserve"> </w:t>
      </w:r>
      <w:r w:rsidR="0096005C">
        <w:rPr>
          <w:rFonts w:ascii="Arial" w:hAnsi="Arial"/>
        </w:rPr>
        <w:t xml:space="preserve">held </w:t>
      </w:r>
      <w:r w:rsidR="0022344D">
        <w:rPr>
          <w:rFonts w:ascii="Arial" w:hAnsi="Arial"/>
        </w:rPr>
        <w:t xml:space="preserve">that the respondent’s particulars of claim </w:t>
      </w:r>
      <w:r w:rsidR="00575517">
        <w:rPr>
          <w:rFonts w:ascii="Arial" w:hAnsi="Arial"/>
        </w:rPr>
        <w:t xml:space="preserve">did not </w:t>
      </w:r>
      <w:r w:rsidR="0022344D">
        <w:rPr>
          <w:rFonts w:ascii="Arial" w:hAnsi="Arial"/>
        </w:rPr>
        <w:t xml:space="preserve">disclose a cause of action as </w:t>
      </w:r>
      <w:r w:rsidR="0096005C">
        <w:rPr>
          <w:rFonts w:ascii="Arial" w:hAnsi="Arial"/>
        </w:rPr>
        <w:t>t</w:t>
      </w:r>
      <w:r w:rsidR="004D4B20">
        <w:rPr>
          <w:rFonts w:ascii="Arial" w:hAnsi="Arial"/>
        </w:rPr>
        <w:t>hey</w:t>
      </w:r>
      <w:r w:rsidR="0096005C">
        <w:rPr>
          <w:rFonts w:ascii="Arial" w:hAnsi="Arial"/>
        </w:rPr>
        <w:t xml:space="preserve"> failed to </w:t>
      </w:r>
      <w:r w:rsidR="00213F8B">
        <w:rPr>
          <w:rFonts w:ascii="Arial" w:hAnsi="Arial"/>
        </w:rPr>
        <w:t xml:space="preserve">allege and </w:t>
      </w:r>
      <w:r w:rsidR="00A95717">
        <w:rPr>
          <w:rFonts w:ascii="Arial" w:hAnsi="Arial"/>
        </w:rPr>
        <w:t>provide</w:t>
      </w:r>
      <w:r w:rsidR="0022344D">
        <w:rPr>
          <w:rFonts w:ascii="Arial" w:hAnsi="Arial"/>
        </w:rPr>
        <w:t xml:space="preserve"> </w:t>
      </w:r>
      <w:r w:rsidR="00213F8B">
        <w:rPr>
          <w:rFonts w:ascii="Arial" w:hAnsi="Arial"/>
        </w:rPr>
        <w:t xml:space="preserve">proof </w:t>
      </w:r>
      <w:r w:rsidR="0022344D">
        <w:rPr>
          <w:rFonts w:ascii="Arial" w:hAnsi="Arial"/>
        </w:rPr>
        <w:t xml:space="preserve">that </w:t>
      </w:r>
      <w:r w:rsidR="0096005C">
        <w:rPr>
          <w:rFonts w:ascii="Arial" w:hAnsi="Arial"/>
        </w:rPr>
        <w:t xml:space="preserve">a written statutory notice </w:t>
      </w:r>
      <w:r w:rsidR="0022344D">
        <w:rPr>
          <w:rFonts w:ascii="Arial" w:hAnsi="Arial"/>
        </w:rPr>
        <w:t>ha</w:t>
      </w:r>
      <w:r w:rsidR="000820D4">
        <w:rPr>
          <w:rFonts w:ascii="Arial" w:hAnsi="Arial"/>
        </w:rPr>
        <w:t>d</w:t>
      </w:r>
      <w:r w:rsidR="0022344D">
        <w:rPr>
          <w:rFonts w:ascii="Arial" w:hAnsi="Arial"/>
        </w:rPr>
        <w:t xml:space="preserve"> been given </w:t>
      </w:r>
      <w:r w:rsidR="00B22D19">
        <w:rPr>
          <w:rFonts w:ascii="Arial" w:hAnsi="Arial"/>
        </w:rPr>
        <w:t xml:space="preserve">to the appellants before the institution of </w:t>
      </w:r>
      <w:r w:rsidR="0022344D">
        <w:rPr>
          <w:rFonts w:ascii="Arial" w:hAnsi="Arial"/>
        </w:rPr>
        <w:t>the</w:t>
      </w:r>
      <w:r w:rsidR="000820D4">
        <w:rPr>
          <w:rFonts w:ascii="Arial" w:hAnsi="Arial"/>
        </w:rPr>
        <w:t xml:space="preserve"> action</w:t>
      </w:r>
      <w:r w:rsidR="0022344D">
        <w:rPr>
          <w:rFonts w:ascii="Arial" w:hAnsi="Arial"/>
        </w:rPr>
        <w:t xml:space="preserve">. </w:t>
      </w:r>
    </w:p>
    <w:p w14:paraId="767E4FCA" w14:textId="77777777" w:rsidR="0096005C" w:rsidRPr="0096005C" w:rsidRDefault="0096005C" w:rsidP="000476ED">
      <w:pPr>
        <w:pStyle w:val="ListParagraph"/>
        <w:spacing w:line="480" w:lineRule="auto"/>
        <w:rPr>
          <w:rFonts w:ascii="Arial" w:hAnsi="Arial"/>
        </w:rPr>
      </w:pPr>
    </w:p>
    <w:p w14:paraId="66C7F789" w14:textId="406D0F9F" w:rsidR="001A726E" w:rsidRDefault="00184642" w:rsidP="000476ED">
      <w:pPr>
        <w:pStyle w:val="ListParagraph"/>
        <w:numPr>
          <w:ilvl w:val="0"/>
          <w:numId w:val="1"/>
        </w:numPr>
        <w:spacing w:line="480" w:lineRule="auto"/>
        <w:contextualSpacing w:val="0"/>
        <w:jc w:val="both"/>
        <w:rPr>
          <w:rFonts w:ascii="Arial" w:hAnsi="Arial"/>
        </w:rPr>
      </w:pPr>
      <w:r>
        <w:rPr>
          <w:rFonts w:ascii="Arial" w:hAnsi="Arial"/>
        </w:rPr>
        <w:t>T</w:t>
      </w:r>
      <w:r w:rsidR="00213F8B">
        <w:rPr>
          <w:rFonts w:ascii="Arial" w:hAnsi="Arial"/>
        </w:rPr>
        <w:t>he court</w:t>
      </w:r>
      <w:r w:rsidR="004F30E5">
        <w:rPr>
          <w:rFonts w:ascii="Arial" w:hAnsi="Arial"/>
        </w:rPr>
        <w:t xml:space="preserve"> </w:t>
      </w:r>
      <w:r w:rsidR="0096005C">
        <w:rPr>
          <w:rFonts w:ascii="Arial" w:hAnsi="Arial"/>
        </w:rPr>
        <w:t xml:space="preserve">proceeded to make </w:t>
      </w:r>
      <w:r w:rsidR="00005921">
        <w:rPr>
          <w:rFonts w:ascii="Arial" w:hAnsi="Arial"/>
        </w:rPr>
        <w:t xml:space="preserve">an order </w:t>
      </w:r>
      <w:r w:rsidR="00215037">
        <w:rPr>
          <w:rFonts w:ascii="Arial" w:hAnsi="Arial"/>
        </w:rPr>
        <w:t>giving</w:t>
      </w:r>
      <w:r w:rsidR="00005921">
        <w:rPr>
          <w:rFonts w:ascii="Arial" w:hAnsi="Arial"/>
        </w:rPr>
        <w:t xml:space="preserve"> the respondent </w:t>
      </w:r>
      <w:r w:rsidR="00215037">
        <w:rPr>
          <w:rFonts w:ascii="Arial" w:hAnsi="Arial"/>
        </w:rPr>
        <w:t xml:space="preserve">leave </w:t>
      </w:r>
      <w:r w:rsidR="002C4EDF">
        <w:rPr>
          <w:rFonts w:ascii="Arial" w:hAnsi="Arial"/>
        </w:rPr>
        <w:t>to</w:t>
      </w:r>
      <w:r w:rsidR="00005921">
        <w:rPr>
          <w:rFonts w:ascii="Arial" w:hAnsi="Arial"/>
        </w:rPr>
        <w:t xml:space="preserve"> amend </w:t>
      </w:r>
      <w:r w:rsidR="00213F8B">
        <w:rPr>
          <w:rFonts w:ascii="Arial" w:hAnsi="Arial"/>
        </w:rPr>
        <w:t xml:space="preserve">his </w:t>
      </w:r>
      <w:r w:rsidR="00005921">
        <w:rPr>
          <w:rFonts w:ascii="Arial" w:hAnsi="Arial"/>
        </w:rPr>
        <w:t xml:space="preserve">particulars of claim within </w:t>
      </w:r>
      <w:r w:rsidR="004F30E5">
        <w:rPr>
          <w:rFonts w:ascii="Arial" w:hAnsi="Arial"/>
        </w:rPr>
        <w:t xml:space="preserve">ten </w:t>
      </w:r>
      <w:r w:rsidR="00005921">
        <w:rPr>
          <w:rFonts w:ascii="Arial" w:hAnsi="Arial"/>
        </w:rPr>
        <w:t xml:space="preserve">days of </w:t>
      </w:r>
      <w:r w:rsidR="00575517">
        <w:rPr>
          <w:rFonts w:ascii="Arial" w:hAnsi="Arial"/>
        </w:rPr>
        <w:t xml:space="preserve">its </w:t>
      </w:r>
      <w:r w:rsidR="00005921">
        <w:rPr>
          <w:rFonts w:ascii="Arial" w:hAnsi="Arial"/>
        </w:rPr>
        <w:t xml:space="preserve">order. </w:t>
      </w:r>
      <w:r w:rsidR="00E02961">
        <w:rPr>
          <w:rFonts w:ascii="Arial" w:hAnsi="Arial"/>
        </w:rPr>
        <w:t xml:space="preserve">The </w:t>
      </w:r>
      <w:r w:rsidR="009B4A4F">
        <w:rPr>
          <w:rFonts w:ascii="Arial" w:hAnsi="Arial"/>
        </w:rPr>
        <w:t xml:space="preserve">appellants were also granted </w:t>
      </w:r>
      <w:r w:rsidR="00E02961">
        <w:rPr>
          <w:rFonts w:ascii="Arial" w:hAnsi="Arial"/>
        </w:rPr>
        <w:t xml:space="preserve">leave to apply for the dismissal of the respondent’s action in the event </w:t>
      </w:r>
      <w:r w:rsidR="00072451">
        <w:rPr>
          <w:rFonts w:ascii="Arial" w:hAnsi="Arial"/>
        </w:rPr>
        <w:t xml:space="preserve">that </w:t>
      </w:r>
      <w:r w:rsidR="00E02961">
        <w:rPr>
          <w:rFonts w:ascii="Arial" w:hAnsi="Arial"/>
        </w:rPr>
        <w:t>the respondent fail</w:t>
      </w:r>
      <w:r w:rsidR="00213F8B">
        <w:rPr>
          <w:rFonts w:ascii="Arial" w:hAnsi="Arial"/>
        </w:rPr>
        <w:t>ed</w:t>
      </w:r>
      <w:r w:rsidR="00E02961">
        <w:rPr>
          <w:rFonts w:ascii="Arial" w:hAnsi="Arial"/>
        </w:rPr>
        <w:t xml:space="preserve"> to file his amended particulars of claim within th</w:t>
      </w:r>
      <w:r w:rsidR="00213F8B">
        <w:rPr>
          <w:rFonts w:ascii="Arial" w:hAnsi="Arial"/>
        </w:rPr>
        <w:t>e</w:t>
      </w:r>
      <w:r w:rsidR="005109BD">
        <w:rPr>
          <w:rFonts w:ascii="Arial" w:hAnsi="Arial"/>
        </w:rPr>
        <w:t xml:space="preserve"> </w:t>
      </w:r>
      <w:r w:rsidR="00E02961">
        <w:rPr>
          <w:rFonts w:ascii="Arial" w:hAnsi="Arial"/>
        </w:rPr>
        <w:t>period</w:t>
      </w:r>
      <w:r w:rsidR="00544C5D">
        <w:rPr>
          <w:rFonts w:ascii="Arial" w:hAnsi="Arial"/>
        </w:rPr>
        <w:t xml:space="preserve"> </w:t>
      </w:r>
      <w:r w:rsidR="00213F8B">
        <w:rPr>
          <w:rFonts w:ascii="Arial" w:hAnsi="Arial"/>
        </w:rPr>
        <w:t>set out in the order</w:t>
      </w:r>
      <w:r w:rsidR="00E02961">
        <w:rPr>
          <w:rFonts w:ascii="Arial" w:hAnsi="Arial"/>
        </w:rPr>
        <w:t>.</w:t>
      </w:r>
      <w:r w:rsidR="00005921">
        <w:rPr>
          <w:rFonts w:ascii="Arial" w:hAnsi="Arial"/>
        </w:rPr>
        <w:t xml:space="preserve"> </w:t>
      </w:r>
      <w:r w:rsidR="001955DB">
        <w:rPr>
          <w:rFonts w:ascii="Arial" w:hAnsi="Arial"/>
        </w:rPr>
        <w:t xml:space="preserve">The matter was then postponed to a further date for a status hearing. </w:t>
      </w:r>
    </w:p>
    <w:p w14:paraId="2070260D" w14:textId="77777777" w:rsidR="008460A3" w:rsidRPr="008460A3" w:rsidRDefault="008460A3" w:rsidP="000476ED">
      <w:pPr>
        <w:pStyle w:val="ListParagraph"/>
        <w:spacing w:line="480" w:lineRule="auto"/>
        <w:rPr>
          <w:rFonts w:ascii="Arial" w:hAnsi="Arial"/>
        </w:rPr>
      </w:pPr>
    </w:p>
    <w:p w14:paraId="09708E0D" w14:textId="77777777" w:rsidR="008460A3" w:rsidRDefault="00A07175" w:rsidP="00940FB0">
      <w:pPr>
        <w:pStyle w:val="ListParagraph"/>
        <w:numPr>
          <w:ilvl w:val="0"/>
          <w:numId w:val="1"/>
        </w:numPr>
        <w:spacing w:line="480" w:lineRule="auto"/>
        <w:contextualSpacing w:val="0"/>
        <w:jc w:val="both"/>
        <w:rPr>
          <w:rFonts w:ascii="Arial" w:hAnsi="Arial"/>
        </w:rPr>
      </w:pPr>
      <w:r>
        <w:rPr>
          <w:rFonts w:ascii="Arial" w:hAnsi="Arial"/>
        </w:rPr>
        <w:t>T</w:t>
      </w:r>
      <w:r w:rsidR="002C4EDF">
        <w:rPr>
          <w:rFonts w:ascii="Arial" w:hAnsi="Arial"/>
        </w:rPr>
        <w:t xml:space="preserve">he </w:t>
      </w:r>
      <w:r w:rsidR="008460A3">
        <w:rPr>
          <w:rFonts w:ascii="Arial" w:hAnsi="Arial"/>
        </w:rPr>
        <w:t>appellants</w:t>
      </w:r>
      <w:r>
        <w:rPr>
          <w:rFonts w:ascii="Arial" w:hAnsi="Arial"/>
        </w:rPr>
        <w:t xml:space="preserve"> thereafter s</w:t>
      </w:r>
      <w:r w:rsidR="008460A3">
        <w:rPr>
          <w:rFonts w:ascii="Arial" w:hAnsi="Arial"/>
        </w:rPr>
        <w:t>uccessful</w:t>
      </w:r>
      <w:r w:rsidR="005109BD">
        <w:rPr>
          <w:rFonts w:ascii="Arial" w:hAnsi="Arial"/>
        </w:rPr>
        <w:t>ly</w:t>
      </w:r>
      <w:r w:rsidR="008460A3">
        <w:rPr>
          <w:rFonts w:ascii="Arial" w:hAnsi="Arial"/>
        </w:rPr>
        <w:t xml:space="preserve"> brought an application for leave to appeal against</w:t>
      </w:r>
      <w:r w:rsidR="002C4EDF">
        <w:rPr>
          <w:rFonts w:ascii="Arial" w:hAnsi="Arial"/>
        </w:rPr>
        <w:t xml:space="preserve"> that</w:t>
      </w:r>
      <w:r w:rsidR="008460A3">
        <w:rPr>
          <w:rFonts w:ascii="Arial" w:hAnsi="Arial"/>
        </w:rPr>
        <w:t xml:space="preserve"> </w:t>
      </w:r>
      <w:r w:rsidR="00042853">
        <w:rPr>
          <w:rFonts w:ascii="Arial" w:hAnsi="Arial"/>
        </w:rPr>
        <w:t xml:space="preserve">portion of the judgment and order </w:t>
      </w:r>
      <w:r w:rsidR="008460A3">
        <w:rPr>
          <w:rFonts w:ascii="Arial" w:hAnsi="Arial"/>
        </w:rPr>
        <w:t xml:space="preserve">granting </w:t>
      </w:r>
      <w:r w:rsidR="00AA19B6">
        <w:rPr>
          <w:rFonts w:ascii="Arial" w:hAnsi="Arial"/>
        </w:rPr>
        <w:t>t</w:t>
      </w:r>
      <w:r w:rsidR="008460A3">
        <w:rPr>
          <w:rFonts w:ascii="Arial" w:hAnsi="Arial"/>
        </w:rPr>
        <w:t xml:space="preserve">he respondent </w:t>
      </w:r>
      <w:r w:rsidR="00AA19B6">
        <w:rPr>
          <w:rFonts w:ascii="Arial" w:hAnsi="Arial"/>
        </w:rPr>
        <w:t xml:space="preserve">an opportunity </w:t>
      </w:r>
      <w:r w:rsidR="008460A3">
        <w:rPr>
          <w:rFonts w:ascii="Arial" w:hAnsi="Arial"/>
        </w:rPr>
        <w:t>to file his amended particulars of claim</w:t>
      </w:r>
      <w:r w:rsidR="00DF18B5">
        <w:rPr>
          <w:rFonts w:ascii="Arial" w:hAnsi="Arial"/>
        </w:rPr>
        <w:t xml:space="preserve">. </w:t>
      </w:r>
    </w:p>
    <w:p w14:paraId="3E064D95" w14:textId="77777777" w:rsidR="003D4F1D" w:rsidRDefault="003D4F1D" w:rsidP="00940FB0">
      <w:pPr>
        <w:pStyle w:val="ListParagraph"/>
        <w:spacing w:line="480" w:lineRule="auto"/>
        <w:ind w:left="0"/>
        <w:contextualSpacing w:val="0"/>
        <w:jc w:val="both"/>
        <w:rPr>
          <w:rFonts w:ascii="Arial" w:hAnsi="Arial"/>
          <w:u w:val="single"/>
        </w:rPr>
      </w:pPr>
    </w:p>
    <w:p w14:paraId="4AE93864" w14:textId="77777777" w:rsidR="005249C8" w:rsidRDefault="005249C8" w:rsidP="00940FB0">
      <w:pPr>
        <w:pStyle w:val="ListParagraph"/>
        <w:spacing w:line="480" w:lineRule="auto"/>
        <w:ind w:left="0"/>
        <w:contextualSpacing w:val="0"/>
        <w:jc w:val="both"/>
        <w:rPr>
          <w:rFonts w:ascii="Arial" w:hAnsi="Arial"/>
          <w:u w:val="single"/>
        </w:rPr>
      </w:pPr>
    </w:p>
    <w:p w14:paraId="12DB2433" w14:textId="77777777" w:rsidR="008052BD" w:rsidRPr="008361A4" w:rsidRDefault="008361A4" w:rsidP="00940FB0">
      <w:pPr>
        <w:pStyle w:val="ListParagraph"/>
        <w:spacing w:line="480" w:lineRule="auto"/>
        <w:ind w:left="0"/>
        <w:contextualSpacing w:val="0"/>
        <w:jc w:val="both"/>
        <w:rPr>
          <w:rFonts w:ascii="Arial" w:hAnsi="Arial"/>
          <w:u w:val="single"/>
        </w:rPr>
      </w:pPr>
      <w:r w:rsidRPr="008361A4">
        <w:rPr>
          <w:rFonts w:ascii="Arial" w:hAnsi="Arial"/>
          <w:u w:val="single"/>
        </w:rPr>
        <w:lastRenderedPageBreak/>
        <w:t>Approach of the High Court</w:t>
      </w:r>
    </w:p>
    <w:p w14:paraId="40A57D0F" w14:textId="236C4D2D" w:rsidR="00865B1B" w:rsidRPr="00380546" w:rsidRDefault="00072451" w:rsidP="00940FB0">
      <w:pPr>
        <w:pStyle w:val="ListParagraph"/>
        <w:numPr>
          <w:ilvl w:val="0"/>
          <w:numId w:val="1"/>
        </w:numPr>
        <w:spacing w:line="480" w:lineRule="auto"/>
        <w:contextualSpacing w:val="0"/>
        <w:jc w:val="both"/>
        <w:rPr>
          <w:rFonts w:ascii="Arial" w:hAnsi="Arial"/>
        </w:rPr>
      </w:pPr>
      <w:r>
        <w:rPr>
          <w:rFonts w:ascii="Arial" w:hAnsi="Arial" w:cs="Arial"/>
          <w:lang w:val="en-ZA"/>
        </w:rPr>
        <w:t xml:space="preserve">As regards </w:t>
      </w:r>
      <w:r w:rsidR="007629DB" w:rsidRPr="00380546">
        <w:rPr>
          <w:rFonts w:ascii="Arial" w:hAnsi="Arial" w:cs="Arial"/>
          <w:lang w:val="en-ZA"/>
        </w:rPr>
        <w:t xml:space="preserve">the effect of the non-compliance with </w:t>
      </w:r>
      <w:r w:rsidR="000B5DC2" w:rsidRPr="00380546">
        <w:rPr>
          <w:rFonts w:ascii="Arial" w:hAnsi="Arial" w:cs="Arial"/>
        </w:rPr>
        <w:t>s</w:t>
      </w:r>
      <w:r w:rsidR="007629DB" w:rsidRPr="00380546">
        <w:rPr>
          <w:rFonts w:ascii="Arial" w:hAnsi="Arial" w:cs="Arial"/>
        </w:rPr>
        <w:t xml:space="preserve"> 133(4)</w:t>
      </w:r>
      <w:r w:rsidR="000B5DC2" w:rsidRPr="00380546">
        <w:rPr>
          <w:rFonts w:ascii="Arial" w:hAnsi="Arial" w:cs="Arial"/>
        </w:rPr>
        <w:t>,</w:t>
      </w:r>
      <w:r w:rsidR="00C57753" w:rsidRPr="00380546">
        <w:rPr>
          <w:rFonts w:ascii="Arial" w:hAnsi="Arial" w:cs="Arial"/>
        </w:rPr>
        <w:t xml:space="preserve"> </w:t>
      </w:r>
      <w:r w:rsidR="00651710" w:rsidRPr="00380546">
        <w:rPr>
          <w:rFonts w:ascii="Arial" w:hAnsi="Arial" w:cs="Arial"/>
        </w:rPr>
        <w:t xml:space="preserve">after </w:t>
      </w:r>
      <w:r w:rsidR="00E51D0E">
        <w:rPr>
          <w:rFonts w:ascii="Arial" w:hAnsi="Arial" w:cs="Arial"/>
        </w:rPr>
        <w:t>analysing</w:t>
      </w:r>
      <w:r w:rsidR="00651710" w:rsidRPr="00380546">
        <w:rPr>
          <w:rFonts w:ascii="Arial" w:hAnsi="Arial" w:cs="Arial"/>
        </w:rPr>
        <w:t xml:space="preserve"> the law</w:t>
      </w:r>
      <w:r w:rsidR="00435A8E">
        <w:rPr>
          <w:rFonts w:ascii="Arial" w:hAnsi="Arial" w:cs="Arial"/>
        </w:rPr>
        <w:t xml:space="preserve"> on the point</w:t>
      </w:r>
      <w:r>
        <w:rPr>
          <w:rFonts w:ascii="Arial" w:hAnsi="Arial" w:cs="Arial"/>
        </w:rPr>
        <w:t>,</w:t>
      </w:r>
      <w:r w:rsidR="00651710" w:rsidRPr="00380546">
        <w:rPr>
          <w:rFonts w:ascii="Arial" w:hAnsi="Arial" w:cs="Arial"/>
        </w:rPr>
        <w:t xml:space="preserve"> </w:t>
      </w:r>
      <w:r>
        <w:rPr>
          <w:rFonts w:ascii="Arial" w:hAnsi="Arial" w:cs="Arial"/>
        </w:rPr>
        <w:t xml:space="preserve">the court </w:t>
      </w:r>
      <w:r w:rsidR="00065BFD" w:rsidRPr="00380546">
        <w:rPr>
          <w:rFonts w:ascii="Arial" w:hAnsi="Arial" w:cs="Arial"/>
        </w:rPr>
        <w:t xml:space="preserve">held that </w:t>
      </w:r>
      <w:r w:rsidR="00C57753" w:rsidRPr="00380546">
        <w:rPr>
          <w:rFonts w:ascii="Arial" w:hAnsi="Arial" w:cs="Arial"/>
        </w:rPr>
        <w:t xml:space="preserve">that provision </w:t>
      </w:r>
      <w:r w:rsidR="00065BFD" w:rsidRPr="00380546">
        <w:rPr>
          <w:rFonts w:ascii="Arial" w:hAnsi="Arial" w:cs="Arial"/>
        </w:rPr>
        <w:t>im</w:t>
      </w:r>
      <w:r w:rsidR="00D7457F">
        <w:rPr>
          <w:rFonts w:ascii="Arial" w:hAnsi="Arial" w:cs="Arial"/>
        </w:rPr>
        <w:t>posed an absolute prohibition on</w:t>
      </w:r>
      <w:r w:rsidR="00065BFD" w:rsidRPr="00380546">
        <w:rPr>
          <w:rFonts w:ascii="Arial" w:hAnsi="Arial" w:cs="Arial"/>
        </w:rPr>
        <w:t xml:space="preserve"> the institution of legal proceedings without the requisite notice having been given. </w:t>
      </w:r>
      <w:r w:rsidR="00DE3BE2" w:rsidRPr="00380546">
        <w:rPr>
          <w:rFonts w:ascii="Arial" w:hAnsi="Arial" w:cs="Arial"/>
        </w:rPr>
        <w:t xml:space="preserve">It was </w:t>
      </w:r>
      <w:r w:rsidR="007629DB" w:rsidRPr="00380546">
        <w:rPr>
          <w:rFonts w:ascii="Arial" w:hAnsi="Arial" w:cs="Arial"/>
        </w:rPr>
        <w:t xml:space="preserve">further </w:t>
      </w:r>
      <w:r w:rsidR="00DE3BE2" w:rsidRPr="00380546">
        <w:rPr>
          <w:rFonts w:ascii="Arial" w:hAnsi="Arial" w:cs="Arial"/>
        </w:rPr>
        <w:t xml:space="preserve">held that </w:t>
      </w:r>
      <w:r w:rsidR="00575517">
        <w:rPr>
          <w:rFonts w:ascii="Arial" w:hAnsi="Arial" w:cs="Arial"/>
        </w:rPr>
        <w:t>in terms of the</w:t>
      </w:r>
      <w:r w:rsidR="001919EF" w:rsidRPr="00380546">
        <w:rPr>
          <w:rFonts w:ascii="Arial" w:hAnsi="Arial" w:cs="Arial"/>
        </w:rPr>
        <w:t xml:space="preserve"> section, </w:t>
      </w:r>
      <w:r w:rsidR="00DE3BE2" w:rsidRPr="00380546">
        <w:rPr>
          <w:rFonts w:ascii="Arial" w:hAnsi="Arial" w:cs="Arial"/>
        </w:rPr>
        <w:t>court</w:t>
      </w:r>
      <w:r w:rsidR="007629DB" w:rsidRPr="00380546">
        <w:rPr>
          <w:rFonts w:ascii="Arial" w:hAnsi="Arial" w:cs="Arial"/>
        </w:rPr>
        <w:t>s ha</w:t>
      </w:r>
      <w:r w:rsidR="004D4B20">
        <w:rPr>
          <w:rFonts w:ascii="Arial" w:hAnsi="Arial" w:cs="Arial"/>
        </w:rPr>
        <w:t>d</w:t>
      </w:r>
      <w:r w:rsidR="00DE3BE2" w:rsidRPr="00380546">
        <w:rPr>
          <w:rFonts w:ascii="Arial" w:hAnsi="Arial" w:cs="Arial"/>
        </w:rPr>
        <w:t xml:space="preserve"> no power to condone the institution of legal proceedings in circumstances where </w:t>
      </w:r>
      <w:r w:rsidR="009C3247" w:rsidRPr="00380546">
        <w:rPr>
          <w:rFonts w:ascii="Arial" w:hAnsi="Arial" w:cs="Arial"/>
        </w:rPr>
        <w:t xml:space="preserve">the provision </w:t>
      </w:r>
      <w:r w:rsidR="004D4B20">
        <w:rPr>
          <w:rFonts w:ascii="Arial" w:hAnsi="Arial" w:cs="Arial"/>
        </w:rPr>
        <w:t>was</w:t>
      </w:r>
      <w:r w:rsidR="00DE3BE2" w:rsidRPr="00380546">
        <w:rPr>
          <w:rFonts w:ascii="Arial" w:hAnsi="Arial" w:cs="Arial"/>
        </w:rPr>
        <w:t xml:space="preserve"> not complied with. </w:t>
      </w:r>
      <w:r w:rsidR="00651710" w:rsidRPr="00380546">
        <w:rPr>
          <w:rFonts w:ascii="Arial" w:hAnsi="Arial" w:cs="Arial"/>
        </w:rPr>
        <w:t>The court</w:t>
      </w:r>
      <w:r w:rsidR="00575517">
        <w:rPr>
          <w:rFonts w:ascii="Arial" w:hAnsi="Arial" w:cs="Arial"/>
        </w:rPr>
        <w:t xml:space="preserve"> </w:t>
      </w:r>
      <w:r w:rsidR="00651710" w:rsidRPr="00380546">
        <w:rPr>
          <w:rFonts w:ascii="Arial" w:hAnsi="Arial" w:cs="Arial"/>
        </w:rPr>
        <w:t xml:space="preserve">drew a distinction </w:t>
      </w:r>
      <w:r w:rsidR="00DC2220" w:rsidRPr="00380546">
        <w:rPr>
          <w:rFonts w:ascii="Arial" w:hAnsi="Arial" w:cs="Arial"/>
        </w:rPr>
        <w:t xml:space="preserve">between </w:t>
      </w:r>
      <w:r w:rsidR="006E528C" w:rsidRPr="00380546">
        <w:rPr>
          <w:rFonts w:ascii="Arial" w:hAnsi="Arial" w:cs="Arial"/>
        </w:rPr>
        <w:t xml:space="preserve">s 133(4) of the Act and </w:t>
      </w:r>
      <w:r w:rsidR="00DC2220" w:rsidRPr="00380546">
        <w:rPr>
          <w:rFonts w:ascii="Arial" w:hAnsi="Arial" w:cs="Arial"/>
        </w:rPr>
        <w:t>s</w:t>
      </w:r>
      <w:r w:rsidR="006E528C" w:rsidRPr="00380546">
        <w:rPr>
          <w:rFonts w:ascii="Arial" w:hAnsi="Arial" w:cs="Arial"/>
        </w:rPr>
        <w:t xml:space="preserve"> 39(1) </w:t>
      </w:r>
      <w:r w:rsidR="00DC2220" w:rsidRPr="00380546">
        <w:rPr>
          <w:rFonts w:ascii="Arial" w:hAnsi="Arial" w:cs="Arial"/>
        </w:rPr>
        <w:t xml:space="preserve">of </w:t>
      </w:r>
      <w:r w:rsidR="00651710" w:rsidRPr="00380546">
        <w:rPr>
          <w:rFonts w:ascii="Arial" w:hAnsi="Arial" w:cs="Arial"/>
        </w:rPr>
        <w:t>the Police Act</w:t>
      </w:r>
      <w:r w:rsidR="00DF10B9" w:rsidRPr="00380546">
        <w:rPr>
          <w:rFonts w:ascii="Arial" w:hAnsi="Arial" w:cs="Arial"/>
        </w:rPr>
        <w:t xml:space="preserve"> 19 of 1990</w:t>
      </w:r>
      <w:r>
        <w:rPr>
          <w:rFonts w:ascii="Arial" w:hAnsi="Arial" w:cs="Arial"/>
        </w:rPr>
        <w:t>.</w:t>
      </w:r>
      <w:r w:rsidR="00DC2220" w:rsidRPr="00380546">
        <w:rPr>
          <w:rFonts w:ascii="Arial" w:hAnsi="Arial" w:cs="Arial"/>
        </w:rPr>
        <w:t xml:space="preserve"> </w:t>
      </w:r>
      <w:r>
        <w:rPr>
          <w:rFonts w:ascii="Arial" w:hAnsi="Arial" w:cs="Arial"/>
        </w:rPr>
        <w:t>T</w:t>
      </w:r>
      <w:r w:rsidR="00131C45" w:rsidRPr="00380546">
        <w:rPr>
          <w:rFonts w:ascii="Arial" w:hAnsi="Arial" w:cs="Arial"/>
        </w:rPr>
        <w:t xml:space="preserve">he </w:t>
      </w:r>
      <w:r w:rsidR="006E528C" w:rsidRPr="00380546">
        <w:rPr>
          <w:rFonts w:ascii="Arial" w:hAnsi="Arial" w:cs="Arial"/>
        </w:rPr>
        <w:t>latter</w:t>
      </w:r>
      <w:r w:rsidR="00F856EF" w:rsidRPr="00380546">
        <w:rPr>
          <w:rFonts w:ascii="Arial" w:hAnsi="Arial" w:cs="Arial"/>
        </w:rPr>
        <w:t xml:space="preserve"> </w:t>
      </w:r>
      <w:r w:rsidR="00DF10B9" w:rsidRPr="00380546">
        <w:rPr>
          <w:rFonts w:ascii="Arial" w:hAnsi="Arial" w:cs="Arial"/>
        </w:rPr>
        <w:t>provision</w:t>
      </w:r>
      <w:r>
        <w:rPr>
          <w:rFonts w:ascii="Arial" w:hAnsi="Arial" w:cs="Arial"/>
        </w:rPr>
        <w:t>,</w:t>
      </w:r>
      <w:r w:rsidR="00DF10B9" w:rsidRPr="00380546">
        <w:rPr>
          <w:rFonts w:ascii="Arial" w:hAnsi="Arial" w:cs="Arial"/>
        </w:rPr>
        <w:t xml:space="preserve"> </w:t>
      </w:r>
      <w:r w:rsidR="00F856EF" w:rsidRPr="00380546">
        <w:rPr>
          <w:rFonts w:ascii="Arial" w:hAnsi="Arial" w:cs="Arial"/>
        </w:rPr>
        <w:t>unlike the former</w:t>
      </w:r>
      <w:r>
        <w:rPr>
          <w:rFonts w:ascii="Arial" w:hAnsi="Arial" w:cs="Arial"/>
        </w:rPr>
        <w:t>,</w:t>
      </w:r>
      <w:r w:rsidR="006E528C" w:rsidRPr="00380546">
        <w:rPr>
          <w:rFonts w:ascii="Arial" w:hAnsi="Arial" w:cs="Arial"/>
        </w:rPr>
        <w:t xml:space="preserve"> </w:t>
      </w:r>
      <w:r w:rsidR="00131C45" w:rsidRPr="00380546">
        <w:rPr>
          <w:rFonts w:ascii="Arial" w:hAnsi="Arial" w:cs="Arial"/>
        </w:rPr>
        <w:t>provid</w:t>
      </w:r>
      <w:r>
        <w:rPr>
          <w:rFonts w:ascii="Arial" w:hAnsi="Arial" w:cs="Arial"/>
        </w:rPr>
        <w:t>es</w:t>
      </w:r>
      <w:r w:rsidR="00131C45" w:rsidRPr="00380546">
        <w:rPr>
          <w:rFonts w:ascii="Arial" w:hAnsi="Arial" w:cs="Arial"/>
        </w:rPr>
        <w:t xml:space="preserve"> for</w:t>
      </w:r>
      <w:r w:rsidR="006E528C" w:rsidRPr="00380546">
        <w:rPr>
          <w:rFonts w:ascii="Arial" w:hAnsi="Arial" w:cs="Arial"/>
        </w:rPr>
        <w:t xml:space="preserve"> a discretion</w:t>
      </w:r>
      <w:r w:rsidR="00184642">
        <w:rPr>
          <w:rFonts w:ascii="Arial" w:hAnsi="Arial" w:cs="Arial"/>
        </w:rPr>
        <w:t>,</w:t>
      </w:r>
      <w:r w:rsidR="00DB10A8" w:rsidRPr="00380546">
        <w:rPr>
          <w:rFonts w:ascii="Arial" w:hAnsi="Arial" w:cs="Arial"/>
        </w:rPr>
        <w:t xml:space="preserve"> at any time</w:t>
      </w:r>
      <w:r w:rsidR="00184642">
        <w:rPr>
          <w:rFonts w:ascii="Arial" w:hAnsi="Arial" w:cs="Arial"/>
        </w:rPr>
        <w:t>,</w:t>
      </w:r>
      <w:r w:rsidR="00DB10A8" w:rsidRPr="00380546">
        <w:rPr>
          <w:rFonts w:ascii="Arial" w:hAnsi="Arial" w:cs="Arial"/>
        </w:rPr>
        <w:t xml:space="preserve"> </w:t>
      </w:r>
      <w:r>
        <w:rPr>
          <w:rFonts w:ascii="Arial" w:hAnsi="Arial" w:cs="Arial"/>
        </w:rPr>
        <w:t>f</w:t>
      </w:r>
      <w:r w:rsidR="00CF6764" w:rsidRPr="00380546">
        <w:rPr>
          <w:rFonts w:ascii="Arial" w:hAnsi="Arial" w:cs="Arial"/>
        </w:rPr>
        <w:t>o</w:t>
      </w:r>
      <w:r>
        <w:rPr>
          <w:rFonts w:ascii="Arial" w:hAnsi="Arial" w:cs="Arial"/>
        </w:rPr>
        <w:t>r</w:t>
      </w:r>
      <w:r w:rsidR="00CF6764" w:rsidRPr="00380546">
        <w:rPr>
          <w:rFonts w:ascii="Arial" w:hAnsi="Arial" w:cs="Arial"/>
        </w:rPr>
        <w:t xml:space="preserve"> </w:t>
      </w:r>
      <w:r>
        <w:rPr>
          <w:rFonts w:ascii="Arial" w:hAnsi="Arial" w:cs="Arial"/>
        </w:rPr>
        <w:t xml:space="preserve">the </w:t>
      </w:r>
      <w:r w:rsidR="006E528C" w:rsidRPr="00380546">
        <w:rPr>
          <w:rFonts w:ascii="Arial" w:hAnsi="Arial" w:cs="Arial"/>
        </w:rPr>
        <w:t>waive</w:t>
      </w:r>
      <w:r>
        <w:rPr>
          <w:rFonts w:ascii="Arial" w:hAnsi="Arial" w:cs="Arial"/>
        </w:rPr>
        <w:t>r</w:t>
      </w:r>
      <w:r w:rsidR="00131C45" w:rsidRPr="00380546">
        <w:rPr>
          <w:rFonts w:ascii="Arial" w:hAnsi="Arial" w:cs="Arial"/>
        </w:rPr>
        <w:t xml:space="preserve"> </w:t>
      </w:r>
      <w:r>
        <w:rPr>
          <w:rFonts w:ascii="Arial" w:hAnsi="Arial" w:cs="Arial"/>
        </w:rPr>
        <w:t xml:space="preserve">of </w:t>
      </w:r>
      <w:r w:rsidR="00004C3C">
        <w:rPr>
          <w:rFonts w:ascii="Arial" w:hAnsi="Arial" w:cs="Arial"/>
        </w:rPr>
        <w:t>compliance with the provision</w:t>
      </w:r>
      <w:r w:rsidR="00DB10A8" w:rsidRPr="00380546">
        <w:rPr>
          <w:rFonts w:ascii="Arial" w:hAnsi="Arial" w:cs="Arial"/>
        </w:rPr>
        <w:t xml:space="preserve">. The court thus </w:t>
      </w:r>
      <w:r w:rsidR="00865B1B" w:rsidRPr="00380546">
        <w:rPr>
          <w:rFonts w:ascii="Arial" w:hAnsi="Arial" w:cs="Arial"/>
        </w:rPr>
        <w:t xml:space="preserve">held </w:t>
      </w:r>
      <w:r w:rsidR="00DB10A8" w:rsidRPr="00380546">
        <w:rPr>
          <w:rFonts w:ascii="Arial" w:hAnsi="Arial" w:cs="Arial"/>
        </w:rPr>
        <w:t xml:space="preserve">that </w:t>
      </w:r>
      <w:r w:rsidR="007C2E07" w:rsidRPr="00380546">
        <w:rPr>
          <w:rFonts w:ascii="Arial" w:hAnsi="Arial" w:cs="Arial"/>
        </w:rPr>
        <w:t xml:space="preserve">the </w:t>
      </w:r>
      <w:r w:rsidR="00DB10A8" w:rsidRPr="00380546">
        <w:rPr>
          <w:rFonts w:ascii="Arial" w:hAnsi="Arial" w:cs="Arial"/>
        </w:rPr>
        <w:t>respondent was required to give a written statutory notice</w:t>
      </w:r>
      <w:r w:rsidR="007C2E07" w:rsidRPr="00380546">
        <w:rPr>
          <w:rFonts w:ascii="Arial" w:hAnsi="Arial" w:cs="Arial"/>
        </w:rPr>
        <w:t xml:space="preserve"> to the appellants before instituting his </w:t>
      </w:r>
      <w:r w:rsidR="00865B1B" w:rsidRPr="00380546">
        <w:rPr>
          <w:rFonts w:ascii="Arial" w:hAnsi="Arial" w:cs="Arial"/>
        </w:rPr>
        <w:t>action</w:t>
      </w:r>
      <w:r>
        <w:rPr>
          <w:rFonts w:ascii="Arial" w:hAnsi="Arial" w:cs="Arial"/>
        </w:rPr>
        <w:t>.</w:t>
      </w:r>
      <w:r w:rsidR="00865B1B" w:rsidRPr="00380546">
        <w:rPr>
          <w:rFonts w:ascii="Arial" w:hAnsi="Arial" w:cs="Arial"/>
        </w:rPr>
        <w:t xml:space="preserve"> </w:t>
      </w:r>
      <w:r>
        <w:rPr>
          <w:rFonts w:ascii="Arial" w:hAnsi="Arial" w:cs="Arial"/>
        </w:rPr>
        <w:t xml:space="preserve">As he </w:t>
      </w:r>
      <w:r w:rsidR="00865B1B" w:rsidRPr="00380546">
        <w:rPr>
          <w:rFonts w:ascii="Arial" w:hAnsi="Arial" w:cs="Arial"/>
        </w:rPr>
        <w:t>failed to do so</w:t>
      </w:r>
      <w:r>
        <w:rPr>
          <w:rFonts w:ascii="Arial" w:hAnsi="Arial" w:cs="Arial"/>
        </w:rPr>
        <w:t>,</w:t>
      </w:r>
      <w:r w:rsidR="00865B1B" w:rsidRPr="00380546">
        <w:rPr>
          <w:rFonts w:ascii="Arial" w:hAnsi="Arial" w:cs="Arial"/>
        </w:rPr>
        <w:t xml:space="preserve"> the appellants’ exception</w:t>
      </w:r>
      <w:r>
        <w:rPr>
          <w:rFonts w:ascii="Arial" w:hAnsi="Arial" w:cs="Arial"/>
        </w:rPr>
        <w:t xml:space="preserve"> </w:t>
      </w:r>
      <w:r w:rsidR="00865B1B" w:rsidRPr="00380546">
        <w:rPr>
          <w:rFonts w:ascii="Arial" w:hAnsi="Arial" w:cs="Arial"/>
        </w:rPr>
        <w:t xml:space="preserve">was upheld with costs. </w:t>
      </w:r>
    </w:p>
    <w:p w14:paraId="27BB90C0" w14:textId="77777777" w:rsidR="00865B1B" w:rsidRPr="00865B1B" w:rsidRDefault="00865B1B" w:rsidP="0019258F">
      <w:pPr>
        <w:pStyle w:val="ListParagraph"/>
        <w:spacing w:line="480" w:lineRule="auto"/>
        <w:rPr>
          <w:rFonts w:ascii="Arial" w:hAnsi="Arial" w:cs="Arial"/>
          <w:color w:val="000000" w:themeColor="text1"/>
        </w:rPr>
      </w:pPr>
    </w:p>
    <w:p w14:paraId="61ACE998" w14:textId="72002599" w:rsidR="00316C93" w:rsidRPr="00865B1B" w:rsidRDefault="00865B1B" w:rsidP="000476ED">
      <w:pPr>
        <w:pStyle w:val="ListParagraph"/>
        <w:numPr>
          <w:ilvl w:val="0"/>
          <w:numId w:val="1"/>
        </w:numPr>
        <w:spacing w:line="480" w:lineRule="auto"/>
        <w:contextualSpacing w:val="0"/>
        <w:jc w:val="both"/>
        <w:rPr>
          <w:rFonts w:ascii="Arial" w:hAnsi="Arial"/>
        </w:rPr>
      </w:pPr>
      <w:r>
        <w:rPr>
          <w:rFonts w:ascii="Arial" w:hAnsi="Arial" w:cs="Arial"/>
          <w:color w:val="000000" w:themeColor="text1"/>
        </w:rPr>
        <w:t xml:space="preserve">As stated above, </w:t>
      </w:r>
      <w:r w:rsidR="00825FFC">
        <w:rPr>
          <w:rFonts w:ascii="Arial" w:hAnsi="Arial" w:cs="Arial"/>
          <w:color w:val="000000" w:themeColor="text1"/>
        </w:rPr>
        <w:t xml:space="preserve">despite </w:t>
      </w:r>
      <w:r>
        <w:rPr>
          <w:rFonts w:ascii="Arial" w:hAnsi="Arial" w:cs="Arial"/>
          <w:color w:val="000000" w:themeColor="text1"/>
        </w:rPr>
        <w:t xml:space="preserve">the </w:t>
      </w:r>
      <w:r w:rsidR="00317B17" w:rsidRPr="00865B1B">
        <w:rPr>
          <w:rFonts w:ascii="Arial" w:hAnsi="Arial" w:cs="Arial"/>
          <w:color w:val="000000" w:themeColor="text1"/>
        </w:rPr>
        <w:t>court</w:t>
      </w:r>
      <w:r>
        <w:rPr>
          <w:rFonts w:ascii="Arial" w:hAnsi="Arial" w:cs="Arial"/>
          <w:color w:val="000000" w:themeColor="text1"/>
        </w:rPr>
        <w:t xml:space="preserve"> below </w:t>
      </w:r>
      <w:r w:rsidR="00825FFC">
        <w:rPr>
          <w:rFonts w:ascii="Arial" w:hAnsi="Arial" w:cs="Arial"/>
          <w:color w:val="000000" w:themeColor="text1"/>
        </w:rPr>
        <w:t>upholding the appellants’ exception</w:t>
      </w:r>
      <w:r w:rsidR="00A95717">
        <w:rPr>
          <w:rFonts w:ascii="Arial" w:hAnsi="Arial" w:cs="Arial"/>
          <w:color w:val="000000" w:themeColor="text1"/>
        </w:rPr>
        <w:t>,</w:t>
      </w:r>
      <w:r w:rsidR="00825FFC">
        <w:rPr>
          <w:rFonts w:ascii="Arial" w:hAnsi="Arial" w:cs="Arial"/>
          <w:color w:val="000000" w:themeColor="text1"/>
        </w:rPr>
        <w:t xml:space="preserve"> it </w:t>
      </w:r>
      <w:r w:rsidR="00317B17" w:rsidRPr="00865B1B">
        <w:rPr>
          <w:rFonts w:ascii="Arial" w:hAnsi="Arial" w:cs="Arial"/>
          <w:color w:val="000000" w:themeColor="text1"/>
        </w:rPr>
        <w:t xml:space="preserve">made </w:t>
      </w:r>
      <w:r w:rsidR="00825FFC">
        <w:rPr>
          <w:rFonts w:ascii="Arial" w:hAnsi="Arial" w:cs="Arial"/>
          <w:color w:val="000000" w:themeColor="text1"/>
        </w:rPr>
        <w:t xml:space="preserve">a further </w:t>
      </w:r>
      <w:r w:rsidR="00317B17" w:rsidRPr="00865B1B">
        <w:rPr>
          <w:rFonts w:ascii="Arial" w:hAnsi="Arial" w:cs="Arial"/>
          <w:color w:val="000000" w:themeColor="text1"/>
        </w:rPr>
        <w:t xml:space="preserve">order </w:t>
      </w:r>
      <w:r w:rsidR="00316C93" w:rsidRPr="00865B1B">
        <w:rPr>
          <w:rFonts w:ascii="Arial" w:hAnsi="Arial"/>
        </w:rPr>
        <w:t>afford</w:t>
      </w:r>
      <w:r w:rsidR="00317B17" w:rsidRPr="00865B1B">
        <w:rPr>
          <w:rFonts w:ascii="Arial" w:hAnsi="Arial"/>
        </w:rPr>
        <w:t>ing</w:t>
      </w:r>
      <w:r w:rsidR="00316C93" w:rsidRPr="00865B1B">
        <w:rPr>
          <w:rFonts w:ascii="Arial" w:hAnsi="Arial"/>
        </w:rPr>
        <w:t xml:space="preserve"> the respondent an opportunity to amend his particulars of claim. </w:t>
      </w:r>
      <w:r w:rsidR="00897FC2" w:rsidRPr="00865B1B">
        <w:rPr>
          <w:rFonts w:ascii="Arial" w:hAnsi="Arial"/>
        </w:rPr>
        <w:t xml:space="preserve">It is this decision that has </w:t>
      </w:r>
      <w:r w:rsidR="00300142" w:rsidRPr="00865B1B">
        <w:rPr>
          <w:rFonts w:ascii="Arial" w:hAnsi="Arial"/>
        </w:rPr>
        <w:t>triggered</w:t>
      </w:r>
      <w:r w:rsidR="00897FC2" w:rsidRPr="00865B1B">
        <w:rPr>
          <w:rFonts w:ascii="Arial" w:hAnsi="Arial"/>
        </w:rPr>
        <w:t xml:space="preserve"> </w:t>
      </w:r>
      <w:r w:rsidR="00D732AB" w:rsidRPr="00865B1B">
        <w:rPr>
          <w:rFonts w:ascii="Arial" w:hAnsi="Arial"/>
        </w:rPr>
        <w:t>th</w:t>
      </w:r>
      <w:r w:rsidR="0046410C">
        <w:rPr>
          <w:rFonts w:ascii="Arial" w:hAnsi="Arial"/>
        </w:rPr>
        <w:t>e a</w:t>
      </w:r>
      <w:r w:rsidR="00897FC2" w:rsidRPr="00865B1B">
        <w:rPr>
          <w:rFonts w:ascii="Arial" w:hAnsi="Arial"/>
        </w:rPr>
        <w:t xml:space="preserve">ppeal to this court. </w:t>
      </w:r>
    </w:p>
    <w:p w14:paraId="418A4FE0" w14:textId="77777777" w:rsidR="009740B0" w:rsidRPr="009740B0" w:rsidRDefault="009740B0" w:rsidP="000476ED">
      <w:pPr>
        <w:pStyle w:val="ListParagraph"/>
        <w:spacing w:line="480" w:lineRule="auto"/>
        <w:rPr>
          <w:rFonts w:ascii="Arial" w:hAnsi="Arial"/>
        </w:rPr>
      </w:pPr>
    </w:p>
    <w:p w14:paraId="72270E2D" w14:textId="0B96FFC2" w:rsidR="00DF3064" w:rsidRPr="00145544" w:rsidRDefault="00B52A02" w:rsidP="000476ED">
      <w:pPr>
        <w:spacing w:line="480" w:lineRule="auto"/>
        <w:jc w:val="both"/>
        <w:rPr>
          <w:rFonts w:ascii="Arial" w:hAnsi="Arial"/>
          <w:color w:val="000000" w:themeColor="text1"/>
          <w:u w:val="single"/>
        </w:rPr>
      </w:pPr>
      <w:r>
        <w:rPr>
          <w:rFonts w:ascii="Arial" w:hAnsi="Arial"/>
          <w:color w:val="000000" w:themeColor="text1"/>
          <w:u w:val="single"/>
        </w:rPr>
        <w:t>Argument on</w:t>
      </w:r>
      <w:r w:rsidR="00D732AB" w:rsidRPr="00145544">
        <w:rPr>
          <w:rFonts w:ascii="Arial" w:hAnsi="Arial"/>
          <w:color w:val="000000" w:themeColor="text1"/>
          <w:u w:val="single"/>
        </w:rPr>
        <w:t xml:space="preserve"> appeal</w:t>
      </w:r>
    </w:p>
    <w:p w14:paraId="0604AB94" w14:textId="4CE5C46A" w:rsidR="004D4B20" w:rsidRPr="00596C63" w:rsidRDefault="005279F5" w:rsidP="000476ED">
      <w:pPr>
        <w:pStyle w:val="ListParagraph"/>
        <w:numPr>
          <w:ilvl w:val="0"/>
          <w:numId w:val="1"/>
        </w:numPr>
        <w:spacing w:line="480" w:lineRule="auto"/>
        <w:jc w:val="both"/>
        <w:rPr>
          <w:rFonts w:ascii="Arial" w:hAnsi="Arial"/>
          <w:color w:val="000000" w:themeColor="text1"/>
        </w:rPr>
      </w:pPr>
      <w:r w:rsidRPr="00596C63">
        <w:rPr>
          <w:rFonts w:ascii="Arial" w:hAnsi="Arial"/>
        </w:rPr>
        <w:t xml:space="preserve">The </w:t>
      </w:r>
      <w:r w:rsidR="00596C63" w:rsidRPr="00596C63">
        <w:rPr>
          <w:rFonts w:ascii="Arial" w:hAnsi="Arial"/>
        </w:rPr>
        <w:t xml:space="preserve"> </w:t>
      </w:r>
      <w:r w:rsidR="00D10E01" w:rsidRPr="00596C63">
        <w:rPr>
          <w:rFonts w:ascii="Arial" w:hAnsi="Arial"/>
        </w:rPr>
        <w:t>decision</w:t>
      </w:r>
      <w:r w:rsidR="00596C63" w:rsidRPr="00596C63">
        <w:rPr>
          <w:rFonts w:ascii="Arial" w:hAnsi="Arial"/>
        </w:rPr>
        <w:t xml:space="preserve"> </w:t>
      </w:r>
      <w:r w:rsidR="00D10E01" w:rsidRPr="00596C63">
        <w:rPr>
          <w:rFonts w:ascii="Arial" w:hAnsi="Arial"/>
        </w:rPr>
        <w:t xml:space="preserve"> </w:t>
      </w:r>
      <w:r w:rsidR="00420548" w:rsidRPr="00596C63">
        <w:rPr>
          <w:rFonts w:ascii="Arial" w:hAnsi="Arial"/>
        </w:rPr>
        <w:t xml:space="preserve">of </w:t>
      </w:r>
      <w:r w:rsidR="00596C63" w:rsidRPr="00596C63">
        <w:rPr>
          <w:rFonts w:ascii="Arial" w:hAnsi="Arial"/>
        </w:rPr>
        <w:t xml:space="preserve"> </w:t>
      </w:r>
      <w:r w:rsidR="00420548" w:rsidRPr="00596C63">
        <w:rPr>
          <w:rFonts w:ascii="Arial" w:hAnsi="Arial"/>
        </w:rPr>
        <w:t>the</w:t>
      </w:r>
      <w:r w:rsidR="00D10E01" w:rsidRPr="00596C63">
        <w:rPr>
          <w:rFonts w:ascii="Arial" w:hAnsi="Arial"/>
        </w:rPr>
        <w:t xml:space="preserve"> </w:t>
      </w:r>
      <w:r w:rsidR="00596C63" w:rsidRPr="00596C63">
        <w:rPr>
          <w:rFonts w:ascii="Arial" w:hAnsi="Arial"/>
        </w:rPr>
        <w:t xml:space="preserve"> </w:t>
      </w:r>
      <w:r w:rsidRPr="00596C63">
        <w:rPr>
          <w:rFonts w:ascii="Arial" w:hAnsi="Arial"/>
        </w:rPr>
        <w:t>court</w:t>
      </w:r>
      <w:r w:rsidR="00596C63" w:rsidRPr="00596C63">
        <w:rPr>
          <w:rFonts w:ascii="Arial" w:hAnsi="Arial"/>
        </w:rPr>
        <w:t xml:space="preserve"> </w:t>
      </w:r>
      <w:r w:rsidRPr="00596C63">
        <w:rPr>
          <w:rFonts w:ascii="Arial" w:hAnsi="Arial"/>
        </w:rPr>
        <w:t xml:space="preserve"> </w:t>
      </w:r>
      <w:r w:rsidR="00664654" w:rsidRPr="00596C63">
        <w:rPr>
          <w:rFonts w:ascii="Arial" w:hAnsi="Arial"/>
        </w:rPr>
        <w:t xml:space="preserve">below </w:t>
      </w:r>
      <w:r w:rsidR="000A13FE" w:rsidRPr="00596C63">
        <w:rPr>
          <w:rFonts w:ascii="Arial" w:hAnsi="Arial"/>
        </w:rPr>
        <w:t>is pri</w:t>
      </w:r>
      <w:r w:rsidR="003B4029" w:rsidRPr="00596C63">
        <w:rPr>
          <w:rFonts w:ascii="Arial" w:hAnsi="Arial"/>
        </w:rPr>
        <w:t>ncipally</w:t>
      </w:r>
      <w:r w:rsidRPr="00596C63">
        <w:rPr>
          <w:rFonts w:ascii="Arial" w:hAnsi="Arial"/>
        </w:rPr>
        <w:t xml:space="preserve"> </w:t>
      </w:r>
      <w:r w:rsidR="000A13FE" w:rsidRPr="00596C63">
        <w:rPr>
          <w:rFonts w:ascii="Arial" w:hAnsi="Arial"/>
        </w:rPr>
        <w:t>attacked on the ground</w:t>
      </w:r>
      <w:r w:rsidR="006C13DE" w:rsidRPr="00596C63">
        <w:rPr>
          <w:rFonts w:ascii="Arial" w:hAnsi="Arial"/>
        </w:rPr>
        <w:t xml:space="preserve"> </w:t>
      </w:r>
      <w:r w:rsidR="00575517" w:rsidRPr="00596C63">
        <w:rPr>
          <w:rFonts w:ascii="Arial" w:hAnsi="Arial"/>
        </w:rPr>
        <w:t>that</w:t>
      </w:r>
      <w:r w:rsidR="006C13DE" w:rsidRPr="00596C63">
        <w:rPr>
          <w:rFonts w:ascii="Arial" w:hAnsi="Arial"/>
        </w:rPr>
        <w:t xml:space="preserve"> </w:t>
      </w:r>
      <w:r w:rsidR="00575517" w:rsidRPr="00596C63">
        <w:rPr>
          <w:rFonts w:ascii="Arial" w:hAnsi="Arial"/>
        </w:rPr>
        <w:t>s 133(</w:t>
      </w:r>
      <w:r w:rsidRPr="00596C63">
        <w:rPr>
          <w:rFonts w:ascii="Arial" w:hAnsi="Arial"/>
        </w:rPr>
        <w:t xml:space="preserve">4) </w:t>
      </w:r>
      <w:r w:rsidR="00337521" w:rsidRPr="00596C63">
        <w:rPr>
          <w:rFonts w:ascii="Arial" w:hAnsi="Arial"/>
        </w:rPr>
        <w:t>impose</w:t>
      </w:r>
      <w:r w:rsidR="00420548" w:rsidRPr="00596C63">
        <w:rPr>
          <w:rFonts w:ascii="Arial" w:hAnsi="Arial"/>
        </w:rPr>
        <w:t>s</w:t>
      </w:r>
      <w:r w:rsidRPr="00596C63">
        <w:rPr>
          <w:rFonts w:ascii="Arial" w:hAnsi="Arial"/>
        </w:rPr>
        <w:t xml:space="preserve"> an absolute prohibition </w:t>
      </w:r>
      <w:r w:rsidR="0048172C" w:rsidRPr="00596C63">
        <w:rPr>
          <w:rFonts w:ascii="Arial" w:hAnsi="Arial"/>
        </w:rPr>
        <w:t>o</w:t>
      </w:r>
      <w:r w:rsidR="00E51D0E" w:rsidRPr="00596C63">
        <w:rPr>
          <w:rFonts w:ascii="Arial" w:hAnsi="Arial"/>
        </w:rPr>
        <w:t>n</w:t>
      </w:r>
      <w:r w:rsidR="0048172C" w:rsidRPr="00596C63">
        <w:rPr>
          <w:rFonts w:ascii="Arial" w:hAnsi="Arial"/>
        </w:rPr>
        <w:t xml:space="preserve"> </w:t>
      </w:r>
      <w:r w:rsidRPr="00596C63">
        <w:rPr>
          <w:rFonts w:ascii="Arial" w:hAnsi="Arial"/>
        </w:rPr>
        <w:t xml:space="preserve">the institution of legal proceedings without the requisite notice having </w:t>
      </w:r>
      <w:r w:rsidR="00184642" w:rsidRPr="00596C63">
        <w:rPr>
          <w:rFonts w:ascii="Arial" w:hAnsi="Arial"/>
        </w:rPr>
        <w:t xml:space="preserve">first </w:t>
      </w:r>
      <w:r w:rsidRPr="00596C63">
        <w:rPr>
          <w:rFonts w:ascii="Arial" w:hAnsi="Arial"/>
        </w:rPr>
        <w:t>been given</w:t>
      </w:r>
      <w:r w:rsidR="00664654" w:rsidRPr="00596C63">
        <w:rPr>
          <w:rFonts w:ascii="Arial" w:hAnsi="Arial"/>
        </w:rPr>
        <w:t xml:space="preserve"> to the defendant</w:t>
      </w:r>
      <w:r w:rsidRPr="00596C63">
        <w:rPr>
          <w:rFonts w:ascii="Arial" w:hAnsi="Arial"/>
        </w:rPr>
        <w:t xml:space="preserve">. </w:t>
      </w:r>
      <w:r w:rsidR="00B52A02" w:rsidRPr="00596C63">
        <w:rPr>
          <w:rFonts w:ascii="Arial" w:hAnsi="Arial"/>
        </w:rPr>
        <w:t xml:space="preserve">It is </w:t>
      </w:r>
      <w:r w:rsidR="00D14CA5" w:rsidRPr="00596C63">
        <w:rPr>
          <w:rFonts w:ascii="Arial" w:hAnsi="Arial"/>
        </w:rPr>
        <w:t xml:space="preserve">contended </w:t>
      </w:r>
      <w:r w:rsidRPr="00596C63">
        <w:rPr>
          <w:rFonts w:ascii="Arial" w:hAnsi="Arial"/>
        </w:rPr>
        <w:t>that</w:t>
      </w:r>
      <w:r w:rsidR="00AD564F" w:rsidRPr="00596C63">
        <w:rPr>
          <w:rFonts w:ascii="Arial" w:hAnsi="Arial"/>
        </w:rPr>
        <w:t xml:space="preserve"> </w:t>
      </w:r>
      <w:r w:rsidR="00B52A02" w:rsidRPr="00596C63">
        <w:rPr>
          <w:rFonts w:ascii="Arial" w:hAnsi="Arial"/>
        </w:rPr>
        <w:t xml:space="preserve">no power is conferred on </w:t>
      </w:r>
      <w:r w:rsidR="00864897" w:rsidRPr="00596C63">
        <w:rPr>
          <w:rFonts w:ascii="Arial" w:hAnsi="Arial"/>
        </w:rPr>
        <w:t xml:space="preserve">courts </w:t>
      </w:r>
      <w:r w:rsidR="00D14CA5" w:rsidRPr="00596C63">
        <w:rPr>
          <w:rFonts w:ascii="Arial" w:hAnsi="Arial"/>
        </w:rPr>
        <w:t xml:space="preserve">to condone </w:t>
      </w:r>
      <w:r w:rsidR="003B4029" w:rsidRPr="00596C63">
        <w:rPr>
          <w:rFonts w:ascii="Arial" w:hAnsi="Arial"/>
        </w:rPr>
        <w:t xml:space="preserve">the </w:t>
      </w:r>
      <w:r w:rsidR="00864897" w:rsidRPr="00596C63">
        <w:rPr>
          <w:rFonts w:ascii="Arial" w:hAnsi="Arial"/>
        </w:rPr>
        <w:t>non-compliance with</w:t>
      </w:r>
      <w:r w:rsidR="00664654" w:rsidRPr="00596C63">
        <w:rPr>
          <w:rFonts w:ascii="Arial" w:hAnsi="Arial"/>
        </w:rPr>
        <w:t xml:space="preserve"> the provision</w:t>
      </w:r>
      <w:r w:rsidR="008147D8" w:rsidRPr="00596C63">
        <w:rPr>
          <w:rFonts w:ascii="Arial" w:hAnsi="Arial"/>
        </w:rPr>
        <w:t xml:space="preserve">. </w:t>
      </w:r>
      <w:r w:rsidR="00420548" w:rsidRPr="00596C63">
        <w:rPr>
          <w:rFonts w:ascii="Arial" w:hAnsi="Arial"/>
        </w:rPr>
        <w:t xml:space="preserve">According to </w:t>
      </w:r>
      <w:r w:rsidR="008147D8" w:rsidRPr="00596C63">
        <w:rPr>
          <w:rFonts w:ascii="Arial" w:hAnsi="Arial"/>
        </w:rPr>
        <w:t>the appellants</w:t>
      </w:r>
      <w:r w:rsidR="00420548" w:rsidRPr="00596C63">
        <w:rPr>
          <w:rFonts w:ascii="Arial" w:hAnsi="Arial"/>
        </w:rPr>
        <w:t xml:space="preserve">, non-compliance with </w:t>
      </w:r>
      <w:r w:rsidR="00380546" w:rsidRPr="00596C63">
        <w:rPr>
          <w:rFonts w:ascii="Arial" w:hAnsi="Arial"/>
        </w:rPr>
        <w:t>s 133(4)</w:t>
      </w:r>
      <w:r w:rsidR="008147D8" w:rsidRPr="00596C63">
        <w:rPr>
          <w:rFonts w:ascii="Arial" w:hAnsi="Arial"/>
        </w:rPr>
        <w:t xml:space="preserve"> </w:t>
      </w:r>
      <w:r w:rsidR="00C22AFE" w:rsidRPr="00596C63">
        <w:rPr>
          <w:rFonts w:ascii="Arial" w:hAnsi="Arial"/>
        </w:rPr>
        <w:t xml:space="preserve">has the effect </w:t>
      </w:r>
      <w:r w:rsidR="0046410C" w:rsidRPr="00596C63">
        <w:rPr>
          <w:rFonts w:ascii="Arial" w:hAnsi="Arial"/>
        </w:rPr>
        <w:t xml:space="preserve">of nullifying the issuing of summons.  </w:t>
      </w:r>
      <w:r w:rsidR="00C22AFE" w:rsidRPr="00596C63">
        <w:rPr>
          <w:rFonts w:ascii="Arial" w:hAnsi="Arial"/>
        </w:rPr>
        <w:t xml:space="preserve"> </w:t>
      </w:r>
    </w:p>
    <w:p w14:paraId="47065C75" w14:textId="77777777" w:rsidR="008147D8" w:rsidRPr="001151E7" w:rsidRDefault="008147D8" w:rsidP="000476ED">
      <w:pPr>
        <w:pStyle w:val="ListParagraph"/>
        <w:spacing w:line="480" w:lineRule="auto"/>
        <w:ind w:left="0"/>
        <w:jc w:val="both"/>
        <w:rPr>
          <w:rFonts w:ascii="Arial" w:hAnsi="Arial"/>
          <w:color w:val="000000" w:themeColor="text1"/>
        </w:rPr>
      </w:pPr>
    </w:p>
    <w:p w14:paraId="3B31C8E5" w14:textId="2C29BC9B" w:rsidR="00316F32" w:rsidRPr="007378C6" w:rsidRDefault="00B52A02" w:rsidP="000476ED">
      <w:pPr>
        <w:pStyle w:val="ListParagraph"/>
        <w:numPr>
          <w:ilvl w:val="0"/>
          <w:numId w:val="1"/>
        </w:numPr>
        <w:spacing w:line="480" w:lineRule="auto"/>
        <w:jc w:val="both"/>
        <w:rPr>
          <w:rFonts w:ascii="Arial" w:hAnsi="Arial"/>
          <w:color w:val="000000" w:themeColor="text1"/>
        </w:rPr>
      </w:pPr>
      <w:r>
        <w:rPr>
          <w:rFonts w:ascii="Arial" w:hAnsi="Arial"/>
          <w:color w:val="000000" w:themeColor="text1"/>
          <w:sz w:val="22"/>
          <w:szCs w:val="22"/>
        </w:rPr>
        <w:lastRenderedPageBreak/>
        <w:t>T</w:t>
      </w:r>
      <w:r w:rsidR="00DC4E5D">
        <w:rPr>
          <w:rFonts w:ascii="Arial" w:hAnsi="Arial"/>
          <w:color w:val="000000" w:themeColor="text1"/>
        </w:rPr>
        <w:t xml:space="preserve">he legal practitioner </w:t>
      </w:r>
      <w:r w:rsidR="002C76CB">
        <w:rPr>
          <w:rFonts w:ascii="Arial" w:hAnsi="Arial"/>
          <w:color w:val="000000" w:themeColor="text1"/>
        </w:rPr>
        <w:t xml:space="preserve">for the appellants </w:t>
      </w:r>
      <w:r w:rsidR="00D47294" w:rsidRPr="007378C6">
        <w:rPr>
          <w:rFonts w:ascii="Arial" w:hAnsi="Arial"/>
          <w:color w:val="000000" w:themeColor="text1"/>
        </w:rPr>
        <w:t xml:space="preserve">submitted </w:t>
      </w:r>
      <w:r>
        <w:rPr>
          <w:rFonts w:ascii="Arial" w:hAnsi="Arial"/>
          <w:color w:val="000000" w:themeColor="text1"/>
        </w:rPr>
        <w:t xml:space="preserve">further </w:t>
      </w:r>
      <w:r w:rsidR="00D47294" w:rsidRPr="007378C6">
        <w:rPr>
          <w:rFonts w:ascii="Arial" w:hAnsi="Arial"/>
          <w:color w:val="000000" w:themeColor="text1"/>
        </w:rPr>
        <w:t xml:space="preserve">that the absence of an </w:t>
      </w:r>
      <w:r w:rsidR="00571679">
        <w:rPr>
          <w:rFonts w:ascii="Arial" w:hAnsi="Arial"/>
          <w:color w:val="000000" w:themeColor="text1"/>
        </w:rPr>
        <w:t>explicit statement in the statut</w:t>
      </w:r>
      <w:r w:rsidR="00D47294" w:rsidRPr="007378C6">
        <w:rPr>
          <w:rFonts w:ascii="Arial" w:hAnsi="Arial"/>
          <w:color w:val="000000" w:themeColor="text1"/>
        </w:rPr>
        <w:t xml:space="preserve">e </w:t>
      </w:r>
      <w:r w:rsidR="007378C6">
        <w:rPr>
          <w:rFonts w:ascii="Arial" w:hAnsi="Arial"/>
          <w:color w:val="000000" w:themeColor="text1"/>
        </w:rPr>
        <w:t xml:space="preserve">vesting </w:t>
      </w:r>
      <w:r w:rsidR="00DC4E5D">
        <w:rPr>
          <w:rFonts w:ascii="Arial" w:hAnsi="Arial"/>
          <w:color w:val="000000" w:themeColor="text1"/>
        </w:rPr>
        <w:t xml:space="preserve">a </w:t>
      </w:r>
      <w:r w:rsidR="007378C6">
        <w:rPr>
          <w:rFonts w:ascii="Arial" w:hAnsi="Arial"/>
          <w:color w:val="000000" w:themeColor="text1"/>
        </w:rPr>
        <w:t xml:space="preserve">power in courts to condone </w:t>
      </w:r>
      <w:r w:rsidR="003B4029">
        <w:rPr>
          <w:rFonts w:ascii="Arial" w:hAnsi="Arial"/>
          <w:color w:val="000000" w:themeColor="text1"/>
        </w:rPr>
        <w:t xml:space="preserve">the </w:t>
      </w:r>
      <w:r w:rsidR="007378C6">
        <w:rPr>
          <w:rFonts w:ascii="Arial" w:hAnsi="Arial"/>
          <w:color w:val="000000" w:themeColor="text1"/>
        </w:rPr>
        <w:t xml:space="preserve">non-compliance with that provision </w:t>
      </w:r>
      <w:r w:rsidR="00F17551">
        <w:rPr>
          <w:rFonts w:ascii="Arial" w:hAnsi="Arial"/>
          <w:color w:val="000000" w:themeColor="text1"/>
        </w:rPr>
        <w:t>points to a</w:t>
      </w:r>
      <w:r w:rsidR="00DC4E5D">
        <w:rPr>
          <w:rFonts w:ascii="Arial" w:hAnsi="Arial"/>
          <w:color w:val="000000" w:themeColor="text1"/>
        </w:rPr>
        <w:t xml:space="preserve"> </w:t>
      </w:r>
      <w:r w:rsidR="00B151F6">
        <w:rPr>
          <w:rFonts w:ascii="Arial" w:hAnsi="Arial"/>
          <w:color w:val="000000" w:themeColor="text1"/>
        </w:rPr>
        <w:t>presumption in favour of not granting condonation</w:t>
      </w:r>
      <w:r w:rsidR="00316F32" w:rsidRPr="007378C6">
        <w:rPr>
          <w:rFonts w:ascii="Arial" w:hAnsi="Arial"/>
          <w:color w:val="000000" w:themeColor="text1"/>
        </w:rPr>
        <w:t>.</w:t>
      </w:r>
      <w:r w:rsidR="007F77BC">
        <w:rPr>
          <w:rFonts w:ascii="Arial" w:hAnsi="Arial"/>
          <w:color w:val="000000" w:themeColor="text1"/>
        </w:rPr>
        <w:t xml:space="preserve"> It was thus</w:t>
      </w:r>
      <w:r w:rsidR="00C72E98">
        <w:rPr>
          <w:rFonts w:ascii="Arial" w:hAnsi="Arial"/>
          <w:color w:val="000000" w:themeColor="text1"/>
        </w:rPr>
        <w:t xml:space="preserve"> contended </w:t>
      </w:r>
      <w:r w:rsidR="00B151F6">
        <w:rPr>
          <w:rFonts w:ascii="Arial" w:hAnsi="Arial"/>
          <w:color w:val="000000" w:themeColor="text1"/>
        </w:rPr>
        <w:t xml:space="preserve">that on a </w:t>
      </w:r>
      <w:r w:rsidR="00F17551">
        <w:rPr>
          <w:rFonts w:ascii="Arial" w:hAnsi="Arial"/>
          <w:color w:val="000000" w:themeColor="text1"/>
        </w:rPr>
        <w:t xml:space="preserve">careful </w:t>
      </w:r>
      <w:r w:rsidR="00B151F6">
        <w:rPr>
          <w:rFonts w:ascii="Arial" w:hAnsi="Arial"/>
          <w:color w:val="000000" w:themeColor="text1"/>
        </w:rPr>
        <w:t xml:space="preserve">reading of </w:t>
      </w:r>
      <w:r w:rsidR="00C81038">
        <w:rPr>
          <w:rFonts w:ascii="Arial" w:hAnsi="Arial"/>
          <w:color w:val="000000" w:themeColor="text1"/>
        </w:rPr>
        <w:t>s</w:t>
      </w:r>
      <w:r w:rsidR="00B151F6">
        <w:rPr>
          <w:rFonts w:ascii="Arial" w:hAnsi="Arial"/>
          <w:color w:val="000000" w:themeColor="text1"/>
        </w:rPr>
        <w:t xml:space="preserve"> 133(4), courts </w:t>
      </w:r>
      <w:r w:rsidR="002B560E">
        <w:rPr>
          <w:rFonts w:ascii="Arial" w:hAnsi="Arial"/>
          <w:color w:val="000000" w:themeColor="text1"/>
        </w:rPr>
        <w:t xml:space="preserve">do not have </w:t>
      </w:r>
      <w:r w:rsidR="00C81038">
        <w:rPr>
          <w:rFonts w:ascii="Arial" w:hAnsi="Arial"/>
          <w:color w:val="000000" w:themeColor="text1"/>
        </w:rPr>
        <w:t xml:space="preserve">the </w:t>
      </w:r>
      <w:r w:rsidR="002B560E">
        <w:rPr>
          <w:rFonts w:ascii="Arial" w:hAnsi="Arial"/>
          <w:color w:val="000000" w:themeColor="text1"/>
        </w:rPr>
        <w:t xml:space="preserve">power to </w:t>
      </w:r>
      <w:r w:rsidR="002B560E" w:rsidRPr="002B560E">
        <w:rPr>
          <w:rFonts w:ascii="Arial" w:hAnsi="Arial"/>
          <w:color w:val="000000" w:themeColor="text1"/>
        </w:rPr>
        <w:t>condone</w:t>
      </w:r>
      <w:r w:rsidR="006D66EA">
        <w:rPr>
          <w:rFonts w:ascii="Arial" w:hAnsi="Arial"/>
          <w:color w:val="000000" w:themeColor="text1"/>
        </w:rPr>
        <w:t xml:space="preserve"> a party’s</w:t>
      </w:r>
      <w:r w:rsidR="002B560E" w:rsidRPr="002B560E">
        <w:rPr>
          <w:rFonts w:ascii="Arial" w:hAnsi="Arial"/>
          <w:color w:val="000000" w:themeColor="text1"/>
        </w:rPr>
        <w:t xml:space="preserve"> failure to </w:t>
      </w:r>
      <w:r w:rsidR="00F17551">
        <w:rPr>
          <w:rFonts w:ascii="Arial" w:hAnsi="Arial"/>
          <w:color w:val="000000" w:themeColor="text1"/>
        </w:rPr>
        <w:t>comply with</w:t>
      </w:r>
      <w:r w:rsidR="009D7311">
        <w:rPr>
          <w:rFonts w:ascii="Arial" w:hAnsi="Arial"/>
          <w:color w:val="000000" w:themeColor="text1"/>
        </w:rPr>
        <w:t xml:space="preserve"> the </w:t>
      </w:r>
      <w:r w:rsidR="002B560E">
        <w:rPr>
          <w:rFonts w:ascii="Arial" w:hAnsi="Arial"/>
          <w:color w:val="000000" w:themeColor="text1"/>
        </w:rPr>
        <w:t xml:space="preserve">provision. </w:t>
      </w:r>
      <w:r w:rsidR="008B60EA">
        <w:rPr>
          <w:rFonts w:ascii="Arial" w:hAnsi="Arial"/>
          <w:color w:val="000000" w:themeColor="text1"/>
        </w:rPr>
        <w:t xml:space="preserve"> </w:t>
      </w:r>
      <w:r w:rsidR="00B151F6">
        <w:rPr>
          <w:rFonts w:ascii="Arial" w:hAnsi="Arial"/>
          <w:color w:val="000000" w:themeColor="text1"/>
        </w:rPr>
        <w:t xml:space="preserve"> </w:t>
      </w:r>
    </w:p>
    <w:p w14:paraId="7FF4D31A" w14:textId="77777777" w:rsidR="00316F32" w:rsidRPr="00D10696" w:rsidRDefault="00316F32" w:rsidP="000476ED">
      <w:pPr>
        <w:spacing w:line="480" w:lineRule="auto"/>
        <w:rPr>
          <w:rFonts w:ascii="Arial" w:hAnsi="Arial"/>
          <w:color w:val="000000" w:themeColor="text1"/>
        </w:rPr>
      </w:pPr>
    </w:p>
    <w:p w14:paraId="6E538B72" w14:textId="408E31DF" w:rsidR="00F32EA2" w:rsidRPr="00F32EA2" w:rsidRDefault="00767065" w:rsidP="000476ED">
      <w:pPr>
        <w:pStyle w:val="ListParagraph"/>
        <w:numPr>
          <w:ilvl w:val="0"/>
          <w:numId w:val="1"/>
        </w:numPr>
        <w:spacing w:line="480" w:lineRule="auto"/>
        <w:jc w:val="both"/>
        <w:rPr>
          <w:rFonts w:ascii="Arial" w:hAnsi="Arial"/>
          <w:color w:val="000000" w:themeColor="text1"/>
        </w:rPr>
      </w:pPr>
      <w:r>
        <w:rPr>
          <w:rFonts w:ascii="Arial" w:hAnsi="Arial"/>
          <w:color w:val="000000" w:themeColor="text1"/>
        </w:rPr>
        <w:t xml:space="preserve"> </w:t>
      </w:r>
      <w:r w:rsidR="00B52A02">
        <w:rPr>
          <w:rFonts w:ascii="Arial" w:hAnsi="Arial"/>
          <w:color w:val="000000" w:themeColor="text1"/>
        </w:rPr>
        <w:t xml:space="preserve">The legal practitioner for the appellants </w:t>
      </w:r>
      <w:r w:rsidR="00C72E98">
        <w:rPr>
          <w:rFonts w:ascii="Arial" w:hAnsi="Arial"/>
          <w:color w:val="000000" w:themeColor="text1"/>
        </w:rPr>
        <w:t xml:space="preserve">referred </w:t>
      </w:r>
      <w:r w:rsidR="00184642">
        <w:rPr>
          <w:rFonts w:ascii="Arial" w:hAnsi="Arial"/>
          <w:color w:val="000000" w:themeColor="text1"/>
        </w:rPr>
        <w:t xml:space="preserve">us </w:t>
      </w:r>
      <w:r w:rsidR="00827196" w:rsidRPr="000A495E">
        <w:rPr>
          <w:rFonts w:ascii="Arial" w:hAnsi="Arial"/>
          <w:color w:val="000000" w:themeColor="text1"/>
        </w:rPr>
        <w:t xml:space="preserve">to </w:t>
      </w:r>
      <w:r w:rsidR="00D10696">
        <w:rPr>
          <w:rFonts w:ascii="Arial" w:hAnsi="Arial" w:cs="Arial"/>
          <w:i/>
          <w:color w:val="000000" w:themeColor="text1"/>
        </w:rPr>
        <w:t>Legal Aid Board &amp;</w:t>
      </w:r>
      <w:r w:rsidR="00827196" w:rsidRPr="000A495E">
        <w:rPr>
          <w:rFonts w:ascii="Arial" w:hAnsi="Arial" w:cs="Arial"/>
          <w:i/>
          <w:color w:val="000000" w:themeColor="text1"/>
        </w:rPr>
        <w:t xml:space="preserve"> others v Singh</w:t>
      </w:r>
      <w:r w:rsidR="00C81038">
        <w:rPr>
          <w:rFonts w:ascii="Arial" w:hAnsi="Arial" w:cs="Arial"/>
          <w:color w:val="000000" w:themeColor="text1"/>
        </w:rPr>
        <w:t>,</w:t>
      </w:r>
      <w:r w:rsidR="00827196" w:rsidRPr="000A495E">
        <w:rPr>
          <w:rStyle w:val="FootnoteReference"/>
          <w:rFonts w:ascii="Arial" w:hAnsi="Arial"/>
          <w:color w:val="000000" w:themeColor="text1"/>
        </w:rPr>
        <w:footnoteReference w:id="1"/>
      </w:r>
      <w:r w:rsidR="00827196">
        <w:rPr>
          <w:rFonts w:ascii="Arial" w:hAnsi="Arial" w:cs="Arial"/>
          <w:color w:val="000000" w:themeColor="text1"/>
        </w:rPr>
        <w:t xml:space="preserve"> </w:t>
      </w:r>
      <w:r w:rsidR="00286B20">
        <w:rPr>
          <w:rFonts w:ascii="Arial" w:hAnsi="Arial" w:cs="Arial"/>
          <w:color w:val="000000" w:themeColor="text1"/>
        </w:rPr>
        <w:t xml:space="preserve">where </w:t>
      </w:r>
      <w:r w:rsidR="00184642">
        <w:rPr>
          <w:rFonts w:ascii="Arial" w:hAnsi="Arial" w:cs="Arial"/>
          <w:color w:val="000000" w:themeColor="text1"/>
        </w:rPr>
        <w:t>a Full Bench of the</w:t>
      </w:r>
      <w:r w:rsidR="00286B20">
        <w:rPr>
          <w:rFonts w:ascii="Arial" w:hAnsi="Arial" w:cs="Arial"/>
          <w:color w:val="000000" w:themeColor="text1"/>
        </w:rPr>
        <w:t xml:space="preserve"> </w:t>
      </w:r>
      <w:r w:rsidR="0026660D">
        <w:rPr>
          <w:rFonts w:ascii="Arial" w:hAnsi="Arial" w:cs="Arial"/>
          <w:color w:val="000000" w:themeColor="text1"/>
        </w:rPr>
        <w:t xml:space="preserve">South African High Court </w:t>
      </w:r>
      <w:r w:rsidR="00286B20">
        <w:rPr>
          <w:rFonts w:ascii="Arial" w:hAnsi="Arial" w:cs="Arial"/>
          <w:color w:val="000000" w:themeColor="text1"/>
        </w:rPr>
        <w:t xml:space="preserve">held </w:t>
      </w:r>
      <w:r w:rsidR="00827196">
        <w:rPr>
          <w:rFonts w:ascii="Arial" w:hAnsi="Arial" w:cs="Arial"/>
          <w:color w:val="000000" w:themeColor="text1"/>
        </w:rPr>
        <w:t>that court</w:t>
      </w:r>
      <w:r w:rsidR="00564D5C">
        <w:rPr>
          <w:rFonts w:ascii="Arial" w:hAnsi="Arial" w:cs="Arial"/>
          <w:color w:val="000000" w:themeColor="text1"/>
        </w:rPr>
        <w:t>s</w:t>
      </w:r>
      <w:r w:rsidR="00827196">
        <w:rPr>
          <w:rFonts w:ascii="Arial" w:hAnsi="Arial" w:cs="Arial"/>
          <w:color w:val="000000" w:themeColor="text1"/>
        </w:rPr>
        <w:t xml:space="preserve"> </w:t>
      </w:r>
      <w:r w:rsidR="00827196" w:rsidRPr="000A495E">
        <w:rPr>
          <w:rFonts w:ascii="Arial" w:hAnsi="Arial" w:cs="Arial"/>
          <w:color w:val="000000" w:themeColor="text1"/>
        </w:rPr>
        <w:t>d</w:t>
      </w:r>
      <w:r w:rsidR="00205492">
        <w:rPr>
          <w:rFonts w:ascii="Arial" w:hAnsi="Arial" w:cs="Arial"/>
          <w:color w:val="000000" w:themeColor="text1"/>
        </w:rPr>
        <w:t>id</w:t>
      </w:r>
      <w:r w:rsidR="00827196" w:rsidRPr="000A495E">
        <w:rPr>
          <w:rFonts w:ascii="Arial" w:hAnsi="Arial" w:cs="Arial"/>
          <w:color w:val="000000" w:themeColor="text1"/>
        </w:rPr>
        <w:t xml:space="preserve"> not have power</w:t>
      </w:r>
      <w:r w:rsidR="00564D5C">
        <w:rPr>
          <w:rFonts w:ascii="Arial" w:hAnsi="Arial" w:cs="Arial"/>
          <w:color w:val="000000" w:themeColor="text1"/>
        </w:rPr>
        <w:t>s</w:t>
      </w:r>
      <w:r w:rsidR="00827196" w:rsidRPr="000A495E">
        <w:rPr>
          <w:rFonts w:ascii="Arial" w:hAnsi="Arial" w:cs="Arial"/>
          <w:color w:val="000000" w:themeColor="text1"/>
        </w:rPr>
        <w:t xml:space="preserve"> to condone the institution of legal proceedings in circumstances where the provisions of </w:t>
      </w:r>
      <w:r w:rsidR="00205492">
        <w:rPr>
          <w:rFonts w:ascii="Arial" w:hAnsi="Arial" w:cs="Arial"/>
          <w:color w:val="000000" w:themeColor="text1"/>
        </w:rPr>
        <w:t xml:space="preserve">that country’s </w:t>
      </w:r>
      <w:r w:rsidR="00827196" w:rsidRPr="000A495E">
        <w:rPr>
          <w:rFonts w:ascii="Arial" w:hAnsi="Arial" w:cs="Arial"/>
          <w:color w:val="000000" w:themeColor="text1"/>
        </w:rPr>
        <w:t xml:space="preserve">s 3(1) </w:t>
      </w:r>
      <w:r w:rsidR="00827196">
        <w:rPr>
          <w:rFonts w:ascii="Arial" w:hAnsi="Arial" w:cs="Arial"/>
          <w:color w:val="000000" w:themeColor="text1"/>
        </w:rPr>
        <w:t>o</w:t>
      </w:r>
      <w:r w:rsidR="00827196" w:rsidRPr="000A495E">
        <w:rPr>
          <w:rFonts w:ascii="Arial" w:hAnsi="Arial" w:cs="Arial"/>
          <w:color w:val="000000" w:themeColor="text1"/>
        </w:rPr>
        <w:t xml:space="preserve">f the Institution of Legal Proceedings against certain </w:t>
      </w:r>
      <w:r w:rsidR="00827196" w:rsidRPr="00827196">
        <w:rPr>
          <w:rFonts w:ascii="Arial" w:hAnsi="Arial" w:cs="Arial"/>
          <w:color w:val="000000" w:themeColor="text1"/>
        </w:rPr>
        <w:t>Organs of State Act 40 of 2002 ha</w:t>
      </w:r>
      <w:r w:rsidR="00205492">
        <w:rPr>
          <w:rFonts w:ascii="Arial" w:hAnsi="Arial" w:cs="Arial"/>
          <w:color w:val="000000" w:themeColor="text1"/>
        </w:rPr>
        <w:t>d</w:t>
      </w:r>
      <w:r w:rsidR="00827196" w:rsidRPr="00827196">
        <w:rPr>
          <w:rFonts w:ascii="Arial" w:hAnsi="Arial" w:cs="Arial"/>
          <w:color w:val="000000" w:themeColor="text1"/>
        </w:rPr>
        <w:t xml:space="preserve"> not been complied with. We were also referred to a decision of </w:t>
      </w:r>
      <w:r w:rsidR="006D66EA">
        <w:rPr>
          <w:rFonts w:ascii="Arial" w:hAnsi="Arial" w:cs="Arial"/>
          <w:color w:val="000000" w:themeColor="text1"/>
        </w:rPr>
        <w:t>our High Court</w:t>
      </w:r>
      <w:r w:rsidR="00827196" w:rsidRPr="00827196">
        <w:rPr>
          <w:rFonts w:ascii="Arial" w:hAnsi="Arial" w:cs="Arial"/>
          <w:color w:val="000000" w:themeColor="text1"/>
        </w:rPr>
        <w:t xml:space="preserve"> in </w:t>
      </w:r>
      <w:r w:rsidR="00827196" w:rsidRPr="00827196">
        <w:rPr>
          <w:rFonts w:ascii="Arial" w:eastAsia="Arial" w:hAnsi="Arial" w:cs="Arial"/>
          <w:i/>
          <w:lang w:val="en" w:eastAsia="en-ZA"/>
        </w:rPr>
        <w:t xml:space="preserve">Indilinga Systems </w:t>
      </w:r>
      <w:r w:rsidR="006D66EA">
        <w:rPr>
          <w:rFonts w:ascii="Arial" w:eastAsia="Arial" w:hAnsi="Arial" w:cs="Arial"/>
          <w:i/>
          <w:lang w:val="en" w:eastAsia="en-ZA"/>
        </w:rPr>
        <w:t xml:space="preserve">Design </w:t>
      </w:r>
      <w:r w:rsidR="00814F4C">
        <w:rPr>
          <w:rFonts w:ascii="Arial" w:eastAsia="Arial" w:hAnsi="Arial" w:cs="Arial"/>
          <w:i/>
          <w:lang w:val="en" w:eastAsia="en-ZA"/>
        </w:rPr>
        <w:t>&amp;</w:t>
      </w:r>
      <w:r w:rsidR="00827196" w:rsidRPr="00827196">
        <w:rPr>
          <w:rFonts w:ascii="Arial" w:eastAsia="Arial" w:hAnsi="Arial" w:cs="Arial"/>
          <w:i/>
          <w:lang w:val="en" w:eastAsia="en-ZA"/>
        </w:rPr>
        <w:t xml:space="preserve"> Logistics CC v Min</w:t>
      </w:r>
      <w:r w:rsidR="006C13DE">
        <w:rPr>
          <w:rFonts w:ascii="Arial" w:eastAsia="Arial" w:hAnsi="Arial" w:cs="Arial"/>
          <w:i/>
          <w:lang w:val="en" w:eastAsia="en-ZA"/>
        </w:rPr>
        <w:t>ister of Safety and Security &amp;</w:t>
      </w:r>
      <w:r w:rsidR="00D10696">
        <w:rPr>
          <w:rFonts w:ascii="Arial" w:eastAsia="Arial" w:hAnsi="Arial" w:cs="Arial"/>
          <w:i/>
          <w:lang w:val="en" w:eastAsia="en-ZA"/>
        </w:rPr>
        <w:t xml:space="preserve"> </w:t>
      </w:r>
      <w:r w:rsidR="00F74E82">
        <w:rPr>
          <w:rFonts w:ascii="Arial" w:eastAsia="Arial" w:hAnsi="Arial" w:cs="Arial"/>
          <w:i/>
          <w:lang w:val="en" w:eastAsia="en-ZA"/>
        </w:rPr>
        <w:t>another</w:t>
      </w:r>
      <w:r w:rsidR="007C43EF">
        <w:rPr>
          <w:rFonts w:ascii="Arial" w:eastAsia="Arial" w:hAnsi="Arial" w:cs="Arial"/>
          <w:i/>
          <w:lang w:val="en" w:eastAsia="en-ZA"/>
        </w:rPr>
        <w:t>,</w:t>
      </w:r>
      <w:r w:rsidR="00827196">
        <w:rPr>
          <w:rStyle w:val="FootnoteReference"/>
          <w:rFonts w:ascii="Arial" w:hAnsi="Arial" w:cs="Arial"/>
          <w:color w:val="000000" w:themeColor="text1"/>
        </w:rPr>
        <w:footnoteReference w:id="2"/>
      </w:r>
      <w:r w:rsidR="00827196">
        <w:rPr>
          <w:rFonts w:ascii="Arial" w:hAnsi="Arial" w:cs="Arial"/>
          <w:color w:val="000000" w:themeColor="text1"/>
        </w:rPr>
        <w:t xml:space="preserve"> in which an exception was upheld on the ground that the particulars</w:t>
      </w:r>
      <w:r w:rsidR="00F32EA2">
        <w:rPr>
          <w:rFonts w:ascii="Arial" w:hAnsi="Arial" w:cs="Arial"/>
          <w:color w:val="000000" w:themeColor="text1"/>
        </w:rPr>
        <w:t xml:space="preserve"> of claim </w:t>
      </w:r>
      <w:r w:rsidR="00EB0B1D">
        <w:rPr>
          <w:rFonts w:ascii="Arial" w:hAnsi="Arial" w:cs="Arial"/>
          <w:color w:val="000000" w:themeColor="text1"/>
        </w:rPr>
        <w:t xml:space="preserve">did not </w:t>
      </w:r>
      <w:r w:rsidR="00827196">
        <w:rPr>
          <w:rFonts w:ascii="Arial" w:hAnsi="Arial" w:cs="Arial"/>
          <w:color w:val="000000" w:themeColor="text1"/>
        </w:rPr>
        <w:t>show that the requirements of a pre-litigation notice in terms of s</w:t>
      </w:r>
      <w:r w:rsidR="00827196">
        <w:rPr>
          <w:rFonts w:ascii="Arial" w:eastAsia="Arial" w:hAnsi="Arial" w:cs="Arial"/>
          <w:lang w:val="en" w:eastAsia="en-ZA"/>
        </w:rPr>
        <w:t xml:space="preserve"> 39(1) of the Police Act 19 of 1990</w:t>
      </w:r>
      <w:r w:rsidR="00564D5C">
        <w:rPr>
          <w:rStyle w:val="FootnoteReference"/>
          <w:rFonts w:ascii="Arial" w:eastAsia="Arial" w:hAnsi="Arial" w:cs="Arial"/>
          <w:lang w:val="en" w:eastAsia="en-ZA"/>
        </w:rPr>
        <w:footnoteReference w:id="3"/>
      </w:r>
      <w:r w:rsidR="00827196">
        <w:rPr>
          <w:rFonts w:ascii="Arial" w:eastAsia="Arial" w:hAnsi="Arial" w:cs="Arial"/>
          <w:lang w:val="en" w:eastAsia="en-ZA"/>
        </w:rPr>
        <w:t xml:space="preserve"> </w:t>
      </w:r>
      <w:r w:rsidR="00827196">
        <w:rPr>
          <w:rFonts w:ascii="Arial" w:hAnsi="Arial" w:cs="Arial"/>
          <w:color w:val="000000" w:themeColor="text1"/>
        </w:rPr>
        <w:t>ha</w:t>
      </w:r>
      <w:r w:rsidR="007F77BC">
        <w:rPr>
          <w:rFonts w:ascii="Arial" w:hAnsi="Arial" w:cs="Arial"/>
          <w:color w:val="000000" w:themeColor="text1"/>
        </w:rPr>
        <w:t>d</w:t>
      </w:r>
      <w:r w:rsidR="00827196">
        <w:rPr>
          <w:rFonts w:ascii="Arial" w:hAnsi="Arial" w:cs="Arial"/>
          <w:color w:val="000000" w:themeColor="text1"/>
        </w:rPr>
        <w:t xml:space="preserve"> been met. </w:t>
      </w:r>
    </w:p>
    <w:p w14:paraId="16199020" w14:textId="77777777" w:rsidR="00F32EA2" w:rsidRDefault="00F32EA2" w:rsidP="000476ED">
      <w:pPr>
        <w:pStyle w:val="ListParagraph"/>
        <w:spacing w:line="480" w:lineRule="auto"/>
        <w:ind w:left="0"/>
        <w:jc w:val="both"/>
        <w:rPr>
          <w:rFonts w:ascii="Arial" w:hAnsi="Arial"/>
          <w:color w:val="000000" w:themeColor="text1"/>
        </w:rPr>
      </w:pPr>
    </w:p>
    <w:p w14:paraId="6DBACAE7" w14:textId="4E2FA148" w:rsidR="00364F3F" w:rsidRDefault="00BA3CAE" w:rsidP="000476ED">
      <w:pPr>
        <w:pStyle w:val="ListParagraph"/>
        <w:numPr>
          <w:ilvl w:val="0"/>
          <w:numId w:val="1"/>
        </w:numPr>
        <w:spacing w:line="480" w:lineRule="auto"/>
        <w:jc w:val="both"/>
        <w:rPr>
          <w:rFonts w:ascii="Arial" w:hAnsi="Arial"/>
          <w:color w:val="000000" w:themeColor="text1"/>
        </w:rPr>
      </w:pPr>
      <w:r>
        <w:rPr>
          <w:rFonts w:ascii="Arial" w:hAnsi="Arial"/>
          <w:color w:val="000000" w:themeColor="text1"/>
        </w:rPr>
        <w:t xml:space="preserve">It was thus </w:t>
      </w:r>
      <w:r w:rsidR="00C72E98">
        <w:rPr>
          <w:rFonts w:ascii="Arial" w:hAnsi="Arial"/>
          <w:color w:val="000000" w:themeColor="text1"/>
        </w:rPr>
        <w:t xml:space="preserve">argued </w:t>
      </w:r>
      <w:r w:rsidR="00286B20">
        <w:rPr>
          <w:rFonts w:ascii="Arial" w:hAnsi="Arial"/>
          <w:color w:val="000000" w:themeColor="text1"/>
        </w:rPr>
        <w:t xml:space="preserve">that </w:t>
      </w:r>
      <w:r w:rsidR="00AE1878">
        <w:rPr>
          <w:rFonts w:ascii="Arial" w:hAnsi="Arial"/>
          <w:color w:val="000000" w:themeColor="text1"/>
        </w:rPr>
        <w:t>consequent to the</w:t>
      </w:r>
      <w:r w:rsidR="00286B20">
        <w:rPr>
          <w:rFonts w:ascii="Arial" w:hAnsi="Arial"/>
          <w:color w:val="000000" w:themeColor="text1"/>
        </w:rPr>
        <w:t xml:space="preserve"> </w:t>
      </w:r>
      <w:r>
        <w:rPr>
          <w:rFonts w:ascii="Arial" w:hAnsi="Arial"/>
          <w:color w:val="000000" w:themeColor="text1"/>
        </w:rPr>
        <w:t xml:space="preserve">upholding of the appellants’ exception, the </w:t>
      </w:r>
      <w:r w:rsidR="00286B20">
        <w:rPr>
          <w:rFonts w:ascii="Arial" w:hAnsi="Arial"/>
          <w:color w:val="000000" w:themeColor="text1"/>
        </w:rPr>
        <w:t xml:space="preserve">court below ought to have dismissed the </w:t>
      </w:r>
      <w:r w:rsidR="002A73EA">
        <w:rPr>
          <w:rFonts w:ascii="Arial" w:hAnsi="Arial"/>
          <w:color w:val="000000" w:themeColor="text1"/>
        </w:rPr>
        <w:t xml:space="preserve">respondent’s </w:t>
      </w:r>
      <w:r w:rsidR="00286B20">
        <w:rPr>
          <w:rFonts w:ascii="Arial" w:hAnsi="Arial"/>
          <w:color w:val="000000" w:themeColor="text1"/>
        </w:rPr>
        <w:t>action</w:t>
      </w:r>
      <w:r w:rsidR="00AE1878">
        <w:rPr>
          <w:rFonts w:ascii="Arial" w:hAnsi="Arial"/>
          <w:color w:val="000000" w:themeColor="text1"/>
        </w:rPr>
        <w:t xml:space="preserve"> </w:t>
      </w:r>
      <w:r w:rsidR="00C70029">
        <w:rPr>
          <w:rFonts w:ascii="Arial" w:hAnsi="Arial"/>
          <w:color w:val="000000" w:themeColor="text1"/>
        </w:rPr>
        <w:t xml:space="preserve">instead of </w:t>
      </w:r>
      <w:r w:rsidR="00F41F3A">
        <w:rPr>
          <w:rFonts w:ascii="Arial" w:hAnsi="Arial"/>
          <w:color w:val="000000" w:themeColor="text1"/>
        </w:rPr>
        <w:t>grant</w:t>
      </w:r>
      <w:r w:rsidR="00C70029">
        <w:rPr>
          <w:rFonts w:ascii="Arial" w:hAnsi="Arial"/>
          <w:color w:val="000000" w:themeColor="text1"/>
        </w:rPr>
        <w:t xml:space="preserve">ing him </w:t>
      </w:r>
      <w:r w:rsidR="00286B20">
        <w:rPr>
          <w:rFonts w:ascii="Arial" w:hAnsi="Arial"/>
          <w:color w:val="000000" w:themeColor="text1"/>
        </w:rPr>
        <w:t xml:space="preserve">leave </w:t>
      </w:r>
      <w:r w:rsidR="00F41F3A">
        <w:rPr>
          <w:rFonts w:ascii="Arial" w:hAnsi="Arial"/>
          <w:color w:val="000000" w:themeColor="text1"/>
        </w:rPr>
        <w:t>t</w:t>
      </w:r>
      <w:r w:rsidR="00286B20">
        <w:rPr>
          <w:rFonts w:ascii="Arial" w:hAnsi="Arial"/>
          <w:color w:val="000000" w:themeColor="text1"/>
        </w:rPr>
        <w:t>o amend his particulars of claim</w:t>
      </w:r>
      <w:r w:rsidR="00F41F3A">
        <w:rPr>
          <w:rFonts w:ascii="Arial" w:hAnsi="Arial"/>
          <w:color w:val="000000" w:themeColor="text1"/>
        </w:rPr>
        <w:t>.</w:t>
      </w:r>
      <w:r w:rsidR="00286B20">
        <w:rPr>
          <w:rFonts w:ascii="Arial" w:hAnsi="Arial"/>
          <w:color w:val="000000" w:themeColor="text1"/>
        </w:rPr>
        <w:t xml:space="preserve"> </w:t>
      </w:r>
    </w:p>
    <w:p w14:paraId="27805BCC" w14:textId="77777777" w:rsidR="003B4029" w:rsidRDefault="003B4029" w:rsidP="000476ED">
      <w:pPr>
        <w:spacing w:line="480" w:lineRule="auto"/>
        <w:rPr>
          <w:rFonts w:ascii="Arial" w:hAnsi="Arial"/>
          <w:color w:val="000000" w:themeColor="text1"/>
          <w:u w:val="single"/>
        </w:rPr>
      </w:pPr>
    </w:p>
    <w:p w14:paraId="3206F15C" w14:textId="066646E1" w:rsidR="0064068A" w:rsidRPr="001151E7" w:rsidRDefault="003B4029" w:rsidP="000476ED">
      <w:pPr>
        <w:spacing w:line="480" w:lineRule="auto"/>
        <w:rPr>
          <w:rFonts w:ascii="Arial" w:hAnsi="Arial"/>
          <w:color w:val="000000" w:themeColor="text1"/>
          <w:u w:val="single"/>
        </w:rPr>
      </w:pPr>
      <w:r w:rsidRPr="003B4029">
        <w:rPr>
          <w:rFonts w:ascii="Arial" w:hAnsi="Arial"/>
          <w:color w:val="000000" w:themeColor="text1"/>
          <w:u w:val="single"/>
        </w:rPr>
        <w:lastRenderedPageBreak/>
        <w:t>Consideration of the appeal</w:t>
      </w:r>
    </w:p>
    <w:p w14:paraId="4F66308F" w14:textId="0FA61309" w:rsidR="0064068A" w:rsidRDefault="007F77BC" w:rsidP="000476ED">
      <w:pPr>
        <w:pStyle w:val="ListParagraph"/>
        <w:numPr>
          <w:ilvl w:val="0"/>
          <w:numId w:val="1"/>
        </w:numPr>
        <w:spacing w:line="480" w:lineRule="auto"/>
        <w:jc w:val="both"/>
        <w:rPr>
          <w:rFonts w:ascii="Arial" w:hAnsi="Arial"/>
          <w:color w:val="000000" w:themeColor="text1"/>
        </w:rPr>
      </w:pPr>
      <w:r>
        <w:rPr>
          <w:rFonts w:ascii="Arial" w:hAnsi="Arial"/>
          <w:color w:val="000000" w:themeColor="text1"/>
        </w:rPr>
        <w:t xml:space="preserve">The decision </w:t>
      </w:r>
      <w:r w:rsidR="00C70029">
        <w:rPr>
          <w:rFonts w:ascii="Arial" w:hAnsi="Arial"/>
          <w:color w:val="000000" w:themeColor="text1"/>
        </w:rPr>
        <w:t xml:space="preserve">by the court below </w:t>
      </w:r>
      <w:r w:rsidR="00F91695" w:rsidRPr="001434C7">
        <w:rPr>
          <w:rFonts w:ascii="Arial" w:hAnsi="Arial"/>
          <w:color w:val="000000" w:themeColor="text1"/>
        </w:rPr>
        <w:t xml:space="preserve">that s 133(4) is peremptory in nature and </w:t>
      </w:r>
      <w:r>
        <w:rPr>
          <w:rFonts w:ascii="Arial" w:hAnsi="Arial"/>
          <w:color w:val="000000" w:themeColor="text1"/>
        </w:rPr>
        <w:t xml:space="preserve">that </w:t>
      </w:r>
      <w:r w:rsidR="00F91695" w:rsidRPr="001434C7">
        <w:rPr>
          <w:rFonts w:ascii="Arial" w:hAnsi="Arial"/>
          <w:color w:val="000000" w:themeColor="text1"/>
        </w:rPr>
        <w:t>as such no legal proceedings may be instituted against the defendant</w:t>
      </w:r>
      <w:r w:rsidR="00F857AD">
        <w:rPr>
          <w:rFonts w:ascii="Arial" w:hAnsi="Arial"/>
          <w:color w:val="000000" w:themeColor="text1"/>
        </w:rPr>
        <w:t>s</w:t>
      </w:r>
      <w:r w:rsidR="00F91695" w:rsidRPr="001434C7">
        <w:rPr>
          <w:rFonts w:ascii="Arial" w:hAnsi="Arial"/>
          <w:color w:val="000000" w:themeColor="text1"/>
        </w:rPr>
        <w:t xml:space="preserve"> unless the plaintiff ha</w:t>
      </w:r>
      <w:r w:rsidR="00F857AD">
        <w:rPr>
          <w:rFonts w:ascii="Arial" w:hAnsi="Arial"/>
          <w:color w:val="000000" w:themeColor="text1"/>
        </w:rPr>
        <w:t>d</w:t>
      </w:r>
      <w:r w:rsidR="00F91695" w:rsidRPr="001434C7">
        <w:rPr>
          <w:rFonts w:ascii="Arial" w:hAnsi="Arial"/>
          <w:color w:val="000000" w:themeColor="text1"/>
        </w:rPr>
        <w:t xml:space="preserve"> given written notice of the impending proceedings</w:t>
      </w:r>
      <w:r>
        <w:rPr>
          <w:rFonts w:ascii="Arial" w:hAnsi="Arial"/>
          <w:color w:val="000000" w:themeColor="text1"/>
        </w:rPr>
        <w:t xml:space="preserve"> is not on appeal before us</w:t>
      </w:r>
      <w:r w:rsidR="00F91695" w:rsidRPr="001434C7">
        <w:rPr>
          <w:rFonts w:ascii="Arial" w:hAnsi="Arial"/>
          <w:color w:val="000000" w:themeColor="text1"/>
        </w:rPr>
        <w:t xml:space="preserve">. </w:t>
      </w:r>
      <w:r w:rsidR="00C70029">
        <w:rPr>
          <w:rFonts w:ascii="Arial" w:hAnsi="Arial"/>
          <w:color w:val="000000" w:themeColor="text1"/>
        </w:rPr>
        <w:t>As noted above,</w:t>
      </w:r>
      <w:r w:rsidR="00CD5425">
        <w:rPr>
          <w:rFonts w:ascii="Arial" w:hAnsi="Arial"/>
          <w:color w:val="000000" w:themeColor="text1"/>
        </w:rPr>
        <w:t xml:space="preserve"> </w:t>
      </w:r>
      <w:r w:rsidR="00C70029">
        <w:rPr>
          <w:rFonts w:ascii="Arial" w:hAnsi="Arial"/>
          <w:color w:val="000000" w:themeColor="text1"/>
        </w:rPr>
        <w:t>t</w:t>
      </w:r>
      <w:r>
        <w:rPr>
          <w:rFonts w:ascii="Arial" w:hAnsi="Arial"/>
          <w:color w:val="000000" w:themeColor="text1"/>
        </w:rPr>
        <w:t xml:space="preserve">he question </w:t>
      </w:r>
      <w:r w:rsidR="00205492">
        <w:rPr>
          <w:rFonts w:ascii="Arial" w:hAnsi="Arial"/>
          <w:color w:val="000000" w:themeColor="text1"/>
        </w:rPr>
        <w:t xml:space="preserve">we are seized with </w:t>
      </w:r>
      <w:r>
        <w:rPr>
          <w:rFonts w:ascii="Arial" w:hAnsi="Arial"/>
          <w:color w:val="000000" w:themeColor="text1"/>
        </w:rPr>
        <w:t xml:space="preserve">is </w:t>
      </w:r>
      <w:r w:rsidR="00C70029">
        <w:rPr>
          <w:rFonts w:ascii="Arial" w:hAnsi="Arial"/>
          <w:color w:val="000000" w:themeColor="text1"/>
        </w:rPr>
        <w:t xml:space="preserve">a narrow one and it is </w:t>
      </w:r>
      <w:r>
        <w:rPr>
          <w:rFonts w:ascii="Arial" w:hAnsi="Arial"/>
          <w:color w:val="000000" w:themeColor="text1"/>
        </w:rPr>
        <w:t xml:space="preserve">whether </w:t>
      </w:r>
      <w:r w:rsidR="001434C7" w:rsidRPr="001434C7">
        <w:rPr>
          <w:rFonts w:ascii="Arial" w:hAnsi="Arial"/>
          <w:color w:val="000000" w:themeColor="text1"/>
        </w:rPr>
        <w:t xml:space="preserve">the </w:t>
      </w:r>
      <w:r w:rsidR="00F91695" w:rsidRPr="001434C7">
        <w:rPr>
          <w:rFonts w:ascii="Arial" w:hAnsi="Arial"/>
          <w:color w:val="000000" w:themeColor="text1"/>
        </w:rPr>
        <w:t xml:space="preserve">court below </w:t>
      </w:r>
      <w:r>
        <w:rPr>
          <w:rFonts w:ascii="Arial" w:hAnsi="Arial"/>
          <w:color w:val="000000" w:themeColor="text1"/>
        </w:rPr>
        <w:t xml:space="preserve">was wrong to </w:t>
      </w:r>
      <w:r w:rsidR="00917399">
        <w:rPr>
          <w:rFonts w:ascii="Arial" w:hAnsi="Arial"/>
          <w:color w:val="000000" w:themeColor="text1"/>
        </w:rPr>
        <w:t xml:space="preserve">have </w:t>
      </w:r>
      <w:r w:rsidR="001434C7">
        <w:rPr>
          <w:rFonts w:ascii="Arial" w:hAnsi="Arial"/>
          <w:color w:val="000000" w:themeColor="text1"/>
        </w:rPr>
        <w:t>g</w:t>
      </w:r>
      <w:r w:rsidR="00AB12A1">
        <w:rPr>
          <w:rFonts w:ascii="Arial" w:hAnsi="Arial"/>
          <w:color w:val="000000" w:themeColor="text1"/>
        </w:rPr>
        <w:t>ive</w:t>
      </w:r>
      <w:r w:rsidR="00917399">
        <w:rPr>
          <w:rFonts w:ascii="Arial" w:hAnsi="Arial"/>
          <w:color w:val="000000" w:themeColor="text1"/>
        </w:rPr>
        <w:t>n</w:t>
      </w:r>
      <w:r w:rsidR="00AB12A1">
        <w:rPr>
          <w:rFonts w:ascii="Arial" w:hAnsi="Arial"/>
          <w:color w:val="000000" w:themeColor="text1"/>
        </w:rPr>
        <w:t xml:space="preserve"> </w:t>
      </w:r>
      <w:r w:rsidR="001434C7">
        <w:rPr>
          <w:rFonts w:ascii="Arial" w:hAnsi="Arial"/>
          <w:color w:val="000000" w:themeColor="text1"/>
        </w:rPr>
        <w:t xml:space="preserve">the respondent </w:t>
      </w:r>
      <w:r w:rsidR="00AB12A1">
        <w:rPr>
          <w:rFonts w:ascii="Arial" w:hAnsi="Arial"/>
          <w:color w:val="000000" w:themeColor="text1"/>
        </w:rPr>
        <w:t xml:space="preserve">leave </w:t>
      </w:r>
      <w:r w:rsidR="001434C7">
        <w:rPr>
          <w:rFonts w:ascii="Arial" w:hAnsi="Arial"/>
          <w:color w:val="000000" w:themeColor="text1"/>
        </w:rPr>
        <w:t xml:space="preserve">to amend his particulars of claim </w:t>
      </w:r>
      <w:r w:rsidR="00F857AD">
        <w:rPr>
          <w:rFonts w:ascii="Arial" w:hAnsi="Arial"/>
          <w:color w:val="000000" w:themeColor="text1"/>
        </w:rPr>
        <w:t xml:space="preserve">after </w:t>
      </w:r>
      <w:r w:rsidR="00423F8B">
        <w:rPr>
          <w:rFonts w:ascii="Arial" w:hAnsi="Arial"/>
          <w:color w:val="000000" w:themeColor="text1"/>
        </w:rPr>
        <w:t xml:space="preserve">it </w:t>
      </w:r>
      <w:r w:rsidR="006E7C3F">
        <w:rPr>
          <w:rFonts w:ascii="Arial" w:hAnsi="Arial"/>
          <w:color w:val="000000" w:themeColor="text1"/>
        </w:rPr>
        <w:t>uph</w:t>
      </w:r>
      <w:r w:rsidR="00F857AD">
        <w:rPr>
          <w:rFonts w:ascii="Arial" w:hAnsi="Arial"/>
          <w:color w:val="000000" w:themeColor="text1"/>
        </w:rPr>
        <w:t>e</w:t>
      </w:r>
      <w:r w:rsidR="006E7C3F">
        <w:rPr>
          <w:rFonts w:ascii="Arial" w:hAnsi="Arial"/>
          <w:color w:val="000000" w:themeColor="text1"/>
        </w:rPr>
        <w:t xml:space="preserve">ld </w:t>
      </w:r>
      <w:r w:rsidR="00CD5425">
        <w:rPr>
          <w:rFonts w:ascii="Arial" w:hAnsi="Arial"/>
          <w:color w:val="000000" w:themeColor="text1"/>
        </w:rPr>
        <w:t xml:space="preserve">one of </w:t>
      </w:r>
      <w:r w:rsidR="006E7C3F">
        <w:rPr>
          <w:rFonts w:ascii="Arial" w:hAnsi="Arial"/>
          <w:color w:val="000000" w:themeColor="text1"/>
        </w:rPr>
        <w:t>the exception</w:t>
      </w:r>
      <w:r w:rsidR="00CD5425">
        <w:rPr>
          <w:rFonts w:ascii="Arial" w:hAnsi="Arial"/>
          <w:color w:val="000000" w:themeColor="text1"/>
        </w:rPr>
        <w:t>s</w:t>
      </w:r>
      <w:r w:rsidR="00F857AD">
        <w:rPr>
          <w:rFonts w:ascii="Arial" w:hAnsi="Arial"/>
          <w:color w:val="000000" w:themeColor="text1"/>
        </w:rPr>
        <w:t xml:space="preserve"> </w:t>
      </w:r>
      <w:r w:rsidR="00DD6A8D">
        <w:rPr>
          <w:rFonts w:ascii="Arial" w:hAnsi="Arial"/>
          <w:color w:val="000000" w:themeColor="text1"/>
        </w:rPr>
        <w:t>on the basis that the particulars of claim did not disclose a cause of action</w:t>
      </w:r>
      <w:r w:rsidR="00F857AD">
        <w:rPr>
          <w:rFonts w:ascii="Arial" w:hAnsi="Arial"/>
          <w:color w:val="000000" w:themeColor="text1"/>
        </w:rPr>
        <w:t xml:space="preserve"> for want of a requisite statutory notice to the appellants</w:t>
      </w:r>
      <w:r w:rsidR="00DD6A8D">
        <w:rPr>
          <w:rFonts w:ascii="Arial" w:hAnsi="Arial"/>
          <w:color w:val="000000" w:themeColor="text1"/>
        </w:rPr>
        <w:t>.</w:t>
      </w:r>
      <w:r w:rsidR="006E7C3F">
        <w:rPr>
          <w:rFonts w:ascii="Arial" w:hAnsi="Arial"/>
          <w:color w:val="000000" w:themeColor="text1"/>
        </w:rPr>
        <w:t xml:space="preserve"> </w:t>
      </w:r>
    </w:p>
    <w:p w14:paraId="1E61CB7F" w14:textId="77777777" w:rsidR="008A316E" w:rsidRPr="008A316E" w:rsidRDefault="008A316E" w:rsidP="000476ED">
      <w:pPr>
        <w:pStyle w:val="ListParagraph"/>
        <w:spacing w:line="480" w:lineRule="auto"/>
        <w:rPr>
          <w:rFonts w:ascii="Arial" w:hAnsi="Arial"/>
          <w:color w:val="000000" w:themeColor="text1"/>
        </w:rPr>
      </w:pPr>
    </w:p>
    <w:p w14:paraId="36DB5711" w14:textId="04A05919" w:rsidR="00F857AD" w:rsidRDefault="00EB0B1D" w:rsidP="000476ED">
      <w:pPr>
        <w:pStyle w:val="ListParagraph"/>
        <w:numPr>
          <w:ilvl w:val="0"/>
          <w:numId w:val="1"/>
        </w:numPr>
        <w:spacing w:line="480" w:lineRule="auto"/>
        <w:jc w:val="both"/>
        <w:rPr>
          <w:rFonts w:ascii="Arial" w:hAnsi="Arial"/>
          <w:color w:val="000000" w:themeColor="text1"/>
        </w:rPr>
      </w:pPr>
      <w:r>
        <w:rPr>
          <w:rFonts w:ascii="Arial" w:hAnsi="Arial"/>
          <w:color w:val="000000" w:themeColor="text1"/>
        </w:rPr>
        <w:t xml:space="preserve">Despite the neglect by the legal practitioner for the appellants to refer us to </w:t>
      </w:r>
      <w:r w:rsidR="00C70029">
        <w:rPr>
          <w:rFonts w:ascii="Arial" w:hAnsi="Arial"/>
          <w:color w:val="000000" w:themeColor="text1"/>
        </w:rPr>
        <w:t xml:space="preserve">readily available </w:t>
      </w:r>
      <w:r>
        <w:rPr>
          <w:rFonts w:ascii="Arial" w:hAnsi="Arial"/>
          <w:color w:val="000000" w:themeColor="text1"/>
        </w:rPr>
        <w:t>relevant and pertinent authorities on the point, t</w:t>
      </w:r>
      <w:r w:rsidR="00423F8B">
        <w:rPr>
          <w:rFonts w:ascii="Arial" w:hAnsi="Arial"/>
          <w:color w:val="000000" w:themeColor="text1"/>
        </w:rPr>
        <w:t xml:space="preserve">his question </w:t>
      </w:r>
      <w:r>
        <w:rPr>
          <w:rFonts w:ascii="Arial" w:hAnsi="Arial"/>
          <w:color w:val="000000" w:themeColor="text1"/>
        </w:rPr>
        <w:t xml:space="preserve">is not novel to our jurisdiction. </w:t>
      </w:r>
      <w:r w:rsidR="00EC3A9A">
        <w:rPr>
          <w:rFonts w:ascii="Arial" w:hAnsi="Arial"/>
          <w:color w:val="000000" w:themeColor="text1"/>
        </w:rPr>
        <w:t xml:space="preserve">It </w:t>
      </w:r>
      <w:r w:rsidR="00C70029">
        <w:rPr>
          <w:rFonts w:ascii="Arial" w:hAnsi="Arial"/>
          <w:color w:val="000000" w:themeColor="text1"/>
        </w:rPr>
        <w:t xml:space="preserve">would appear that it </w:t>
      </w:r>
      <w:r w:rsidR="00EC3A9A">
        <w:rPr>
          <w:rFonts w:ascii="Arial" w:hAnsi="Arial"/>
          <w:color w:val="000000" w:themeColor="text1"/>
        </w:rPr>
        <w:t xml:space="preserve">has always been the practice that in </w:t>
      </w:r>
      <w:r w:rsidR="00CD0203">
        <w:rPr>
          <w:rFonts w:ascii="Arial" w:hAnsi="Arial"/>
          <w:color w:val="000000" w:themeColor="text1"/>
        </w:rPr>
        <w:t xml:space="preserve">a successful </w:t>
      </w:r>
      <w:r w:rsidR="00EC3A9A">
        <w:rPr>
          <w:rFonts w:ascii="Arial" w:hAnsi="Arial"/>
          <w:color w:val="000000" w:themeColor="text1"/>
        </w:rPr>
        <w:t>exception on the ground that the pleading do</w:t>
      </w:r>
      <w:r w:rsidR="00CD0203">
        <w:rPr>
          <w:rFonts w:ascii="Arial" w:hAnsi="Arial"/>
          <w:color w:val="000000" w:themeColor="text1"/>
        </w:rPr>
        <w:t>es</w:t>
      </w:r>
      <w:r w:rsidR="00EC3A9A">
        <w:rPr>
          <w:rFonts w:ascii="Arial" w:hAnsi="Arial"/>
          <w:color w:val="000000" w:themeColor="text1"/>
        </w:rPr>
        <w:t xml:space="preserve"> not disclose a cause of action, a court should not dismiss the action. Instead, it should set aside the impugn</w:t>
      </w:r>
      <w:r w:rsidR="00CD0203">
        <w:rPr>
          <w:rFonts w:ascii="Arial" w:hAnsi="Arial"/>
          <w:color w:val="000000" w:themeColor="text1"/>
        </w:rPr>
        <w:t>ed</w:t>
      </w:r>
      <w:r w:rsidR="00A95717">
        <w:rPr>
          <w:rFonts w:ascii="Arial" w:hAnsi="Arial"/>
          <w:color w:val="000000" w:themeColor="text1"/>
        </w:rPr>
        <w:t xml:space="preserve"> pleading and grant</w:t>
      </w:r>
      <w:r w:rsidR="00EC3A9A">
        <w:rPr>
          <w:rFonts w:ascii="Arial" w:hAnsi="Arial"/>
          <w:color w:val="000000" w:themeColor="text1"/>
        </w:rPr>
        <w:t xml:space="preserve"> the plaintiff leave to amend</w:t>
      </w:r>
      <w:r w:rsidR="00CD0203">
        <w:rPr>
          <w:rFonts w:ascii="Arial" w:hAnsi="Arial"/>
          <w:color w:val="000000" w:themeColor="text1"/>
        </w:rPr>
        <w:t xml:space="preserve">. This issue </w:t>
      </w:r>
      <w:r>
        <w:rPr>
          <w:rFonts w:ascii="Arial" w:hAnsi="Arial"/>
          <w:color w:val="000000" w:themeColor="text1"/>
        </w:rPr>
        <w:t>w</w:t>
      </w:r>
      <w:r w:rsidR="00423F8B">
        <w:rPr>
          <w:rFonts w:ascii="Arial" w:hAnsi="Arial"/>
          <w:color w:val="000000" w:themeColor="text1"/>
        </w:rPr>
        <w:t xml:space="preserve">as authoritatively decided by our courts </w:t>
      </w:r>
      <w:r>
        <w:rPr>
          <w:rFonts w:ascii="Arial" w:hAnsi="Arial"/>
          <w:color w:val="000000" w:themeColor="text1"/>
        </w:rPr>
        <w:t xml:space="preserve">and we need only refer to the </w:t>
      </w:r>
      <w:r w:rsidR="00412DB5">
        <w:rPr>
          <w:rFonts w:ascii="Arial" w:hAnsi="Arial"/>
          <w:color w:val="000000" w:themeColor="text1"/>
        </w:rPr>
        <w:t xml:space="preserve">following relatively </w:t>
      </w:r>
      <w:r>
        <w:rPr>
          <w:rFonts w:ascii="Arial" w:hAnsi="Arial"/>
          <w:color w:val="000000" w:themeColor="text1"/>
        </w:rPr>
        <w:t xml:space="preserve">recent </w:t>
      </w:r>
      <w:r w:rsidR="00412DB5">
        <w:rPr>
          <w:rFonts w:ascii="Arial" w:hAnsi="Arial"/>
          <w:color w:val="000000" w:themeColor="text1"/>
        </w:rPr>
        <w:t>cases</w:t>
      </w:r>
      <w:r w:rsidR="00423F8B">
        <w:rPr>
          <w:rFonts w:ascii="Arial" w:hAnsi="Arial"/>
          <w:color w:val="000000" w:themeColor="text1"/>
        </w:rPr>
        <w:t xml:space="preserve">. </w:t>
      </w:r>
    </w:p>
    <w:p w14:paraId="17A7F57B" w14:textId="77777777" w:rsidR="00F857AD" w:rsidRPr="001151E7" w:rsidRDefault="00F857AD" w:rsidP="000476ED">
      <w:pPr>
        <w:pStyle w:val="ListParagraph"/>
        <w:spacing w:line="480" w:lineRule="auto"/>
        <w:rPr>
          <w:rFonts w:ascii="Arial" w:hAnsi="Arial"/>
          <w:color w:val="000000" w:themeColor="text1"/>
        </w:rPr>
      </w:pPr>
    </w:p>
    <w:p w14:paraId="79C8652E" w14:textId="6FD04306" w:rsidR="004D4B20" w:rsidRDefault="000329D7" w:rsidP="000476ED">
      <w:pPr>
        <w:pStyle w:val="ListParagraph"/>
        <w:numPr>
          <w:ilvl w:val="0"/>
          <w:numId w:val="1"/>
        </w:numPr>
        <w:spacing w:line="480" w:lineRule="auto"/>
        <w:jc w:val="both"/>
        <w:rPr>
          <w:rFonts w:ascii="Arial" w:hAnsi="Arial"/>
          <w:color w:val="000000" w:themeColor="text1"/>
        </w:rPr>
      </w:pPr>
      <w:r>
        <w:rPr>
          <w:rFonts w:ascii="Arial" w:hAnsi="Arial"/>
          <w:color w:val="000000" w:themeColor="text1"/>
        </w:rPr>
        <w:t xml:space="preserve">In </w:t>
      </w:r>
      <w:r w:rsidR="008A316E">
        <w:rPr>
          <w:rFonts w:ascii="Arial" w:hAnsi="Arial"/>
          <w:i/>
          <w:color w:val="000000" w:themeColor="text1"/>
        </w:rPr>
        <w:t>H</w:t>
      </w:r>
      <w:r w:rsidR="008A316E" w:rsidRPr="008A316E">
        <w:rPr>
          <w:rFonts w:ascii="Arial" w:hAnsi="Arial"/>
          <w:i/>
          <w:color w:val="000000" w:themeColor="text1"/>
        </w:rPr>
        <w:t>all</w:t>
      </w:r>
      <w:r w:rsidR="008A316E">
        <w:rPr>
          <w:rFonts w:ascii="Arial" w:hAnsi="Arial"/>
          <w:i/>
          <w:color w:val="000000" w:themeColor="text1"/>
        </w:rPr>
        <w:t>ie Investment 142 C</w:t>
      </w:r>
      <w:r w:rsidR="006C13DE">
        <w:rPr>
          <w:rFonts w:ascii="Arial" w:hAnsi="Arial"/>
          <w:i/>
          <w:color w:val="000000" w:themeColor="text1"/>
        </w:rPr>
        <w:t>C</w:t>
      </w:r>
      <w:r w:rsidR="008A316E" w:rsidRPr="008A316E">
        <w:rPr>
          <w:rFonts w:ascii="Arial" w:hAnsi="Arial"/>
          <w:i/>
          <w:color w:val="000000" w:themeColor="text1"/>
        </w:rPr>
        <w:t xml:space="preserve"> t/a </w:t>
      </w:r>
      <w:r w:rsidR="008A316E">
        <w:rPr>
          <w:rFonts w:ascii="Arial" w:hAnsi="Arial"/>
          <w:i/>
          <w:color w:val="000000" w:themeColor="text1"/>
        </w:rPr>
        <w:t>W</w:t>
      </w:r>
      <w:r w:rsidR="008A316E" w:rsidRPr="008A316E">
        <w:rPr>
          <w:rFonts w:ascii="Arial" w:hAnsi="Arial"/>
          <w:i/>
          <w:color w:val="000000" w:themeColor="text1"/>
        </w:rPr>
        <w:t xml:space="preserve">impy </w:t>
      </w:r>
      <w:r w:rsidR="008A316E">
        <w:rPr>
          <w:rFonts w:ascii="Arial" w:hAnsi="Arial"/>
          <w:i/>
          <w:color w:val="000000" w:themeColor="text1"/>
        </w:rPr>
        <w:t>M</w:t>
      </w:r>
      <w:r w:rsidR="008A316E" w:rsidRPr="008A316E">
        <w:rPr>
          <w:rFonts w:ascii="Arial" w:hAnsi="Arial"/>
          <w:i/>
          <w:color w:val="000000" w:themeColor="text1"/>
        </w:rPr>
        <w:t xml:space="preserve">aerua </w:t>
      </w:r>
      <w:r w:rsidR="00F758D4">
        <w:rPr>
          <w:rFonts w:ascii="Arial" w:hAnsi="Arial"/>
          <w:i/>
          <w:color w:val="000000" w:themeColor="text1"/>
        </w:rPr>
        <w:t xml:space="preserve">&amp; </w:t>
      </w:r>
      <w:r w:rsidR="008A316E" w:rsidRPr="008A316E">
        <w:rPr>
          <w:rFonts w:ascii="Arial" w:hAnsi="Arial"/>
          <w:i/>
          <w:color w:val="000000" w:themeColor="text1"/>
        </w:rPr>
        <w:t xml:space="preserve">another v </w:t>
      </w:r>
      <w:r w:rsidR="008A316E">
        <w:rPr>
          <w:rFonts w:ascii="Arial" w:hAnsi="Arial"/>
          <w:i/>
          <w:color w:val="000000" w:themeColor="text1"/>
        </w:rPr>
        <w:t>C</w:t>
      </w:r>
      <w:r w:rsidR="008A316E" w:rsidRPr="008A316E">
        <w:rPr>
          <w:rFonts w:ascii="Arial" w:hAnsi="Arial"/>
          <w:i/>
          <w:color w:val="000000" w:themeColor="text1"/>
        </w:rPr>
        <w:t xml:space="preserve">aterplus </w:t>
      </w:r>
      <w:r w:rsidR="008A316E">
        <w:rPr>
          <w:rFonts w:ascii="Arial" w:hAnsi="Arial"/>
          <w:i/>
          <w:color w:val="000000" w:themeColor="text1"/>
        </w:rPr>
        <w:t>N</w:t>
      </w:r>
      <w:r w:rsidR="008A316E" w:rsidRPr="008A316E">
        <w:rPr>
          <w:rFonts w:ascii="Arial" w:hAnsi="Arial"/>
          <w:i/>
          <w:color w:val="000000" w:themeColor="text1"/>
        </w:rPr>
        <w:t>amibia (</w:t>
      </w:r>
      <w:r w:rsidR="008A316E">
        <w:rPr>
          <w:rFonts w:ascii="Arial" w:hAnsi="Arial"/>
          <w:i/>
          <w:color w:val="000000" w:themeColor="text1"/>
        </w:rPr>
        <w:t>Pty) L</w:t>
      </w:r>
      <w:r w:rsidR="008A316E" w:rsidRPr="008A316E">
        <w:rPr>
          <w:rFonts w:ascii="Arial" w:hAnsi="Arial"/>
          <w:i/>
          <w:color w:val="000000" w:themeColor="text1"/>
        </w:rPr>
        <w:t xml:space="preserve">td t/a </w:t>
      </w:r>
      <w:r w:rsidR="008A316E">
        <w:rPr>
          <w:rFonts w:ascii="Arial" w:hAnsi="Arial"/>
          <w:i/>
          <w:color w:val="000000" w:themeColor="text1"/>
        </w:rPr>
        <w:t>B</w:t>
      </w:r>
      <w:r w:rsidR="008A316E" w:rsidRPr="008A316E">
        <w:rPr>
          <w:rFonts w:ascii="Arial" w:hAnsi="Arial"/>
          <w:i/>
          <w:color w:val="000000" w:themeColor="text1"/>
        </w:rPr>
        <w:t xml:space="preserve">lue </w:t>
      </w:r>
      <w:r w:rsidR="008A316E">
        <w:rPr>
          <w:rFonts w:ascii="Arial" w:hAnsi="Arial"/>
          <w:i/>
          <w:color w:val="000000" w:themeColor="text1"/>
        </w:rPr>
        <w:t>M</w:t>
      </w:r>
      <w:r w:rsidR="008A316E" w:rsidRPr="008A316E">
        <w:rPr>
          <w:rFonts w:ascii="Arial" w:hAnsi="Arial"/>
          <w:i/>
          <w:color w:val="000000" w:themeColor="text1"/>
        </w:rPr>
        <w:t xml:space="preserve">arine </w:t>
      </w:r>
      <w:r w:rsidR="008A316E">
        <w:rPr>
          <w:rFonts w:ascii="Arial" w:hAnsi="Arial"/>
          <w:i/>
          <w:color w:val="000000" w:themeColor="text1"/>
        </w:rPr>
        <w:t>I</w:t>
      </w:r>
      <w:r w:rsidR="008A316E" w:rsidRPr="008A316E">
        <w:rPr>
          <w:rFonts w:ascii="Arial" w:hAnsi="Arial"/>
          <w:i/>
          <w:color w:val="000000" w:themeColor="text1"/>
        </w:rPr>
        <w:t>nterfish</w:t>
      </w:r>
      <w:r>
        <w:rPr>
          <w:rFonts w:ascii="Arial" w:hAnsi="Arial"/>
          <w:color w:val="000000" w:themeColor="text1"/>
        </w:rPr>
        <w:t>,</w:t>
      </w:r>
      <w:r w:rsidR="00424943">
        <w:rPr>
          <w:rStyle w:val="FootnoteReference"/>
          <w:rFonts w:ascii="Arial" w:hAnsi="Arial"/>
          <w:color w:val="000000" w:themeColor="text1"/>
        </w:rPr>
        <w:footnoteReference w:id="4"/>
      </w:r>
      <w:r>
        <w:rPr>
          <w:rFonts w:ascii="Arial" w:hAnsi="Arial"/>
          <w:color w:val="000000" w:themeColor="text1"/>
        </w:rPr>
        <w:t xml:space="preserve"> </w:t>
      </w:r>
      <w:r w:rsidR="005662C8">
        <w:rPr>
          <w:rFonts w:ascii="Arial" w:hAnsi="Arial"/>
          <w:color w:val="000000" w:themeColor="text1"/>
        </w:rPr>
        <w:t>writing for the court,</w:t>
      </w:r>
      <w:r w:rsidR="00697475">
        <w:rPr>
          <w:rFonts w:ascii="Arial" w:hAnsi="Arial"/>
          <w:color w:val="000000" w:themeColor="text1"/>
        </w:rPr>
        <w:t xml:space="preserve"> Damaseb</w:t>
      </w:r>
      <w:r w:rsidR="00C0233F">
        <w:rPr>
          <w:rFonts w:ascii="Arial" w:hAnsi="Arial"/>
          <w:color w:val="000000" w:themeColor="text1"/>
        </w:rPr>
        <w:t xml:space="preserve"> DCJ</w:t>
      </w:r>
      <w:r w:rsidR="00697475">
        <w:rPr>
          <w:rFonts w:ascii="Arial" w:hAnsi="Arial"/>
          <w:color w:val="000000" w:themeColor="text1"/>
        </w:rPr>
        <w:t xml:space="preserve"> </w:t>
      </w:r>
      <w:r w:rsidR="005662C8">
        <w:rPr>
          <w:rFonts w:ascii="Arial" w:hAnsi="Arial"/>
          <w:color w:val="000000" w:themeColor="text1"/>
        </w:rPr>
        <w:t xml:space="preserve">observed </w:t>
      </w:r>
      <w:r w:rsidR="008A316E">
        <w:rPr>
          <w:rFonts w:ascii="Arial" w:hAnsi="Arial"/>
          <w:color w:val="000000" w:themeColor="text1"/>
        </w:rPr>
        <w:t xml:space="preserve">that </w:t>
      </w:r>
      <w:r w:rsidR="00412DB5">
        <w:rPr>
          <w:rFonts w:ascii="Arial" w:hAnsi="Arial"/>
          <w:color w:val="000000" w:themeColor="text1"/>
        </w:rPr>
        <w:t xml:space="preserve">there had been </w:t>
      </w:r>
      <w:r w:rsidR="008A316E" w:rsidRPr="008A316E">
        <w:rPr>
          <w:rFonts w:ascii="Arial" w:hAnsi="Arial"/>
          <w:color w:val="000000" w:themeColor="text1"/>
        </w:rPr>
        <w:t xml:space="preserve">a long line of cases predating Namibia's </w:t>
      </w:r>
      <w:r w:rsidR="005662C8">
        <w:rPr>
          <w:rFonts w:ascii="Arial" w:hAnsi="Arial"/>
          <w:color w:val="000000" w:themeColor="text1"/>
        </w:rPr>
        <w:t>I</w:t>
      </w:r>
      <w:r w:rsidR="008A316E" w:rsidRPr="008A316E">
        <w:rPr>
          <w:rFonts w:ascii="Arial" w:hAnsi="Arial"/>
          <w:color w:val="000000" w:themeColor="text1"/>
        </w:rPr>
        <w:t xml:space="preserve">ndependence </w:t>
      </w:r>
      <w:r w:rsidR="00866680" w:rsidRPr="008A316E">
        <w:rPr>
          <w:rFonts w:ascii="Arial" w:hAnsi="Arial"/>
          <w:color w:val="000000" w:themeColor="text1"/>
        </w:rPr>
        <w:t xml:space="preserve">where </w:t>
      </w:r>
      <w:r w:rsidR="00866680">
        <w:rPr>
          <w:rFonts w:ascii="Arial" w:hAnsi="Arial"/>
          <w:color w:val="000000" w:themeColor="text1"/>
        </w:rPr>
        <w:t>a</w:t>
      </w:r>
      <w:r w:rsidR="00866680" w:rsidRPr="008A316E">
        <w:rPr>
          <w:rFonts w:ascii="Arial" w:hAnsi="Arial"/>
          <w:color w:val="000000" w:themeColor="text1"/>
        </w:rPr>
        <w:t xml:space="preserve"> pleading was successfully excepted to</w:t>
      </w:r>
      <w:r w:rsidR="00866680">
        <w:rPr>
          <w:rFonts w:ascii="Arial" w:hAnsi="Arial"/>
          <w:color w:val="000000" w:themeColor="text1"/>
        </w:rPr>
        <w:t xml:space="preserve"> on the basis that it </w:t>
      </w:r>
      <w:r w:rsidR="00866680">
        <w:rPr>
          <w:rFonts w:ascii="Arial" w:hAnsi="Arial"/>
          <w:color w:val="000000" w:themeColor="text1"/>
        </w:rPr>
        <w:lastRenderedPageBreak/>
        <w:t>did not disclose a cause of action</w:t>
      </w:r>
      <w:r w:rsidR="00412DB5">
        <w:rPr>
          <w:rFonts w:ascii="Arial" w:hAnsi="Arial"/>
          <w:color w:val="000000" w:themeColor="text1"/>
        </w:rPr>
        <w:t>. He note</w:t>
      </w:r>
      <w:r w:rsidR="00917399">
        <w:rPr>
          <w:rFonts w:ascii="Arial" w:hAnsi="Arial"/>
          <w:color w:val="000000" w:themeColor="text1"/>
        </w:rPr>
        <w:t>d</w:t>
      </w:r>
      <w:r w:rsidR="00412DB5">
        <w:rPr>
          <w:rFonts w:ascii="Arial" w:hAnsi="Arial"/>
          <w:color w:val="000000" w:themeColor="text1"/>
        </w:rPr>
        <w:t xml:space="preserve"> that</w:t>
      </w:r>
      <w:r w:rsidR="00866680">
        <w:rPr>
          <w:rFonts w:ascii="Arial" w:hAnsi="Arial"/>
          <w:color w:val="000000" w:themeColor="text1"/>
        </w:rPr>
        <w:t xml:space="preserve"> </w:t>
      </w:r>
      <w:r w:rsidR="008A316E" w:rsidRPr="008A316E">
        <w:rPr>
          <w:rFonts w:ascii="Arial" w:hAnsi="Arial"/>
          <w:color w:val="000000" w:themeColor="text1"/>
        </w:rPr>
        <w:t xml:space="preserve">the practice of the </w:t>
      </w:r>
      <w:r w:rsidR="005662C8">
        <w:rPr>
          <w:rFonts w:ascii="Arial" w:hAnsi="Arial"/>
          <w:color w:val="000000" w:themeColor="text1"/>
        </w:rPr>
        <w:t xml:space="preserve">South African </w:t>
      </w:r>
      <w:r w:rsidR="008A316E" w:rsidRPr="008A316E">
        <w:rPr>
          <w:rFonts w:ascii="Arial" w:hAnsi="Arial"/>
          <w:color w:val="000000" w:themeColor="text1"/>
        </w:rPr>
        <w:t>courts (of which the South West Africa Division was part)</w:t>
      </w:r>
      <w:r w:rsidR="005662C8">
        <w:rPr>
          <w:rFonts w:ascii="Arial" w:hAnsi="Arial"/>
          <w:color w:val="000000" w:themeColor="text1"/>
        </w:rPr>
        <w:t>,</w:t>
      </w:r>
      <w:r w:rsidR="008A316E" w:rsidRPr="008A316E">
        <w:rPr>
          <w:rFonts w:ascii="Arial" w:hAnsi="Arial"/>
          <w:color w:val="000000" w:themeColor="text1"/>
        </w:rPr>
        <w:t xml:space="preserve"> was to </w:t>
      </w:r>
      <w:r w:rsidR="00866680">
        <w:rPr>
          <w:rFonts w:ascii="Arial" w:hAnsi="Arial"/>
          <w:color w:val="000000" w:themeColor="text1"/>
        </w:rPr>
        <w:t>grant</w:t>
      </w:r>
      <w:r w:rsidR="008A316E" w:rsidRPr="008A316E">
        <w:rPr>
          <w:rFonts w:ascii="Arial" w:hAnsi="Arial"/>
          <w:color w:val="000000" w:themeColor="text1"/>
        </w:rPr>
        <w:t xml:space="preserve"> the </w:t>
      </w:r>
      <w:r w:rsidR="00917399">
        <w:rPr>
          <w:rFonts w:ascii="Arial" w:hAnsi="Arial"/>
          <w:color w:val="000000" w:themeColor="text1"/>
        </w:rPr>
        <w:t xml:space="preserve">unsuccessful </w:t>
      </w:r>
      <w:r w:rsidR="008A316E" w:rsidRPr="008A316E">
        <w:rPr>
          <w:rFonts w:ascii="Arial" w:hAnsi="Arial"/>
          <w:color w:val="000000" w:themeColor="text1"/>
        </w:rPr>
        <w:t xml:space="preserve">party </w:t>
      </w:r>
      <w:r w:rsidR="00917399">
        <w:rPr>
          <w:rFonts w:ascii="Arial" w:hAnsi="Arial"/>
          <w:color w:val="000000" w:themeColor="text1"/>
        </w:rPr>
        <w:t xml:space="preserve">in the exception </w:t>
      </w:r>
      <w:r w:rsidR="00866680">
        <w:rPr>
          <w:rFonts w:ascii="Arial" w:hAnsi="Arial"/>
          <w:color w:val="000000" w:themeColor="text1"/>
        </w:rPr>
        <w:t xml:space="preserve">leave </w:t>
      </w:r>
      <w:r w:rsidR="008A316E" w:rsidRPr="008A316E">
        <w:rPr>
          <w:rFonts w:ascii="Arial" w:hAnsi="Arial"/>
          <w:color w:val="000000" w:themeColor="text1"/>
        </w:rPr>
        <w:t xml:space="preserve">to </w:t>
      </w:r>
      <w:r w:rsidR="00866680">
        <w:rPr>
          <w:rFonts w:ascii="Arial" w:hAnsi="Arial"/>
          <w:color w:val="000000" w:themeColor="text1"/>
        </w:rPr>
        <w:t xml:space="preserve">file an </w:t>
      </w:r>
      <w:r w:rsidR="008A316E" w:rsidRPr="008A316E">
        <w:rPr>
          <w:rFonts w:ascii="Arial" w:hAnsi="Arial"/>
          <w:color w:val="000000" w:themeColor="text1"/>
        </w:rPr>
        <w:t>amend</w:t>
      </w:r>
      <w:r w:rsidR="00866680">
        <w:rPr>
          <w:rFonts w:ascii="Arial" w:hAnsi="Arial"/>
          <w:color w:val="000000" w:themeColor="text1"/>
        </w:rPr>
        <w:t>ed pleading</w:t>
      </w:r>
      <w:r w:rsidR="008A316E" w:rsidRPr="008A316E">
        <w:rPr>
          <w:rFonts w:ascii="Arial" w:hAnsi="Arial"/>
          <w:color w:val="000000" w:themeColor="text1"/>
        </w:rPr>
        <w:t>.</w:t>
      </w:r>
      <w:r w:rsidR="008A316E">
        <w:rPr>
          <w:rFonts w:ascii="Arial" w:hAnsi="Arial"/>
          <w:color w:val="000000" w:themeColor="text1"/>
        </w:rPr>
        <w:t xml:space="preserve"> </w:t>
      </w:r>
    </w:p>
    <w:p w14:paraId="17DE9CE2" w14:textId="77777777" w:rsidR="004D4B20" w:rsidRPr="001151E7" w:rsidRDefault="004D4B20" w:rsidP="000476ED">
      <w:pPr>
        <w:pStyle w:val="ListParagraph"/>
        <w:spacing w:line="480" w:lineRule="auto"/>
        <w:rPr>
          <w:rFonts w:ascii="Arial" w:hAnsi="Arial"/>
          <w:color w:val="000000" w:themeColor="text1"/>
        </w:rPr>
      </w:pPr>
    </w:p>
    <w:p w14:paraId="1C9007E0" w14:textId="6E85AADF" w:rsidR="00D453D1" w:rsidRDefault="00424943" w:rsidP="000476ED">
      <w:pPr>
        <w:pStyle w:val="ListParagraph"/>
        <w:numPr>
          <w:ilvl w:val="0"/>
          <w:numId w:val="1"/>
        </w:numPr>
        <w:spacing w:line="480" w:lineRule="auto"/>
        <w:jc w:val="both"/>
        <w:rPr>
          <w:rFonts w:ascii="Arial" w:hAnsi="Arial"/>
          <w:color w:val="000000" w:themeColor="text1"/>
        </w:rPr>
      </w:pPr>
      <w:r>
        <w:rPr>
          <w:rFonts w:ascii="Arial" w:hAnsi="Arial"/>
          <w:color w:val="000000" w:themeColor="text1"/>
        </w:rPr>
        <w:t xml:space="preserve">The </w:t>
      </w:r>
      <w:r w:rsidR="00F74E82">
        <w:rPr>
          <w:rFonts w:ascii="Arial" w:hAnsi="Arial"/>
          <w:color w:val="000000" w:themeColor="text1"/>
        </w:rPr>
        <w:t>D</w:t>
      </w:r>
      <w:r w:rsidR="00F74E82" w:rsidRPr="00F74E82">
        <w:rPr>
          <w:rFonts w:ascii="Arial" w:hAnsi="Arial"/>
          <w:color w:val="000000" w:themeColor="text1"/>
        </w:rPr>
        <w:t xml:space="preserve">eputy </w:t>
      </w:r>
      <w:r w:rsidR="00F74E82">
        <w:rPr>
          <w:rFonts w:ascii="Arial" w:hAnsi="Arial"/>
          <w:color w:val="000000" w:themeColor="text1"/>
        </w:rPr>
        <w:t>C</w:t>
      </w:r>
      <w:r w:rsidR="00F74E82" w:rsidRPr="00F74E82">
        <w:rPr>
          <w:rFonts w:ascii="Arial" w:hAnsi="Arial"/>
          <w:color w:val="000000" w:themeColor="text1"/>
        </w:rPr>
        <w:t>hief Justice</w:t>
      </w:r>
      <w:r>
        <w:rPr>
          <w:rFonts w:ascii="Arial" w:hAnsi="Arial"/>
          <w:color w:val="000000" w:themeColor="text1"/>
        </w:rPr>
        <w:t xml:space="preserve"> concluded </w:t>
      </w:r>
      <w:r w:rsidRPr="00424943">
        <w:rPr>
          <w:rFonts w:ascii="Arial" w:hAnsi="Arial"/>
          <w:color w:val="000000" w:themeColor="text1"/>
        </w:rPr>
        <w:t xml:space="preserve">that </w:t>
      </w:r>
      <w:r w:rsidR="005662C8">
        <w:rPr>
          <w:rFonts w:ascii="Arial" w:hAnsi="Arial"/>
          <w:color w:val="000000" w:themeColor="text1"/>
        </w:rPr>
        <w:t>in th</w:t>
      </w:r>
      <w:r w:rsidR="00412DB5">
        <w:rPr>
          <w:rFonts w:ascii="Arial" w:hAnsi="Arial"/>
          <w:color w:val="000000" w:themeColor="text1"/>
        </w:rPr>
        <w:t>e</w:t>
      </w:r>
      <w:r w:rsidR="005662C8">
        <w:rPr>
          <w:rFonts w:ascii="Arial" w:hAnsi="Arial"/>
          <w:color w:val="000000" w:themeColor="text1"/>
        </w:rPr>
        <w:t xml:space="preserve"> case</w:t>
      </w:r>
      <w:r w:rsidR="00412DB5">
        <w:rPr>
          <w:rFonts w:ascii="Arial" w:hAnsi="Arial"/>
          <w:color w:val="000000" w:themeColor="text1"/>
        </w:rPr>
        <w:t xml:space="preserve"> before the court</w:t>
      </w:r>
      <w:r w:rsidR="00866680">
        <w:rPr>
          <w:rFonts w:ascii="Arial" w:hAnsi="Arial"/>
          <w:color w:val="000000" w:themeColor="text1"/>
        </w:rPr>
        <w:t>,</w:t>
      </w:r>
      <w:r w:rsidR="005662C8">
        <w:rPr>
          <w:rFonts w:ascii="Arial" w:hAnsi="Arial"/>
          <w:color w:val="000000" w:themeColor="text1"/>
        </w:rPr>
        <w:t xml:space="preserve"> </w:t>
      </w:r>
      <w:r w:rsidRPr="00424943">
        <w:rPr>
          <w:rFonts w:ascii="Arial" w:hAnsi="Arial"/>
          <w:color w:val="000000" w:themeColor="text1"/>
        </w:rPr>
        <w:t xml:space="preserve">the </w:t>
      </w:r>
      <w:r w:rsidR="00412DB5">
        <w:rPr>
          <w:rFonts w:ascii="Arial" w:hAnsi="Arial"/>
          <w:color w:val="000000" w:themeColor="text1"/>
        </w:rPr>
        <w:t>High C</w:t>
      </w:r>
      <w:r w:rsidRPr="00424943">
        <w:rPr>
          <w:rFonts w:ascii="Arial" w:hAnsi="Arial"/>
          <w:color w:val="000000" w:themeColor="text1"/>
        </w:rPr>
        <w:t xml:space="preserve">ourt </w:t>
      </w:r>
      <w:r w:rsidR="00412DB5">
        <w:rPr>
          <w:rFonts w:ascii="Arial" w:hAnsi="Arial"/>
          <w:color w:val="000000" w:themeColor="text1"/>
        </w:rPr>
        <w:t xml:space="preserve">had </w:t>
      </w:r>
      <w:r w:rsidRPr="00424943">
        <w:rPr>
          <w:rFonts w:ascii="Arial" w:hAnsi="Arial"/>
          <w:color w:val="000000" w:themeColor="text1"/>
        </w:rPr>
        <w:t xml:space="preserve">misdirected itself in not following the </w:t>
      </w:r>
      <w:r w:rsidR="005662C8">
        <w:rPr>
          <w:rFonts w:ascii="Arial" w:hAnsi="Arial"/>
          <w:color w:val="000000" w:themeColor="text1"/>
        </w:rPr>
        <w:t>‘</w:t>
      </w:r>
      <w:r w:rsidRPr="00424943">
        <w:rPr>
          <w:rFonts w:ascii="Arial" w:hAnsi="Arial"/>
          <w:color w:val="000000" w:themeColor="text1"/>
        </w:rPr>
        <w:t>invariable practice</w:t>
      </w:r>
      <w:r w:rsidR="005662C8">
        <w:rPr>
          <w:rFonts w:ascii="Arial" w:hAnsi="Arial"/>
          <w:color w:val="000000" w:themeColor="text1"/>
        </w:rPr>
        <w:t>’</w:t>
      </w:r>
      <w:r w:rsidRPr="00424943">
        <w:rPr>
          <w:rFonts w:ascii="Arial" w:hAnsi="Arial"/>
          <w:color w:val="000000" w:themeColor="text1"/>
        </w:rPr>
        <w:t xml:space="preserve"> of allowing the defendants the opportunity to amend the counterclaim, if so advised.</w:t>
      </w:r>
      <w:r>
        <w:rPr>
          <w:rFonts w:ascii="Arial" w:hAnsi="Arial"/>
          <w:color w:val="000000" w:themeColor="text1"/>
        </w:rPr>
        <w:t xml:space="preserve"> </w:t>
      </w:r>
      <w:r w:rsidR="00283FAF">
        <w:rPr>
          <w:rFonts w:ascii="Arial" w:hAnsi="Arial"/>
          <w:color w:val="000000" w:themeColor="text1"/>
        </w:rPr>
        <w:t>The learned Deputy Chief Justice</w:t>
      </w:r>
      <w:r w:rsidR="00412DB5">
        <w:rPr>
          <w:rFonts w:ascii="Arial" w:hAnsi="Arial"/>
          <w:color w:val="000000" w:themeColor="text1"/>
        </w:rPr>
        <w:t xml:space="preserve"> relied for this conclusion</w:t>
      </w:r>
      <w:r w:rsidR="00CD0203">
        <w:rPr>
          <w:rFonts w:ascii="Arial" w:hAnsi="Arial"/>
          <w:color w:val="000000" w:themeColor="text1"/>
        </w:rPr>
        <w:t>, amongst others,</w:t>
      </w:r>
      <w:r w:rsidR="00412DB5">
        <w:rPr>
          <w:rFonts w:ascii="Arial" w:hAnsi="Arial"/>
          <w:color w:val="000000" w:themeColor="text1"/>
        </w:rPr>
        <w:t xml:space="preserve"> on</w:t>
      </w:r>
      <w:r w:rsidR="002A73EA">
        <w:rPr>
          <w:rFonts w:ascii="Arial" w:hAnsi="Arial"/>
          <w:color w:val="000000" w:themeColor="text1"/>
        </w:rPr>
        <w:t xml:space="preserve"> </w:t>
      </w:r>
      <w:r w:rsidR="00D453D1">
        <w:rPr>
          <w:rFonts w:ascii="Arial" w:hAnsi="Arial"/>
          <w:i/>
          <w:color w:val="000000" w:themeColor="text1"/>
        </w:rPr>
        <w:t>T</w:t>
      </w:r>
      <w:r w:rsidR="00D453D1" w:rsidRPr="00D453D1">
        <w:rPr>
          <w:rFonts w:ascii="Arial" w:hAnsi="Arial"/>
          <w:i/>
          <w:color w:val="000000" w:themeColor="text1"/>
        </w:rPr>
        <w:t xml:space="preserve">otal </w:t>
      </w:r>
      <w:r w:rsidR="00D453D1">
        <w:rPr>
          <w:rFonts w:ascii="Arial" w:hAnsi="Arial"/>
          <w:i/>
          <w:color w:val="000000" w:themeColor="text1"/>
        </w:rPr>
        <w:t>N</w:t>
      </w:r>
      <w:r w:rsidR="00D453D1" w:rsidRPr="00D453D1">
        <w:rPr>
          <w:rFonts w:ascii="Arial" w:hAnsi="Arial"/>
          <w:i/>
          <w:color w:val="000000" w:themeColor="text1"/>
        </w:rPr>
        <w:t>amibia (</w:t>
      </w:r>
      <w:r w:rsidR="00D453D1">
        <w:rPr>
          <w:rFonts w:ascii="Arial" w:hAnsi="Arial"/>
          <w:i/>
          <w:color w:val="000000" w:themeColor="text1"/>
        </w:rPr>
        <w:t>Pty) L</w:t>
      </w:r>
      <w:r w:rsidR="00D453D1" w:rsidRPr="00D453D1">
        <w:rPr>
          <w:rFonts w:ascii="Arial" w:hAnsi="Arial"/>
          <w:i/>
          <w:color w:val="000000" w:themeColor="text1"/>
        </w:rPr>
        <w:t xml:space="preserve">td v </w:t>
      </w:r>
      <w:r w:rsidR="00D453D1">
        <w:rPr>
          <w:rFonts w:ascii="Arial" w:hAnsi="Arial"/>
          <w:i/>
          <w:color w:val="000000" w:themeColor="text1"/>
        </w:rPr>
        <w:t>V</w:t>
      </w:r>
      <w:r w:rsidR="00D453D1" w:rsidRPr="00D453D1">
        <w:rPr>
          <w:rFonts w:ascii="Arial" w:hAnsi="Arial"/>
          <w:i/>
          <w:color w:val="000000" w:themeColor="text1"/>
        </w:rPr>
        <w:t xml:space="preserve">an der </w:t>
      </w:r>
      <w:r w:rsidR="00D453D1">
        <w:rPr>
          <w:rFonts w:ascii="Arial" w:hAnsi="Arial"/>
          <w:i/>
          <w:color w:val="000000" w:themeColor="text1"/>
        </w:rPr>
        <w:t>M</w:t>
      </w:r>
      <w:r w:rsidR="00D453D1" w:rsidRPr="00D453D1">
        <w:rPr>
          <w:rFonts w:ascii="Arial" w:hAnsi="Arial"/>
          <w:i/>
          <w:color w:val="000000" w:themeColor="text1"/>
        </w:rPr>
        <w:t xml:space="preserve">erwe t/a </w:t>
      </w:r>
      <w:r w:rsidR="00D453D1">
        <w:rPr>
          <w:rFonts w:ascii="Arial" w:hAnsi="Arial"/>
          <w:i/>
          <w:color w:val="000000" w:themeColor="text1"/>
        </w:rPr>
        <w:t>Ampies M</w:t>
      </w:r>
      <w:r w:rsidR="00D453D1" w:rsidRPr="00D453D1">
        <w:rPr>
          <w:rFonts w:ascii="Arial" w:hAnsi="Arial"/>
          <w:i/>
          <w:color w:val="000000" w:themeColor="text1"/>
        </w:rPr>
        <w:t>otors</w:t>
      </w:r>
      <w:r w:rsidR="00D453D1">
        <w:rPr>
          <w:rFonts w:ascii="Arial" w:hAnsi="Arial"/>
          <w:color w:val="000000" w:themeColor="text1"/>
        </w:rPr>
        <w:t>,</w:t>
      </w:r>
      <w:r w:rsidR="00697475">
        <w:rPr>
          <w:rStyle w:val="FootnoteReference"/>
          <w:rFonts w:ascii="Arial" w:hAnsi="Arial"/>
          <w:color w:val="000000" w:themeColor="text1"/>
        </w:rPr>
        <w:footnoteReference w:id="5"/>
      </w:r>
      <w:r w:rsidR="00D453D1">
        <w:rPr>
          <w:rFonts w:ascii="Arial" w:hAnsi="Arial"/>
          <w:color w:val="000000" w:themeColor="text1"/>
        </w:rPr>
        <w:t xml:space="preserve"> </w:t>
      </w:r>
      <w:r w:rsidR="00412DB5">
        <w:rPr>
          <w:rFonts w:ascii="Arial" w:hAnsi="Arial"/>
          <w:color w:val="000000" w:themeColor="text1"/>
        </w:rPr>
        <w:t xml:space="preserve">where </w:t>
      </w:r>
      <w:r w:rsidR="00C0233F">
        <w:rPr>
          <w:rFonts w:ascii="Arial" w:hAnsi="Arial"/>
          <w:color w:val="000000" w:themeColor="text1"/>
        </w:rPr>
        <w:t xml:space="preserve">Strydom </w:t>
      </w:r>
      <w:r w:rsidR="00D453D1">
        <w:rPr>
          <w:rFonts w:ascii="Arial" w:hAnsi="Arial"/>
          <w:color w:val="000000" w:themeColor="text1"/>
        </w:rPr>
        <w:t>J</w:t>
      </w:r>
      <w:r w:rsidR="00C0233F">
        <w:rPr>
          <w:rFonts w:ascii="Arial" w:hAnsi="Arial"/>
          <w:color w:val="000000" w:themeColor="text1"/>
        </w:rPr>
        <w:t>P</w:t>
      </w:r>
      <w:r w:rsidR="00412DB5">
        <w:rPr>
          <w:rFonts w:ascii="Arial" w:hAnsi="Arial"/>
          <w:color w:val="000000" w:themeColor="text1"/>
        </w:rPr>
        <w:t xml:space="preserve"> in that case, in turn</w:t>
      </w:r>
      <w:r w:rsidR="00C0233F">
        <w:rPr>
          <w:rFonts w:ascii="Arial" w:hAnsi="Arial"/>
          <w:color w:val="000000" w:themeColor="text1"/>
        </w:rPr>
        <w:t xml:space="preserve"> </w:t>
      </w:r>
      <w:r w:rsidR="00D453D1">
        <w:rPr>
          <w:rFonts w:ascii="Arial" w:hAnsi="Arial"/>
          <w:color w:val="000000" w:themeColor="text1"/>
        </w:rPr>
        <w:t>re</w:t>
      </w:r>
      <w:r w:rsidR="00DC4E5D">
        <w:rPr>
          <w:rFonts w:ascii="Arial" w:hAnsi="Arial"/>
          <w:color w:val="000000" w:themeColor="text1"/>
        </w:rPr>
        <w:t>l</w:t>
      </w:r>
      <w:r w:rsidR="00412DB5">
        <w:rPr>
          <w:rFonts w:ascii="Arial" w:hAnsi="Arial"/>
          <w:color w:val="000000" w:themeColor="text1"/>
        </w:rPr>
        <w:t>ying</w:t>
      </w:r>
      <w:r w:rsidR="00DC4E5D">
        <w:rPr>
          <w:rFonts w:ascii="Arial" w:hAnsi="Arial"/>
          <w:color w:val="000000" w:themeColor="text1"/>
        </w:rPr>
        <w:t xml:space="preserve"> </w:t>
      </w:r>
      <w:r w:rsidR="00D453D1">
        <w:rPr>
          <w:rFonts w:ascii="Arial" w:hAnsi="Arial"/>
          <w:color w:val="000000" w:themeColor="text1"/>
        </w:rPr>
        <w:t>o</w:t>
      </w:r>
      <w:r w:rsidR="00DC4E5D">
        <w:rPr>
          <w:rFonts w:ascii="Arial" w:hAnsi="Arial"/>
          <w:color w:val="000000" w:themeColor="text1"/>
        </w:rPr>
        <w:t>n</w:t>
      </w:r>
      <w:r w:rsidR="00D453D1">
        <w:rPr>
          <w:rFonts w:ascii="Arial" w:hAnsi="Arial"/>
          <w:color w:val="000000" w:themeColor="text1"/>
        </w:rPr>
        <w:t xml:space="preserve"> decisions of </w:t>
      </w:r>
      <w:r w:rsidR="00DD6A8D">
        <w:rPr>
          <w:rFonts w:ascii="Arial" w:hAnsi="Arial"/>
          <w:color w:val="000000" w:themeColor="text1"/>
        </w:rPr>
        <w:t xml:space="preserve">the </w:t>
      </w:r>
      <w:r w:rsidR="00D453D1">
        <w:rPr>
          <w:rFonts w:ascii="Arial" w:hAnsi="Arial"/>
          <w:color w:val="000000" w:themeColor="text1"/>
        </w:rPr>
        <w:t xml:space="preserve">South African </w:t>
      </w:r>
      <w:r w:rsidR="00DD6A8D">
        <w:rPr>
          <w:rFonts w:ascii="Arial" w:hAnsi="Arial"/>
          <w:color w:val="000000" w:themeColor="text1"/>
        </w:rPr>
        <w:t>Appellate Division</w:t>
      </w:r>
      <w:r w:rsidR="00CE632F">
        <w:rPr>
          <w:rFonts w:ascii="Arial" w:hAnsi="Arial"/>
          <w:color w:val="000000" w:themeColor="text1"/>
        </w:rPr>
        <w:t>,</w:t>
      </w:r>
      <w:r w:rsidR="00D453D1">
        <w:rPr>
          <w:rStyle w:val="FootnoteReference"/>
          <w:rFonts w:ascii="Arial" w:hAnsi="Arial"/>
          <w:color w:val="000000" w:themeColor="text1"/>
        </w:rPr>
        <w:footnoteReference w:id="6"/>
      </w:r>
      <w:r w:rsidR="00D453D1">
        <w:rPr>
          <w:rFonts w:ascii="Arial" w:hAnsi="Arial"/>
          <w:color w:val="000000" w:themeColor="text1"/>
        </w:rPr>
        <w:t xml:space="preserve"> held that in exceptions on the basis </w:t>
      </w:r>
      <w:r w:rsidR="00D453D1" w:rsidRPr="00D453D1">
        <w:rPr>
          <w:rFonts w:ascii="Arial" w:hAnsi="Arial"/>
          <w:color w:val="000000" w:themeColor="text1"/>
        </w:rPr>
        <w:t>that the pleadings d</w:t>
      </w:r>
      <w:r w:rsidR="005662C8">
        <w:rPr>
          <w:rFonts w:ascii="Arial" w:hAnsi="Arial"/>
          <w:color w:val="000000" w:themeColor="text1"/>
        </w:rPr>
        <w:t>id</w:t>
      </w:r>
      <w:r w:rsidR="00D453D1" w:rsidRPr="00D453D1">
        <w:rPr>
          <w:rFonts w:ascii="Arial" w:hAnsi="Arial"/>
          <w:color w:val="000000" w:themeColor="text1"/>
        </w:rPr>
        <w:t xml:space="preserve"> not disclose a cause of action</w:t>
      </w:r>
      <w:r w:rsidR="005662C8">
        <w:rPr>
          <w:rFonts w:ascii="Arial" w:hAnsi="Arial"/>
          <w:color w:val="000000" w:themeColor="text1"/>
        </w:rPr>
        <w:t>,</w:t>
      </w:r>
      <w:r w:rsidR="00D453D1" w:rsidRPr="00D453D1">
        <w:rPr>
          <w:rFonts w:ascii="Arial" w:hAnsi="Arial"/>
          <w:color w:val="000000" w:themeColor="text1"/>
        </w:rPr>
        <w:t xml:space="preserve"> </w:t>
      </w:r>
      <w:r w:rsidR="00DC4E5D">
        <w:rPr>
          <w:rFonts w:ascii="Arial" w:hAnsi="Arial"/>
          <w:color w:val="000000" w:themeColor="text1"/>
        </w:rPr>
        <w:t>a</w:t>
      </w:r>
      <w:r w:rsidR="00D453D1" w:rsidRPr="00D453D1">
        <w:rPr>
          <w:rFonts w:ascii="Arial" w:hAnsi="Arial"/>
          <w:color w:val="000000" w:themeColor="text1"/>
        </w:rPr>
        <w:t xml:space="preserve"> </w:t>
      </w:r>
      <w:r w:rsidR="00DD6A8D">
        <w:rPr>
          <w:rFonts w:ascii="Arial" w:hAnsi="Arial"/>
          <w:color w:val="000000" w:themeColor="text1"/>
        </w:rPr>
        <w:t>c</w:t>
      </w:r>
      <w:r w:rsidR="00D453D1" w:rsidRPr="00D453D1">
        <w:rPr>
          <w:rFonts w:ascii="Arial" w:hAnsi="Arial"/>
          <w:color w:val="000000" w:themeColor="text1"/>
        </w:rPr>
        <w:t>ourt should set aside the pleadings and not dismiss the action</w:t>
      </w:r>
      <w:r w:rsidR="00D453D1">
        <w:rPr>
          <w:rFonts w:ascii="Arial" w:hAnsi="Arial"/>
          <w:color w:val="000000" w:themeColor="text1"/>
        </w:rPr>
        <w:t xml:space="preserve">. </w:t>
      </w:r>
    </w:p>
    <w:p w14:paraId="5C8AE2A8" w14:textId="77777777" w:rsidR="00161321" w:rsidRPr="00161321" w:rsidRDefault="00161321" w:rsidP="000476ED">
      <w:pPr>
        <w:pStyle w:val="ListParagraph"/>
        <w:spacing w:line="480" w:lineRule="auto"/>
        <w:rPr>
          <w:rFonts w:ascii="Arial" w:hAnsi="Arial"/>
          <w:color w:val="000000" w:themeColor="text1"/>
        </w:rPr>
      </w:pPr>
    </w:p>
    <w:p w14:paraId="57262F68" w14:textId="230A2F59" w:rsidR="00FF2852" w:rsidRDefault="00161321" w:rsidP="000476ED">
      <w:pPr>
        <w:pStyle w:val="ListParagraph"/>
        <w:numPr>
          <w:ilvl w:val="0"/>
          <w:numId w:val="1"/>
        </w:numPr>
        <w:spacing w:line="480" w:lineRule="auto"/>
        <w:jc w:val="both"/>
        <w:rPr>
          <w:rFonts w:ascii="Arial" w:hAnsi="Arial"/>
          <w:color w:val="000000" w:themeColor="text1"/>
        </w:rPr>
      </w:pPr>
      <w:r w:rsidRPr="00161321">
        <w:rPr>
          <w:rFonts w:ascii="Arial" w:hAnsi="Arial"/>
          <w:color w:val="000000" w:themeColor="text1"/>
        </w:rPr>
        <w:t xml:space="preserve">This </w:t>
      </w:r>
      <w:r w:rsidR="00632AAB">
        <w:rPr>
          <w:rFonts w:ascii="Arial" w:hAnsi="Arial"/>
          <w:color w:val="000000" w:themeColor="text1"/>
        </w:rPr>
        <w:t xml:space="preserve">approach </w:t>
      </w:r>
      <w:r w:rsidRPr="00161321">
        <w:rPr>
          <w:rFonts w:ascii="Arial" w:hAnsi="Arial"/>
          <w:color w:val="000000" w:themeColor="text1"/>
        </w:rPr>
        <w:t xml:space="preserve">was also followed </w:t>
      </w:r>
      <w:r w:rsidR="00632AAB">
        <w:rPr>
          <w:rFonts w:ascii="Arial" w:hAnsi="Arial"/>
          <w:color w:val="000000" w:themeColor="text1"/>
        </w:rPr>
        <w:t xml:space="preserve">by this court </w:t>
      </w:r>
      <w:r w:rsidR="00412DB5">
        <w:rPr>
          <w:rFonts w:ascii="Arial" w:hAnsi="Arial"/>
          <w:color w:val="000000" w:themeColor="text1"/>
        </w:rPr>
        <w:t xml:space="preserve">in the recent past </w:t>
      </w:r>
      <w:r w:rsidRPr="00161321">
        <w:rPr>
          <w:rFonts w:ascii="Arial" w:hAnsi="Arial"/>
          <w:color w:val="000000" w:themeColor="text1"/>
        </w:rPr>
        <w:t xml:space="preserve">in </w:t>
      </w:r>
      <w:r w:rsidRPr="00161321">
        <w:rPr>
          <w:rFonts w:ascii="Arial" w:hAnsi="Arial"/>
          <w:i/>
          <w:color w:val="000000" w:themeColor="text1"/>
        </w:rPr>
        <w:t xml:space="preserve">Joseph </w:t>
      </w:r>
      <w:r w:rsidR="00697475">
        <w:rPr>
          <w:rFonts w:ascii="Arial" w:hAnsi="Arial"/>
          <w:i/>
          <w:color w:val="000000" w:themeColor="text1"/>
        </w:rPr>
        <w:t xml:space="preserve">&amp; </w:t>
      </w:r>
      <w:r w:rsidRPr="00161321">
        <w:rPr>
          <w:rFonts w:ascii="Arial" w:hAnsi="Arial"/>
          <w:i/>
          <w:color w:val="000000" w:themeColor="text1"/>
        </w:rPr>
        <w:t>others v Joseph</w:t>
      </w:r>
      <w:r w:rsidR="00CE632F">
        <w:rPr>
          <w:rFonts w:ascii="Arial" w:hAnsi="Arial"/>
          <w:i/>
          <w:color w:val="000000" w:themeColor="text1"/>
        </w:rPr>
        <w:t>.</w:t>
      </w:r>
      <w:r w:rsidR="00697475">
        <w:rPr>
          <w:rStyle w:val="FootnoteReference"/>
          <w:rFonts w:ascii="Arial" w:hAnsi="Arial"/>
          <w:color w:val="000000" w:themeColor="text1"/>
        </w:rPr>
        <w:footnoteReference w:id="7"/>
      </w:r>
      <w:r w:rsidRPr="00161321">
        <w:rPr>
          <w:rFonts w:ascii="Arial" w:hAnsi="Arial"/>
          <w:color w:val="000000" w:themeColor="text1"/>
        </w:rPr>
        <w:t xml:space="preserve"> </w:t>
      </w:r>
      <w:r w:rsidR="005662C8">
        <w:rPr>
          <w:rFonts w:ascii="Arial" w:hAnsi="Arial"/>
          <w:color w:val="000000" w:themeColor="text1"/>
        </w:rPr>
        <w:t>There can</w:t>
      </w:r>
      <w:r w:rsidR="00283FAF">
        <w:rPr>
          <w:rFonts w:ascii="Arial" w:hAnsi="Arial"/>
          <w:color w:val="000000" w:themeColor="text1"/>
        </w:rPr>
        <w:t>,</w:t>
      </w:r>
      <w:r w:rsidR="005662C8">
        <w:rPr>
          <w:rFonts w:ascii="Arial" w:hAnsi="Arial"/>
          <w:color w:val="000000" w:themeColor="text1"/>
        </w:rPr>
        <w:t xml:space="preserve"> </w:t>
      </w:r>
      <w:r w:rsidR="00DD6A8D">
        <w:rPr>
          <w:rFonts w:ascii="Arial" w:hAnsi="Arial"/>
          <w:color w:val="000000" w:themeColor="text1"/>
        </w:rPr>
        <w:t>therefore</w:t>
      </w:r>
      <w:r w:rsidR="00283FAF">
        <w:rPr>
          <w:rFonts w:ascii="Arial" w:hAnsi="Arial"/>
          <w:color w:val="000000" w:themeColor="text1"/>
        </w:rPr>
        <w:t>,</w:t>
      </w:r>
      <w:r w:rsidR="00DD6A8D">
        <w:rPr>
          <w:rFonts w:ascii="Arial" w:hAnsi="Arial"/>
          <w:color w:val="000000" w:themeColor="text1"/>
        </w:rPr>
        <w:t xml:space="preserve"> </w:t>
      </w:r>
      <w:r w:rsidR="00283FAF">
        <w:rPr>
          <w:rFonts w:ascii="Arial" w:hAnsi="Arial"/>
          <w:color w:val="000000" w:themeColor="text1"/>
        </w:rPr>
        <w:t xml:space="preserve">be </w:t>
      </w:r>
      <w:r w:rsidR="005662C8">
        <w:rPr>
          <w:rFonts w:ascii="Arial" w:hAnsi="Arial"/>
          <w:color w:val="000000" w:themeColor="text1"/>
        </w:rPr>
        <w:t xml:space="preserve">no doubt </w:t>
      </w:r>
      <w:r w:rsidR="00CD0203">
        <w:rPr>
          <w:rFonts w:ascii="Arial" w:hAnsi="Arial"/>
          <w:color w:val="000000" w:themeColor="text1"/>
        </w:rPr>
        <w:t xml:space="preserve">as also observed in </w:t>
      </w:r>
      <w:r w:rsidR="00CD0203" w:rsidRPr="001151E7">
        <w:rPr>
          <w:rFonts w:ascii="Arial" w:hAnsi="Arial"/>
          <w:i/>
          <w:color w:val="000000" w:themeColor="text1"/>
        </w:rPr>
        <w:t>Hallie Investment</w:t>
      </w:r>
      <w:r w:rsidR="00CD0203">
        <w:rPr>
          <w:rFonts w:ascii="Arial" w:hAnsi="Arial"/>
          <w:color w:val="000000" w:themeColor="text1"/>
        </w:rPr>
        <w:t xml:space="preserve">, </w:t>
      </w:r>
      <w:r w:rsidR="005662C8">
        <w:rPr>
          <w:rFonts w:ascii="Arial" w:hAnsi="Arial"/>
          <w:color w:val="000000" w:themeColor="text1"/>
        </w:rPr>
        <w:t>that th</w:t>
      </w:r>
      <w:r w:rsidR="008E2BAE">
        <w:rPr>
          <w:rFonts w:ascii="Arial" w:hAnsi="Arial"/>
          <w:color w:val="000000" w:themeColor="text1"/>
        </w:rPr>
        <w:t>e</w:t>
      </w:r>
      <w:r w:rsidR="005662C8">
        <w:rPr>
          <w:rFonts w:ascii="Arial" w:hAnsi="Arial"/>
          <w:color w:val="000000" w:themeColor="text1"/>
        </w:rPr>
        <w:t xml:space="preserve"> approach has become </w:t>
      </w:r>
      <w:r w:rsidR="00C27CBB">
        <w:rPr>
          <w:rFonts w:ascii="Arial" w:hAnsi="Arial"/>
          <w:color w:val="000000" w:themeColor="text1"/>
        </w:rPr>
        <w:t xml:space="preserve">an invariable practice of </w:t>
      </w:r>
      <w:r w:rsidR="00632AAB">
        <w:rPr>
          <w:rFonts w:ascii="Arial" w:hAnsi="Arial"/>
          <w:color w:val="000000" w:themeColor="text1"/>
        </w:rPr>
        <w:t xml:space="preserve">the Namibian </w:t>
      </w:r>
      <w:r w:rsidR="00C27CBB">
        <w:rPr>
          <w:rFonts w:ascii="Arial" w:hAnsi="Arial"/>
          <w:color w:val="000000" w:themeColor="text1"/>
        </w:rPr>
        <w:t xml:space="preserve">courts as well. </w:t>
      </w:r>
      <w:r w:rsidR="00632AAB">
        <w:rPr>
          <w:rFonts w:ascii="Arial" w:hAnsi="Arial"/>
          <w:color w:val="000000" w:themeColor="text1"/>
        </w:rPr>
        <w:t>As such, it would have been wrong for the High Court not to have followed t</w:t>
      </w:r>
      <w:r w:rsidR="00CD5425">
        <w:rPr>
          <w:rFonts w:ascii="Arial" w:hAnsi="Arial"/>
          <w:color w:val="000000" w:themeColor="text1"/>
        </w:rPr>
        <w:t>he practice</w:t>
      </w:r>
      <w:r w:rsidR="00632AAB">
        <w:rPr>
          <w:rFonts w:ascii="Arial" w:hAnsi="Arial"/>
          <w:color w:val="000000" w:themeColor="text1"/>
        </w:rPr>
        <w:t xml:space="preserve"> in this case.</w:t>
      </w:r>
    </w:p>
    <w:p w14:paraId="6EF58398" w14:textId="77777777" w:rsidR="00FF2852" w:rsidRPr="00FF2852" w:rsidRDefault="00FF2852" w:rsidP="0019258F">
      <w:pPr>
        <w:pStyle w:val="ListParagraph"/>
        <w:spacing w:line="480" w:lineRule="auto"/>
        <w:rPr>
          <w:rFonts w:ascii="Arial" w:hAnsi="Arial"/>
          <w:color w:val="000000" w:themeColor="text1"/>
        </w:rPr>
      </w:pPr>
    </w:p>
    <w:p w14:paraId="5BC63DC0" w14:textId="04206F26" w:rsidR="0019385E" w:rsidRDefault="00C27CBB" w:rsidP="00596C63">
      <w:pPr>
        <w:pStyle w:val="ListParagraph"/>
        <w:numPr>
          <w:ilvl w:val="0"/>
          <w:numId w:val="1"/>
        </w:numPr>
        <w:spacing w:line="480" w:lineRule="auto"/>
        <w:jc w:val="both"/>
        <w:rPr>
          <w:rFonts w:ascii="Arial" w:hAnsi="Arial"/>
          <w:color w:val="000000" w:themeColor="text1"/>
        </w:rPr>
      </w:pPr>
      <w:r>
        <w:rPr>
          <w:rFonts w:ascii="Arial" w:hAnsi="Arial"/>
          <w:color w:val="000000" w:themeColor="text1"/>
        </w:rPr>
        <w:t xml:space="preserve">The </w:t>
      </w:r>
      <w:r w:rsidR="0019385E" w:rsidRPr="0019385E">
        <w:rPr>
          <w:rFonts w:ascii="Arial" w:hAnsi="Arial"/>
          <w:color w:val="000000" w:themeColor="text1"/>
        </w:rPr>
        <w:t>rationale f</w:t>
      </w:r>
      <w:r>
        <w:rPr>
          <w:rFonts w:ascii="Arial" w:hAnsi="Arial"/>
          <w:color w:val="000000" w:themeColor="text1"/>
        </w:rPr>
        <w:t>or</w:t>
      </w:r>
      <w:r w:rsidR="0019385E" w:rsidRPr="0019385E">
        <w:rPr>
          <w:rFonts w:ascii="Arial" w:hAnsi="Arial"/>
          <w:color w:val="000000" w:themeColor="text1"/>
        </w:rPr>
        <w:t xml:space="preserve"> </w:t>
      </w:r>
      <w:r w:rsidR="00FF2852">
        <w:rPr>
          <w:rFonts w:ascii="Arial" w:hAnsi="Arial"/>
          <w:color w:val="000000" w:themeColor="text1"/>
        </w:rPr>
        <w:t>the practice</w:t>
      </w:r>
      <w:r>
        <w:rPr>
          <w:rFonts w:ascii="Arial" w:hAnsi="Arial"/>
          <w:color w:val="000000" w:themeColor="text1"/>
        </w:rPr>
        <w:t xml:space="preserve"> was set out </w:t>
      </w:r>
      <w:r w:rsidR="00632AAB">
        <w:rPr>
          <w:rFonts w:ascii="Arial" w:hAnsi="Arial"/>
          <w:color w:val="000000" w:themeColor="text1"/>
        </w:rPr>
        <w:t>in ringing t</w:t>
      </w:r>
      <w:r w:rsidR="00917399">
        <w:rPr>
          <w:rFonts w:ascii="Arial" w:hAnsi="Arial"/>
          <w:color w:val="000000" w:themeColor="text1"/>
        </w:rPr>
        <w:t>e</w:t>
      </w:r>
      <w:r w:rsidR="00632AAB">
        <w:rPr>
          <w:rFonts w:ascii="Arial" w:hAnsi="Arial"/>
          <w:color w:val="000000" w:themeColor="text1"/>
        </w:rPr>
        <w:t xml:space="preserve">rms </w:t>
      </w:r>
      <w:r>
        <w:rPr>
          <w:rFonts w:ascii="Arial" w:hAnsi="Arial"/>
          <w:color w:val="000000" w:themeColor="text1"/>
        </w:rPr>
        <w:t>by</w:t>
      </w:r>
      <w:r w:rsidR="0019385E" w:rsidRPr="0019385E">
        <w:rPr>
          <w:rFonts w:ascii="Arial" w:hAnsi="Arial"/>
          <w:color w:val="000000" w:themeColor="text1"/>
        </w:rPr>
        <w:t xml:space="preserve"> Corbett CJ </w:t>
      </w:r>
      <w:r w:rsidR="0019385E">
        <w:rPr>
          <w:rFonts w:ascii="Arial" w:hAnsi="Arial"/>
          <w:color w:val="000000" w:themeColor="text1"/>
        </w:rPr>
        <w:t xml:space="preserve">in </w:t>
      </w:r>
      <w:r w:rsidR="0063473F" w:rsidRPr="00C0233F">
        <w:rPr>
          <w:rFonts w:ascii="Arial" w:hAnsi="Arial" w:cs="Arial"/>
          <w:i/>
        </w:rPr>
        <w:t>G</w:t>
      </w:r>
      <w:r w:rsidR="0063473F" w:rsidRPr="00B6710F">
        <w:rPr>
          <w:rFonts w:ascii="Arial" w:hAnsi="Arial" w:cs="Arial"/>
          <w:i/>
        </w:rPr>
        <w:t>roup</w:t>
      </w:r>
      <w:r w:rsidR="0063473F">
        <w:rPr>
          <w:rFonts w:ascii="Arial" w:hAnsi="Arial" w:cs="Arial"/>
          <w:i/>
        </w:rPr>
        <w:t xml:space="preserve"> F</w:t>
      </w:r>
      <w:r w:rsidR="0063473F" w:rsidRPr="00B6710F">
        <w:rPr>
          <w:rFonts w:ascii="Arial" w:hAnsi="Arial" w:cs="Arial"/>
          <w:i/>
        </w:rPr>
        <w:t xml:space="preserve">ive </w:t>
      </w:r>
      <w:r w:rsidR="0019385E" w:rsidRPr="0019385E">
        <w:rPr>
          <w:rFonts w:ascii="Arial" w:hAnsi="Arial"/>
          <w:color w:val="000000" w:themeColor="text1"/>
        </w:rPr>
        <w:t>at 602</w:t>
      </w:r>
      <w:r w:rsidR="00CD5425">
        <w:rPr>
          <w:rFonts w:ascii="Arial" w:hAnsi="Arial"/>
          <w:color w:val="000000" w:themeColor="text1"/>
        </w:rPr>
        <w:t>J</w:t>
      </w:r>
      <w:r w:rsidR="000476ED">
        <w:rPr>
          <w:rFonts w:ascii="Arial" w:hAnsi="Arial"/>
          <w:color w:val="000000" w:themeColor="text1"/>
        </w:rPr>
        <w:t>–</w:t>
      </w:r>
      <w:r w:rsidR="0019385E" w:rsidRPr="0019385E">
        <w:rPr>
          <w:rFonts w:ascii="Arial" w:hAnsi="Arial"/>
          <w:color w:val="000000" w:themeColor="text1"/>
        </w:rPr>
        <w:t>603</w:t>
      </w:r>
      <w:r w:rsidR="00CD5425">
        <w:rPr>
          <w:rFonts w:ascii="Arial" w:hAnsi="Arial"/>
          <w:color w:val="000000" w:themeColor="text1"/>
        </w:rPr>
        <w:t>A</w:t>
      </w:r>
      <w:r w:rsidR="0019385E">
        <w:rPr>
          <w:rFonts w:ascii="Arial" w:hAnsi="Arial"/>
          <w:color w:val="000000" w:themeColor="text1"/>
        </w:rPr>
        <w:t xml:space="preserve"> </w:t>
      </w:r>
      <w:r w:rsidR="0019385E" w:rsidRPr="0019385E">
        <w:rPr>
          <w:rFonts w:ascii="Arial" w:hAnsi="Arial"/>
          <w:color w:val="000000" w:themeColor="text1"/>
        </w:rPr>
        <w:t>as follows:</w:t>
      </w:r>
    </w:p>
    <w:p w14:paraId="278B3812" w14:textId="77777777" w:rsidR="00596C63" w:rsidRDefault="00596C63" w:rsidP="00D10696">
      <w:pPr>
        <w:pStyle w:val="ListParagraph"/>
        <w:spacing w:line="360" w:lineRule="auto"/>
        <w:jc w:val="both"/>
        <w:rPr>
          <w:rFonts w:ascii="Arial" w:hAnsi="Arial"/>
          <w:color w:val="000000" w:themeColor="text1"/>
          <w:sz w:val="22"/>
          <w:szCs w:val="22"/>
        </w:rPr>
      </w:pPr>
    </w:p>
    <w:p w14:paraId="5F3BDF5E" w14:textId="77777777" w:rsidR="0019385E" w:rsidRDefault="0019385E" w:rsidP="00D10696">
      <w:pPr>
        <w:pStyle w:val="ListParagraph"/>
        <w:spacing w:line="360" w:lineRule="auto"/>
        <w:jc w:val="both"/>
        <w:rPr>
          <w:rFonts w:ascii="Arial" w:hAnsi="Arial"/>
          <w:color w:val="000000" w:themeColor="text1"/>
          <w:sz w:val="22"/>
          <w:szCs w:val="22"/>
        </w:rPr>
      </w:pPr>
      <w:r w:rsidRPr="0019385E">
        <w:rPr>
          <w:rFonts w:ascii="Arial" w:hAnsi="Arial"/>
          <w:color w:val="000000" w:themeColor="text1"/>
          <w:sz w:val="22"/>
          <w:szCs w:val="22"/>
        </w:rPr>
        <w:lastRenderedPageBreak/>
        <w:t xml:space="preserve">'An order dismissing an action puts an end to the proceedings and means that if the plaintiff wishes to pursue his claim on a different pleading he must start </w:t>
      </w:r>
      <w:r w:rsidRPr="001151E7">
        <w:rPr>
          <w:rFonts w:ascii="Arial" w:hAnsi="Arial"/>
          <w:i/>
          <w:color w:val="000000" w:themeColor="text1"/>
          <w:sz w:val="22"/>
          <w:szCs w:val="22"/>
        </w:rPr>
        <w:t>de novo</w:t>
      </w:r>
      <w:r w:rsidRPr="0019385E">
        <w:rPr>
          <w:rFonts w:ascii="Arial" w:hAnsi="Arial"/>
          <w:color w:val="000000" w:themeColor="text1"/>
          <w:sz w:val="22"/>
          <w:szCs w:val="22"/>
        </w:rPr>
        <w:t>. This may have drastic consequences for the plaintiff, particularly where it results in the prescription of the claim. In my opinion, it would be contrary to the general policy of the law to attach such drastic consequences to a finding that the plaintiff's pleading discloses no cause of action.'</w:t>
      </w:r>
    </w:p>
    <w:p w14:paraId="5DB1CC82" w14:textId="77777777" w:rsidR="000476ED" w:rsidRPr="0019385E" w:rsidRDefault="000476ED" w:rsidP="000476ED">
      <w:pPr>
        <w:pStyle w:val="ListParagraph"/>
        <w:spacing w:line="480" w:lineRule="auto"/>
        <w:jc w:val="both"/>
        <w:rPr>
          <w:rFonts w:ascii="Arial" w:hAnsi="Arial"/>
          <w:color w:val="000000" w:themeColor="text1"/>
          <w:sz w:val="22"/>
          <w:szCs w:val="22"/>
        </w:rPr>
      </w:pPr>
    </w:p>
    <w:p w14:paraId="600C067C" w14:textId="346AC6EC" w:rsidR="004D4B20" w:rsidRPr="001151E7" w:rsidRDefault="00632AAB" w:rsidP="0019258F">
      <w:pPr>
        <w:pStyle w:val="ListParagraph"/>
        <w:numPr>
          <w:ilvl w:val="0"/>
          <w:numId w:val="1"/>
        </w:numPr>
        <w:spacing w:line="480" w:lineRule="auto"/>
        <w:jc w:val="both"/>
        <w:rPr>
          <w:rFonts w:ascii="Arial" w:hAnsi="Arial"/>
        </w:rPr>
      </w:pPr>
      <w:r>
        <w:rPr>
          <w:rFonts w:ascii="Arial" w:hAnsi="Arial" w:cs="Arial"/>
          <w:color w:val="000000" w:themeColor="text1"/>
          <w:shd w:val="clear" w:color="auto" w:fill="FFFFFF"/>
        </w:rPr>
        <w:t xml:space="preserve">The legal practitioner for the appellants readily conceded that had the </w:t>
      </w:r>
      <w:r w:rsidR="00917399">
        <w:rPr>
          <w:rFonts w:ascii="Arial" w:hAnsi="Arial" w:cs="Arial"/>
          <w:color w:val="000000" w:themeColor="text1"/>
          <w:shd w:val="clear" w:color="auto" w:fill="FFFFFF"/>
        </w:rPr>
        <w:t>res</w:t>
      </w:r>
      <w:r>
        <w:rPr>
          <w:rFonts w:ascii="Arial" w:hAnsi="Arial" w:cs="Arial"/>
          <w:color w:val="000000" w:themeColor="text1"/>
          <w:shd w:val="clear" w:color="auto" w:fill="FFFFFF"/>
        </w:rPr>
        <w:t>p</w:t>
      </w:r>
      <w:r w:rsidR="00917399">
        <w:rPr>
          <w:rFonts w:ascii="Arial" w:hAnsi="Arial" w:cs="Arial"/>
          <w:color w:val="000000" w:themeColor="text1"/>
          <w:shd w:val="clear" w:color="auto" w:fill="FFFFFF"/>
        </w:rPr>
        <w:t>ondent</w:t>
      </w:r>
      <w:r>
        <w:rPr>
          <w:rFonts w:ascii="Arial" w:hAnsi="Arial" w:cs="Arial"/>
          <w:color w:val="000000" w:themeColor="text1"/>
          <w:shd w:val="clear" w:color="auto" w:fill="FFFFFF"/>
        </w:rPr>
        <w:t xml:space="preserve"> </w:t>
      </w:r>
      <w:r w:rsidR="00CD5425">
        <w:rPr>
          <w:rFonts w:ascii="Arial" w:hAnsi="Arial" w:cs="Arial"/>
          <w:color w:val="000000" w:themeColor="text1"/>
          <w:shd w:val="clear" w:color="auto" w:fill="FFFFFF"/>
        </w:rPr>
        <w:t xml:space="preserve">in the present appeal </w:t>
      </w:r>
      <w:r>
        <w:rPr>
          <w:rFonts w:ascii="Arial" w:hAnsi="Arial" w:cs="Arial"/>
          <w:color w:val="000000" w:themeColor="text1"/>
          <w:shd w:val="clear" w:color="auto" w:fill="FFFFFF"/>
        </w:rPr>
        <w:t>not be</w:t>
      </w:r>
      <w:r w:rsidR="00773A4A">
        <w:rPr>
          <w:rFonts w:ascii="Arial" w:hAnsi="Arial" w:cs="Arial"/>
          <w:color w:val="000000" w:themeColor="text1"/>
          <w:shd w:val="clear" w:color="auto" w:fill="FFFFFF"/>
        </w:rPr>
        <w:t>en</w:t>
      </w:r>
      <w:r>
        <w:rPr>
          <w:rFonts w:ascii="Arial" w:hAnsi="Arial" w:cs="Arial"/>
          <w:color w:val="000000" w:themeColor="text1"/>
          <w:shd w:val="clear" w:color="auto" w:fill="FFFFFF"/>
        </w:rPr>
        <w:t xml:space="preserve"> given an opportunity to amend his p</w:t>
      </w:r>
      <w:r w:rsidR="005F3B51">
        <w:rPr>
          <w:rFonts w:ascii="Arial" w:hAnsi="Arial" w:cs="Arial"/>
          <w:color w:val="000000" w:themeColor="text1"/>
          <w:shd w:val="clear" w:color="auto" w:fill="FFFFFF"/>
        </w:rPr>
        <w:t>a</w:t>
      </w:r>
      <w:r>
        <w:rPr>
          <w:rFonts w:ascii="Arial" w:hAnsi="Arial" w:cs="Arial"/>
          <w:color w:val="000000" w:themeColor="text1"/>
          <w:shd w:val="clear" w:color="auto" w:fill="FFFFFF"/>
        </w:rPr>
        <w:t xml:space="preserve">rticulars of claim, by the time he would have commenced the action </w:t>
      </w:r>
      <w:r w:rsidRPr="001151E7">
        <w:rPr>
          <w:rFonts w:ascii="Arial" w:hAnsi="Arial" w:cs="Arial"/>
          <w:i/>
          <w:color w:val="000000" w:themeColor="text1"/>
          <w:shd w:val="clear" w:color="auto" w:fill="FFFFFF"/>
        </w:rPr>
        <w:t>de novo</w:t>
      </w:r>
      <w:r>
        <w:rPr>
          <w:rFonts w:ascii="Arial" w:hAnsi="Arial" w:cs="Arial"/>
          <w:color w:val="000000" w:themeColor="text1"/>
          <w:shd w:val="clear" w:color="auto" w:fill="FFFFFF"/>
        </w:rPr>
        <w:t xml:space="preserve">, </w:t>
      </w:r>
      <w:r w:rsidR="008E2BAE">
        <w:rPr>
          <w:rFonts w:ascii="Arial" w:hAnsi="Arial" w:cs="Arial"/>
          <w:color w:val="000000" w:themeColor="text1"/>
          <w:shd w:val="clear" w:color="auto" w:fill="FFFFFF"/>
        </w:rPr>
        <w:t>in all probabilities his claim</w:t>
      </w:r>
      <w:r>
        <w:rPr>
          <w:rFonts w:ascii="Arial" w:hAnsi="Arial" w:cs="Arial"/>
          <w:color w:val="000000" w:themeColor="text1"/>
          <w:shd w:val="clear" w:color="auto" w:fill="FFFFFF"/>
        </w:rPr>
        <w:t xml:space="preserve"> would have prescribed. This is precisely </w:t>
      </w:r>
      <w:r w:rsidR="005F3B51">
        <w:rPr>
          <w:rFonts w:ascii="Arial" w:hAnsi="Arial" w:cs="Arial"/>
          <w:color w:val="000000" w:themeColor="text1"/>
          <w:shd w:val="clear" w:color="auto" w:fill="FFFFFF"/>
        </w:rPr>
        <w:t xml:space="preserve">one of </w:t>
      </w:r>
      <w:r>
        <w:rPr>
          <w:rFonts w:ascii="Arial" w:hAnsi="Arial" w:cs="Arial"/>
          <w:color w:val="000000" w:themeColor="text1"/>
          <w:shd w:val="clear" w:color="auto" w:fill="FFFFFF"/>
        </w:rPr>
        <w:t>the mischief</w:t>
      </w:r>
      <w:r w:rsidR="005F3B51">
        <w:rPr>
          <w:rFonts w:ascii="Arial" w:hAnsi="Arial" w:cs="Arial"/>
          <w:color w:val="000000" w:themeColor="text1"/>
          <w:shd w:val="clear" w:color="auto" w:fill="FFFFFF"/>
        </w:rPr>
        <w:t>s</w:t>
      </w:r>
      <w:r>
        <w:rPr>
          <w:rFonts w:ascii="Arial" w:hAnsi="Arial" w:cs="Arial"/>
          <w:color w:val="000000" w:themeColor="text1"/>
          <w:shd w:val="clear" w:color="auto" w:fill="FFFFFF"/>
        </w:rPr>
        <w:t xml:space="preserve"> the practice seeks to c</w:t>
      </w:r>
      <w:r w:rsidR="00917399">
        <w:rPr>
          <w:rFonts w:ascii="Arial" w:hAnsi="Arial" w:cs="Arial"/>
          <w:color w:val="000000" w:themeColor="text1"/>
          <w:shd w:val="clear" w:color="auto" w:fill="FFFFFF"/>
        </w:rPr>
        <w:t>ure</w:t>
      </w:r>
      <w:r>
        <w:rPr>
          <w:rFonts w:ascii="Arial" w:hAnsi="Arial" w:cs="Arial"/>
          <w:color w:val="000000" w:themeColor="text1"/>
          <w:shd w:val="clear" w:color="auto" w:fill="FFFFFF"/>
        </w:rPr>
        <w:t>, doubtless in the interests of justice</w:t>
      </w:r>
      <w:r w:rsidR="0006033B">
        <w:rPr>
          <w:rFonts w:ascii="Arial" w:hAnsi="Arial" w:cs="Arial"/>
          <w:color w:val="000000" w:themeColor="text1"/>
          <w:shd w:val="clear" w:color="auto" w:fill="FFFFFF"/>
        </w:rPr>
        <w:t xml:space="preserve"> and fairness</w:t>
      </w:r>
      <w:r>
        <w:rPr>
          <w:rFonts w:ascii="Arial" w:hAnsi="Arial" w:cs="Arial"/>
          <w:color w:val="000000" w:themeColor="text1"/>
          <w:shd w:val="clear" w:color="auto" w:fill="FFFFFF"/>
        </w:rPr>
        <w:t xml:space="preserve">. </w:t>
      </w:r>
      <w:r w:rsidR="004D7075">
        <w:rPr>
          <w:rFonts w:ascii="Arial" w:hAnsi="Arial" w:cs="Arial"/>
          <w:color w:val="000000" w:themeColor="text1"/>
          <w:shd w:val="clear" w:color="auto" w:fill="FFFFFF"/>
        </w:rPr>
        <w:t>The</w:t>
      </w:r>
      <w:r w:rsidR="000329D7" w:rsidRPr="004D7075">
        <w:rPr>
          <w:rFonts w:ascii="Arial" w:hAnsi="Arial" w:cs="Arial"/>
          <w:color w:val="000000" w:themeColor="text1"/>
          <w:shd w:val="clear" w:color="auto" w:fill="FFFFFF"/>
        </w:rPr>
        <w:t xml:space="preserve"> cases </w:t>
      </w:r>
      <w:r w:rsidR="0006033B">
        <w:rPr>
          <w:rFonts w:ascii="Arial" w:hAnsi="Arial" w:cs="Arial"/>
          <w:color w:val="000000" w:themeColor="text1"/>
          <w:shd w:val="clear" w:color="auto" w:fill="FFFFFF"/>
        </w:rPr>
        <w:t>referred to</w:t>
      </w:r>
      <w:r w:rsidR="00F94B27">
        <w:rPr>
          <w:rFonts w:ascii="Arial" w:hAnsi="Arial" w:cs="Arial"/>
          <w:color w:val="000000" w:themeColor="text1"/>
          <w:shd w:val="clear" w:color="auto" w:fill="FFFFFF"/>
        </w:rPr>
        <w:t xml:space="preserve"> </w:t>
      </w:r>
      <w:r w:rsidR="004D7075">
        <w:rPr>
          <w:rFonts w:ascii="Arial" w:hAnsi="Arial" w:cs="Arial"/>
          <w:color w:val="000000" w:themeColor="text1"/>
          <w:shd w:val="clear" w:color="auto" w:fill="FFFFFF"/>
        </w:rPr>
        <w:t xml:space="preserve">above </w:t>
      </w:r>
      <w:r w:rsidR="000329D7" w:rsidRPr="004D7075">
        <w:rPr>
          <w:rFonts w:ascii="Arial" w:hAnsi="Arial" w:cs="Arial"/>
          <w:color w:val="000000" w:themeColor="text1"/>
          <w:shd w:val="clear" w:color="auto" w:fill="FFFFFF"/>
        </w:rPr>
        <w:t xml:space="preserve">support the </w:t>
      </w:r>
      <w:r w:rsidR="00501190">
        <w:rPr>
          <w:rFonts w:ascii="Arial" w:hAnsi="Arial" w:cs="Arial"/>
          <w:color w:val="000000" w:themeColor="text1"/>
          <w:shd w:val="clear" w:color="auto" w:fill="FFFFFF"/>
        </w:rPr>
        <w:t>approach</w:t>
      </w:r>
      <w:r w:rsidR="000329D7" w:rsidRPr="004D7075">
        <w:rPr>
          <w:rFonts w:ascii="Arial" w:hAnsi="Arial" w:cs="Arial"/>
          <w:color w:val="000000" w:themeColor="text1"/>
          <w:shd w:val="clear" w:color="auto" w:fill="FFFFFF"/>
        </w:rPr>
        <w:t xml:space="preserve"> that </w:t>
      </w:r>
      <w:r w:rsidR="00AD18B2" w:rsidRPr="004D7075">
        <w:rPr>
          <w:rFonts w:ascii="Arial" w:hAnsi="Arial" w:cs="Arial"/>
          <w:color w:val="000000" w:themeColor="text1"/>
          <w:shd w:val="clear" w:color="auto" w:fill="FFFFFF"/>
        </w:rPr>
        <w:t>a</w:t>
      </w:r>
      <w:r w:rsidR="00AD18B2" w:rsidRPr="004D7075">
        <w:rPr>
          <w:rFonts w:ascii="Arial" w:hAnsi="Arial"/>
          <w:color w:val="000000" w:themeColor="text1"/>
        </w:rPr>
        <w:t xml:space="preserve"> party should be allowed to amend where its pleading </w:t>
      </w:r>
      <w:r w:rsidR="00E93746" w:rsidRPr="004D7075">
        <w:rPr>
          <w:rFonts w:ascii="Arial" w:hAnsi="Arial"/>
          <w:color w:val="000000" w:themeColor="text1"/>
        </w:rPr>
        <w:t xml:space="preserve">is </w:t>
      </w:r>
      <w:r w:rsidR="00AD18B2" w:rsidRPr="004D7075">
        <w:rPr>
          <w:rFonts w:ascii="Arial" w:hAnsi="Arial"/>
          <w:color w:val="000000" w:themeColor="text1"/>
        </w:rPr>
        <w:t>successfully excepted to</w:t>
      </w:r>
      <w:r w:rsidR="00C27CBB">
        <w:rPr>
          <w:rFonts w:ascii="Arial" w:hAnsi="Arial"/>
          <w:color w:val="000000" w:themeColor="text1"/>
        </w:rPr>
        <w:t xml:space="preserve"> on the basis that it did not disclose a cause of action</w:t>
      </w:r>
      <w:r w:rsidR="00AD18B2" w:rsidRPr="004D7075">
        <w:rPr>
          <w:rFonts w:ascii="Arial" w:hAnsi="Arial"/>
          <w:color w:val="000000" w:themeColor="text1"/>
        </w:rPr>
        <w:t xml:space="preserve">. </w:t>
      </w:r>
      <w:r w:rsidR="00501190">
        <w:rPr>
          <w:rFonts w:ascii="Arial" w:hAnsi="Arial"/>
          <w:color w:val="000000" w:themeColor="text1"/>
        </w:rPr>
        <w:t>This is so</w:t>
      </w:r>
      <w:r w:rsidR="00773A4A">
        <w:rPr>
          <w:rFonts w:ascii="Arial" w:hAnsi="Arial"/>
          <w:color w:val="000000" w:themeColor="text1"/>
        </w:rPr>
        <w:t>,</w:t>
      </w:r>
      <w:r w:rsidR="00501190">
        <w:rPr>
          <w:rFonts w:ascii="Arial" w:hAnsi="Arial"/>
          <w:color w:val="000000" w:themeColor="text1"/>
        </w:rPr>
        <w:t xml:space="preserve"> irrespective of whether or not </w:t>
      </w:r>
      <w:r w:rsidR="00B35DFC">
        <w:rPr>
          <w:rFonts w:ascii="Arial" w:hAnsi="Arial"/>
          <w:color w:val="000000" w:themeColor="text1"/>
        </w:rPr>
        <w:t>the plaintiff applied for such leave at the hearing of the argument on exception.</w:t>
      </w:r>
      <w:r w:rsidR="00B35DFC">
        <w:rPr>
          <w:rStyle w:val="FootnoteReference"/>
          <w:rFonts w:ascii="Arial" w:hAnsi="Arial"/>
          <w:color w:val="000000" w:themeColor="text1"/>
        </w:rPr>
        <w:footnoteReference w:id="8"/>
      </w:r>
      <w:r w:rsidR="00B35DFC">
        <w:rPr>
          <w:rFonts w:ascii="Arial" w:hAnsi="Arial"/>
          <w:color w:val="000000" w:themeColor="text1"/>
        </w:rPr>
        <w:t xml:space="preserve"> </w:t>
      </w:r>
    </w:p>
    <w:p w14:paraId="67223BBA" w14:textId="77777777" w:rsidR="004D4B20" w:rsidRPr="001151E7" w:rsidRDefault="004D4B20" w:rsidP="000476ED">
      <w:pPr>
        <w:spacing w:line="480" w:lineRule="auto"/>
        <w:jc w:val="both"/>
        <w:rPr>
          <w:rFonts w:ascii="Arial" w:hAnsi="Arial"/>
        </w:rPr>
      </w:pPr>
    </w:p>
    <w:p w14:paraId="33278173" w14:textId="3CF9564B" w:rsidR="004D4B20" w:rsidRPr="001151E7" w:rsidRDefault="00414A37" w:rsidP="000476ED">
      <w:pPr>
        <w:pStyle w:val="ListParagraph"/>
        <w:numPr>
          <w:ilvl w:val="0"/>
          <w:numId w:val="1"/>
        </w:numPr>
        <w:spacing w:line="480" w:lineRule="auto"/>
        <w:jc w:val="both"/>
        <w:rPr>
          <w:rFonts w:ascii="Arial" w:hAnsi="Arial"/>
        </w:rPr>
      </w:pPr>
      <w:r>
        <w:rPr>
          <w:rFonts w:ascii="Arial" w:hAnsi="Arial"/>
          <w:color w:val="000000" w:themeColor="text1"/>
        </w:rPr>
        <w:t xml:space="preserve">In </w:t>
      </w:r>
      <w:r w:rsidRPr="001151E7">
        <w:rPr>
          <w:rFonts w:ascii="Arial" w:hAnsi="Arial"/>
          <w:i/>
          <w:color w:val="000000" w:themeColor="text1"/>
        </w:rPr>
        <w:t>Group Five</w:t>
      </w:r>
      <w:r w:rsidR="0006033B">
        <w:rPr>
          <w:rFonts w:ascii="Arial" w:hAnsi="Arial"/>
          <w:color w:val="000000" w:themeColor="text1"/>
        </w:rPr>
        <w:t>, for example,</w:t>
      </w:r>
      <w:r>
        <w:rPr>
          <w:rFonts w:ascii="Arial" w:hAnsi="Arial"/>
          <w:color w:val="000000" w:themeColor="text1"/>
        </w:rPr>
        <w:t xml:space="preserve"> the court held that </w:t>
      </w:r>
      <w:r w:rsidR="00F94B27">
        <w:rPr>
          <w:rFonts w:ascii="Arial" w:hAnsi="Arial"/>
          <w:color w:val="000000" w:themeColor="text1"/>
        </w:rPr>
        <w:t xml:space="preserve">instead of dismissing the action, </w:t>
      </w:r>
      <w:r>
        <w:rPr>
          <w:rFonts w:ascii="Arial" w:hAnsi="Arial"/>
          <w:color w:val="000000" w:themeColor="text1"/>
        </w:rPr>
        <w:t>the p</w:t>
      </w:r>
      <w:r w:rsidR="00501190">
        <w:rPr>
          <w:rFonts w:ascii="Arial" w:hAnsi="Arial"/>
          <w:color w:val="000000" w:themeColor="text1"/>
        </w:rPr>
        <w:t xml:space="preserve">articulars of claim </w:t>
      </w:r>
      <w:r w:rsidR="005F3B51">
        <w:rPr>
          <w:rFonts w:ascii="Arial" w:hAnsi="Arial" w:cs="Arial"/>
          <w:color w:val="000000" w:themeColor="text1"/>
        </w:rPr>
        <w:t>–</w:t>
      </w:r>
      <w:r w:rsidR="005F3B51">
        <w:rPr>
          <w:rFonts w:ascii="Arial" w:hAnsi="Arial"/>
          <w:color w:val="000000" w:themeColor="text1"/>
        </w:rPr>
        <w:t xml:space="preserve"> </w:t>
      </w:r>
      <w:r w:rsidR="00501190">
        <w:rPr>
          <w:rFonts w:ascii="Arial" w:hAnsi="Arial"/>
          <w:color w:val="000000" w:themeColor="text1"/>
        </w:rPr>
        <w:t>as is the position in this matter</w:t>
      </w:r>
      <w:r w:rsidR="005F3B51">
        <w:rPr>
          <w:rFonts w:ascii="Arial" w:hAnsi="Arial"/>
          <w:color w:val="000000" w:themeColor="text1"/>
        </w:rPr>
        <w:t xml:space="preserve"> </w:t>
      </w:r>
      <w:r w:rsidR="005F3B51">
        <w:rPr>
          <w:rFonts w:ascii="Arial" w:hAnsi="Arial" w:cs="Arial"/>
          <w:color w:val="000000" w:themeColor="text1"/>
        </w:rPr>
        <w:t>–</w:t>
      </w:r>
      <w:r w:rsidR="005F3B51">
        <w:rPr>
          <w:rFonts w:ascii="Arial" w:hAnsi="Arial"/>
          <w:color w:val="000000" w:themeColor="text1"/>
        </w:rPr>
        <w:t xml:space="preserve"> </w:t>
      </w:r>
      <w:r>
        <w:rPr>
          <w:rFonts w:ascii="Arial" w:hAnsi="Arial"/>
          <w:color w:val="000000" w:themeColor="text1"/>
        </w:rPr>
        <w:t xml:space="preserve">should </w:t>
      </w:r>
      <w:r w:rsidR="00F94B27">
        <w:rPr>
          <w:rFonts w:ascii="Arial" w:hAnsi="Arial"/>
          <w:color w:val="000000" w:themeColor="text1"/>
        </w:rPr>
        <w:t xml:space="preserve">be set aside </w:t>
      </w:r>
      <w:r w:rsidR="00C35EC2">
        <w:rPr>
          <w:rFonts w:ascii="Arial" w:hAnsi="Arial"/>
          <w:color w:val="000000" w:themeColor="text1"/>
        </w:rPr>
        <w:t>th</w:t>
      </w:r>
      <w:r>
        <w:rPr>
          <w:rFonts w:ascii="Arial" w:hAnsi="Arial"/>
          <w:color w:val="000000" w:themeColor="text1"/>
        </w:rPr>
        <w:t xml:space="preserve">ereby </w:t>
      </w:r>
      <w:r w:rsidR="00F94B27">
        <w:rPr>
          <w:rFonts w:ascii="Arial" w:hAnsi="Arial"/>
          <w:color w:val="000000" w:themeColor="text1"/>
        </w:rPr>
        <w:t xml:space="preserve">allowing </w:t>
      </w:r>
      <w:r w:rsidR="00501190">
        <w:rPr>
          <w:rFonts w:ascii="Arial" w:hAnsi="Arial"/>
          <w:color w:val="000000" w:themeColor="text1"/>
        </w:rPr>
        <w:t>the</w:t>
      </w:r>
      <w:r>
        <w:rPr>
          <w:rFonts w:ascii="Arial" w:hAnsi="Arial"/>
          <w:color w:val="000000" w:themeColor="text1"/>
        </w:rPr>
        <w:t xml:space="preserve"> plaintiff</w:t>
      </w:r>
      <w:r w:rsidR="00F94B27">
        <w:rPr>
          <w:rFonts w:ascii="Arial" w:hAnsi="Arial"/>
          <w:color w:val="000000" w:themeColor="text1"/>
        </w:rPr>
        <w:t xml:space="preserve"> to amend </w:t>
      </w:r>
      <w:r w:rsidR="00501190">
        <w:rPr>
          <w:rFonts w:ascii="Arial" w:hAnsi="Arial"/>
          <w:color w:val="000000" w:themeColor="text1"/>
        </w:rPr>
        <w:t>i</w:t>
      </w:r>
      <w:r w:rsidR="00124785">
        <w:rPr>
          <w:rFonts w:ascii="Arial" w:hAnsi="Arial"/>
          <w:color w:val="000000" w:themeColor="text1"/>
        </w:rPr>
        <w:t>t</w:t>
      </w:r>
      <w:r w:rsidR="00501190">
        <w:rPr>
          <w:rFonts w:ascii="Arial" w:hAnsi="Arial"/>
          <w:color w:val="000000" w:themeColor="text1"/>
        </w:rPr>
        <w:t>s</w:t>
      </w:r>
      <w:r w:rsidR="00F94B27">
        <w:rPr>
          <w:rFonts w:ascii="Arial" w:hAnsi="Arial"/>
          <w:color w:val="000000" w:themeColor="text1"/>
        </w:rPr>
        <w:t xml:space="preserve"> </w:t>
      </w:r>
      <w:r>
        <w:rPr>
          <w:rFonts w:ascii="Arial" w:hAnsi="Arial"/>
          <w:color w:val="000000" w:themeColor="text1"/>
        </w:rPr>
        <w:t xml:space="preserve">particulars of </w:t>
      </w:r>
      <w:r w:rsidR="00501190">
        <w:rPr>
          <w:rFonts w:ascii="Arial" w:hAnsi="Arial"/>
          <w:color w:val="000000" w:themeColor="text1"/>
        </w:rPr>
        <w:t xml:space="preserve">claim or, in any event, </w:t>
      </w:r>
      <w:r w:rsidR="0006033B">
        <w:rPr>
          <w:rFonts w:ascii="Arial" w:hAnsi="Arial"/>
          <w:color w:val="000000" w:themeColor="text1"/>
        </w:rPr>
        <w:t>f</w:t>
      </w:r>
      <w:r w:rsidR="00501190">
        <w:rPr>
          <w:rFonts w:ascii="Arial" w:hAnsi="Arial"/>
          <w:color w:val="000000" w:themeColor="text1"/>
        </w:rPr>
        <w:t>o</w:t>
      </w:r>
      <w:r w:rsidR="0006033B">
        <w:rPr>
          <w:rFonts w:ascii="Arial" w:hAnsi="Arial"/>
          <w:color w:val="000000" w:themeColor="text1"/>
        </w:rPr>
        <w:t>r</w:t>
      </w:r>
      <w:r w:rsidR="00501190">
        <w:rPr>
          <w:rFonts w:ascii="Arial" w:hAnsi="Arial"/>
          <w:color w:val="000000" w:themeColor="text1"/>
        </w:rPr>
        <w:t xml:space="preserve"> </w:t>
      </w:r>
      <w:r w:rsidR="0006033B">
        <w:rPr>
          <w:rFonts w:ascii="Arial" w:hAnsi="Arial"/>
          <w:color w:val="000000" w:themeColor="text1"/>
        </w:rPr>
        <w:t xml:space="preserve">the plaintiff to </w:t>
      </w:r>
      <w:r w:rsidR="00501190">
        <w:rPr>
          <w:rFonts w:ascii="Arial" w:hAnsi="Arial"/>
          <w:color w:val="000000" w:themeColor="text1"/>
        </w:rPr>
        <w:t>be given an opportunity to apply for leave to amend after the delivery of the judgment</w:t>
      </w:r>
      <w:r w:rsidR="00CE632F">
        <w:rPr>
          <w:rFonts w:ascii="Arial" w:hAnsi="Arial"/>
          <w:color w:val="000000" w:themeColor="text1"/>
        </w:rPr>
        <w:t>.</w:t>
      </w:r>
      <w:r w:rsidR="003E23E6">
        <w:rPr>
          <w:rStyle w:val="FootnoteReference"/>
          <w:rFonts w:ascii="Arial" w:hAnsi="Arial"/>
          <w:color w:val="000000" w:themeColor="text1"/>
        </w:rPr>
        <w:footnoteReference w:id="9"/>
      </w:r>
      <w:r w:rsidR="0006033B">
        <w:rPr>
          <w:rFonts w:ascii="Arial" w:hAnsi="Arial"/>
          <w:color w:val="000000" w:themeColor="text1"/>
        </w:rPr>
        <w:t xml:space="preserve"> </w:t>
      </w:r>
    </w:p>
    <w:p w14:paraId="003AA006" w14:textId="77777777" w:rsidR="004D4B20" w:rsidRPr="001151E7" w:rsidRDefault="004D4B20" w:rsidP="000476ED">
      <w:pPr>
        <w:spacing w:line="480" w:lineRule="auto"/>
        <w:jc w:val="both"/>
        <w:rPr>
          <w:rFonts w:ascii="Arial" w:hAnsi="Arial"/>
        </w:rPr>
      </w:pPr>
    </w:p>
    <w:p w14:paraId="4E234532" w14:textId="7FB853B6" w:rsidR="00F94B27" w:rsidRPr="000476ED" w:rsidRDefault="0006033B" w:rsidP="000476ED">
      <w:pPr>
        <w:pStyle w:val="ListParagraph"/>
        <w:numPr>
          <w:ilvl w:val="0"/>
          <w:numId w:val="1"/>
        </w:numPr>
        <w:spacing w:line="480" w:lineRule="auto"/>
        <w:jc w:val="both"/>
        <w:rPr>
          <w:rFonts w:ascii="Arial" w:hAnsi="Arial"/>
        </w:rPr>
      </w:pPr>
      <w:r>
        <w:rPr>
          <w:rFonts w:ascii="Arial" w:hAnsi="Arial"/>
          <w:color w:val="000000" w:themeColor="text1"/>
        </w:rPr>
        <w:t xml:space="preserve">The court reasoned that this is so, because the appropriate and obligatory time for making an application for leave to amend is when judgment setting aside </w:t>
      </w:r>
      <w:r>
        <w:rPr>
          <w:rFonts w:ascii="Arial" w:hAnsi="Arial"/>
          <w:color w:val="000000" w:themeColor="text1"/>
        </w:rPr>
        <w:lastRenderedPageBreak/>
        <w:t>the pleading had been delivered</w:t>
      </w:r>
      <w:r w:rsidR="00CE632F">
        <w:rPr>
          <w:rFonts w:ascii="Arial" w:hAnsi="Arial"/>
          <w:color w:val="000000" w:themeColor="text1"/>
        </w:rPr>
        <w:t>.</w:t>
      </w:r>
      <w:r w:rsidR="00DF61EB">
        <w:rPr>
          <w:rStyle w:val="FootnoteReference"/>
          <w:rFonts w:ascii="Arial" w:hAnsi="Arial"/>
          <w:color w:val="000000" w:themeColor="text1"/>
        </w:rPr>
        <w:footnoteReference w:id="10"/>
      </w:r>
      <w:r>
        <w:rPr>
          <w:rFonts w:ascii="Arial" w:hAnsi="Arial"/>
          <w:color w:val="000000" w:themeColor="text1"/>
        </w:rPr>
        <w:t xml:space="preserve"> The court further held that the absence of an indication at the time of the hearing of the exception that the plaintiff wishe</w:t>
      </w:r>
      <w:r w:rsidR="00124785">
        <w:rPr>
          <w:rFonts w:ascii="Arial" w:hAnsi="Arial"/>
          <w:color w:val="000000" w:themeColor="text1"/>
        </w:rPr>
        <w:t>d</w:t>
      </w:r>
      <w:r>
        <w:rPr>
          <w:rFonts w:ascii="Arial" w:hAnsi="Arial"/>
          <w:color w:val="000000" w:themeColor="text1"/>
        </w:rPr>
        <w:t xml:space="preserve"> to amend </w:t>
      </w:r>
      <w:r w:rsidR="00124785">
        <w:rPr>
          <w:rFonts w:ascii="Arial" w:hAnsi="Arial"/>
          <w:color w:val="000000" w:themeColor="text1"/>
        </w:rPr>
        <w:t>their</w:t>
      </w:r>
      <w:r>
        <w:rPr>
          <w:rFonts w:ascii="Arial" w:hAnsi="Arial"/>
          <w:color w:val="000000" w:themeColor="text1"/>
        </w:rPr>
        <w:t xml:space="preserve"> particulars of claim d</w:t>
      </w:r>
      <w:r w:rsidR="00917399">
        <w:rPr>
          <w:rFonts w:ascii="Arial" w:hAnsi="Arial"/>
          <w:color w:val="000000" w:themeColor="text1"/>
        </w:rPr>
        <w:t>id</w:t>
      </w:r>
      <w:r>
        <w:rPr>
          <w:rFonts w:ascii="Arial" w:hAnsi="Arial"/>
          <w:color w:val="000000" w:themeColor="text1"/>
        </w:rPr>
        <w:t xml:space="preserve"> not entitle the succes</w:t>
      </w:r>
      <w:r w:rsidR="00DF61EB">
        <w:rPr>
          <w:rFonts w:ascii="Arial" w:hAnsi="Arial"/>
          <w:color w:val="000000" w:themeColor="text1"/>
        </w:rPr>
        <w:t>s</w:t>
      </w:r>
      <w:r>
        <w:rPr>
          <w:rFonts w:ascii="Arial" w:hAnsi="Arial"/>
          <w:color w:val="000000" w:themeColor="text1"/>
        </w:rPr>
        <w:t>ful excipient to an order dismissing the plaintiff’s action</w:t>
      </w:r>
      <w:r w:rsidR="00CE632F">
        <w:rPr>
          <w:rFonts w:ascii="Arial" w:hAnsi="Arial"/>
          <w:color w:val="000000" w:themeColor="text1"/>
        </w:rPr>
        <w:t>.</w:t>
      </w:r>
      <w:r w:rsidR="00DF61EB">
        <w:rPr>
          <w:rStyle w:val="FootnoteReference"/>
          <w:rFonts w:ascii="Arial" w:hAnsi="Arial"/>
          <w:color w:val="000000" w:themeColor="text1"/>
        </w:rPr>
        <w:footnoteReference w:id="11"/>
      </w:r>
      <w:r>
        <w:rPr>
          <w:rFonts w:ascii="Arial" w:hAnsi="Arial"/>
          <w:color w:val="000000" w:themeColor="text1"/>
        </w:rPr>
        <w:t xml:space="preserve">  </w:t>
      </w:r>
      <w:r w:rsidR="00F94B27">
        <w:rPr>
          <w:rFonts w:ascii="Arial" w:hAnsi="Arial"/>
          <w:color w:val="000000" w:themeColor="text1"/>
        </w:rPr>
        <w:t xml:space="preserve"> </w:t>
      </w:r>
    </w:p>
    <w:p w14:paraId="4DCDEA02" w14:textId="77777777" w:rsidR="000476ED" w:rsidRPr="000476ED" w:rsidRDefault="000476ED" w:rsidP="000476ED">
      <w:pPr>
        <w:pStyle w:val="ListParagraph"/>
        <w:spacing w:line="480" w:lineRule="auto"/>
        <w:rPr>
          <w:rFonts w:ascii="Arial" w:hAnsi="Arial"/>
        </w:rPr>
      </w:pPr>
    </w:p>
    <w:p w14:paraId="3EBB7DF2" w14:textId="7F5E1383" w:rsidR="0019385E" w:rsidRPr="004D7075" w:rsidRDefault="00921505" w:rsidP="000476ED">
      <w:pPr>
        <w:pStyle w:val="ListParagraph"/>
        <w:numPr>
          <w:ilvl w:val="0"/>
          <w:numId w:val="1"/>
        </w:numPr>
        <w:spacing w:line="480" w:lineRule="auto"/>
        <w:jc w:val="both"/>
        <w:rPr>
          <w:rFonts w:ascii="Arial" w:hAnsi="Arial"/>
        </w:rPr>
      </w:pPr>
      <w:r>
        <w:rPr>
          <w:rFonts w:ascii="Arial" w:hAnsi="Arial" w:cs="Arial"/>
          <w:color w:val="000000" w:themeColor="text1"/>
          <w:shd w:val="clear" w:color="auto" w:fill="FFFFFF"/>
        </w:rPr>
        <w:t>As noted above, t</w:t>
      </w:r>
      <w:r w:rsidR="008E2BAE">
        <w:rPr>
          <w:rFonts w:ascii="Arial" w:hAnsi="Arial" w:cs="Arial"/>
          <w:color w:val="000000" w:themeColor="text1"/>
          <w:shd w:val="clear" w:color="auto" w:fill="FFFFFF"/>
        </w:rPr>
        <w:t xml:space="preserve">his salutary practice </w:t>
      </w:r>
      <w:r>
        <w:rPr>
          <w:rFonts w:ascii="Arial" w:hAnsi="Arial" w:cs="Arial"/>
          <w:color w:val="000000" w:themeColor="text1"/>
          <w:shd w:val="clear" w:color="auto" w:fill="FFFFFF"/>
        </w:rPr>
        <w:t>was</w:t>
      </w:r>
      <w:r w:rsidR="008E2BAE">
        <w:rPr>
          <w:rFonts w:ascii="Arial" w:hAnsi="Arial" w:cs="Arial"/>
          <w:color w:val="000000" w:themeColor="text1"/>
          <w:shd w:val="clear" w:color="auto" w:fill="FFFFFF"/>
        </w:rPr>
        <w:t xml:space="preserve"> </w:t>
      </w:r>
      <w:r w:rsidR="00F94B27" w:rsidRPr="004D7075">
        <w:rPr>
          <w:rFonts w:ascii="Arial" w:hAnsi="Arial" w:cs="Arial"/>
          <w:color w:val="000000" w:themeColor="text1"/>
          <w:shd w:val="clear" w:color="auto" w:fill="FFFFFF"/>
        </w:rPr>
        <w:t>endorse</w:t>
      </w:r>
      <w:r>
        <w:rPr>
          <w:rFonts w:ascii="Arial" w:hAnsi="Arial" w:cs="Arial"/>
          <w:color w:val="000000" w:themeColor="text1"/>
          <w:shd w:val="clear" w:color="auto" w:fill="FFFFFF"/>
        </w:rPr>
        <w:t>d by this court</w:t>
      </w:r>
      <w:r w:rsidR="008E2BAE">
        <w:rPr>
          <w:rFonts w:ascii="Arial" w:hAnsi="Arial" w:cs="Arial"/>
          <w:color w:val="000000" w:themeColor="text1"/>
          <w:shd w:val="clear" w:color="auto" w:fill="FFFFFF"/>
        </w:rPr>
        <w:t>,</w:t>
      </w:r>
      <w:r w:rsidR="00F94B27" w:rsidRPr="004D7075">
        <w:rPr>
          <w:rFonts w:ascii="Arial" w:hAnsi="Arial" w:cs="Arial"/>
          <w:color w:val="000000" w:themeColor="text1"/>
          <w:shd w:val="clear" w:color="auto" w:fill="FFFFFF"/>
        </w:rPr>
        <w:t xml:space="preserve"> </w:t>
      </w:r>
      <w:r w:rsidR="00015E46">
        <w:rPr>
          <w:rFonts w:ascii="Arial" w:hAnsi="Arial" w:cs="Arial"/>
          <w:color w:val="000000" w:themeColor="text1"/>
          <w:shd w:val="clear" w:color="auto" w:fill="FFFFFF"/>
        </w:rPr>
        <w:t xml:space="preserve">amongst others, in </w:t>
      </w:r>
      <w:r w:rsidR="00015E46" w:rsidRPr="001151E7">
        <w:rPr>
          <w:rFonts w:ascii="Arial" w:hAnsi="Arial" w:cs="Arial"/>
          <w:i/>
          <w:color w:val="000000" w:themeColor="text1"/>
          <w:shd w:val="clear" w:color="auto" w:fill="FFFFFF"/>
        </w:rPr>
        <w:t>Hallie Investment</w:t>
      </w:r>
      <w:r w:rsidR="00015E46">
        <w:rPr>
          <w:rFonts w:ascii="Arial" w:hAnsi="Arial" w:cs="Arial"/>
          <w:color w:val="000000" w:themeColor="text1"/>
          <w:shd w:val="clear" w:color="auto" w:fill="FFFFFF"/>
        </w:rPr>
        <w:t xml:space="preserve"> and </w:t>
      </w:r>
      <w:r w:rsidR="00015E46" w:rsidRPr="001151E7">
        <w:rPr>
          <w:rFonts w:ascii="Arial" w:hAnsi="Arial" w:cs="Arial"/>
          <w:i/>
          <w:color w:val="000000" w:themeColor="text1"/>
          <w:shd w:val="clear" w:color="auto" w:fill="FFFFFF"/>
        </w:rPr>
        <w:t xml:space="preserve">Joseph </w:t>
      </w:r>
      <w:r w:rsidR="00015E46">
        <w:rPr>
          <w:rFonts w:ascii="Arial" w:hAnsi="Arial" w:cs="Arial"/>
          <w:i/>
          <w:color w:val="000000" w:themeColor="text1"/>
          <w:shd w:val="clear" w:color="auto" w:fill="FFFFFF"/>
        </w:rPr>
        <w:t xml:space="preserve">&amp; others </w:t>
      </w:r>
      <w:r w:rsidR="00015E46" w:rsidRPr="001151E7">
        <w:rPr>
          <w:rFonts w:ascii="Arial" w:hAnsi="Arial" w:cs="Arial"/>
          <w:i/>
          <w:color w:val="000000" w:themeColor="text1"/>
          <w:shd w:val="clear" w:color="auto" w:fill="FFFFFF"/>
        </w:rPr>
        <w:t>v Joseph</w:t>
      </w:r>
      <w:r w:rsidR="00015E46" w:rsidRPr="00015E46">
        <w:rPr>
          <w:rFonts w:ascii="Arial" w:hAnsi="Arial" w:cs="Arial"/>
          <w:color w:val="000000" w:themeColor="text1"/>
          <w:shd w:val="clear" w:color="auto" w:fill="FFFFFF"/>
        </w:rPr>
        <w:t>,</w:t>
      </w:r>
      <w:r w:rsidR="00015E46">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no doubt </w:t>
      </w:r>
      <w:r w:rsidR="005B108E">
        <w:rPr>
          <w:rFonts w:ascii="Arial" w:hAnsi="Arial" w:cs="Arial"/>
          <w:color w:val="000000" w:themeColor="text1"/>
          <w:shd w:val="clear" w:color="auto" w:fill="FFFFFF"/>
        </w:rPr>
        <w:t xml:space="preserve">for the reasons amply set out </w:t>
      </w:r>
      <w:r w:rsidR="008E2BAE">
        <w:rPr>
          <w:rFonts w:ascii="Arial" w:hAnsi="Arial" w:cs="Arial"/>
          <w:color w:val="000000" w:themeColor="text1"/>
          <w:shd w:val="clear" w:color="auto" w:fill="FFFFFF"/>
        </w:rPr>
        <w:t xml:space="preserve">with </w:t>
      </w:r>
      <w:r w:rsidR="00917399">
        <w:rPr>
          <w:rFonts w:ascii="Arial" w:hAnsi="Arial" w:cs="Arial"/>
          <w:color w:val="000000" w:themeColor="text1"/>
          <w:shd w:val="clear" w:color="auto" w:fill="FFFFFF"/>
        </w:rPr>
        <w:t>characteristic</w:t>
      </w:r>
      <w:r w:rsidR="008E2BAE">
        <w:rPr>
          <w:rFonts w:ascii="Arial" w:hAnsi="Arial" w:cs="Arial"/>
          <w:color w:val="000000" w:themeColor="text1"/>
          <w:shd w:val="clear" w:color="auto" w:fill="FFFFFF"/>
        </w:rPr>
        <w:t xml:space="preserve"> clarity of thought and erudition by Corbett CJ </w:t>
      </w:r>
      <w:r w:rsidR="00F94B27" w:rsidRPr="004D7075">
        <w:rPr>
          <w:rFonts w:ascii="Arial" w:hAnsi="Arial" w:cs="Arial"/>
          <w:color w:val="000000" w:themeColor="text1"/>
          <w:shd w:val="clear" w:color="auto" w:fill="FFFFFF"/>
        </w:rPr>
        <w:t xml:space="preserve">in </w:t>
      </w:r>
      <w:r w:rsidR="005B108E" w:rsidRPr="001151E7">
        <w:rPr>
          <w:rFonts w:ascii="Arial" w:hAnsi="Arial" w:cs="Arial"/>
          <w:i/>
          <w:color w:val="000000" w:themeColor="text1"/>
          <w:shd w:val="clear" w:color="auto" w:fill="FFFFFF"/>
        </w:rPr>
        <w:t>Group Five</w:t>
      </w:r>
      <w:r w:rsidR="005B108E">
        <w:rPr>
          <w:rFonts w:ascii="Arial" w:hAnsi="Arial" w:cs="Arial"/>
          <w:color w:val="000000" w:themeColor="text1"/>
          <w:shd w:val="clear" w:color="auto" w:fill="FFFFFF"/>
        </w:rPr>
        <w:t xml:space="preserve">. It follows that </w:t>
      </w:r>
      <w:r w:rsidR="00F94B27" w:rsidRPr="004D7075">
        <w:rPr>
          <w:rFonts w:ascii="Arial" w:hAnsi="Arial" w:cs="Arial"/>
          <w:color w:val="000000" w:themeColor="text1"/>
          <w:shd w:val="clear" w:color="auto" w:fill="FFFFFF"/>
        </w:rPr>
        <w:t xml:space="preserve">the </w:t>
      </w:r>
      <w:r w:rsidR="00DF61EB">
        <w:rPr>
          <w:rFonts w:ascii="Arial" w:hAnsi="Arial" w:cs="Arial"/>
          <w:color w:val="000000" w:themeColor="text1"/>
          <w:shd w:val="clear" w:color="auto" w:fill="FFFFFF"/>
        </w:rPr>
        <w:t>High Court</w:t>
      </w:r>
      <w:r w:rsidR="00537891" w:rsidRPr="004D7075">
        <w:rPr>
          <w:rFonts w:ascii="Arial" w:hAnsi="Arial" w:cs="Arial"/>
          <w:color w:val="000000" w:themeColor="text1"/>
          <w:shd w:val="clear" w:color="auto" w:fill="FFFFFF"/>
        </w:rPr>
        <w:t xml:space="preserve"> </w:t>
      </w:r>
      <w:r w:rsidR="0006033B">
        <w:rPr>
          <w:rFonts w:ascii="Arial" w:hAnsi="Arial" w:cs="Arial"/>
          <w:color w:val="000000" w:themeColor="text1"/>
          <w:shd w:val="clear" w:color="auto" w:fill="FFFFFF"/>
        </w:rPr>
        <w:t>was correct</w:t>
      </w:r>
      <w:r w:rsidR="00537891" w:rsidRPr="004D7075">
        <w:rPr>
          <w:rFonts w:ascii="Arial" w:hAnsi="Arial" w:cs="Arial"/>
          <w:color w:val="000000" w:themeColor="text1"/>
          <w:shd w:val="clear" w:color="auto" w:fill="FFFFFF"/>
        </w:rPr>
        <w:t xml:space="preserve"> in granting the respondent </w:t>
      </w:r>
      <w:r w:rsidR="009E42D0">
        <w:rPr>
          <w:rFonts w:ascii="Arial" w:hAnsi="Arial" w:cs="Arial"/>
          <w:color w:val="000000" w:themeColor="text1"/>
          <w:shd w:val="clear" w:color="auto" w:fill="FFFFFF"/>
        </w:rPr>
        <w:t xml:space="preserve">leave </w:t>
      </w:r>
      <w:r w:rsidR="00537891" w:rsidRPr="004D7075">
        <w:rPr>
          <w:rFonts w:ascii="Arial" w:hAnsi="Arial" w:cs="Arial"/>
          <w:color w:val="000000" w:themeColor="text1"/>
          <w:shd w:val="clear" w:color="auto" w:fill="FFFFFF"/>
        </w:rPr>
        <w:t xml:space="preserve">to amend his particulars of claim. </w:t>
      </w:r>
      <w:r w:rsidR="00AD18B2" w:rsidRPr="004D7075">
        <w:rPr>
          <w:rFonts w:ascii="Arial" w:hAnsi="Arial" w:cs="Arial"/>
          <w:color w:val="000000" w:themeColor="text1"/>
          <w:shd w:val="clear" w:color="auto" w:fill="FFFFFF"/>
        </w:rPr>
        <w:t>As to the appropriate order th</w:t>
      </w:r>
      <w:r w:rsidR="00DF61EB">
        <w:rPr>
          <w:rFonts w:ascii="Arial" w:hAnsi="Arial" w:cs="Arial"/>
          <w:color w:val="000000" w:themeColor="text1"/>
          <w:shd w:val="clear" w:color="auto" w:fill="FFFFFF"/>
        </w:rPr>
        <w:t xml:space="preserve">at </w:t>
      </w:r>
      <w:r w:rsidR="00AD18B2" w:rsidRPr="004D7075">
        <w:rPr>
          <w:rFonts w:ascii="Arial" w:hAnsi="Arial" w:cs="Arial"/>
          <w:color w:val="000000" w:themeColor="text1"/>
          <w:shd w:val="clear" w:color="auto" w:fill="FFFFFF"/>
        </w:rPr>
        <w:t xml:space="preserve">court should have </w:t>
      </w:r>
      <w:r w:rsidR="005B108E">
        <w:rPr>
          <w:rFonts w:ascii="Arial" w:hAnsi="Arial" w:cs="Arial"/>
          <w:color w:val="000000" w:themeColor="text1"/>
          <w:shd w:val="clear" w:color="auto" w:fill="FFFFFF"/>
        </w:rPr>
        <w:t>made</w:t>
      </w:r>
      <w:r w:rsidR="00AD18B2" w:rsidRPr="004D7075">
        <w:rPr>
          <w:rFonts w:ascii="Arial" w:hAnsi="Arial" w:cs="Arial"/>
          <w:color w:val="000000" w:themeColor="text1"/>
          <w:shd w:val="clear" w:color="auto" w:fill="FFFFFF"/>
        </w:rPr>
        <w:t>, i</w:t>
      </w:r>
      <w:r w:rsidR="00537891" w:rsidRPr="004D7075">
        <w:rPr>
          <w:rFonts w:ascii="Arial" w:hAnsi="Arial" w:cs="Arial"/>
          <w:color w:val="000000" w:themeColor="text1"/>
          <w:shd w:val="clear" w:color="auto" w:fill="FFFFFF"/>
        </w:rPr>
        <w:t xml:space="preserve">n light of the </w:t>
      </w:r>
      <w:r w:rsidR="009E42D0">
        <w:rPr>
          <w:rFonts w:ascii="Arial" w:hAnsi="Arial" w:cs="Arial"/>
          <w:color w:val="000000" w:themeColor="text1"/>
          <w:shd w:val="clear" w:color="auto" w:fill="FFFFFF"/>
        </w:rPr>
        <w:t xml:space="preserve">holding in both </w:t>
      </w:r>
      <w:r w:rsidR="009E42D0" w:rsidRPr="001151E7">
        <w:rPr>
          <w:rFonts w:ascii="Arial" w:hAnsi="Arial" w:cs="Arial"/>
          <w:i/>
          <w:color w:val="000000" w:themeColor="text1"/>
          <w:shd w:val="clear" w:color="auto" w:fill="FFFFFF"/>
        </w:rPr>
        <w:t>Group Five</w:t>
      </w:r>
      <w:r w:rsidR="009E42D0">
        <w:rPr>
          <w:rFonts w:ascii="Arial" w:hAnsi="Arial" w:cs="Arial"/>
          <w:color w:val="000000" w:themeColor="text1"/>
          <w:shd w:val="clear" w:color="auto" w:fill="FFFFFF"/>
        </w:rPr>
        <w:t xml:space="preserve"> and </w:t>
      </w:r>
      <w:r w:rsidR="009E42D0" w:rsidRPr="001151E7">
        <w:rPr>
          <w:rFonts w:ascii="Arial" w:hAnsi="Arial" w:cs="Arial"/>
          <w:i/>
          <w:color w:val="000000" w:themeColor="text1"/>
          <w:shd w:val="clear" w:color="auto" w:fill="FFFFFF"/>
        </w:rPr>
        <w:t>Total Namibia</w:t>
      </w:r>
      <w:r w:rsidR="00F94B27">
        <w:rPr>
          <w:rFonts w:ascii="Arial" w:hAnsi="Arial" w:cs="Arial"/>
          <w:color w:val="000000" w:themeColor="text1"/>
          <w:shd w:val="clear" w:color="auto" w:fill="FFFFFF"/>
        </w:rPr>
        <w:t xml:space="preserve">, </w:t>
      </w:r>
      <w:r w:rsidR="008E2BAE">
        <w:rPr>
          <w:rFonts w:ascii="Arial" w:hAnsi="Arial" w:cs="Arial"/>
          <w:color w:val="000000" w:themeColor="text1"/>
          <w:shd w:val="clear" w:color="auto" w:fill="FFFFFF"/>
        </w:rPr>
        <w:t>i</w:t>
      </w:r>
      <w:r w:rsidR="00DF61EB">
        <w:rPr>
          <w:rFonts w:ascii="Arial" w:hAnsi="Arial" w:cs="Arial"/>
          <w:color w:val="000000" w:themeColor="text1"/>
          <w:shd w:val="clear" w:color="auto" w:fill="FFFFFF"/>
        </w:rPr>
        <w:t xml:space="preserve">t should have set aside </w:t>
      </w:r>
      <w:r w:rsidR="00537891" w:rsidRPr="004D7075">
        <w:rPr>
          <w:rFonts w:ascii="Arial" w:hAnsi="Arial" w:cs="Arial"/>
          <w:color w:val="000000" w:themeColor="text1"/>
          <w:shd w:val="clear" w:color="auto" w:fill="FFFFFF"/>
        </w:rPr>
        <w:t xml:space="preserve">the </w:t>
      </w:r>
      <w:r w:rsidR="00F94B27">
        <w:rPr>
          <w:rFonts w:ascii="Arial" w:hAnsi="Arial" w:cs="Arial"/>
          <w:color w:val="000000" w:themeColor="text1"/>
          <w:shd w:val="clear" w:color="auto" w:fill="FFFFFF"/>
        </w:rPr>
        <w:t xml:space="preserve">respondent’s </w:t>
      </w:r>
      <w:r w:rsidR="00537891" w:rsidRPr="004D7075">
        <w:rPr>
          <w:rFonts w:ascii="Arial" w:hAnsi="Arial" w:cs="Arial"/>
          <w:color w:val="000000" w:themeColor="text1"/>
          <w:shd w:val="clear" w:color="auto" w:fill="FFFFFF"/>
        </w:rPr>
        <w:t>particulars of claim</w:t>
      </w:r>
      <w:r w:rsidR="00553A1A" w:rsidRPr="004D7075">
        <w:rPr>
          <w:rFonts w:ascii="Arial" w:hAnsi="Arial" w:cs="Arial"/>
          <w:color w:val="000000" w:themeColor="text1"/>
          <w:shd w:val="clear" w:color="auto" w:fill="FFFFFF"/>
        </w:rPr>
        <w:t xml:space="preserve"> before granting</w:t>
      </w:r>
      <w:r w:rsidR="00AD18B2" w:rsidRPr="004D7075">
        <w:rPr>
          <w:rFonts w:ascii="Arial" w:hAnsi="Arial" w:cs="Arial"/>
          <w:color w:val="000000" w:themeColor="text1"/>
          <w:shd w:val="clear" w:color="auto" w:fill="FFFFFF"/>
        </w:rPr>
        <w:t xml:space="preserve"> </w:t>
      </w:r>
      <w:r w:rsidR="00C35EC2">
        <w:rPr>
          <w:rFonts w:ascii="Arial" w:hAnsi="Arial" w:cs="Arial"/>
          <w:color w:val="000000" w:themeColor="text1"/>
          <w:shd w:val="clear" w:color="auto" w:fill="FFFFFF"/>
        </w:rPr>
        <w:t xml:space="preserve">him </w:t>
      </w:r>
      <w:r w:rsidR="00AD18B2" w:rsidRPr="004D7075">
        <w:rPr>
          <w:rFonts w:ascii="Arial" w:hAnsi="Arial" w:cs="Arial"/>
          <w:color w:val="000000" w:themeColor="text1"/>
          <w:shd w:val="clear" w:color="auto" w:fill="FFFFFF"/>
        </w:rPr>
        <w:t>leave to</w:t>
      </w:r>
      <w:r w:rsidR="00F94B27">
        <w:rPr>
          <w:rFonts w:ascii="Arial" w:hAnsi="Arial" w:cs="Arial"/>
          <w:color w:val="000000" w:themeColor="text1"/>
          <w:shd w:val="clear" w:color="auto" w:fill="FFFFFF"/>
        </w:rPr>
        <w:t xml:space="preserve"> </w:t>
      </w:r>
      <w:r w:rsidR="00AD18B2" w:rsidRPr="004D7075">
        <w:rPr>
          <w:rFonts w:ascii="Arial" w:hAnsi="Arial" w:cs="Arial"/>
          <w:color w:val="000000" w:themeColor="text1"/>
          <w:shd w:val="clear" w:color="auto" w:fill="FFFFFF"/>
        </w:rPr>
        <w:t xml:space="preserve">amend </w:t>
      </w:r>
      <w:r w:rsidR="00DF61EB">
        <w:rPr>
          <w:rFonts w:ascii="Arial" w:hAnsi="Arial" w:cs="Arial"/>
          <w:color w:val="000000" w:themeColor="text1"/>
          <w:shd w:val="clear" w:color="auto" w:fill="FFFFFF"/>
        </w:rPr>
        <w:t>them</w:t>
      </w:r>
      <w:r w:rsidR="00537891" w:rsidRPr="004D7075">
        <w:rPr>
          <w:rFonts w:ascii="Arial" w:hAnsi="Arial" w:cs="Arial"/>
          <w:color w:val="000000" w:themeColor="text1"/>
          <w:shd w:val="clear" w:color="auto" w:fill="FFFFFF"/>
        </w:rPr>
        <w:t xml:space="preserve">. </w:t>
      </w:r>
      <w:r w:rsidR="00DF61EB">
        <w:rPr>
          <w:rFonts w:ascii="Arial" w:hAnsi="Arial" w:cs="Arial"/>
          <w:color w:val="000000" w:themeColor="text1"/>
          <w:shd w:val="clear" w:color="auto" w:fill="FFFFFF"/>
        </w:rPr>
        <w:t>It follows that t</w:t>
      </w:r>
      <w:r w:rsidR="005B108E">
        <w:rPr>
          <w:rFonts w:ascii="Arial" w:hAnsi="Arial" w:cs="Arial"/>
          <w:color w:val="000000" w:themeColor="text1"/>
          <w:shd w:val="clear" w:color="auto" w:fill="FFFFFF"/>
        </w:rPr>
        <w:t xml:space="preserve">he order made by the High Court </w:t>
      </w:r>
      <w:r w:rsidR="005F3B51">
        <w:rPr>
          <w:rFonts w:ascii="Arial" w:hAnsi="Arial" w:cs="Arial"/>
          <w:color w:val="000000" w:themeColor="text1"/>
          <w:shd w:val="clear" w:color="auto" w:fill="FFFFFF"/>
        </w:rPr>
        <w:t>must</w:t>
      </w:r>
      <w:r w:rsidR="005B108E">
        <w:rPr>
          <w:rFonts w:ascii="Arial" w:hAnsi="Arial" w:cs="Arial"/>
          <w:color w:val="000000" w:themeColor="text1"/>
          <w:shd w:val="clear" w:color="auto" w:fill="FFFFFF"/>
        </w:rPr>
        <w:t xml:space="preserve"> be corrected </w:t>
      </w:r>
      <w:r w:rsidR="008E2BAE">
        <w:rPr>
          <w:rFonts w:ascii="Arial" w:hAnsi="Arial" w:cs="Arial"/>
          <w:color w:val="000000" w:themeColor="text1"/>
          <w:shd w:val="clear" w:color="auto" w:fill="FFFFFF"/>
        </w:rPr>
        <w:t>to comply with the practice</w:t>
      </w:r>
      <w:r w:rsidR="005B108E">
        <w:rPr>
          <w:rFonts w:ascii="Arial" w:hAnsi="Arial" w:cs="Arial"/>
          <w:color w:val="000000" w:themeColor="text1"/>
          <w:shd w:val="clear" w:color="auto" w:fill="FFFFFF"/>
        </w:rPr>
        <w:t>.</w:t>
      </w:r>
      <w:r w:rsidR="00537891" w:rsidRPr="004D7075">
        <w:rPr>
          <w:rFonts w:ascii="Arial" w:hAnsi="Arial" w:cs="Arial"/>
          <w:color w:val="000000" w:themeColor="text1"/>
          <w:shd w:val="clear" w:color="auto" w:fill="FFFFFF"/>
        </w:rPr>
        <w:t xml:space="preserve">  </w:t>
      </w:r>
    </w:p>
    <w:p w14:paraId="39DB936B" w14:textId="77777777" w:rsidR="0019385E" w:rsidRDefault="0019385E" w:rsidP="000476ED">
      <w:pPr>
        <w:pStyle w:val="ListParagraph"/>
        <w:spacing w:line="480" w:lineRule="auto"/>
        <w:ind w:left="0"/>
        <w:jc w:val="both"/>
        <w:rPr>
          <w:rFonts w:ascii="Arial" w:hAnsi="Arial"/>
          <w:u w:val="single"/>
        </w:rPr>
      </w:pPr>
    </w:p>
    <w:p w14:paraId="37B335EE" w14:textId="77777777" w:rsidR="0019385E" w:rsidRPr="0019385E" w:rsidRDefault="0019385E" w:rsidP="000476ED">
      <w:pPr>
        <w:pStyle w:val="ListParagraph"/>
        <w:spacing w:line="480" w:lineRule="auto"/>
        <w:ind w:left="0"/>
        <w:jc w:val="both"/>
        <w:rPr>
          <w:rFonts w:ascii="Arial" w:hAnsi="Arial"/>
          <w:u w:val="single"/>
        </w:rPr>
      </w:pPr>
      <w:r w:rsidRPr="0019385E">
        <w:rPr>
          <w:rFonts w:ascii="Arial" w:hAnsi="Arial"/>
          <w:u w:val="single"/>
        </w:rPr>
        <w:t>Costs</w:t>
      </w:r>
    </w:p>
    <w:p w14:paraId="7128BEEE" w14:textId="1986F1E2" w:rsidR="00537891" w:rsidRPr="004D10CD" w:rsidRDefault="005F3B51" w:rsidP="000476ED">
      <w:pPr>
        <w:pStyle w:val="ListParagraph"/>
        <w:numPr>
          <w:ilvl w:val="0"/>
          <w:numId w:val="1"/>
        </w:numPr>
        <w:spacing w:line="480" w:lineRule="auto"/>
        <w:jc w:val="both"/>
        <w:rPr>
          <w:rFonts w:ascii="Arial" w:hAnsi="Arial"/>
        </w:rPr>
      </w:pPr>
      <w:r>
        <w:rPr>
          <w:rFonts w:ascii="Arial" w:hAnsi="Arial"/>
        </w:rPr>
        <w:t>Although it is apparent from the record that the respondent initiated the action in person, we were informed d</w:t>
      </w:r>
      <w:r w:rsidR="00537891">
        <w:rPr>
          <w:rFonts w:ascii="Arial" w:hAnsi="Arial"/>
        </w:rPr>
        <w:t xml:space="preserve">uring oral arguments, that </w:t>
      </w:r>
      <w:r>
        <w:rPr>
          <w:rFonts w:ascii="Arial" w:hAnsi="Arial"/>
        </w:rPr>
        <w:t xml:space="preserve">at some point </w:t>
      </w:r>
      <w:r w:rsidR="000705E1">
        <w:rPr>
          <w:rFonts w:ascii="Arial" w:hAnsi="Arial"/>
        </w:rPr>
        <w:t>legal aid was granted to him</w:t>
      </w:r>
      <w:r w:rsidR="000705E1">
        <w:rPr>
          <w:rFonts w:ascii="Arial" w:eastAsia="Arial" w:hAnsi="Arial" w:cs="Arial"/>
          <w:color w:val="000000"/>
        </w:rPr>
        <w:t xml:space="preserve"> in relation to the proceedings both in the High Court and in this court</w:t>
      </w:r>
      <w:r w:rsidR="004D10CD">
        <w:rPr>
          <w:rFonts w:ascii="Arial" w:eastAsia="Arial" w:hAnsi="Arial" w:cs="Arial"/>
          <w:color w:val="000000"/>
        </w:rPr>
        <w:t xml:space="preserve">. </w:t>
      </w:r>
      <w:r w:rsidR="005B108E">
        <w:rPr>
          <w:rFonts w:ascii="Arial" w:eastAsia="Arial" w:hAnsi="Arial" w:cs="Arial"/>
          <w:color w:val="000000"/>
        </w:rPr>
        <w:t xml:space="preserve">It was </w:t>
      </w:r>
      <w:r w:rsidR="00FC5A66">
        <w:rPr>
          <w:rFonts w:ascii="Arial" w:eastAsia="Arial" w:hAnsi="Arial" w:cs="Arial"/>
          <w:color w:val="000000"/>
        </w:rPr>
        <w:t xml:space="preserve">submitted </w:t>
      </w:r>
      <w:r w:rsidR="005B108E">
        <w:rPr>
          <w:rFonts w:ascii="Arial" w:eastAsia="Arial" w:hAnsi="Arial" w:cs="Arial"/>
          <w:color w:val="000000"/>
        </w:rPr>
        <w:t xml:space="preserve">on behalf of the appellants </w:t>
      </w:r>
      <w:r w:rsidR="004D10CD">
        <w:rPr>
          <w:rFonts w:ascii="Arial" w:eastAsia="Arial" w:hAnsi="Arial" w:cs="Arial"/>
          <w:color w:val="000000"/>
        </w:rPr>
        <w:t>that</w:t>
      </w:r>
      <w:r w:rsidR="00D6728C">
        <w:rPr>
          <w:rFonts w:ascii="Arial" w:eastAsia="Arial" w:hAnsi="Arial" w:cs="Arial"/>
          <w:color w:val="000000"/>
        </w:rPr>
        <w:t xml:space="preserve"> </w:t>
      </w:r>
      <w:r w:rsidR="004D10CD">
        <w:rPr>
          <w:rFonts w:ascii="Arial" w:eastAsia="Arial" w:hAnsi="Arial" w:cs="Arial"/>
          <w:color w:val="000000"/>
        </w:rPr>
        <w:t>in</w:t>
      </w:r>
      <w:r w:rsidR="00E93746">
        <w:rPr>
          <w:rFonts w:ascii="Arial" w:eastAsia="Arial" w:hAnsi="Arial" w:cs="Arial"/>
          <w:color w:val="000000"/>
        </w:rPr>
        <w:t xml:space="preserve"> light </w:t>
      </w:r>
      <w:r w:rsidR="004D10CD">
        <w:rPr>
          <w:rFonts w:ascii="Arial" w:eastAsia="Arial" w:hAnsi="Arial" w:cs="Arial"/>
          <w:color w:val="000000"/>
        </w:rPr>
        <w:t xml:space="preserve">of </w:t>
      </w:r>
      <w:r w:rsidR="005B108E">
        <w:rPr>
          <w:rFonts w:ascii="Arial" w:eastAsia="Arial" w:hAnsi="Arial" w:cs="Arial"/>
          <w:color w:val="000000"/>
        </w:rPr>
        <w:t xml:space="preserve">the provisions of </w:t>
      </w:r>
      <w:r w:rsidR="004D10CD">
        <w:rPr>
          <w:rFonts w:ascii="Arial" w:eastAsia="Arial" w:hAnsi="Arial" w:cs="Arial"/>
          <w:color w:val="000000"/>
        </w:rPr>
        <w:t xml:space="preserve">s 18 of the </w:t>
      </w:r>
      <w:r w:rsidR="004D10CD" w:rsidRPr="004D10CD">
        <w:rPr>
          <w:rFonts w:ascii="Arial" w:eastAsia="Arial" w:hAnsi="Arial" w:cs="Arial"/>
          <w:color w:val="000000"/>
        </w:rPr>
        <w:t>L</w:t>
      </w:r>
      <w:r w:rsidR="004D10CD">
        <w:rPr>
          <w:rFonts w:ascii="Arial" w:eastAsia="Arial" w:hAnsi="Arial" w:cs="Arial"/>
          <w:color w:val="000000"/>
        </w:rPr>
        <w:t xml:space="preserve">egal Aid Act </w:t>
      </w:r>
      <w:r w:rsidR="004D10CD" w:rsidRPr="004D10CD">
        <w:rPr>
          <w:rFonts w:ascii="Arial" w:eastAsia="Arial" w:hAnsi="Arial" w:cs="Arial"/>
          <w:color w:val="000000"/>
        </w:rPr>
        <w:t xml:space="preserve">29 </w:t>
      </w:r>
      <w:r w:rsidR="004D10CD">
        <w:rPr>
          <w:rFonts w:ascii="Arial" w:eastAsia="Arial" w:hAnsi="Arial" w:cs="Arial"/>
          <w:color w:val="000000"/>
        </w:rPr>
        <w:t xml:space="preserve">of </w:t>
      </w:r>
      <w:r w:rsidR="004D10CD" w:rsidRPr="004D10CD">
        <w:rPr>
          <w:rFonts w:ascii="Arial" w:eastAsia="Arial" w:hAnsi="Arial" w:cs="Arial"/>
          <w:color w:val="000000"/>
        </w:rPr>
        <w:t>1990</w:t>
      </w:r>
      <w:r w:rsidR="004D10CD">
        <w:rPr>
          <w:rFonts w:ascii="Arial" w:eastAsia="Arial" w:hAnsi="Arial" w:cs="Arial"/>
          <w:color w:val="000000"/>
        </w:rPr>
        <w:t xml:space="preserve">, </w:t>
      </w:r>
      <w:r w:rsidR="006304CC">
        <w:rPr>
          <w:rFonts w:ascii="Arial" w:eastAsia="Arial" w:hAnsi="Arial" w:cs="Arial"/>
          <w:color w:val="000000"/>
        </w:rPr>
        <w:t xml:space="preserve">which provides that </w:t>
      </w:r>
      <w:r w:rsidR="00D6728C">
        <w:rPr>
          <w:rFonts w:ascii="Arial" w:eastAsia="Arial" w:hAnsi="Arial" w:cs="Arial"/>
          <w:color w:val="000000"/>
        </w:rPr>
        <w:t>‘</w:t>
      </w:r>
      <w:r w:rsidR="00773A4A">
        <w:rPr>
          <w:rFonts w:ascii="Arial" w:eastAsia="Arial" w:hAnsi="Arial" w:cs="Arial"/>
          <w:color w:val="000000"/>
        </w:rPr>
        <w:t xml:space="preserve">no order as to costs shall be made against the State in or connection with any proceedings in respect of which legal aid </w:t>
      </w:r>
      <w:r w:rsidR="00773A4A">
        <w:rPr>
          <w:rFonts w:ascii="Arial" w:eastAsia="Arial" w:hAnsi="Arial" w:cs="Arial"/>
          <w:color w:val="000000"/>
        </w:rPr>
        <w:lastRenderedPageBreak/>
        <w:t>was granted and neither shall the State be liable for any costs awarded in such proceedings</w:t>
      </w:r>
      <w:r w:rsidR="00A34168">
        <w:rPr>
          <w:rFonts w:ascii="Arial" w:eastAsia="Arial" w:hAnsi="Arial" w:cs="Arial"/>
          <w:color w:val="000000"/>
        </w:rPr>
        <w:t>’</w:t>
      </w:r>
      <w:r w:rsidR="00773A4A">
        <w:rPr>
          <w:rFonts w:ascii="Arial" w:eastAsia="Arial" w:hAnsi="Arial" w:cs="Arial"/>
          <w:color w:val="000000"/>
        </w:rPr>
        <w:t xml:space="preserve">, </w:t>
      </w:r>
      <w:r w:rsidR="00DE14A9">
        <w:rPr>
          <w:rFonts w:ascii="Arial" w:eastAsia="Arial" w:hAnsi="Arial" w:cs="Arial"/>
          <w:color w:val="000000"/>
        </w:rPr>
        <w:t xml:space="preserve">no order as to costs </w:t>
      </w:r>
      <w:r w:rsidR="001C2FAE">
        <w:rPr>
          <w:rFonts w:ascii="Arial" w:eastAsia="Arial" w:hAnsi="Arial" w:cs="Arial"/>
          <w:color w:val="000000"/>
        </w:rPr>
        <w:t>should</w:t>
      </w:r>
      <w:r w:rsidR="001D28B6">
        <w:rPr>
          <w:rFonts w:ascii="Arial" w:eastAsia="Arial" w:hAnsi="Arial" w:cs="Arial"/>
          <w:color w:val="000000"/>
        </w:rPr>
        <w:t xml:space="preserve"> be made</w:t>
      </w:r>
      <w:r w:rsidR="004D10CD">
        <w:rPr>
          <w:rFonts w:ascii="Arial" w:eastAsia="Arial" w:hAnsi="Arial" w:cs="Arial"/>
          <w:color w:val="000000"/>
        </w:rPr>
        <w:t>.</w:t>
      </w:r>
      <w:r w:rsidR="001C2FAE">
        <w:rPr>
          <w:rFonts w:ascii="Arial" w:eastAsia="Arial" w:hAnsi="Arial" w:cs="Arial"/>
          <w:color w:val="000000"/>
        </w:rPr>
        <w:t xml:space="preserve"> I agree.</w:t>
      </w:r>
      <w:r w:rsidR="00553A1A">
        <w:rPr>
          <w:rFonts w:ascii="Arial" w:eastAsia="Arial" w:hAnsi="Arial" w:cs="Arial"/>
          <w:color w:val="000000"/>
        </w:rPr>
        <w:t xml:space="preserve"> </w:t>
      </w:r>
    </w:p>
    <w:p w14:paraId="433197A3" w14:textId="77777777" w:rsidR="00E93746" w:rsidRDefault="00E93746" w:rsidP="000476ED">
      <w:pPr>
        <w:pStyle w:val="ListParagraph"/>
        <w:spacing w:line="480" w:lineRule="auto"/>
        <w:ind w:left="0"/>
        <w:jc w:val="both"/>
        <w:rPr>
          <w:rFonts w:ascii="Arial" w:hAnsi="Arial"/>
          <w:u w:val="single"/>
        </w:rPr>
      </w:pPr>
    </w:p>
    <w:p w14:paraId="609326B3" w14:textId="0BFF140F" w:rsidR="00DF3064" w:rsidRDefault="00DF3064" w:rsidP="000476ED">
      <w:pPr>
        <w:pStyle w:val="ListParagraph"/>
        <w:spacing w:line="480" w:lineRule="auto"/>
        <w:ind w:left="0"/>
        <w:jc w:val="both"/>
        <w:rPr>
          <w:rFonts w:ascii="Arial" w:hAnsi="Arial"/>
          <w:u w:val="single"/>
        </w:rPr>
      </w:pPr>
      <w:r w:rsidRPr="00CF6FA7">
        <w:rPr>
          <w:rFonts w:ascii="Arial" w:hAnsi="Arial"/>
          <w:u w:val="single"/>
        </w:rPr>
        <w:t>Order</w:t>
      </w:r>
    </w:p>
    <w:p w14:paraId="08407CBE" w14:textId="77777777" w:rsidR="00DF3064" w:rsidRDefault="00DF3064" w:rsidP="000476ED">
      <w:pPr>
        <w:pStyle w:val="ListParagraph"/>
        <w:numPr>
          <w:ilvl w:val="0"/>
          <w:numId w:val="1"/>
        </w:numPr>
        <w:spacing w:line="480" w:lineRule="auto"/>
        <w:jc w:val="both"/>
        <w:rPr>
          <w:rFonts w:ascii="Arial" w:hAnsi="Arial"/>
        </w:rPr>
      </w:pPr>
      <w:r w:rsidRPr="00CF6FA7">
        <w:rPr>
          <w:rFonts w:ascii="Arial" w:hAnsi="Arial"/>
        </w:rPr>
        <w:t>In the result, the following order is made:</w:t>
      </w:r>
    </w:p>
    <w:p w14:paraId="2CFE4517" w14:textId="77777777" w:rsidR="006C13DE" w:rsidRDefault="006C13DE" w:rsidP="000476ED">
      <w:pPr>
        <w:pStyle w:val="ListParagraph"/>
        <w:spacing w:line="480" w:lineRule="auto"/>
        <w:ind w:left="0"/>
        <w:jc w:val="both"/>
        <w:rPr>
          <w:rFonts w:ascii="Arial" w:hAnsi="Arial"/>
        </w:rPr>
      </w:pPr>
    </w:p>
    <w:p w14:paraId="31AD4272" w14:textId="2501D8A2" w:rsidR="004D10CD" w:rsidRDefault="00DF3064" w:rsidP="000476ED">
      <w:pPr>
        <w:pStyle w:val="ListParagraph"/>
        <w:numPr>
          <w:ilvl w:val="0"/>
          <w:numId w:val="2"/>
        </w:numPr>
        <w:spacing w:line="480" w:lineRule="auto"/>
        <w:jc w:val="both"/>
        <w:rPr>
          <w:rFonts w:ascii="Arial" w:hAnsi="Arial"/>
        </w:rPr>
      </w:pPr>
      <w:r w:rsidRPr="00CF6FA7">
        <w:rPr>
          <w:rFonts w:ascii="Arial" w:hAnsi="Arial"/>
        </w:rPr>
        <w:t xml:space="preserve">The appeal </w:t>
      </w:r>
      <w:r w:rsidR="001D28B6">
        <w:rPr>
          <w:rFonts w:ascii="Arial" w:hAnsi="Arial"/>
        </w:rPr>
        <w:t>is dismissed</w:t>
      </w:r>
      <w:r w:rsidR="004D10CD">
        <w:rPr>
          <w:rFonts w:ascii="Arial" w:hAnsi="Arial"/>
        </w:rPr>
        <w:t>.</w:t>
      </w:r>
    </w:p>
    <w:p w14:paraId="5EDAE701" w14:textId="77777777" w:rsidR="006C13DE" w:rsidRDefault="006C13DE" w:rsidP="000476ED">
      <w:pPr>
        <w:pStyle w:val="ListParagraph"/>
        <w:spacing w:line="480" w:lineRule="auto"/>
        <w:ind w:left="1144"/>
        <w:jc w:val="both"/>
        <w:rPr>
          <w:rFonts w:ascii="Arial" w:hAnsi="Arial"/>
        </w:rPr>
      </w:pPr>
    </w:p>
    <w:p w14:paraId="0EDCF82B" w14:textId="77777777" w:rsidR="004D10CD" w:rsidRDefault="004D10CD" w:rsidP="000476ED">
      <w:pPr>
        <w:pStyle w:val="ListParagraph"/>
        <w:numPr>
          <w:ilvl w:val="0"/>
          <w:numId w:val="2"/>
        </w:numPr>
        <w:spacing w:line="480" w:lineRule="auto"/>
        <w:jc w:val="both"/>
        <w:rPr>
          <w:rFonts w:ascii="Arial" w:hAnsi="Arial"/>
        </w:rPr>
      </w:pPr>
      <w:r>
        <w:rPr>
          <w:rFonts w:ascii="Arial" w:hAnsi="Arial"/>
        </w:rPr>
        <w:t>The order of th</w:t>
      </w:r>
      <w:r w:rsidR="00FC5A66">
        <w:rPr>
          <w:rFonts w:ascii="Arial" w:hAnsi="Arial"/>
        </w:rPr>
        <w:t>e High Court is altered to read</w:t>
      </w:r>
      <w:r>
        <w:rPr>
          <w:rFonts w:ascii="Arial" w:hAnsi="Arial"/>
        </w:rPr>
        <w:t>:</w:t>
      </w:r>
    </w:p>
    <w:p w14:paraId="4E294530" w14:textId="77777777" w:rsidR="006C13DE" w:rsidRDefault="006C13DE" w:rsidP="000476ED">
      <w:pPr>
        <w:pStyle w:val="ListParagraph"/>
        <w:spacing w:line="480" w:lineRule="auto"/>
        <w:ind w:left="1144"/>
        <w:jc w:val="both"/>
        <w:rPr>
          <w:rFonts w:ascii="Arial" w:hAnsi="Arial"/>
        </w:rPr>
      </w:pPr>
    </w:p>
    <w:p w14:paraId="20502BCA" w14:textId="0D6BA27F" w:rsidR="00DF3064" w:rsidRPr="005249C8" w:rsidRDefault="006C13DE" w:rsidP="00D7457F">
      <w:pPr>
        <w:pStyle w:val="ListParagraph"/>
        <w:spacing w:line="360" w:lineRule="auto"/>
        <w:ind w:left="1560"/>
        <w:jc w:val="both"/>
        <w:rPr>
          <w:rFonts w:ascii="Arial" w:hAnsi="Arial"/>
        </w:rPr>
      </w:pPr>
      <w:r w:rsidRPr="005249C8">
        <w:rPr>
          <w:rFonts w:ascii="Arial" w:hAnsi="Arial"/>
        </w:rPr>
        <w:t>‘</w:t>
      </w:r>
      <w:r w:rsidR="004D10CD" w:rsidRPr="005249C8">
        <w:rPr>
          <w:rFonts w:ascii="Arial" w:hAnsi="Arial"/>
        </w:rPr>
        <w:t>The plaintiff’s particulars of claim are set aside and the plaintiff</w:t>
      </w:r>
      <w:r w:rsidR="00B54295" w:rsidRPr="005249C8">
        <w:rPr>
          <w:rFonts w:ascii="Arial" w:hAnsi="Arial"/>
        </w:rPr>
        <w:t xml:space="preserve"> is given leave, if so advised and</w:t>
      </w:r>
      <w:r w:rsidR="00D7457F" w:rsidRPr="005249C8">
        <w:rPr>
          <w:rFonts w:ascii="Arial" w:hAnsi="Arial"/>
        </w:rPr>
        <w:t>/or</w:t>
      </w:r>
      <w:r w:rsidR="004D10CD" w:rsidRPr="005249C8">
        <w:rPr>
          <w:rFonts w:ascii="Arial" w:hAnsi="Arial"/>
        </w:rPr>
        <w:t xml:space="preserve"> minded, to file </w:t>
      </w:r>
      <w:r w:rsidR="000F149D" w:rsidRPr="005249C8">
        <w:rPr>
          <w:rFonts w:ascii="Arial" w:hAnsi="Arial"/>
        </w:rPr>
        <w:t xml:space="preserve">a notice to </w:t>
      </w:r>
      <w:r w:rsidR="004D10CD" w:rsidRPr="005249C8">
        <w:rPr>
          <w:rFonts w:ascii="Arial" w:hAnsi="Arial"/>
        </w:rPr>
        <w:t xml:space="preserve">amend </w:t>
      </w:r>
      <w:r w:rsidR="000F149D" w:rsidRPr="005249C8">
        <w:rPr>
          <w:rFonts w:ascii="Arial" w:hAnsi="Arial"/>
        </w:rPr>
        <w:t xml:space="preserve">the </w:t>
      </w:r>
      <w:r w:rsidR="004D10CD" w:rsidRPr="005249C8">
        <w:rPr>
          <w:rFonts w:ascii="Arial" w:hAnsi="Arial"/>
        </w:rPr>
        <w:t>particulars of claim within one month</w:t>
      </w:r>
      <w:r w:rsidR="00D7457F" w:rsidRPr="005249C8">
        <w:rPr>
          <w:rFonts w:ascii="Arial" w:hAnsi="Arial"/>
        </w:rPr>
        <w:t>, failing which the defendants are granted leave to apply for the dismissal of the plaintiff’s action w</w:t>
      </w:r>
      <w:r w:rsidR="00652065">
        <w:rPr>
          <w:rFonts w:ascii="Arial" w:hAnsi="Arial"/>
        </w:rPr>
        <w:t>ithin ten (10)</w:t>
      </w:r>
      <w:r w:rsidR="00D7457F" w:rsidRPr="005249C8">
        <w:rPr>
          <w:rFonts w:ascii="Arial" w:hAnsi="Arial"/>
        </w:rPr>
        <w:t xml:space="preserve"> days of the expiry of the period of one month afforded to the plaintiff.’</w:t>
      </w:r>
    </w:p>
    <w:p w14:paraId="3EACA6B2" w14:textId="77777777" w:rsidR="006C13DE" w:rsidRDefault="006C13DE" w:rsidP="000476ED">
      <w:pPr>
        <w:pStyle w:val="ListParagraph"/>
        <w:spacing w:line="480" w:lineRule="auto"/>
        <w:ind w:left="1560"/>
        <w:jc w:val="both"/>
        <w:rPr>
          <w:rFonts w:ascii="Arial" w:hAnsi="Arial"/>
        </w:rPr>
      </w:pPr>
    </w:p>
    <w:p w14:paraId="0083CAFE" w14:textId="3B22045F" w:rsidR="001D28B6" w:rsidRDefault="001D28B6" w:rsidP="000476ED">
      <w:pPr>
        <w:pStyle w:val="ListParagraph"/>
        <w:numPr>
          <w:ilvl w:val="0"/>
          <w:numId w:val="2"/>
        </w:numPr>
        <w:spacing w:line="480" w:lineRule="auto"/>
        <w:ind w:left="1440" w:hanging="720"/>
        <w:contextualSpacing w:val="0"/>
        <w:jc w:val="both"/>
        <w:rPr>
          <w:rFonts w:ascii="Arial" w:hAnsi="Arial"/>
        </w:rPr>
      </w:pPr>
      <w:r>
        <w:rPr>
          <w:rFonts w:ascii="Arial" w:hAnsi="Arial"/>
        </w:rPr>
        <w:t xml:space="preserve">The period of one month referred to in paragraph </w:t>
      </w:r>
      <w:r w:rsidR="00DE14A9">
        <w:rPr>
          <w:rFonts w:ascii="Arial" w:hAnsi="Arial"/>
        </w:rPr>
        <w:t>2</w:t>
      </w:r>
      <w:r w:rsidR="004D4B20">
        <w:rPr>
          <w:rFonts w:ascii="Arial" w:hAnsi="Arial"/>
        </w:rPr>
        <w:t>5</w:t>
      </w:r>
      <w:r>
        <w:rPr>
          <w:rFonts w:ascii="Arial" w:hAnsi="Arial"/>
        </w:rPr>
        <w:t xml:space="preserve">(b) above begins to run from the date of </w:t>
      </w:r>
      <w:r w:rsidR="001C2FAE">
        <w:rPr>
          <w:rFonts w:ascii="Arial" w:hAnsi="Arial"/>
        </w:rPr>
        <w:t xml:space="preserve">the delivery of </w:t>
      </w:r>
      <w:r>
        <w:rPr>
          <w:rFonts w:ascii="Arial" w:hAnsi="Arial"/>
        </w:rPr>
        <w:t>this judgment</w:t>
      </w:r>
      <w:r w:rsidR="001151E7">
        <w:rPr>
          <w:rFonts w:ascii="Arial" w:hAnsi="Arial"/>
        </w:rPr>
        <w:t>.</w:t>
      </w:r>
    </w:p>
    <w:p w14:paraId="2AA29B06" w14:textId="77777777" w:rsidR="001151E7" w:rsidRDefault="001151E7" w:rsidP="000476ED">
      <w:pPr>
        <w:pStyle w:val="ListParagraph"/>
        <w:spacing w:line="480" w:lineRule="auto"/>
        <w:ind w:left="1440"/>
        <w:contextualSpacing w:val="0"/>
        <w:jc w:val="both"/>
        <w:rPr>
          <w:rFonts w:ascii="Arial" w:hAnsi="Arial"/>
        </w:rPr>
      </w:pPr>
    </w:p>
    <w:p w14:paraId="5B0F1AF5" w14:textId="33AF4A52" w:rsidR="00DF3064" w:rsidRDefault="00751157" w:rsidP="000476ED">
      <w:pPr>
        <w:pStyle w:val="ListParagraph"/>
        <w:numPr>
          <w:ilvl w:val="0"/>
          <w:numId w:val="2"/>
        </w:numPr>
        <w:spacing w:line="480" w:lineRule="auto"/>
        <w:ind w:left="1440" w:hanging="720"/>
        <w:contextualSpacing w:val="0"/>
        <w:jc w:val="both"/>
        <w:rPr>
          <w:rFonts w:ascii="Arial" w:hAnsi="Arial"/>
        </w:rPr>
      </w:pPr>
      <w:r>
        <w:rPr>
          <w:rFonts w:ascii="Arial" w:hAnsi="Arial"/>
        </w:rPr>
        <w:t xml:space="preserve">No order as to costs is </w:t>
      </w:r>
      <w:r w:rsidR="001D28B6">
        <w:rPr>
          <w:rFonts w:ascii="Arial" w:hAnsi="Arial"/>
        </w:rPr>
        <w:t>made</w:t>
      </w:r>
      <w:r>
        <w:rPr>
          <w:rFonts w:ascii="Arial" w:hAnsi="Arial"/>
        </w:rPr>
        <w:t xml:space="preserve">. </w:t>
      </w:r>
    </w:p>
    <w:p w14:paraId="7D8CDB1B" w14:textId="77777777" w:rsidR="001151E7" w:rsidRPr="001151E7" w:rsidRDefault="001151E7" w:rsidP="000476ED">
      <w:pPr>
        <w:pStyle w:val="ListParagraph"/>
        <w:spacing w:line="480" w:lineRule="auto"/>
        <w:rPr>
          <w:rFonts w:ascii="Arial" w:hAnsi="Arial"/>
        </w:rPr>
      </w:pPr>
    </w:p>
    <w:p w14:paraId="5D5C225B" w14:textId="099116D9" w:rsidR="00D6728C" w:rsidRDefault="00773A4A" w:rsidP="000476ED">
      <w:pPr>
        <w:pStyle w:val="ListParagraph"/>
        <w:numPr>
          <w:ilvl w:val="0"/>
          <w:numId w:val="2"/>
        </w:numPr>
        <w:spacing w:line="480" w:lineRule="auto"/>
        <w:ind w:left="1440" w:hanging="720"/>
        <w:contextualSpacing w:val="0"/>
        <w:jc w:val="both"/>
        <w:rPr>
          <w:rFonts w:ascii="Arial" w:hAnsi="Arial"/>
        </w:rPr>
      </w:pPr>
      <w:r>
        <w:rPr>
          <w:rFonts w:ascii="Arial" w:hAnsi="Arial"/>
        </w:rPr>
        <w:t>The matter is remitted</w:t>
      </w:r>
      <w:r w:rsidR="00D6728C">
        <w:rPr>
          <w:rFonts w:ascii="Arial" w:hAnsi="Arial"/>
        </w:rPr>
        <w:t xml:space="preserve"> </w:t>
      </w:r>
      <w:r w:rsidR="009E42D0">
        <w:rPr>
          <w:rFonts w:ascii="Arial" w:hAnsi="Arial"/>
        </w:rPr>
        <w:t>for</w:t>
      </w:r>
      <w:r w:rsidR="00D6728C">
        <w:rPr>
          <w:rFonts w:ascii="Arial" w:hAnsi="Arial"/>
        </w:rPr>
        <w:t xml:space="preserve"> </w:t>
      </w:r>
      <w:r w:rsidR="009E42D0">
        <w:rPr>
          <w:rFonts w:ascii="Arial" w:hAnsi="Arial"/>
        </w:rPr>
        <w:t xml:space="preserve">further </w:t>
      </w:r>
      <w:r w:rsidR="00D6728C">
        <w:rPr>
          <w:rFonts w:ascii="Arial" w:hAnsi="Arial"/>
        </w:rPr>
        <w:t xml:space="preserve">case management, </w:t>
      </w:r>
      <w:r w:rsidR="009E42D0">
        <w:rPr>
          <w:rFonts w:ascii="Arial" w:hAnsi="Arial"/>
        </w:rPr>
        <w:t xml:space="preserve">if </w:t>
      </w:r>
      <w:r w:rsidR="00D6728C">
        <w:rPr>
          <w:rFonts w:ascii="Arial" w:hAnsi="Arial"/>
        </w:rPr>
        <w:t xml:space="preserve">required, for the further conduct of the proceedings.  </w:t>
      </w:r>
    </w:p>
    <w:p w14:paraId="1D83EA9C" w14:textId="3C03AB58" w:rsidR="005249C8" w:rsidRDefault="005249C8">
      <w:pPr>
        <w:spacing w:after="160" w:line="259" w:lineRule="auto"/>
        <w:rPr>
          <w:rFonts w:ascii="Arial" w:hAnsi="Arial" w:cs="Arial"/>
        </w:rPr>
      </w:pPr>
      <w:r>
        <w:rPr>
          <w:rFonts w:ascii="Arial" w:hAnsi="Arial" w:cs="Arial"/>
        </w:rPr>
        <w:br w:type="page"/>
      </w:r>
    </w:p>
    <w:p w14:paraId="73D1297B" w14:textId="77777777" w:rsidR="00596C63" w:rsidRDefault="00596C63" w:rsidP="005249C8">
      <w:pPr>
        <w:jc w:val="both"/>
        <w:rPr>
          <w:rFonts w:ascii="Arial" w:hAnsi="Arial" w:cs="Arial"/>
        </w:rPr>
      </w:pPr>
    </w:p>
    <w:p w14:paraId="3A313DB5" w14:textId="77777777" w:rsidR="005249C8" w:rsidRDefault="005249C8" w:rsidP="005249C8">
      <w:pPr>
        <w:jc w:val="both"/>
        <w:rPr>
          <w:rFonts w:ascii="Arial" w:hAnsi="Arial" w:cs="Arial"/>
        </w:rPr>
      </w:pPr>
    </w:p>
    <w:p w14:paraId="0E19237F" w14:textId="77777777" w:rsidR="005249C8" w:rsidRDefault="005249C8" w:rsidP="005249C8">
      <w:pPr>
        <w:jc w:val="both"/>
        <w:rPr>
          <w:rFonts w:ascii="Arial" w:hAnsi="Arial" w:cs="Arial"/>
        </w:rPr>
      </w:pPr>
    </w:p>
    <w:p w14:paraId="75737156" w14:textId="77777777" w:rsidR="005249C8" w:rsidRDefault="005249C8" w:rsidP="005249C8">
      <w:pPr>
        <w:jc w:val="both"/>
        <w:rPr>
          <w:rFonts w:ascii="Arial" w:hAnsi="Arial" w:cs="Arial"/>
        </w:rPr>
      </w:pPr>
    </w:p>
    <w:p w14:paraId="4C385C44" w14:textId="77777777" w:rsidR="005249C8" w:rsidRDefault="005249C8" w:rsidP="005249C8">
      <w:pPr>
        <w:jc w:val="both"/>
        <w:rPr>
          <w:rFonts w:ascii="Arial" w:hAnsi="Arial" w:cs="Arial"/>
        </w:rPr>
      </w:pPr>
    </w:p>
    <w:p w14:paraId="663C6BD5" w14:textId="77777777" w:rsidR="00DF3064" w:rsidRPr="00681B8B" w:rsidRDefault="00DF3064" w:rsidP="00D10696">
      <w:pPr>
        <w:spacing w:line="276" w:lineRule="auto"/>
        <w:jc w:val="both"/>
        <w:rPr>
          <w:rFonts w:ascii="Arial" w:hAnsi="Arial" w:cs="Arial"/>
        </w:rPr>
      </w:pPr>
      <w:r w:rsidRPr="00681B8B">
        <w:rPr>
          <w:rFonts w:ascii="Arial" w:hAnsi="Arial" w:cs="Arial"/>
        </w:rPr>
        <w:t>_________________________</w:t>
      </w:r>
    </w:p>
    <w:p w14:paraId="3701A784" w14:textId="77777777" w:rsidR="00DF3064" w:rsidRPr="00681B8B" w:rsidRDefault="00DF3064" w:rsidP="00D10696">
      <w:pPr>
        <w:spacing w:line="276" w:lineRule="auto"/>
        <w:rPr>
          <w:rFonts w:ascii="Arial" w:hAnsi="Arial" w:cs="Arial"/>
          <w:b/>
        </w:rPr>
      </w:pPr>
      <w:r w:rsidRPr="00681B8B">
        <w:rPr>
          <w:rFonts w:ascii="Arial" w:hAnsi="Arial" w:cs="Arial"/>
          <w:b/>
        </w:rPr>
        <w:t>SHIVUTE CJ</w:t>
      </w:r>
    </w:p>
    <w:p w14:paraId="55844453" w14:textId="77777777" w:rsidR="00E93746" w:rsidRDefault="00E93746" w:rsidP="00D10696">
      <w:pPr>
        <w:spacing w:line="276" w:lineRule="auto"/>
        <w:rPr>
          <w:rFonts w:ascii="Arial" w:hAnsi="Arial" w:cs="Arial"/>
        </w:rPr>
      </w:pPr>
    </w:p>
    <w:p w14:paraId="4E3E0808" w14:textId="77777777" w:rsidR="00E93746" w:rsidRDefault="00E93746" w:rsidP="00D10696">
      <w:pPr>
        <w:spacing w:line="276" w:lineRule="auto"/>
        <w:rPr>
          <w:rFonts w:ascii="Arial" w:hAnsi="Arial" w:cs="Arial"/>
        </w:rPr>
      </w:pPr>
    </w:p>
    <w:p w14:paraId="021D78B9" w14:textId="77777777" w:rsidR="00596C63" w:rsidRDefault="00596C63" w:rsidP="00D10696">
      <w:pPr>
        <w:spacing w:line="276" w:lineRule="auto"/>
        <w:rPr>
          <w:rFonts w:ascii="Arial" w:hAnsi="Arial" w:cs="Arial"/>
        </w:rPr>
      </w:pPr>
    </w:p>
    <w:p w14:paraId="3FACFC11" w14:textId="77777777" w:rsidR="00596C63" w:rsidRDefault="00596C63" w:rsidP="00D10696">
      <w:pPr>
        <w:spacing w:line="276" w:lineRule="auto"/>
        <w:rPr>
          <w:rFonts w:ascii="Arial" w:hAnsi="Arial" w:cs="Arial"/>
        </w:rPr>
      </w:pPr>
    </w:p>
    <w:p w14:paraId="6A4EEE1E" w14:textId="77777777" w:rsidR="00596C63" w:rsidRDefault="00596C63" w:rsidP="00D10696">
      <w:pPr>
        <w:spacing w:line="276" w:lineRule="auto"/>
        <w:rPr>
          <w:rFonts w:ascii="Arial" w:hAnsi="Arial" w:cs="Arial"/>
        </w:rPr>
      </w:pPr>
    </w:p>
    <w:p w14:paraId="461D9CBB" w14:textId="77777777" w:rsidR="00DF3064" w:rsidRPr="00681B8B" w:rsidRDefault="00DF3064" w:rsidP="00D10696">
      <w:pPr>
        <w:spacing w:line="276" w:lineRule="auto"/>
        <w:rPr>
          <w:rFonts w:ascii="Arial" w:hAnsi="Arial" w:cs="Arial"/>
        </w:rPr>
      </w:pPr>
      <w:r w:rsidRPr="00681B8B">
        <w:rPr>
          <w:rFonts w:ascii="Arial" w:hAnsi="Arial" w:cs="Arial"/>
        </w:rPr>
        <w:t>___________</w:t>
      </w:r>
      <w:r>
        <w:rPr>
          <w:rFonts w:ascii="Arial" w:hAnsi="Arial" w:cs="Arial"/>
        </w:rPr>
        <w:t>______________</w:t>
      </w:r>
    </w:p>
    <w:p w14:paraId="79129882" w14:textId="77777777" w:rsidR="00983788" w:rsidRPr="00534351" w:rsidRDefault="00983788" w:rsidP="00D10696">
      <w:pPr>
        <w:spacing w:line="276" w:lineRule="auto"/>
        <w:rPr>
          <w:rFonts w:ascii="Arial" w:hAnsi="Arial" w:cs="Arial"/>
          <w:b/>
        </w:rPr>
      </w:pPr>
      <w:r>
        <w:rPr>
          <w:rFonts w:ascii="Arial" w:hAnsi="Arial" w:cs="Arial"/>
          <w:b/>
        </w:rPr>
        <w:t xml:space="preserve">SMUTS </w:t>
      </w:r>
      <w:r w:rsidRPr="00534351">
        <w:rPr>
          <w:rFonts w:ascii="Arial" w:hAnsi="Arial" w:cs="Arial"/>
          <w:b/>
        </w:rPr>
        <w:t>JA</w:t>
      </w:r>
    </w:p>
    <w:p w14:paraId="5971A69D" w14:textId="77777777" w:rsidR="00CD40B5" w:rsidRDefault="00CD40B5" w:rsidP="00D10696">
      <w:pPr>
        <w:spacing w:line="276" w:lineRule="auto"/>
        <w:rPr>
          <w:rFonts w:ascii="Arial" w:hAnsi="Arial" w:cs="Arial"/>
        </w:rPr>
      </w:pPr>
    </w:p>
    <w:p w14:paraId="7811CABF" w14:textId="77777777" w:rsidR="00581B42" w:rsidRDefault="00581B42" w:rsidP="00D10696">
      <w:pPr>
        <w:spacing w:line="276" w:lineRule="auto"/>
        <w:rPr>
          <w:rFonts w:ascii="Arial" w:hAnsi="Arial" w:cs="Arial"/>
        </w:rPr>
      </w:pPr>
    </w:p>
    <w:p w14:paraId="1B360BAB" w14:textId="77777777" w:rsidR="00940FB0" w:rsidRDefault="00940FB0" w:rsidP="00D10696">
      <w:pPr>
        <w:spacing w:line="276" w:lineRule="auto"/>
        <w:rPr>
          <w:rFonts w:ascii="Arial" w:hAnsi="Arial" w:cs="Arial"/>
        </w:rPr>
      </w:pPr>
    </w:p>
    <w:p w14:paraId="7111F2DA" w14:textId="77777777" w:rsidR="00596C63" w:rsidRDefault="00596C63" w:rsidP="00D10696">
      <w:pPr>
        <w:spacing w:line="276" w:lineRule="auto"/>
        <w:rPr>
          <w:rFonts w:ascii="Arial" w:hAnsi="Arial" w:cs="Arial"/>
        </w:rPr>
      </w:pPr>
    </w:p>
    <w:p w14:paraId="41441A3A" w14:textId="77777777" w:rsidR="00D10696" w:rsidRPr="00681B8B" w:rsidRDefault="00D10696" w:rsidP="00D10696">
      <w:pPr>
        <w:spacing w:line="276" w:lineRule="auto"/>
        <w:rPr>
          <w:rFonts w:ascii="Arial" w:hAnsi="Arial" w:cs="Arial"/>
        </w:rPr>
      </w:pPr>
    </w:p>
    <w:p w14:paraId="6CAEF125" w14:textId="77777777" w:rsidR="00DF3064" w:rsidRPr="00681B8B" w:rsidRDefault="00DF3064" w:rsidP="00D10696">
      <w:pPr>
        <w:spacing w:line="276" w:lineRule="auto"/>
        <w:rPr>
          <w:rFonts w:ascii="Arial" w:hAnsi="Arial" w:cs="Arial"/>
        </w:rPr>
      </w:pPr>
      <w:r w:rsidRPr="00681B8B">
        <w:rPr>
          <w:rFonts w:ascii="Arial" w:hAnsi="Arial" w:cs="Arial"/>
        </w:rPr>
        <w:t>_________________________</w:t>
      </w:r>
    </w:p>
    <w:p w14:paraId="0E65FCA0" w14:textId="77777777" w:rsidR="00983788" w:rsidRPr="00983788" w:rsidRDefault="00983788" w:rsidP="00D10696">
      <w:pPr>
        <w:spacing w:line="276" w:lineRule="auto"/>
        <w:rPr>
          <w:rFonts w:ascii="Arial" w:hAnsi="Arial"/>
          <w:b/>
        </w:rPr>
      </w:pPr>
      <w:r w:rsidRPr="00983788">
        <w:rPr>
          <w:rFonts w:ascii="Arial" w:hAnsi="Arial" w:cs="Arial"/>
          <w:b/>
          <w:lang w:val="en-ZA"/>
        </w:rPr>
        <w:t>LIEBENBERG AJA</w:t>
      </w:r>
      <w:r w:rsidRPr="00983788">
        <w:rPr>
          <w:rFonts w:ascii="Arial" w:hAnsi="Arial"/>
          <w:b/>
        </w:rPr>
        <w:t xml:space="preserve"> </w:t>
      </w:r>
    </w:p>
    <w:p w14:paraId="7999340E" w14:textId="77777777" w:rsidR="00581B42" w:rsidRDefault="00581B42" w:rsidP="0019258F">
      <w:pPr>
        <w:spacing w:line="480" w:lineRule="auto"/>
        <w:jc w:val="both"/>
        <w:rPr>
          <w:rFonts w:ascii="Arial" w:hAnsi="Arial"/>
        </w:rPr>
      </w:pPr>
    </w:p>
    <w:p w14:paraId="22C15E8C" w14:textId="58BC0500" w:rsidR="000476ED" w:rsidRDefault="000476ED">
      <w:pPr>
        <w:spacing w:after="160" w:line="259" w:lineRule="auto"/>
        <w:rPr>
          <w:rFonts w:ascii="Arial" w:hAnsi="Arial"/>
        </w:rPr>
      </w:pPr>
      <w:r>
        <w:rPr>
          <w:rFonts w:ascii="Arial" w:hAnsi="Arial"/>
        </w:rPr>
        <w:br w:type="page"/>
      </w:r>
    </w:p>
    <w:p w14:paraId="4018A5E5" w14:textId="77777777" w:rsidR="00F74E82" w:rsidRDefault="00F74E82">
      <w:pPr>
        <w:spacing w:after="160" w:line="259" w:lineRule="auto"/>
        <w:rPr>
          <w:rFonts w:ascii="Arial" w:hAnsi="Arial"/>
        </w:rPr>
      </w:pPr>
    </w:p>
    <w:p w14:paraId="6F54F321" w14:textId="77777777" w:rsidR="00DF3064" w:rsidRDefault="00DF3064" w:rsidP="0019258F">
      <w:pPr>
        <w:spacing w:line="480" w:lineRule="auto"/>
        <w:jc w:val="both"/>
        <w:rPr>
          <w:rFonts w:ascii="Arial" w:hAnsi="Arial"/>
        </w:rPr>
      </w:pPr>
      <w:r>
        <w:rPr>
          <w:rFonts w:ascii="Arial" w:hAnsi="Arial"/>
        </w:rPr>
        <w:t>APPEARANCES</w:t>
      </w:r>
    </w:p>
    <w:p w14:paraId="290023C3" w14:textId="77777777" w:rsidR="00DF3064" w:rsidRDefault="00DF3064" w:rsidP="0019258F">
      <w:pPr>
        <w:spacing w:line="480" w:lineRule="auto"/>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5335"/>
      </w:tblGrid>
      <w:tr w:rsidR="00DF3064" w14:paraId="4FFFC5DF" w14:textId="77777777" w:rsidTr="004D10CD">
        <w:tc>
          <w:tcPr>
            <w:tcW w:w="3510" w:type="dxa"/>
          </w:tcPr>
          <w:p w14:paraId="0568C38A" w14:textId="77777777" w:rsidR="00DF3064" w:rsidRDefault="00DF3064" w:rsidP="00D10696">
            <w:pPr>
              <w:spacing w:line="480" w:lineRule="auto"/>
              <w:ind w:hanging="108"/>
              <w:jc w:val="both"/>
              <w:rPr>
                <w:rFonts w:ascii="Arial" w:hAnsi="Arial"/>
              </w:rPr>
            </w:pPr>
            <w:r>
              <w:rPr>
                <w:rFonts w:ascii="Arial" w:hAnsi="Arial"/>
              </w:rPr>
              <w:t>APPELLANT</w:t>
            </w:r>
            <w:r w:rsidR="00983788">
              <w:rPr>
                <w:rFonts w:ascii="Arial" w:hAnsi="Arial"/>
              </w:rPr>
              <w:t>S</w:t>
            </w:r>
            <w:r>
              <w:rPr>
                <w:rFonts w:ascii="Arial" w:hAnsi="Arial"/>
              </w:rPr>
              <w:t>:</w:t>
            </w:r>
          </w:p>
          <w:p w14:paraId="1F22347D" w14:textId="77777777" w:rsidR="00DF3064" w:rsidRDefault="00DF3064" w:rsidP="00D10696">
            <w:pPr>
              <w:spacing w:line="480" w:lineRule="auto"/>
              <w:ind w:hanging="108"/>
              <w:jc w:val="both"/>
              <w:rPr>
                <w:rFonts w:ascii="Arial" w:hAnsi="Arial"/>
              </w:rPr>
            </w:pPr>
          </w:p>
          <w:p w14:paraId="7E447174" w14:textId="77777777" w:rsidR="00DF3064" w:rsidRDefault="00DF3064" w:rsidP="00D10696">
            <w:pPr>
              <w:spacing w:line="480" w:lineRule="auto"/>
              <w:ind w:hanging="108"/>
              <w:jc w:val="both"/>
              <w:rPr>
                <w:rFonts w:ascii="Arial" w:hAnsi="Arial"/>
              </w:rPr>
            </w:pPr>
          </w:p>
          <w:p w14:paraId="22C16B60" w14:textId="77777777" w:rsidR="00DF3064" w:rsidRDefault="00DF3064" w:rsidP="00D10696">
            <w:pPr>
              <w:spacing w:line="480" w:lineRule="auto"/>
              <w:ind w:hanging="108"/>
              <w:jc w:val="both"/>
              <w:rPr>
                <w:rFonts w:ascii="Arial" w:hAnsi="Arial"/>
              </w:rPr>
            </w:pPr>
            <w:r>
              <w:rPr>
                <w:rFonts w:ascii="Arial" w:hAnsi="Arial"/>
              </w:rPr>
              <w:t>RESPON</w:t>
            </w:r>
            <w:r w:rsidR="00983788">
              <w:rPr>
                <w:rFonts w:ascii="Arial" w:hAnsi="Arial"/>
              </w:rPr>
              <w:t>DENT</w:t>
            </w:r>
            <w:r>
              <w:rPr>
                <w:rFonts w:ascii="Arial" w:hAnsi="Arial"/>
              </w:rPr>
              <w:t>:</w:t>
            </w:r>
          </w:p>
        </w:tc>
        <w:tc>
          <w:tcPr>
            <w:tcW w:w="5487" w:type="dxa"/>
          </w:tcPr>
          <w:p w14:paraId="7140FBA4" w14:textId="77777777" w:rsidR="00DF3064" w:rsidRDefault="00983788" w:rsidP="00D10696">
            <w:pPr>
              <w:spacing w:line="480" w:lineRule="auto"/>
              <w:ind w:hanging="108"/>
              <w:jc w:val="both"/>
              <w:rPr>
                <w:rFonts w:ascii="Arial" w:hAnsi="Arial"/>
              </w:rPr>
            </w:pPr>
            <w:r>
              <w:rPr>
                <w:rFonts w:ascii="Arial" w:hAnsi="Arial"/>
              </w:rPr>
              <w:t xml:space="preserve">J Ncube </w:t>
            </w:r>
          </w:p>
          <w:p w14:paraId="6502C480" w14:textId="77777777" w:rsidR="00DF3064" w:rsidRDefault="00DF3064" w:rsidP="00D10696">
            <w:pPr>
              <w:spacing w:line="480" w:lineRule="auto"/>
              <w:ind w:hanging="108"/>
              <w:jc w:val="both"/>
              <w:rPr>
                <w:rFonts w:ascii="Arial" w:hAnsi="Arial"/>
              </w:rPr>
            </w:pPr>
            <w:r>
              <w:rPr>
                <w:rFonts w:ascii="Arial" w:hAnsi="Arial"/>
              </w:rPr>
              <w:t xml:space="preserve">Of </w:t>
            </w:r>
            <w:r w:rsidR="00983788">
              <w:rPr>
                <w:rFonts w:ascii="Arial" w:hAnsi="Arial"/>
              </w:rPr>
              <w:t>the Government Attorney</w:t>
            </w:r>
          </w:p>
          <w:p w14:paraId="36396181" w14:textId="77777777" w:rsidR="00DF3064" w:rsidRDefault="00DF3064" w:rsidP="00D10696">
            <w:pPr>
              <w:spacing w:line="480" w:lineRule="auto"/>
              <w:ind w:hanging="108"/>
              <w:jc w:val="both"/>
              <w:rPr>
                <w:rFonts w:ascii="Arial" w:hAnsi="Arial"/>
              </w:rPr>
            </w:pPr>
          </w:p>
          <w:p w14:paraId="525E6722" w14:textId="77777777" w:rsidR="00DF3064" w:rsidRDefault="00983788" w:rsidP="00D10696">
            <w:pPr>
              <w:spacing w:line="480" w:lineRule="auto"/>
              <w:ind w:hanging="108"/>
              <w:jc w:val="both"/>
              <w:rPr>
                <w:rFonts w:ascii="Arial" w:hAnsi="Arial"/>
              </w:rPr>
            </w:pPr>
            <w:r>
              <w:rPr>
                <w:rFonts w:ascii="Arial" w:hAnsi="Arial"/>
              </w:rPr>
              <w:t xml:space="preserve">No appearance </w:t>
            </w:r>
          </w:p>
          <w:p w14:paraId="0AA751F4" w14:textId="77777777" w:rsidR="00DF3064" w:rsidRDefault="00DF3064" w:rsidP="00D10696">
            <w:pPr>
              <w:spacing w:line="480" w:lineRule="auto"/>
              <w:ind w:hanging="108"/>
              <w:jc w:val="both"/>
              <w:rPr>
                <w:rFonts w:ascii="Arial" w:hAnsi="Arial"/>
              </w:rPr>
            </w:pPr>
          </w:p>
        </w:tc>
      </w:tr>
    </w:tbl>
    <w:p w14:paraId="2256D9C0" w14:textId="77777777" w:rsidR="00587231" w:rsidRPr="00587231" w:rsidRDefault="00587231" w:rsidP="00D10696">
      <w:pPr>
        <w:spacing w:line="480" w:lineRule="auto"/>
        <w:rPr>
          <w:color w:val="FF0000"/>
        </w:rPr>
      </w:pPr>
    </w:p>
    <w:sectPr w:rsidR="00587231" w:rsidRPr="00587231" w:rsidSect="004D10CD">
      <w:headerReference w:type="default" r:id="rId12"/>
      <w:footerReference w:type="even" r:id="rId13"/>
      <w:pgSz w:w="11900" w:h="16840"/>
      <w:pgMar w:top="1701" w:right="1418" w:bottom="1418" w:left="1701" w:header="709" w:footer="709"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2F635" w16cid:durableId="25DDFE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4BFA9" w14:textId="77777777" w:rsidR="00653FA3" w:rsidRDefault="00653FA3" w:rsidP="00DF3064">
      <w:r>
        <w:separator/>
      </w:r>
    </w:p>
  </w:endnote>
  <w:endnote w:type="continuationSeparator" w:id="0">
    <w:p w14:paraId="275AC450" w14:textId="77777777" w:rsidR="00653FA3" w:rsidRDefault="00653FA3" w:rsidP="00DF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F10AF" w14:textId="77777777" w:rsidR="004D10CD" w:rsidRDefault="004D10CD" w:rsidP="004D1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FE61D" w14:textId="77777777" w:rsidR="004D10CD" w:rsidRDefault="004D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6694D" w14:textId="77777777" w:rsidR="00653FA3" w:rsidRDefault="00653FA3" w:rsidP="00DF3064">
      <w:r>
        <w:separator/>
      </w:r>
    </w:p>
  </w:footnote>
  <w:footnote w:type="continuationSeparator" w:id="0">
    <w:p w14:paraId="0793FE96" w14:textId="77777777" w:rsidR="00653FA3" w:rsidRDefault="00653FA3" w:rsidP="00DF3064">
      <w:r>
        <w:continuationSeparator/>
      </w:r>
    </w:p>
  </w:footnote>
  <w:footnote w:id="1">
    <w:p w14:paraId="667FB35C" w14:textId="66C2FC1C" w:rsidR="004D10CD" w:rsidRPr="002B560E" w:rsidRDefault="004D10CD" w:rsidP="00827196">
      <w:pPr>
        <w:pStyle w:val="FootnoteText"/>
        <w:rPr>
          <w:rFonts w:ascii="Arial" w:hAnsi="Arial" w:cs="Arial"/>
          <w:lang w:val="en-ZA"/>
        </w:rPr>
      </w:pPr>
      <w:r w:rsidRPr="002B560E">
        <w:rPr>
          <w:rStyle w:val="FootnoteReference"/>
          <w:rFonts w:ascii="Arial" w:hAnsi="Arial" w:cs="Arial"/>
          <w:color w:val="000000" w:themeColor="text1"/>
        </w:rPr>
        <w:footnoteRef/>
      </w:r>
      <w:r w:rsidRPr="002B560E">
        <w:rPr>
          <w:rFonts w:ascii="Arial" w:hAnsi="Arial" w:cs="Arial"/>
          <w:color w:val="000000" w:themeColor="text1"/>
        </w:rPr>
        <w:t xml:space="preserve"> </w:t>
      </w:r>
      <w:r w:rsidRPr="002B560E">
        <w:rPr>
          <w:rFonts w:ascii="Arial" w:hAnsi="Arial" w:cs="Arial"/>
          <w:i/>
          <w:color w:val="000000" w:themeColor="text1"/>
        </w:rPr>
        <w:t xml:space="preserve">Legal Aid </w:t>
      </w:r>
      <w:r w:rsidR="00C81038">
        <w:rPr>
          <w:rFonts w:ascii="Arial" w:hAnsi="Arial" w:cs="Arial"/>
          <w:i/>
          <w:color w:val="000000" w:themeColor="text1"/>
        </w:rPr>
        <w:t>Board &amp;</w:t>
      </w:r>
      <w:r w:rsidRPr="002B560E">
        <w:rPr>
          <w:rFonts w:ascii="Arial" w:hAnsi="Arial" w:cs="Arial"/>
          <w:i/>
          <w:color w:val="000000" w:themeColor="text1"/>
        </w:rPr>
        <w:t xml:space="preserve"> others v Singh</w:t>
      </w:r>
      <w:r w:rsidRPr="002B560E">
        <w:rPr>
          <w:rFonts w:ascii="Arial" w:hAnsi="Arial" w:cs="Arial"/>
          <w:color w:val="000000" w:themeColor="text1"/>
        </w:rPr>
        <w:t xml:space="preserve"> 2009 (1) SA 184 (N) para 10</w:t>
      </w:r>
      <w:r w:rsidR="003B4029">
        <w:rPr>
          <w:rFonts w:ascii="Arial" w:hAnsi="Arial" w:cs="Arial"/>
          <w:color w:val="000000" w:themeColor="text1"/>
        </w:rPr>
        <w:t>.</w:t>
      </w:r>
      <w:r w:rsidRPr="002B560E">
        <w:rPr>
          <w:rFonts w:ascii="Arial" w:hAnsi="Arial" w:cs="Arial"/>
          <w:color w:val="000000" w:themeColor="text1"/>
        </w:rPr>
        <w:t xml:space="preserve"> </w:t>
      </w:r>
    </w:p>
  </w:footnote>
  <w:footnote w:id="2">
    <w:p w14:paraId="4C10B3DA" w14:textId="4FA4D647" w:rsidR="004D10CD" w:rsidRPr="000A495E" w:rsidRDefault="004D10CD" w:rsidP="00827196">
      <w:pPr>
        <w:pStyle w:val="FootnoteText"/>
        <w:rPr>
          <w:rFonts w:ascii="Arial" w:hAnsi="Arial" w:cs="Arial"/>
          <w:lang w:val="en-ZA"/>
        </w:rPr>
      </w:pPr>
      <w:r w:rsidRPr="000A495E">
        <w:rPr>
          <w:rStyle w:val="FootnoteReference"/>
          <w:rFonts w:ascii="Arial" w:hAnsi="Arial" w:cs="Arial"/>
        </w:rPr>
        <w:footnoteRef/>
      </w:r>
      <w:r w:rsidRPr="000A495E">
        <w:rPr>
          <w:rFonts w:ascii="Arial" w:hAnsi="Arial" w:cs="Arial"/>
        </w:rPr>
        <w:t xml:space="preserve"> </w:t>
      </w:r>
      <w:r w:rsidRPr="000A495E">
        <w:rPr>
          <w:rFonts w:ascii="Arial" w:eastAsia="Arial" w:hAnsi="Arial" w:cs="Arial"/>
          <w:i/>
          <w:lang w:val="en" w:eastAsia="en-ZA"/>
        </w:rPr>
        <w:t xml:space="preserve">Indilinga Systems </w:t>
      </w:r>
      <w:r w:rsidR="00814F4C">
        <w:rPr>
          <w:rFonts w:ascii="Arial" w:eastAsia="Arial" w:hAnsi="Arial" w:cs="Arial"/>
          <w:i/>
          <w:lang w:val="en" w:eastAsia="en-ZA"/>
        </w:rPr>
        <w:t xml:space="preserve">Design &amp; </w:t>
      </w:r>
      <w:r w:rsidRPr="000A495E">
        <w:rPr>
          <w:rFonts w:ascii="Arial" w:eastAsia="Arial" w:hAnsi="Arial" w:cs="Arial"/>
          <w:i/>
          <w:lang w:val="en" w:eastAsia="en-ZA"/>
        </w:rPr>
        <w:t xml:space="preserve">Logistics CC v Minister of Safety and Security </w:t>
      </w:r>
      <w:r w:rsidR="00182EF0">
        <w:rPr>
          <w:rFonts w:ascii="Arial" w:eastAsia="Arial" w:hAnsi="Arial" w:cs="Arial"/>
          <w:i/>
          <w:lang w:val="en" w:eastAsia="en-ZA"/>
        </w:rPr>
        <w:t>&amp; a</w:t>
      </w:r>
      <w:r w:rsidRPr="000A495E">
        <w:rPr>
          <w:rFonts w:ascii="Arial" w:eastAsia="Arial" w:hAnsi="Arial" w:cs="Arial"/>
          <w:i/>
          <w:lang w:val="en" w:eastAsia="en-ZA"/>
        </w:rPr>
        <w:t xml:space="preserve">nother </w:t>
      </w:r>
      <w:r w:rsidR="009B1D42">
        <w:rPr>
          <w:rFonts w:ascii="Arial" w:eastAsia="Arial" w:hAnsi="Arial" w:cs="Arial"/>
          <w:lang w:val="en" w:eastAsia="en-ZA"/>
        </w:rPr>
        <w:t>(</w:t>
      </w:r>
      <w:r w:rsidRPr="000A495E">
        <w:rPr>
          <w:rFonts w:ascii="Arial" w:hAnsi="Arial" w:cs="Arial"/>
        </w:rPr>
        <w:t>I 209/2013</w:t>
      </w:r>
      <w:r w:rsidR="009B1D42">
        <w:rPr>
          <w:rFonts w:ascii="Arial" w:hAnsi="Arial" w:cs="Arial"/>
        </w:rPr>
        <w:t>)</w:t>
      </w:r>
      <w:r w:rsidRPr="000A495E">
        <w:rPr>
          <w:rFonts w:ascii="Arial" w:hAnsi="Arial" w:cs="Arial"/>
        </w:rPr>
        <w:t xml:space="preserve"> </w:t>
      </w:r>
      <w:r w:rsidR="00814F4C">
        <w:rPr>
          <w:rFonts w:ascii="Arial" w:hAnsi="Arial" w:cs="Arial"/>
        </w:rPr>
        <w:t>[2014] NAHCMD 264 (20 May 2014)</w:t>
      </w:r>
      <w:r w:rsidRPr="000A495E">
        <w:rPr>
          <w:rFonts w:ascii="Arial" w:hAnsi="Arial" w:cs="Arial"/>
        </w:rPr>
        <w:t>.</w:t>
      </w:r>
    </w:p>
  </w:footnote>
  <w:footnote w:id="3">
    <w:p w14:paraId="37D08D75" w14:textId="47C34061" w:rsidR="00564D5C" w:rsidRPr="00754FA5" w:rsidRDefault="00564D5C" w:rsidP="00564D5C">
      <w:pPr>
        <w:pStyle w:val="FootnoteText"/>
        <w:jc w:val="both"/>
        <w:rPr>
          <w:rFonts w:ascii="Arial" w:hAnsi="Arial" w:cs="Arial"/>
          <w:lang w:val="en-ZA"/>
        </w:rPr>
      </w:pPr>
      <w:r w:rsidRPr="00754FA5">
        <w:rPr>
          <w:rStyle w:val="FootnoteReference"/>
          <w:rFonts w:ascii="Arial" w:hAnsi="Arial" w:cs="Arial"/>
        </w:rPr>
        <w:footnoteRef/>
      </w:r>
      <w:r w:rsidRPr="00754FA5">
        <w:rPr>
          <w:rFonts w:ascii="Arial" w:hAnsi="Arial" w:cs="Arial"/>
        </w:rPr>
        <w:t xml:space="preserve"> Before the amendment to s</w:t>
      </w:r>
      <w:r w:rsidRPr="00754FA5">
        <w:rPr>
          <w:rFonts w:ascii="Arial" w:eastAsia="Arial" w:hAnsi="Arial" w:cs="Arial"/>
          <w:lang w:val="en" w:eastAsia="en-ZA"/>
        </w:rPr>
        <w:t xml:space="preserve"> 39(1) of the Police Act</w:t>
      </w:r>
      <w:r w:rsidR="00754FA5">
        <w:rPr>
          <w:rFonts w:ascii="Arial" w:eastAsia="Arial" w:hAnsi="Arial" w:cs="Arial"/>
          <w:lang w:val="en" w:eastAsia="en-ZA"/>
        </w:rPr>
        <w:t xml:space="preserve"> took effect</w:t>
      </w:r>
      <w:r w:rsidRPr="00754FA5">
        <w:rPr>
          <w:rFonts w:ascii="Arial" w:eastAsia="Arial" w:hAnsi="Arial" w:cs="Arial"/>
          <w:lang w:val="en" w:eastAsia="en-ZA"/>
        </w:rPr>
        <w:t>, the provision was identical to s 133(4) of the Correctional Service Act</w:t>
      </w:r>
      <w:r w:rsidR="00754FA5">
        <w:rPr>
          <w:rFonts w:ascii="Arial" w:eastAsia="Arial" w:hAnsi="Arial" w:cs="Arial"/>
          <w:lang w:val="en" w:eastAsia="en-ZA"/>
        </w:rPr>
        <w:t xml:space="preserve"> in that it p</w:t>
      </w:r>
      <w:r w:rsidRPr="00754FA5">
        <w:rPr>
          <w:rFonts w:ascii="Arial" w:eastAsia="Arial" w:hAnsi="Arial" w:cs="Arial"/>
          <w:lang w:val="en" w:eastAsia="en-ZA"/>
        </w:rPr>
        <w:t xml:space="preserve">rovided as a pre-condition for the institution of the civil action against </w:t>
      </w:r>
      <w:r w:rsidR="00AB12A1">
        <w:rPr>
          <w:rFonts w:ascii="Arial" w:eastAsia="Arial" w:hAnsi="Arial" w:cs="Arial"/>
          <w:lang w:val="en" w:eastAsia="en-ZA"/>
        </w:rPr>
        <w:t>p</w:t>
      </w:r>
      <w:r w:rsidRPr="00754FA5">
        <w:rPr>
          <w:rFonts w:ascii="Arial" w:eastAsia="Arial" w:hAnsi="Arial" w:cs="Arial"/>
          <w:lang w:val="en" w:eastAsia="en-ZA"/>
        </w:rPr>
        <w:t>olice officials</w:t>
      </w:r>
      <w:r w:rsidR="00AB12A1">
        <w:rPr>
          <w:rFonts w:ascii="Arial" w:eastAsia="Arial" w:hAnsi="Arial" w:cs="Arial"/>
          <w:lang w:val="en" w:eastAsia="en-ZA"/>
        </w:rPr>
        <w:t>, the giving of notice to the Minister</w:t>
      </w:r>
      <w:r w:rsidRPr="00754FA5">
        <w:rPr>
          <w:rFonts w:ascii="Arial" w:eastAsia="Arial" w:hAnsi="Arial" w:cs="Arial"/>
          <w:lang w:val="en" w:eastAsia="en-ZA"/>
        </w:rPr>
        <w:t xml:space="preserve">. A failure to give written notice </w:t>
      </w:r>
      <w:r w:rsidR="00AB12A1">
        <w:rPr>
          <w:rFonts w:ascii="Arial" w:eastAsia="Arial" w:hAnsi="Arial" w:cs="Arial"/>
          <w:lang w:val="en" w:eastAsia="en-ZA"/>
        </w:rPr>
        <w:t>wa</w:t>
      </w:r>
      <w:r w:rsidRPr="00754FA5">
        <w:rPr>
          <w:rFonts w:ascii="Arial" w:eastAsia="Arial" w:hAnsi="Arial" w:cs="Arial"/>
          <w:lang w:val="en" w:eastAsia="en-ZA"/>
        </w:rPr>
        <w:t xml:space="preserve">s fatal to the </w:t>
      </w:r>
      <w:r w:rsidR="00F857AD">
        <w:rPr>
          <w:rFonts w:ascii="Arial" w:eastAsia="Arial" w:hAnsi="Arial" w:cs="Arial"/>
          <w:lang w:val="en" w:eastAsia="en-ZA"/>
        </w:rPr>
        <w:t xml:space="preserve">institution of the </w:t>
      </w:r>
      <w:r w:rsidRPr="00754FA5">
        <w:rPr>
          <w:rFonts w:ascii="Arial" w:eastAsia="Arial" w:hAnsi="Arial" w:cs="Arial"/>
          <w:lang w:val="en" w:eastAsia="en-ZA"/>
        </w:rPr>
        <w:t>action</w:t>
      </w:r>
      <w:r w:rsidR="00F857AD">
        <w:rPr>
          <w:rFonts w:ascii="Arial" w:eastAsia="Arial" w:hAnsi="Arial" w:cs="Arial"/>
          <w:lang w:val="en" w:eastAsia="en-ZA"/>
        </w:rPr>
        <w:t>. As such,</w:t>
      </w:r>
      <w:r w:rsidRPr="00754FA5">
        <w:rPr>
          <w:rFonts w:ascii="Arial" w:eastAsia="Arial" w:hAnsi="Arial" w:cs="Arial"/>
          <w:lang w:val="en" w:eastAsia="en-ZA"/>
        </w:rPr>
        <w:t xml:space="preserve"> the action </w:t>
      </w:r>
      <w:r w:rsidR="00423F8B">
        <w:rPr>
          <w:rFonts w:ascii="Arial" w:eastAsia="Arial" w:hAnsi="Arial" w:cs="Arial"/>
          <w:lang w:val="en" w:eastAsia="en-ZA"/>
        </w:rPr>
        <w:t>wa</w:t>
      </w:r>
      <w:r w:rsidRPr="00754FA5">
        <w:rPr>
          <w:rFonts w:ascii="Arial" w:eastAsia="Arial" w:hAnsi="Arial" w:cs="Arial"/>
          <w:lang w:val="en" w:eastAsia="en-ZA"/>
        </w:rPr>
        <w:t>s null and void.</w:t>
      </w:r>
    </w:p>
  </w:footnote>
  <w:footnote w:id="4">
    <w:p w14:paraId="56CFA47C" w14:textId="77777777" w:rsidR="00424943" w:rsidRPr="00C0233F" w:rsidRDefault="00424943" w:rsidP="00697475">
      <w:pPr>
        <w:pStyle w:val="FootnoteText"/>
        <w:jc w:val="both"/>
        <w:rPr>
          <w:rFonts w:ascii="Arial" w:hAnsi="Arial" w:cs="Arial"/>
          <w:lang w:val="en-ZA"/>
        </w:rPr>
      </w:pPr>
      <w:r w:rsidRPr="00C0233F">
        <w:rPr>
          <w:rStyle w:val="FootnoteReference"/>
          <w:rFonts w:ascii="Arial" w:hAnsi="Arial" w:cs="Arial"/>
        </w:rPr>
        <w:footnoteRef/>
      </w:r>
      <w:r w:rsidRPr="00C0233F">
        <w:rPr>
          <w:rFonts w:ascii="Arial" w:hAnsi="Arial" w:cs="Arial"/>
        </w:rPr>
        <w:t xml:space="preserve"> </w:t>
      </w:r>
      <w:r w:rsidRPr="00C0233F">
        <w:rPr>
          <w:rFonts w:ascii="Arial" w:hAnsi="Arial" w:cs="Arial"/>
          <w:i/>
          <w:color w:val="000000" w:themeColor="text1"/>
        </w:rPr>
        <w:t>Hallie Investment 142 C</w:t>
      </w:r>
      <w:r w:rsidR="006C13DE" w:rsidRPr="00C0233F">
        <w:rPr>
          <w:rFonts w:ascii="Arial" w:hAnsi="Arial" w:cs="Arial"/>
          <w:i/>
          <w:color w:val="000000" w:themeColor="text1"/>
        </w:rPr>
        <w:t>C</w:t>
      </w:r>
      <w:r w:rsidRPr="00C0233F">
        <w:rPr>
          <w:rFonts w:ascii="Arial" w:hAnsi="Arial" w:cs="Arial"/>
          <w:i/>
          <w:color w:val="000000" w:themeColor="text1"/>
        </w:rPr>
        <w:t xml:space="preserve"> t/a Wimpy Maerua &amp; another v Caterplus Namibia (Pty) Ltd t/a Blue Marine Interfish</w:t>
      </w:r>
      <w:r w:rsidRPr="00C0233F">
        <w:rPr>
          <w:rFonts w:ascii="Arial" w:hAnsi="Arial" w:cs="Arial"/>
          <w:color w:val="000000" w:themeColor="text1"/>
        </w:rPr>
        <w:t xml:space="preserve"> 2016 (1) NR 291 (SC)</w:t>
      </w:r>
      <w:r w:rsidR="00697475" w:rsidRPr="00C0233F">
        <w:rPr>
          <w:rFonts w:ascii="Arial" w:hAnsi="Arial" w:cs="Arial"/>
          <w:color w:val="000000" w:themeColor="text1"/>
        </w:rPr>
        <w:t xml:space="preserve"> para 53</w:t>
      </w:r>
      <w:r w:rsidR="005662C8">
        <w:rPr>
          <w:rFonts w:ascii="Arial" w:hAnsi="Arial" w:cs="Arial"/>
          <w:color w:val="000000" w:themeColor="text1"/>
        </w:rPr>
        <w:t xml:space="preserve"> (</w:t>
      </w:r>
      <w:r w:rsidR="005662C8" w:rsidRPr="001151E7">
        <w:rPr>
          <w:rFonts w:ascii="Arial" w:hAnsi="Arial" w:cs="Arial"/>
          <w:i/>
          <w:color w:val="000000" w:themeColor="text1"/>
        </w:rPr>
        <w:t>Hallie Investment</w:t>
      </w:r>
      <w:r w:rsidR="005662C8">
        <w:rPr>
          <w:rFonts w:ascii="Arial" w:hAnsi="Arial" w:cs="Arial"/>
          <w:color w:val="000000" w:themeColor="text1"/>
        </w:rPr>
        <w:t>)</w:t>
      </w:r>
      <w:r w:rsidRPr="00C0233F">
        <w:rPr>
          <w:rFonts w:ascii="Arial" w:hAnsi="Arial" w:cs="Arial"/>
          <w:color w:val="000000" w:themeColor="text1"/>
        </w:rPr>
        <w:t xml:space="preserve">. </w:t>
      </w:r>
    </w:p>
  </w:footnote>
  <w:footnote w:id="5">
    <w:p w14:paraId="76E600DC" w14:textId="77777777" w:rsidR="00697475" w:rsidRPr="00C0233F" w:rsidRDefault="00697475" w:rsidP="00697475">
      <w:pPr>
        <w:pStyle w:val="FootnoteText"/>
        <w:jc w:val="both"/>
        <w:rPr>
          <w:rFonts w:ascii="Arial" w:hAnsi="Arial" w:cs="Arial"/>
          <w:lang w:val="en-ZA"/>
        </w:rPr>
      </w:pPr>
      <w:r w:rsidRPr="00C0233F">
        <w:rPr>
          <w:rStyle w:val="FootnoteReference"/>
          <w:rFonts w:ascii="Arial" w:hAnsi="Arial" w:cs="Arial"/>
        </w:rPr>
        <w:footnoteRef/>
      </w:r>
      <w:r w:rsidRPr="00C0233F">
        <w:rPr>
          <w:rFonts w:ascii="Arial" w:hAnsi="Arial" w:cs="Arial"/>
        </w:rPr>
        <w:t xml:space="preserve"> </w:t>
      </w:r>
      <w:r w:rsidRPr="00C0233F">
        <w:rPr>
          <w:rFonts w:ascii="Arial" w:hAnsi="Arial" w:cs="Arial"/>
          <w:i/>
          <w:color w:val="000000" w:themeColor="text1"/>
        </w:rPr>
        <w:t>Total Namibia (Pty) Ltd v Van der Merwe t/a Ampies Motors</w:t>
      </w:r>
      <w:r w:rsidRPr="00C0233F">
        <w:rPr>
          <w:rFonts w:ascii="Arial" w:hAnsi="Arial" w:cs="Arial"/>
          <w:color w:val="000000" w:themeColor="text1"/>
        </w:rPr>
        <w:t xml:space="preserve"> 1998 NR 176 (HC)</w:t>
      </w:r>
      <w:r w:rsidR="005662C8">
        <w:rPr>
          <w:rFonts w:ascii="Arial" w:hAnsi="Arial" w:cs="Arial"/>
          <w:color w:val="000000" w:themeColor="text1"/>
        </w:rPr>
        <w:t xml:space="preserve"> (</w:t>
      </w:r>
      <w:r w:rsidR="005662C8" w:rsidRPr="001151E7">
        <w:rPr>
          <w:rFonts w:ascii="Arial" w:hAnsi="Arial" w:cs="Arial"/>
          <w:i/>
          <w:color w:val="000000" w:themeColor="text1"/>
        </w:rPr>
        <w:t>Total Namibia</w:t>
      </w:r>
      <w:r w:rsidR="005662C8">
        <w:rPr>
          <w:rFonts w:ascii="Arial" w:hAnsi="Arial" w:cs="Arial"/>
          <w:color w:val="000000" w:themeColor="text1"/>
        </w:rPr>
        <w:t>)</w:t>
      </w:r>
      <w:r w:rsidRPr="00C0233F">
        <w:rPr>
          <w:rFonts w:ascii="Arial" w:hAnsi="Arial" w:cs="Arial"/>
          <w:color w:val="000000" w:themeColor="text1"/>
        </w:rPr>
        <w:t>.</w:t>
      </w:r>
    </w:p>
  </w:footnote>
  <w:footnote w:id="6">
    <w:p w14:paraId="70BBF3A0" w14:textId="2ACC30C6" w:rsidR="004D10CD" w:rsidRPr="00C0233F" w:rsidRDefault="004D10CD" w:rsidP="00697475">
      <w:pPr>
        <w:pStyle w:val="FootnoteText"/>
        <w:jc w:val="both"/>
        <w:rPr>
          <w:rFonts w:ascii="Arial" w:hAnsi="Arial" w:cs="Arial"/>
          <w:lang w:val="en-ZA"/>
        </w:rPr>
      </w:pPr>
      <w:r w:rsidRPr="00C0233F">
        <w:rPr>
          <w:rStyle w:val="FootnoteReference"/>
          <w:rFonts w:ascii="Arial" w:hAnsi="Arial" w:cs="Arial"/>
        </w:rPr>
        <w:footnoteRef/>
      </w:r>
      <w:r w:rsidRPr="00C0233F">
        <w:rPr>
          <w:rFonts w:ascii="Arial" w:hAnsi="Arial" w:cs="Arial"/>
        </w:rPr>
        <w:t xml:space="preserve"> </w:t>
      </w:r>
      <w:r w:rsidR="00DC4E5D">
        <w:rPr>
          <w:rFonts w:ascii="Arial" w:hAnsi="Arial" w:cs="Arial"/>
        </w:rPr>
        <w:t xml:space="preserve">In </w:t>
      </w:r>
      <w:r w:rsidR="00B6710F" w:rsidRPr="00F74E82">
        <w:rPr>
          <w:rFonts w:ascii="Arial" w:hAnsi="Arial" w:cs="Arial"/>
          <w:i/>
        </w:rPr>
        <w:t>G</w:t>
      </w:r>
      <w:r w:rsidR="00B6710F" w:rsidRPr="00C0233F">
        <w:rPr>
          <w:rFonts w:ascii="Arial" w:hAnsi="Arial" w:cs="Arial"/>
          <w:i/>
        </w:rPr>
        <w:t>roup Five Building Ltd v Government of the Republic of South Africa (Minister of Public Works and Land Affairs)</w:t>
      </w:r>
      <w:r w:rsidR="00B6710F" w:rsidRPr="00C0233F">
        <w:rPr>
          <w:rFonts w:ascii="Arial" w:hAnsi="Arial" w:cs="Arial"/>
          <w:color w:val="000000" w:themeColor="text1"/>
        </w:rPr>
        <w:t xml:space="preserve"> </w:t>
      </w:r>
      <w:r w:rsidRPr="00C0233F">
        <w:rPr>
          <w:rFonts w:ascii="Arial" w:hAnsi="Arial" w:cs="Arial"/>
          <w:color w:val="000000" w:themeColor="text1"/>
        </w:rPr>
        <w:t>1993 (2) SA 593 (A)</w:t>
      </w:r>
      <w:r w:rsidR="00B35DFC">
        <w:rPr>
          <w:rFonts w:ascii="Arial" w:hAnsi="Arial" w:cs="Arial"/>
          <w:color w:val="000000" w:themeColor="text1"/>
        </w:rPr>
        <w:t xml:space="preserve"> (</w:t>
      </w:r>
      <w:r w:rsidR="00B35DFC" w:rsidRPr="001151E7">
        <w:rPr>
          <w:rFonts w:ascii="Arial" w:hAnsi="Arial" w:cs="Arial"/>
          <w:i/>
          <w:color w:val="000000" w:themeColor="text1"/>
        </w:rPr>
        <w:t>Group Five</w:t>
      </w:r>
      <w:r w:rsidR="00B35DFC" w:rsidRPr="001151E7">
        <w:rPr>
          <w:rFonts w:ascii="Arial" w:hAnsi="Arial" w:cs="Arial"/>
          <w:color w:val="000000" w:themeColor="text1"/>
        </w:rPr>
        <w:t>)</w:t>
      </w:r>
      <w:r w:rsidRPr="00C0233F">
        <w:rPr>
          <w:rFonts w:ascii="Arial" w:hAnsi="Arial" w:cs="Arial"/>
          <w:color w:val="000000" w:themeColor="text1"/>
        </w:rPr>
        <w:t xml:space="preserve">; </w:t>
      </w:r>
      <w:r w:rsidRPr="00C0233F">
        <w:rPr>
          <w:rFonts w:ascii="Arial" w:hAnsi="Arial" w:cs="Arial"/>
          <w:i/>
          <w:color w:val="000000" w:themeColor="text1"/>
        </w:rPr>
        <w:t xml:space="preserve">Trope </w:t>
      </w:r>
      <w:r w:rsidR="00C47FEE">
        <w:rPr>
          <w:rFonts w:ascii="Arial" w:hAnsi="Arial" w:cs="Arial"/>
          <w:i/>
          <w:color w:val="000000" w:themeColor="text1"/>
        </w:rPr>
        <w:t>&amp;</w:t>
      </w:r>
      <w:r w:rsidRPr="00C0233F">
        <w:rPr>
          <w:rFonts w:ascii="Arial" w:hAnsi="Arial" w:cs="Arial"/>
          <w:i/>
          <w:color w:val="000000" w:themeColor="text1"/>
        </w:rPr>
        <w:t xml:space="preserve"> </w:t>
      </w:r>
      <w:r w:rsidR="00C47FEE">
        <w:rPr>
          <w:rFonts w:ascii="Arial" w:hAnsi="Arial" w:cs="Arial"/>
          <w:i/>
          <w:color w:val="000000" w:themeColor="text1"/>
        </w:rPr>
        <w:t>o</w:t>
      </w:r>
      <w:r w:rsidRPr="00C0233F">
        <w:rPr>
          <w:rFonts w:ascii="Arial" w:hAnsi="Arial" w:cs="Arial"/>
          <w:i/>
          <w:color w:val="000000" w:themeColor="text1"/>
        </w:rPr>
        <w:t>thers v South African Reserve Bank</w:t>
      </w:r>
      <w:r w:rsidRPr="00C0233F">
        <w:rPr>
          <w:rFonts w:ascii="Arial" w:hAnsi="Arial" w:cs="Arial"/>
          <w:color w:val="000000" w:themeColor="text1"/>
        </w:rPr>
        <w:t xml:space="preserve"> 1993 (3) SA 264 (A) and </w:t>
      </w:r>
      <w:r w:rsidRPr="00C0233F">
        <w:rPr>
          <w:rFonts w:ascii="Arial" w:hAnsi="Arial" w:cs="Arial"/>
          <w:i/>
          <w:color w:val="000000" w:themeColor="text1"/>
        </w:rPr>
        <w:t>Rowe v Rowe</w:t>
      </w:r>
      <w:r w:rsidRPr="00C0233F">
        <w:rPr>
          <w:rFonts w:ascii="Arial" w:hAnsi="Arial" w:cs="Arial"/>
          <w:color w:val="000000" w:themeColor="text1"/>
        </w:rPr>
        <w:t xml:space="preserve"> 1997 (4) SA 160 (</w:t>
      </w:r>
      <w:r w:rsidR="00C47FEE">
        <w:rPr>
          <w:rFonts w:ascii="Arial" w:hAnsi="Arial" w:cs="Arial"/>
          <w:color w:val="000000" w:themeColor="text1"/>
        </w:rPr>
        <w:t>SC</w:t>
      </w:r>
      <w:r w:rsidRPr="00C0233F">
        <w:rPr>
          <w:rFonts w:ascii="Arial" w:hAnsi="Arial" w:cs="Arial"/>
          <w:color w:val="000000" w:themeColor="text1"/>
        </w:rPr>
        <w:t xml:space="preserve">A). </w:t>
      </w:r>
    </w:p>
  </w:footnote>
  <w:footnote w:id="7">
    <w:p w14:paraId="757E3D21" w14:textId="77777777" w:rsidR="00697475" w:rsidRPr="00C0233F" w:rsidRDefault="00697475">
      <w:pPr>
        <w:pStyle w:val="FootnoteText"/>
        <w:rPr>
          <w:rFonts w:ascii="Arial" w:hAnsi="Arial" w:cs="Arial"/>
          <w:lang w:val="en-ZA"/>
        </w:rPr>
      </w:pPr>
      <w:r w:rsidRPr="00C0233F">
        <w:rPr>
          <w:rStyle w:val="FootnoteReference"/>
          <w:rFonts w:ascii="Arial" w:hAnsi="Arial" w:cs="Arial"/>
        </w:rPr>
        <w:footnoteRef/>
      </w:r>
      <w:r w:rsidRPr="00C0233F">
        <w:rPr>
          <w:rFonts w:ascii="Arial" w:hAnsi="Arial" w:cs="Arial"/>
        </w:rPr>
        <w:t xml:space="preserve"> </w:t>
      </w:r>
      <w:r w:rsidRPr="00C0233F">
        <w:rPr>
          <w:rFonts w:ascii="Arial" w:hAnsi="Arial" w:cs="Arial"/>
          <w:i/>
          <w:color w:val="000000" w:themeColor="text1"/>
        </w:rPr>
        <w:t xml:space="preserve">Joseph </w:t>
      </w:r>
      <w:r w:rsidR="00FF2852" w:rsidRPr="00C0233F">
        <w:rPr>
          <w:rFonts w:ascii="Arial" w:hAnsi="Arial" w:cs="Arial"/>
          <w:i/>
          <w:color w:val="000000" w:themeColor="text1"/>
        </w:rPr>
        <w:t>&amp;</w:t>
      </w:r>
      <w:r w:rsidRPr="00C0233F">
        <w:rPr>
          <w:rFonts w:ascii="Arial" w:hAnsi="Arial" w:cs="Arial"/>
          <w:i/>
          <w:color w:val="000000" w:themeColor="text1"/>
        </w:rPr>
        <w:t xml:space="preserve"> others v Joseph</w:t>
      </w:r>
      <w:r w:rsidRPr="00C0233F">
        <w:rPr>
          <w:rFonts w:ascii="Arial" w:hAnsi="Arial" w:cs="Arial"/>
          <w:color w:val="000000" w:themeColor="text1"/>
        </w:rPr>
        <w:t xml:space="preserve"> 2020 (3) NR 689 (SC) para 71.  </w:t>
      </w:r>
    </w:p>
  </w:footnote>
  <w:footnote w:id="8">
    <w:p w14:paraId="501708F3" w14:textId="44337D13" w:rsidR="00B35DFC" w:rsidRPr="00596C63" w:rsidRDefault="00B35DFC">
      <w:pPr>
        <w:pStyle w:val="FootnoteText"/>
        <w:rPr>
          <w:rFonts w:ascii="Arial" w:hAnsi="Arial" w:cs="Arial"/>
          <w:lang w:val="en-US"/>
        </w:rPr>
      </w:pPr>
      <w:r w:rsidRPr="00596C63">
        <w:rPr>
          <w:rStyle w:val="FootnoteReference"/>
          <w:rFonts w:ascii="Arial" w:hAnsi="Arial" w:cs="Arial"/>
        </w:rPr>
        <w:footnoteRef/>
      </w:r>
      <w:r w:rsidRPr="00596C63">
        <w:rPr>
          <w:rFonts w:ascii="Arial" w:hAnsi="Arial" w:cs="Arial"/>
        </w:rPr>
        <w:t xml:space="preserve"> </w:t>
      </w:r>
      <w:r w:rsidRPr="00596C63">
        <w:rPr>
          <w:rFonts w:ascii="Arial" w:hAnsi="Arial" w:cs="Arial"/>
          <w:i/>
          <w:lang w:val="en-US"/>
        </w:rPr>
        <w:t>Group Five</w:t>
      </w:r>
      <w:r w:rsidRPr="00596C63">
        <w:rPr>
          <w:rFonts w:ascii="Arial" w:hAnsi="Arial" w:cs="Arial"/>
          <w:lang w:val="en-US"/>
        </w:rPr>
        <w:t xml:space="preserve"> at 60</w:t>
      </w:r>
      <w:r w:rsidR="00015E46" w:rsidRPr="00596C63">
        <w:rPr>
          <w:rFonts w:ascii="Arial" w:hAnsi="Arial" w:cs="Arial"/>
          <w:lang w:val="en-US"/>
        </w:rPr>
        <w:t>2D–E</w:t>
      </w:r>
      <w:r w:rsidR="001151E7" w:rsidRPr="00596C63">
        <w:rPr>
          <w:rFonts w:ascii="Arial" w:hAnsi="Arial" w:cs="Arial"/>
          <w:lang w:val="en-US"/>
        </w:rPr>
        <w:t>.</w:t>
      </w:r>
    </w:p>
  </w:footnote>
  <w:footnote w:id="9">
    <w:p w14:paraId="6D5B4D8A" w14:textId="710593AC" w:rsidR="003E23E6" w:rsidRPr="000476ED" w:rsidRDefault="003E23E6">
      <w:pPr>
        <w:pStyle w:val="FootnoteText"/>
        <w:rPr>
          <w:rFonts w:ascii="Arial" w:hAnsi="Arial" w:cs="Arial"/>
          <w:lang w:val="en-US"/>
        </w:rPr>
      </w:pPr>
      <w:r w:rsidRPr="000476ED">
        <w:rPr>
          <w:rStyle w:val="FootnoteReference"/>
          <w:rFonts w:ascii="Arial" w:hAnsi="Arial" w:cs="Arial"/>
        </w:rPr>
        <w:footnoteRef/>
      </w:r>
      <w:r w:rsidRPr="000476ED">
        <w:rPr>
          <w:rFonts w:ascii="Arial" w:hAnsi="Arial" w:cs="Arial"/>
        </w:rPr>
        <w:t xml:space="preserve"> </w:t>
      </w:r>
      <w:r w:rsidR="001151E7" w:rsidRPr="000476ED">
        <w:rPr>
          <w:rFonts w:ascii="Arial" w:hAnsi="Arial" w:cs="Arial"/>
          <w:i/>
        </w:rPr>
        <w:t>I</w:t>
      </w:r>
      <w:r w:rsidR="00652065">
        <w:rPr>
          <w:rFonts w:ascii="Arial" w:hAnsi="Arial" w:cs="Arial"/>
          <w:i/>
        </w:rPr>
        <w:t>bid.</w:t>
      </w:r>
    </w:p>
  </w:footnote>
  <w:footnote w:id="10">
    <w:p w14:paraId="5C4388EB" w14:textId="6EA0818B" w:rsidR="00DF61EB" w:rsidRPr="000476ED" w:rsidRDefault="00DF61EB">
      <w:pPr>
        <w:pStyle w:val="FootnoteText"/>
        <w:rPr>
          <w:rFonts w:ascii="Arial" w:hAnsi="Arial" w:cs="Arial"/>
          <w:lang w:val="en-US"/>
        </w:rPr>
      </w:pPr>
      <w:r w:rsidRPr="000476ED">
        <w:rPr>
          <w:rStyle w:val="FootnoteReference"/>
          <w:rFonts w:ascii="Arial" w:hAnsi="Arial" w:cs="Arial"/>
        </w:rPr>
        <w:footnoteRef/>
      </w:r>
      <w:r w:rsidRPr="000476ED">
        <w:rPr>
          <w:rFonts w:ascii="Arial" w:hAnsi="Arial" w:cs="Arial"/>
        </w:rPr>
        <w:t xml:space="preserve"> </w:t>
      </w:r>
      <w:r w:rsidR="003E23E6" w:rsidRPr="000476ED">
        <w:rPr>
          <w:rFonts w:ascii="Arial" w:hAnsi="Arial" w:cs="Arial"/>
        </w:rPr>
        <w:t>At 602G</w:t>
      </w:r>
      <w:r w:rsidR="001151E7" w:rsidRPr="000476ED">
        <w:rPr>
          <w:rFonts w:ascii="Arial" w:hAnsi="Arial" w:cs="Arial"/>
        </w:rPr>
        <w:t>.</w:t>
      </w:r>
    </w:p>
  </w:footnote>
  <w:footnote w:id="11">
    <w:p w14:paraId="09081148" w14:textId="760C4DDD" w:rsidR="00DF61EB" w:rsidRPr="000476ED" w:rsidRDefault="00DF61EB">
      <w:pPr>
        <w:pStyle w:val="FootnoteText"/>
        <w:rPr>
          <w:rFonts w:ascii="Arial" w:hAnsi="Arial" w:cs="Arial"/>
          <w:lang w:val="en-US"/>
        </w:rPr>
      </w:pPr>
      <w:r w:rsidRPr="000476ED">
        <w:rPr>
          <w:rStyle w:val="FootnoteReference"/>
          <w:rFonts w:ascii="Arial" w:hAnsi="Arial" w:cs="Arial"/>
        </w:rPr>
        <w:footnoteRef/>
      </w:r>
      <w:r w:rsidRPr="000476ED">
        <w:rPr>
          <w:rFonts w:ascii="Arial" w:hAnsi="Arial" w:cs="Arial"/>
        </w:rPr>
        <w:t xml:space="preserve"> </w:t>
      </w:r>
      <w:r w:rsidR="00773A4A">
        <w:rPr>
          <w:rFonts w:ascii="Arial" w:hAnsi="Arial" w:cs="Arial"/>
        </w:rPr>
        <w:t>At 602H</w:t>
      </w:r>
      <w:r w:rsidR="001151E7" w:rsidRPr="000476ED">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434860"/>
      <w:docPartObj>
        <w:docPartGallery w:val="Page Numbers (Top of Page)"/>
        <w:docPartUnique/>
      </w:docPartObj>
    </w:sdtPr>
    <w:sdtEndPr/>
    <w:sdtContent>
      <w:p w14:paraId="3B4D7BEB" w14:textId="77777777" w:rsidR="004D10CD" w:rsidRPr="00086B10" w:rsidRDefault="004D10CD" w:rsidP="004D10CD">
        <w:pPr>
          <w:pStyle w:val="Header"/>
          <w:jc w:val="right"/>
          <w:rPr>
            <w:rFonts w:ascii="Arial" w:hAnsi="Arial" w:cs="Arial"/>
          </w:rPr>
        </w:pPr>
        <w:r w:rsidRPr="00086B10">
          <w:rPr>
            <w:rFonts w:ascii="Arial" w:hAnsi="Arial" w:cs="Arial"/>
          </w:rPr>
          <w:fldChar w:fldCharType="begin"/>
        </w:r>
        <w:r w:rsidRPr="00086B10">
          <w:rPr>
            <w:rFonts w:ascii="Arial" w:hAnsi="Arial" w:cs="Arial"/>
          </w:rPr>
          <w:instrText xml:space="preserve"> PAGE   \* MERGEFORMAT </w:instrText>
        </w:r>
        <w:r w:rsidRPr="00086B10">
          <w:rPr>
            <w:rFonts w:ascii="Arial" w:hAnsi="Arial" w:cs="Arial"/>
          </w:rPr>
          <w:fldChar w:fldCharType="separate"/>
        </w:r>
        <w:r w:rsidR="00326AA8">
          <w:rPr>
            <w:rFonts w:ascii="Arial" w:hAnsi="Arial" w:cs="Arial"/>
            <w:noProof/>
          </w:rPr>
          <w:t>2</w:t>
        </w:r>
        <w:r w:rsidRPr="00086B10">
          <w:rPr>
            <w:rFonts w:ascii="Arial" w:hAnsi="Arial" w:cs="Arial"/>
            <w:noProof/>
          </w:rPr>
          <w:fldChar w:fldCharType="end"/>
        </w:r>
      </w:p>
    </w:sdtContent>
  </w:sdt>
  <w:p w14:paraId="2697AC0E" w14:textId="77777777" w:rsidR="004D10CD" w:rsidRDefault="004D1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A2A"/>
    <w:multiLevelType w:val="hybridMultilevel"/>
    <w:tmpl w:val="B7745848"/>
    <w:lvl w:ilvl="0" w:tplc="1C949D4E">
      <w:start w:val="1"/>
      <w:numFmt w:val="lowerLetter"/>
      <w:lvlText w:val="(%1)"/>
      <w:lvlJc w:val="left"/>
      <w:pPr>
        <w:ind w:left="1144" w:hanging="435"/>
      </w:pPr>
      <w:rPr>
        <w:rFonts w:ascii="Arial" w:eastAsiaTheme="minorHAnsi" w:hAnsi="Arial"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A767830"/>
    <w:multiLevelType w:val="hybridMultilevel"/>
    <w:tmpl w:val="9634ECA6"/>
    <w:lvl w:ilvl="0" w:tplc="3BDE2E32">
      <w:start w:val="1"/>
      <w:numFmt w:val="lowerRoman"/>
      <w:lvlText w:val="(%1)"/>
      <w:lvlJc w:val="left"/>
      <w:pPr>
        <w:ind w:left="1864" w:hanging="72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2" w15:restartNumberingAfterBreak="0">
    <w:nsid w:val="146476AB"/>
    <w:multiLevelType w:val="hybridMultilevel"/>
    <w:tmpl w:val="E35AADE8"/>
    <w:lvl w:ilvl="0" w:tplc="9DAC68BC">
      <w:start w:val="1"/>
      <w:numFmt w:val="decimal"/>
      <w:lvlText w:val="[%1]"/>
      <w:lvlJc w:val="left"/>
      <w:pPr>
        <w:ind w:left="0" w:firstLine="0"/>
      </w:pPr>
      <w:rPr>
        <w:rFonts w:hint="default"/>
        <w:i w:val="0"/>
      </w:rPr>
    </w:lvl>
    <w:lvl w:ilvl="1" w:tplc="4AD06654">
      <w:start w:val="1"/>
      <w:numFmt w:val="decimal"/>
      <w:lvlText w:val="3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D16F6"/>
    <w:multiLevelType w:val="hybridMultilevel"/>
    <w:tmpl w:val="C84A7540"/>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4"/>
    <w:rsid w:val="0000447C"/>
    <w:rsid w:val="00004C3C"/>
    <w:rsid w:val="00005921"/>
    <w:rsid w:val="00015E46"/>
    <w:rsid w:val="000329D7"/>
    <w:rsid w:val="00033FA8"/>
    <w:rsid w:val="00041C51"/>
    <w:rsid w:val="00042853"/>
    <w:rsid w:val="00044978"/>
    <w:rsid w:val="00047121"/>
    <w:rsid w:val="000476ED"/>
    <w:rsid w:val="0006033B"/>
    <w:rsid w:val="00065BFD"/>
    <w:rsid w:val="000668F3"/>
    <w:rsid w:val="000705E1"/>
    <w:rsid w:val="00072451"/>
    <w:rsid w:val="00072B33"/>
    <w:rsid w:val="0007582C"/>
    <w:rsid w:val="00077526"/>
    <w:rsid w:val="000820D4"/>
    <w:rsid w:val="000A13FE"/>
    <w:rsid w:val="000A1A77"/>
    <w:rsid w:val="000A27E8"/>
    <w:rsid w:val="000A495E"/>
    <w:rsid w:val="000A4BB2"/>
    <w:rsid w:val="000B0A1F"/>
    <w:rsid w:val="000B3AE0"/>
    <w:rsid w:val="000B5DC2"/>
    <w:rsid w:val="000C09D6"/>
    <w:rsid w:val="000E1AC9"/>
    <w:rsid w:val="000E30AE"/>
    <w:rsid w:val="000E35B1"/>
    <w:rsid w:val="000E5D0A"/>
    <w:rsid w:val="000F0907"/>
    <w:rsid w:val="000F149D"/>
    <w:rsid w:val="000F621F"/>
    <w:rsid w:val="00105536"/>
    <w:rsid w:val="00105D0D"/>
    <w:rsid w:val="0010704B"/>
    <w:rsid w:val="00111921"/>
    <w:rsid w:val="001148F0"/>
    <w:rsid w:val="001151E7"/>
    <w:rsid w:val="00124785"/>
    <w:rsid w:val="00131C45"/>
    <w:rsid w:val="0013257E"/>
    <w:rsid w:val="001434C7"/>
    <w:rsid w:val="00145544"/>
    <w:rsid w:val="001466B9"/>
    <w:rsid w:val="00161321"/>
    <w:rsid w:val="00161E38"/>
    <w:rsid w:val="001646EB"/>
    <w:rsid w:val="0016608A"/>
    <w:rsid w:val="00174071"/>
    <w:rsid w:val="00174BBB"/>
    <w:rsid w:val="001772E0"/>
    <w:rsid w:val="00182EF0"/>
    <w:rsid w:val="00184642"/>
    <w:rsid w:val="00186325"/>
    <w:rsid w:val="00187A59"/>
    <w:rsid w:val="001919EF"/>
    <w:rsid w:val="0019258F"/>
    <w:rsid w:val="0019385E"/>
    <w:rsid w:val="00194F50"/>
    <w:rsid w:val="001955DB"/>
    <w:rsid w:val="0019573D"/>
    <w:rsid w:val="001A726E"/>
    <w:rsid w:val="001C2AD4"/>
    <w:rsid w:val="001C2FAE"/>
    <w:rsid w:val="001D121C"/>
    <w:rsid w:val="001D28B6"/>
    <w:rsid w:val="001D4F7F"/>
    <w:rsid w:val="001E0A4E"/>
    <w:rsid w:val="001E2528"/>
    <w:rsid w:val="001E27F0"/>
    <w:rsid w:val="001E286F"/>
    <w:rsid w:val="00202D87"/>
    <w:rsid w:val="00205492"/>
    <w:rsid w:val="00206CC9"/>
    <w:rsid w:val="002073DE"/>
    <w:rsid w:val="002109CD"/>
    <w:rsid w:val="00213F8B"/>
    <w:rsid w:val="00215037"/>
    <w:rsid w:val="00222C3C"/>
    <w:rsid w:val="0022344D"/>
    <w:rsid w:val="00224189"/>
    <w:rsid w:val="002468B4"/>
    <w:rsid w:val="0025398F"/>
    <w:rsid w:val="00254903"/>
    <w:rsid w:val="0026660D"/>
    <w:rsid w:val="00283FAF"/>
    <w:rsid w:val="00286B20"/>
    <w:rsid w:val="00291BEE"/>
    <w:rsid w:val="002A0032"/>
    <w:rsid w:val="002A0A98"/>
    <w:rsid w:val="002A73EA"/>
    <w:rsid w:val="002B560E"/>
    <w:rsid w:val="002C4EDF"/>
    <w:rsid w:val="002C76CB"/>
    <w:rsid w:val="002E0EEE"/>
    <w:rsid w:val="002E467B"/>
    <w:rsid w:val="002E5685"/>
    <w:rsid w:val="002F3797"/>
    <w:rsid w:val="00300142"/>
    <w:rsid w:val="00316C93"/>
    <w:rsid w:val="00316F32"/>
    <w:rsid w:val="00317B17"/>
    <w:rsid w:val="00324C7E"/>
    <w:rsid w:val="00326AA8"/>
    <w:rsid w:val="00326D7B"/>
    <w:rsid w:val="003306C4"/>
    <w:rsid w:val="00331A81"/>
    <w:rsid w:val="0033295B"/>
    <w:rsid w:val="003330BD"/>
    <w:rsid w:val="00337521"/>
    <w:rsid w:val="003411BB"/>
    <w:rsid w:val="00343C06"/>
    <w:rsid w:val="00345B9D"/>
    <w:rsid w:val="0035496E"/>
    <w:rsid w:val="00364F3F"/>
    <w:rsid w:val="00380546"/>
    <w:rsid w:val="003809EB"/>
    <w:rsid w:val="00387ABA"/>
    <w:rsid w:val="00392CBA"/>
    <w:rsid w:val="00393649"/>
    <w:rsid w:val="003937C3"/>
    <w:rsid w:val="003A6680"/>
    <w:rsid w:val="003A7BFC"/>
    <w:rsid w:val="003B1393"/>
    <w:rsid w:val="003B4029"/>
    <w:rsid w:val="003B6525"/>
    <w:rsid w:val="003D3070"/>
    <w:rsid w:val="003D3DEC"/>
    <w:rsid w:val="003D4F1D"/>
    <w:rsid w:val="003D4F4C"/>
    <w:rsid w:val="003E23E6"/>
    <w:rsid w:val="003E7AAE"/>
    <w:rsid w:val="003F152E"/>
    <w:rsid w:val="003F4590"/>
    <w:rsid w:val="00412DB5"/>
    <w:rsid w:val="00414A37"/>
    <w:rsid w:val="00420548"/>
    <w:rsid w:val="00423A76"/>
    <w:rsid w:val="00423A82"/>
    <w:rsid w:val="00423F8B"/>
    <w:rsid w:val="00424943"/>
    <w:rsid w:val="0043539D"/>
    <w:rsid w:val="00435A8E"/>
    <w:rsid w:val="00455A26"/>
    <w:rsid w:val="00462928"/>
    <w:rsid w:val="0046410C"/>
    <w:rsid w:val="0048172C"/>
    <w:rsid w:val="00487AE7"/>
    <w:rsid w:val="00494FD5"/>
    <w:rsid w:val="004B1BDE"/>
    <w:rsid w:val="004D10CD"/>
    <w:rsid w:val="004D4B20"/>
    <w:rsid w:val="004D7075"/>
    <w:rsid w:val="004E4476"/>
    <w:rsid w:val="004E6F05"/>
    <w:rsid w:val="004F30E5"/>
    <w:rsid w:val="00501190"/>
    <w:rsid w:val="00502310"/>
    <w:rsid w:val="00507C26"/>
    <w:rsid w:val="005109BD"/>
    <w:rsid w:val="0051646F"/>
    <w:rsid w:val="0052050F"/>
    <w:rsid w:val="005218F3"/>
    <w:rsid w:val="005249C8"/>
    <w:rsid w:val="005279F5"/>
    <w:rsid w:val="00536452"/>
    <w:rsid w:val="00537891"/>
    <w:rsid w:val="005406CF"/>
    <w:rsid w:val="00542780"/>
    <w:rsid w:val="00544C5D"/>
    <w:rsid w:val="00553A1A"/>
    <w:rsid w:val="00557067"/>
    <w:rsid w:val="00564D5C"/>
    <w:rsid w:val="005662C8"/>
    <w:rsid w:val="005668BD"/>
    <w:rsid w:val="00571679"/>
    <w:rsid w:val="00575517"/>
    <w:rsid w:val="00580F0E"/>
    <w:rsid w:val="00581B42"/>
    <w:rsid w:val="00587231"/>
    <w:rsid w:val="00596C63"/>
    <w:rsid w:val="00597B3A"/>
    <w:rsid w:val="005B108E"/>
    <w:rsid w:val="005B250B"/>
    <w:rsid w:val="005B2673"/>
    <w:rsid w:val="005B62D6"/>
    <w:rsid w:val="005C4B38"/>
    <w:rsid w:val="005D31DD"/>
    <w:rsid w:val="005D4E7A"/>
    <w:rsid w:val="005D6D24"/>
    <w:rsid w:val="005E40FA"/>
    <w:rsid w:val="005F103F"/>
    <w:rsid w:val="005F3B51"/>
    <w:rsid w:val="00606FB0"/>
    <w:rsid w:val="00607B4A"/>
    <w:rsid w:val="006118D6"/>
    <w:rsid w:val="006249E5"/>
    <w:rsid w:val="0062784A"/>
    <w:rsid w:val="006304CC"/>
    <w:rsid w:val="00632AAB"/>
    <w:rsid w:val="00633CE1"/>
    <w:rsid w:val="0063473F"/>
    <w:rsid w:val="0064068A"/>
    <w:rsid w:val="006407E5"/>
    <w:rsid w:val="00651710"/>
    <w:rsid w:val="00652065"/>
    <w:rsid w:val="00653FA3"/>
    <w:rsid w:val="006614BC"/>
    <w:rsid w:val="00661BE7"/>
    <w:rsid w:val="00664654"/>
    <w:rsid w:val="00684C29"/>
    <w:rsid w:val="00697475"/>
    <w:rsid w:val="006A7531"/>
    <w:rsid w:val="006B0F50"/>
    <w:rsid w:val="006C13DE"/>
    <w:rsid w:val="006C1B59"/>
    <w:rsid w:val="006C3DAD"/>
    <w:rsid w:val="006D2750"/>
    <w:rsid w:val="006D66EA"/>
    <w:rsid w:val="006E063F"/>
    <w:rsid w:val="006E528C"/>
    <w:rsid w:val="006E7C3F"/>
    <w:rsid w:val="0070692D"/>
    <w:rsid w:val="00715D39"/>
    <w:rsid w:val="007201C1"/>
    <w:rsid w:val="00724B93"/>
    <w:rsid w:val="0073345E"/>
    <w:rsid w:val="007342BC"/>
    <w:rsid w:val="007378C6"/>
    <w:rsid w:val="00740399"/>
    <w:rsid w:val="00751157"/>
    <w:rsid w:val="00754FA5"/>
    <w:rsid w:val="00757737"/>
    <w:rsid w:val="007629DB"/>
    <w:rsid w:val="00764EEA"/>
    <w:rsid w:val="007664C3"/>
    <w:rsid w:val="00767065"/>
    <w:rsid w:val="00773A4A"/>
    <w:rsid w:val="0078599F"/>
    <w:rsid w:val="00791707"/>
    <w:rsid w:val="007A5E32"/>
    <w:rsid w:val="007B2003"/>
    <w:rsid w:val="007C2E07"/>
    <w:rsid w:val="007C43EF"/>
    <w:rsid w:val="007C7F0F"/>
    <w:rsid w:val="007F67F0"/>
    <w:rsid w:val="007F77BC"/>
    <w:rsid w:val="00800929"/>
    <w:rsid w:val="008052BD"/>
    <w:rsid w:val="008110EB"/>
    <w:rsid w:val="00814122"/>
    <w:rsid w:val="008147D8"/>
    <w:rsid w:val="00814F4C"/>
    <w:rsid w:val="00825FFC"/>
    <w:rsid w:val="00827196"/>
    <w:rsid w:val="008361A4"/>
    <w:rsid w:val="008460A3"/>
    <w:rsid w:val="00854D2E"/>
    <w:rsid w:val="00864897"/>
    <w:rsid w:val="00865B1B"/>
    <w:rsid w:val="00866680"/>
    <w:rsid w:val="008814F2"/>
    <w:rsid w:val="00897FC2"/>
    <w:rsid w:val="008A0102"/>
    <w:rsid w:val="008A316E"/>
    <w:rsid w:val="008A631D"/>
    <w:rsid w:val="008B34EC"/>
    <w:rsid w:val="008B3905"/>
    <w:rsid w:val="008B60EA"/>
    <w:rsid w:val="008B768B"/>
    <w:rsid w:val="008D3C6F"/>
    <w:rsid w:val="008D7511"/>
    <w:rsid w:val="008E2BAE"/>
    <w:rsid w:val="008F30C6"/>
    <w:rsid w:val="00901CAE"/>
    <w:rsid w:val="009044C8"/>
    <w:rsid w:val="00917399"/>
    <w:rsid w:val="00921505"/>
    <w:rsid w:val="0092340A"/>
    <w:rsid w:val="009305DC"/>
    <w:rsid w:val="00940FB0"/>
    <w:rsid w:val="00952673"/>
    <w:rsid w:val="00956BF9"/>
    <w:rsid w:val="0096005C"/>
    <w:rsid w:val="00962A24"/>
    <w:rsid w:val="00966692"/>
    <w:rsid w:val="0097385C"/>
    <w:rsid w:val="009740B0"/>
    <w:rsid w:val="00983788"/>
    <w:rsid w:val="00993FE8"/>
    <w:rsid w:val="009A47E1"/>
    <w:rsid w:val="009A6B8F"/>
    <w:rsid w:val="009B1D42"/>
    <w:rsid w:val="009B45F2"/>
    <w:rsid w:val="009B4A4F"/>
    <w:rsid w:val="009B539E"/>
    <w:rsid w:val="009C3247"/>
    <w:rsid w:val="009C4957"/>
    <w:rsid w:val="009D34CB"/>
    <w:rsid w:val="009D7311"/>
    <w:rsid w:val="009E42D0"/>
    <w:rsid w:val="009F283F"/>
    <w:rsid w:val="00A07175"/>
    <w:rsid w:val="00A14097"/>
    <w:rsid w:val="00A17FB5"/>
    <w:rsid w:val="00A27062"/>
    <w:rsid w:val="00A31FDA"/>
    <w:rsid w:val="00A334DB"/>
    <w:rsid w:val="00A34168"/>
    <w:rsid w:val="00A43500"/>
    <w:rsid w:val="00A47E81"/>
    <w:rsid w:val="00A52186"/>
    <w:rsid w:val="00A5389F"/>
    <w:rsid w:val="00A67FFD"/>
    <w:rsid w:val="00A75DC0"/>
    <w:rsid w:val="00A80E59"/>
    <w:rsid w:val="00A92F9E"/>
    <w:rsid w:val="00A9469C"/>
    <w:rsid w:val="00A94757"/>
    <w:rsid w:val="00A95717"/>
    <w:rsid w:val="00AA19B6"/>
    <w:rsid w:val="00AA2CA2"/>
    <w:rsid w:val="00AB12A1"/>
    <w:rsid w:val="00AB4DEE"/>
    <w:rsid w:val="00AD18B2"/>
    <w:rsid w:val="00AD564F"/>
    <w:rsid w:val="00AD79A1"/>
    <w:rsid w:val="00AE12EF"/>
    <w:rsid w:val="00AE1878"/>
    <w:rsid w:val="00B006D8"/>
    <w:rsid w:val="00B0462A"/>
    <w:rsid w:val="00B151F6"/>
    <w:rsid w:val="00B22D19"/>
    <w:rsid w:val="00B22FEA"/>
    <w:rsid w:val="00B35DFC"/>
    <w:rsid w:val="00B3673D"/>
    <w:rsid w:val="00B52A02"/>
    <w:rsid w:val="00B54295"/>
    <w:rsid w:val="00B64795"/>
    <w:rsid w:val="00B6710F"/>
    <w:rsid w:val="00B67836"/>
    <w:rsid w:val="00B70A04"/>
    <w:rsid w:val="00BA3CAE"/>
    <w:rsid w:val="00BB5D01"/>
    <w:rsid w:val="00BC43E3"/>
    <w:rsid w:val="00BC5512"/>
    <w:rsid w:val="00BD2AC0"/>
    <w:rsid w:val="00BE4B3D"/>
    <w:rsid w:val="00BE660D"/>
    <w:rsid w:val="00BF7000"/>
    <w:rsid w:val="00C0233F"/>
    <w:rsid w:val="00C06BF7"/>
    <w:rsid w:val="00C11DEF"/>
    <w:rsid w:val="00C22AFE"/>
    <w:rsid w:val="00C27CBB"/>
    <w:rsid w:val="00C307AF"/>
    <w:rsid w:val="00C3125A"/>
    <w:rsid w:val="00C32287"/>
    <w:rsid w:val="00C35EC2"/>
    <w:rsid w:val="00C43522"/>
    <w:rsid w:val="00C47FEE"/>
    <w:rsid w:val="00C57753"/>
    <w:rsid w:val="00C67155"/>
    <w:rsid w:val="00C70029"/>
    <w:rsid w:val="00C72E98"/>
    <w:rsid w:val="00C7546A"/>
    <w:rsid w:val="00C774B3"/>
    <w:rsid w:val="00C81038"/>
    <w:rsid w:val="00C94D60"/>
    <w:rsid w:val="00CA0D93"/>
    <w:rsid w:val="00CA7647"/>
    <w:rsid w:val="00CB2EB6"/>
    <w:rsid w:val="00CB3A39"/>
    <w:rsid w:val="00CD0203"/>
    <w:rsid w:val="00CD3C19"/>
    <w:rsid w:val="00CD40B5"/>
    <w:rsid w:val="00CD5425"/>
    <w:rsid w:val="00CE4F36"/>
    <w:rsid w:val="00CE632F"/>
    <w:rsid w:val="00CF2A72"/>
    <w:rsid w:val="00CF6764"/>
    <w:rsid w:val="00D10696"/>
    <w:rsid w:val="00D10E01"/>
    <w:rsid w:val="00D14CA5"/>
    <w:rsid w:val="00D40392"/>
    <w:rsid w:val="00D453D1"/>
    <w:rsid w:val="00D45EFF"/>
    <w:rsid w:val="00D47294"/>
    <w:rsid w:val="00D55AD3"/>
    <w:rsid w:val="00D61002"/>
    <w:rsid w:val="00D64EE6"/>
    <w:rsid w:val="00D6728C"/>
    <w:rsid w:val="00D67DD9"/>
    <w:rsid w:val="00D732AB"/>
    <w:rsid w:val="00D74559"/>
    <w:rsid w:val="00D7457F"/>
    <w:rsid w:val="00D75BCB"/>
    <w:rsid w:val="00D85D64"/>
    <w:rsid w:val="00DB06CE"/>
    <w:rsid w:val="00DB10A8"/>
    <w:rsid w:val="00DC2220"/>
    <w:rsid w:val="00DC4E5D"/>
    <w:rsid w:val="00DD398D"/>
    <w:rsid w:val="00DD6A8D"/>
    <w:rsid w:val="00DE14A9"/>
    <w:rsid w:val="00DE1825"/>
    <w:rsid w:val="00DE3BE2"/>
    <w:rsid w:val="00DF10B9"/>
    <w:rsid w:val="00DF18B5"/>
    <w:rsid w:val="00DF3064"/>
    <w:rsid w:val="00DF61EB"/>
    <w:rsid w:val="00E02961"/>
    <w:rsid w:val="00E115D2"/>
    <w:rsid w:val="00E26578"/>
    <w:rsid w:val="00E271F2"/>
    <w:rsid w:val="00E32736"/>
    <w:rsid w:val="00E51D0E"/>
    <w:rsid w:val="00E540D0"/>
    <w:rsid w:val="00E57509"/>
    <w:rsid w:val="00E61694"/>
    <w:rsid w:val="00E72AD3"/>
    <w:rsid w:val="00E7305D"/>
    <w:rsid w:val="00E74101"/>
    <w:rsid w:val="00E8241A"/>
    <w:rsid w:val="00E8273C"/>
    <w:rsid w:val="00E82EB0"/>
    <w:rsid w:val="00E931B0"/>
    <w:rsid w:val="00E93746"/>
    <w:rsid w:val="00E94B6E"/>
    <w:rsid w:val="00EA6CE7"/>
    <w:rsid w:val="00EB0B1D"/>
    <w:rsid w:val="00EB0FC7"/>
    <w:rsid w:val="00EC3A9A"/>
    <w:rsid w:val="00EE0AE3"/>
    <w:rsid w:val="00EE7345"/>
    <w:rsid w:val="00EF0C68"/>
    <w:rsid w:val="00F129F1"/>
    <w:rsid w:val="00F15EC9"/>
    <w:rsid w:val="00F17551"/>
    <w:rsid w:val="00F17BB0"/>
    <w:rsid w:val="00F2173A"/>
    <w:rsid w:val="00F251F4"/>
    <w:rsid w:val="00F32EA2"/>
    <w:rsid w:val="00F41F3A"/>
    <w:rsid w:val="00F53643"/>
    <w:rsid w:val="00F70731"/>
    <w:rsid w:val="00F74E82"/>
    <w:rsid w:val="00F758D4"/>
    <w:rsid w:val="00F80B14"/>
    <w:rsid w:val="00F856EF"/>
    <w:rsid w:val="00F857AD"/>
    <w:rsid w:val="00F91695"/>
    <w:rsid w:val="00F94B27"/>
    <w:rsid w:val="00F95751"/>
    <w:rsid w:val="00FA64B3"/>
    <w:rsid w:val="00FB67F5"/>
    <w:rsid w:val="00FC1493"/>
    <w:rsid w:val="00FC5A66"/>
    <w:rsid w:val="00FC5F2E"/>
    <w:rsid w:val="00FE45EF"/>
    <w:rsid w:val="00FF28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48F9"/>
  <w15:chartTrackingRefBased/>
  <w15:docId w15:val="{2F29C3E6-5FEA-40D3-A64E-81752987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64"/>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64"/>
    <w:pPr>
      <w:ind w:left="720"/>
      <w:contextualSpacing/>
    </w:pPr>
  </w:style>
  <w:style w:type="paragraph" w:styleId="Footer">
    <w:name w:val="footer"/>
    <w:basedOn w:val="Normal"/>
    <w:link w:val="FooterChar"/>
    <w:uiPriority w:val="99"/>
    <w:unhideWhenUsed/>
    <w:rsid w:val="00DF3064"/>
    <w:pPr>
      <w:tabs>
        <w:tab w:val="center" w:pos="4320"/>
        <w:tab w:val="right" w:pos="8640"/>
      </w:tabs>
    </w:pPr>
  </w:style>
  <w:style w:type="character" w:customStyle="1" w:styleId="FooterChar">
    <w:name w:val="Footer Char"/>
    <w:basedOn w:val="DefaultParagraphFont"/>
    <w:link w:val="Footer"/>
    <w:uiPriority w:val="99"/>
    <w:rsid w:val="00DF3064"/>
    <w:rPr>
      <w:sz w:val="24"/>
      <w:szCs w:val="24"/>
      <w:lang w:val="en-GB"/>
    </w:rPr>
  </w:style>
  <w:style w:type="character" w:styleId="PageNumber">
    <w:name w:val="page number"/>
    <w:basedOn w:val="DefaultParagraphFont"/>
    <w:uiPriority w:val="99"/>
    <w:semiHidden/>
    <w:unhideWhenUsed/>
    <w:rsid w:val="00DF3064"/>
  </w:style>
  <w:style w:type="paragraph" w:styleId="Header">
    <w:name w:val="header"/>
    <w:basedOn w:val="Normal"/>
    <w:link w:val="HeaderChar"/>
    <w:uiPriority w:val="99"/>
    <w:unhideWhenUsed/>
    <w:rsid w:val="00DF3064"/>
    <w:pPr>
      <w:tabs>
        <w:tab w:val="center" w:pos="4513"/>
        <w:tab w:val="right" w:pos="9026"/>
      </w:tabs>
    </w:pPr>
  </w:style>
  <w:style w:type="character" w:customStyle="1" w:styleId="HeaderChar">
    <w:name w:val="Header Char"/>
    <w:basedOn w:val="DefaultParagraphFont"/>
    <w:link w:val="Header"/>
    <w:uiPriority w:val="99"/>
    <w:rsid w:val="00DF3064"/>
    <w:rPr>
      <w:sz w:val="24"/>
      <w:szCs w:val="24"/>
      <w:lang w:val="en-GB"/>
    </w:rPr>
  </w:style>
  <w:style w:type="table" w:styleId="TableGrid">
    <w:name w:val="Table Grid"/>
    <w:basedOn w:val="TableNormal"/>
    <w:uiPriority w:val="59"/>
    <w:rsid w:val="00DF306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3064"/>
    <w:rPr>
      <w:sz w:val="20"/>
      <w:szCs w:val="20"/>
    </w:rPr>
  </w:style>
  <w:style w:type="character" w:customStyle="1" w:styleId="FootnoteTextChar">
    <w:name w:val="Footnote Text Char"/>
    <w:basedOn w:val="DefaultParagraphFont"/>
    <w:link w:val="FootnoteText"/>
    <w:uiPriority w:val="99"/>
    <w:semiHidden/>
    <w:rsid w:val="00DF3064"/>
    <w:rPr>
      <w:sz w:val="20"/>
      <w:szCs w:val="20"/>
      <w:lang w:val="en-GB"/>
    </w:rPr>
  </w:style>
  <w:style w:type="character" w:styleId="FootnoteReference">
    <w:name w:val="footnote reference"/>
    <w:basedOn w:val="DefaultParagraphFont"/>
    <w:uiPriority w:val="99"/>
    <w:semiHidden/>
    <w:unhideWhenUsed/>
    <w:rsid w:val="00DF3064"/>
    <w:rPr>
      <w:vertAlign w:val="superscript"/>
    </w:rPr>
  </w:style>
  <w:style w:type="character" w:styleId="Emphasis">
    <w:name w:val="Emphasis"/>
    <w:basedOn w:val="DefaultParagraphFont"/>
    <w:uiPriority w:val="20"/>
    <w:qFormat/>
    <w:rsid w:val="002B560E"/>
    <w:rPr>
      <w:i/>
      <w:iCs/>
    </w:rPr>
  </w:style>
  <w:style w:type="paragraph" w:styleId="BalloonText">
    <w:name w:val="Balloon Text"/>
    <w:basedOn w:val="Normal"/>
    <w:link w:val="BalloonTextChar"/>
    <w:uiPriority w:val="99"/>
    <w:semiHidden/>
    <w:unhideWhenUsed/>
    <w:rsid w:val="00D45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FF"/>
    <w:rPr>
      <w:rFonts w:ascii="Segoe UI" w:hAnsi="Segoe UI" w:cs="Segoe UI"/>
      <w:sz w:val="18"/>
      <w:szCs w:val="18"/>
      <w:lang w:val="en-GB"/>
    </w:rPr>
  </w:style>
  <w:style w:type="character" w:styleId="CommentReference">
    <w:name w:val="annotation reference"/>
    <w:basedOn w:val="DefaultParagraphFont"/>
    <w:uiPriority w:val="99"/>
    <w:semiHidden/>
    <w:unhideWhenUsed/>
    <w:rsid w:val="00DD6A8D"/>
    <w:rPr>
      <w:sz w:val="16"/>
      <w:szCs w:val="16"/>
    </w:rPr>
  </w:style>
  <w:style w:type="paragraph" w:styleId="CommentText">
    <w:name w:val="annotation text"/>
    <w:basedOn w:val="Normal"/>
    <w:link w:val="CommentTextChar"/>
    <w:uiPriority w:val="99"/>
    <w:semiHidden/>
    <w:unhideWhenUsed/>
    <w:rsid w:val="00DD6A8D"/>
    <w:rPr>
      <w:sz w:val="20"/>
      <w:szCs w:val="20"/>
    </w:rPr>
  </w:style>
  <w:style w:type="character" w:customStyle="1" w:styleId="CommentTextChar">
    <w:name w:val="Comment Text Char"/>
    <w:basedOn w:val="DefaultParagraphFont"/>
    <w:link w:val="CommentText"/>
    <w:uiPriority w:val="99"/>
    <w:semiHidden/>
    <w:rsid w:val="00DD6A8D"/>
    <w:rPr>
      <w:sz w:val="20"/>
      <w:szCs w:val="20"/>
      <w:lang w:val="en-GB"/>
    </w:rPr>
  </w:style>
  <w:style w:type="paragraph" w:styleId="CommentSubject">
    <w:name w:val="annotation subject"/>
    <w:basedOn w:val="CommentText"/>
    <w:next w:val="CommentText"/>
    <w:link w:val="CommentSubjectChar"/>
    <w:uiPriority w:val="99"/>
    <w:semiHidden/>
    <w:unhideWhenUsed/>
    <w:rsid w:val="00DD6A8D"/>
    <w:rPr>
      <w:b/>
      <w:bCs/>
    </w:rPr>
  </w:style>
  <w:style w:type="character" w:customStyle="1" w:styleId="CommentSubjectChar">
    <w:name w:val="Comment Subject Char"/>
    <w:basedOn w:val="CommentTextChar"/>
    <w:link w:val="CommentSubject"/>
    <w:uiPriority w:val="99"/>
    <w:semiHidden/>
    <w:rsid w:val="00DD6A8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2022-03-29T18:30:00+00:00</Judgment_x0020_Date>
    <Year xmlns="63bdd487-88aa-4c54-b893-ddaa81ed2e7c">2022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03B7-1A2F-432A-89FF-D5E39DBE4F98}">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C7DAB045-C37B-4819-BE19-70E906843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9D695-AAC9-4DC2-9427-BE4CD121ED8E}">
  <ds:schemaRefs>
    <ds:schemaRef ds:uri="http://schemas.microsoft.com/sharepoint/v3/contenttype/forms"/>
  </ds:schemaRefs>
</ds:datastoreItem>
</file>

<file path=customXml/itemProps4.xml><?xml version="1.0" encoding="utf-8"?>
<ds:datastoreItem xmlns:ds="http://schemas.openxmlformats.org/officeDocument/2006/customXml" ds:itemID="{5D994670-50B4-402F-AD74-8BB61977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Minister of Safety and Security  v Avelinu</vt:lpstr>
    </vt:vector>
  </TitlesOfParts>
  <Company/>
  <LinksUpToDate>false</LinksUpToDate>
  <CharactersWithSpaces>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Safety and Security  v Avelinu</dc:title>
  <dc:subject/>
  <dc:creator>Sebastiaan S. Kandunda</dc:creator>
  <cp:keywords/>
  <dc:description/>
  <cp:lastModifiedBy>HOME</cp:lastModifiedBy>
  <cp:revision>2</cp:revision>
  <cp:lastPrinted>2022-03-28T09:55:00Z</cp:lastPrinted>
  <dcterms:created xsi:type="dcterms:W3CDTF">2022-03-31T17:05:00Z</dcterms:created>
  <dcterms:modified xsi:type="dcterms:W3CDTF">2022-03-31T17:05:00Z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