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9F3B3" w14:textId="77777777" w:rsidR="008B4FF5" w:rsidRPr="008B4FF5" w:rsidRDefault="008B4FF5" w:rsidP="008B4FF5">
      <w:pPr>
        <w:spacing w:after="0" w:line="360" w:lineRule="auto"/>
        <w:jc w:val="center"/>
        <w:rPr>
          <w:b/>
          <w:sz w:val="24"/>
          <w:szCs w:val="24"/>
          <w:lang w:val="en-ZA"/>
        </w:rPr>
      </w:pPr>
      <w:r w:rsidRPr="008B4FF5">
        <w:rPr>
          <w:b/>
          <w:noProof/>
          <w:sz w:val="24"/>
          <w:szCs w:val="24"/>
          <w:lang w:val="en-ZA" w:eastAsia="en-ZA"/>
        </w:rPr>
        <w:drawing>
          <wp:inline distT="0" distB="0" distL="0" distR="0" wp14:anchorId="0DACFA3C" wp14:editId="400886DF">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581706BF" w14:textId="77777777" w:rsidR="008B4FF5" w:rsidRPr="008B4FF5" w:rsidRDefault="008B4FF5" w:rsidP="008B4FF5">
      <w:pPr>
        <w:spacing w:after="0" w:line="240" w:lineRule="auto"/>
        <w:jc w:val="right"/>
        <w:rPr>
          <w:rFonts w:ascii="Arial" w:hAnsi="Arial" w:cs="Arial"/>
          <w:b/>
          <w:sz w:val="24"/>
          <w:szCs w:val="24"/>
          <w:lang w:val="en-ZA"/>
        </w:rPr>
      </w:pPr>
      <w:r w:rsidRPr="008B4FF5">
        <w:rPr>
          <w:rFonts w:ascii="Arial" w:hAnsi="Arial" w:cs="Arial"/>
          <w:b/>
          <w:sz w:val="24"/>
          <w:szCs w:val="24"/>
          <w:lang w:val="en-ZA"/>
        </w:rPr>
        <w:t>REPORTABLE</w:t>
      </w:r>
    </w:p>
    <w:p w14:paraId="066ABCBC" w14:textId="77777777" w:rsidR="008B4FF5" w:rsidRPr="008B4FF5" w:rsidRDefault="008B4FF5" w:rsidP="008B4FF5">
      <w:pPr>
        <w:spacing w:after="0" w:line="240" w:lineRule="auto"/>
        <w:jc w:val="right"/>
        <w:rPr>
          <w:rFonts w:ascii="Arial" w:hAnsi="Arial" w:cs="Arial"/>
          <w:sz w:val="24"/>
          <w:szCs w:val="24"/>
          <w:lang w:val="en-ZA"/>
        </w:rPr>
      </w:pPr>
    </w:p>
    <w:p w14:paraId="47D728A0" w14:textId="77777777" w:rsidR="008B4FF5" w:rsidRPr="008B4FF5" w:rsidRDefault="008B4FF5" w:rsidP="008B4FF5">
      <w:pPr>
        <w:spacing w:after="0" w:line="240" w:lineRule="auto"/>
        <w:jc w:val="right"/>
        <w:rPr>
          <w:rFonts w:ascii="Arial" w:hAnsi="Arial" w:cs="Arial"/>
          <w:sz w:val="24"/>
          <w:szCs w:val="24"/>
          <w:lang w:val="en-ZA"/>
        </w:rPr>
      </w:pPr>
      <w:r w:rsidRPr="008B4FF5">
        <w:rPr>
          <w:rFonts w:ascii="Arial" w:hAnsi="Arial" w:cs="Arial"/>
          <w:sz w:val="24"/>
          <w:szCs w:val="24"/>
          <w:lang w:val="en-ZA"/>
        </w:rPr>
        <w:t xml:space="preserve">CASE NO: SA </w:t>
      </w:r>
      <w:r>
        <w:rPr>
          <w:rFonts w:ascii="Arial" w:hAnsi="Arial" w:cs="Arial"/>
          <w:sz w:val="24"/>
          <w:szCs w:val="24"/>
          <w:lang w:val="en-ZA"/>
        </w:rPr>
        <w:t>31/2021</w:t>
      </w:r>
    </w:p>
    <w:p w14:paraId="243E6209" w14:textId="77777777" w:rsidR="008B4FF5" w:rsidRPr="008B4FF5" w:rsidRDefault="008B4FF5" w:rsidP="008B4FF5">
      <w:pPr>
        <w:spacing w:after="0" w:line="240" w:lineRule="auto"/>
        <w:rPr>
          <w:rFonts w:ascii="Arial" w:hAnsi="Arial" w:cs="Arial"/>
          <w:sz w:val="24"/>
          <w:szCs w:val="24"/>
          <w:lang w:val="en-ZA"/>
        </w:rPr>
      </w:pPr>
    </w:p>
    <w:p w14:paraId="0843B9EE" w14:textId="77777777" w:rsidR="008B4FF5" w:rsidRPr="008B4FF5" w:rsidRDefault="008B4FF5" w:rsidP="008B4FF5">
      <w:pPr>
        <w:spacing w:after="0" w:line="240" w:lineRule="auto"/>
        <w:rPr>
          <w:rFonts w:ascii="Arial" w:hAnsi="Arial" w:cs="Arial"/>
          <w:b/>
          <w:sz w:val="24"/>
          <w:szCs w:val="24"/>
          <w:lang w:val="en-ZA"/>
        </w:rPr>
      </w:pPr>
      <w:r w:rsidRPr="008B4FF5">
        <w:rPr>
          <w:rFonts w:ascii="Arial" w:hAnsi="Arial" w:cs="Arial"/>
          <w:b/>
          <w:sz w:val="24"/>
          <w:szCs w:val="24"/>
          <w:lang w:val="en-ZA"/>
        </w:rPr>
        <w:t>IN THE SUPREME COURT OF NAMIBIA</w:t>
      </w:r>
    </w:p>
    <w:p w14:paraId="29409DF4" w14:textId="77777777" w:rsidR="008B4FF5" w:rsidRPr="008B4FF5" w:rsidRDefault="008B4FF5" w:rsidP="008B4FF5">
      <w:pPr>
        <w:spacing w:after="0" w:line="240" w:lineRule="auto"/>
        <w:rPr>
          <w:rFonts w:ascii="Arial" w:hAnsi="Arial" w:cs="Arial"/>
          <w:sz w:val="24"/>
          <w:szCs w:val="24"/>
          <w:lang w:val="en-ZA"/>
        </w:rPr>
      </w:pPr>
    </w:p>
    <w:p w14:paraId="2EF85FDA" w14:textId="77777777" w:rsidR="008B4FF5" w:rsidRPr="008B4FF5" w:rsidRDefault="008B4FF5" w:rsidP="008B4FF5">
      <w:pPr>
        <w:spacing w:after="0" w:line="240" w:lineRule="auto"/>
        <w:rPr>
          <w:rFonts w:ascii="Arial" w:hAnsi="Arial" w:cs="Arial"/>
          <w:sz w:val="24"/>
          <w:szCs w:val="24"/>
          <w:lang w:val="en-ZA"/>
        </w:rPr>
      </w:pPr>
    </w:p>
    <w:p w14:paraId="0981E93E" w14:textId="736C0F3E" w:rsidR="008B4FF5" w:rsidRDefault="008B4FF5" w:rsidP="008B4FF5">
      <w:pPr>
        <w:spacing w:after="0" w:line="240" w:lineRule="auto"/>
        <w:rPr>
          <w:rFonts w:ascii="Arial" w:hAnsi="Arial" w:cs="Arial"/>
          <w:sz w:val="24"/>
          <w:szCs w:val="24"/>
          <w:lang w:val="en-ZA"/>
        </w:rPr>
      </w:pPr>
      <w:r w:rsidRPr="008B4FF5">
        <w:rPr>
          <w:rFonts w:ascii="Arial" w:hAnsi="Arial" w:cs="Arial"/>
          <w:sz w:val="24"/>
          <w:szCs w:val="24"/>
          <w:lang w:val="en-ZA"/>
        </w:rPr>
        <w:t>In the matter</w:t>
      </w:r>
      <w:r w:rsidR="002B6CE6">
        <w:rPr>
          <w:rFonts w:ascii="Arial" w:hAnsi="Arial" w:cs="Arial"/>
          <w:sz w:val="24"/>
          <w:szCs w:val="24"/>
          <w:lang w:val="en-ZA"/>
        </w:rPr>
        <w:t>s</w:t>
      </w:r>
      <w:r w:rsidRPr="008B4FF5">
        <w:rPr>
          <w:rFonts w:ascii="Arial" w:hAnsi="Arial" w:cs="Arial"/>
          <w:sz w:val="24"/>
          <w:szCs w:val="24"/>
          <w:lang w:val="en-ZA"/>
        </w:rPr>
        <w:t xml:space="preserve"> between:</w:t>
      </w:r>
    </w:p>
    <w:p w14:paraId="57DDA818" w14:textId="77777777" w:rsidR="008B4FF5" w:rsidRPr="008B4FF5" w:rsidRDefault="008B4FF5" w:rsidP="008B4FF5">
      <w:pPr>
        <w:spacing w:after="0" w:line="240" w:lineRule="auto"/>
        <w:rPr>
          <w:rFonts w:ascii="Arial" w:hAnsi="Arial" w:cs="Arial"/>
          <w:sz w:val="24"/>
          <w:szCs w:val="24"/>
          <w:lang w:val="en-ZA"/>
        </w:rPr>
      </w:pPr>
    </w:p>
    <w:p w14:paraId="0589E479" w14:textId="2E0BDC3C" w:rsidR="0004101C" w:rsidRPr="0004101C" w:rsidRDefault="0004101C" w:rsidP="0004101C">
      <w:pPr>
        <w:spacing w:after="0" w:line="240" w:lineRule="auto"/>
        <w:rPr>
          <w:rFonts w:ascii="Arial" w:hAnsi="Arial" w:cs="Arial"/>
          <w:b/>
          <w:sz w:val="24"/>
          <w:szCs w:val="24"/>
          <w:u w:val="single"/>
          <w:lang w:val="en-ZA"/>
        </w:rPr>
      </w:pPr>
      <w:r w:rsidRPr="0004101C">
        <w:rPr>
          <w:rFonts w:ascii="Arial" w:hAnsi="Arial" w:cs="Arial"/>
          <w:b/>
          <w:sz w:val="24"/>
          <w:szCs w:val="24"/>
          <w:u w:val="single"/>
          <w:lang w:val="en-ZA"/>
        </w:rPr>
        <w:t>HC-MD-CIV-ACT-CON-2019/05158</w:t>
      </w:r>
    </w:p>
    <w:p w14:paraId="6D867FE0" w14:textId="323BB3A7" w:rsidR="008B4FF5" w:rsidRPr="0004101C" w:rsidRDefault="008B4FF5" w:rsidP="0004101C">
      <w:pPr>
        <w:spacing w:after="0" w:line="240" w:lineRule="auto"/>
        <w:rPr>
          <w:rFonts w:ascii="Arial" w:hAnsi="Arial" w:cs="Arial"/>
          <w:sz w:val="24"/>
          <w:szCs w:val="24"/>
          <w:lang w:val="en-ZA"/>
        </w:rPr>
      </w:pPr>
    </w:p>
    <w:p w14:paraId="5BE4A870" w14:textId="77777777" w:rsidR="008B4FF5" w:rsidRDefault="008B4FF5" w:rsidP="008B4FF5">
      <w:pPr>
        <w:spacing w:after="0" w:line="360" w:lineRule="auto"/>
        <w:ind w:left="720" w:hanging="720"/>
        <w:jc w:val="both"/>
        <w:rPr>
          <w:rFonts w:ascii="Arial" w:hAnsi="Arial" w:cs="Arial"/>
          <w:b/>
          <w:bCs/>
          <w:color w:val="000000"/>
          <w:sz w:val="24"/>
          <w:szCs w:val="24"/>
          <w:lang w:val="en-ZA"/>
        </w:rPr>
      </w:pPr>
      <w:r w:rsidRPr="008B4FF5">
        <w:rPr>
          <w:rFonts w:ascii="Arial" w:hAnsi="Arial" w:cs="Arial"/>
          <w:b/>
          <w:bCs/>
          <w:color w:val="000000"/>
          <w:sz w:val="24"/>
          <w:szCs w:val="24"/>
          <w:lang w:val="en-ZA"/>
        </w:rPr>
        <w:t xml:space="preserve">GREEN CONSULTING ENGINEERS CC </w:t>
      </w:r>
    </w:p>
    <w:p w14:paraId="2B9776A9" w14:textId="7783D331" w:rsidR="008B4FF5" w:rsidRPr="008B4FF5" w:rsidRDefault="008B4FF5" w:rsidP="00BA54B7">
      <w:pPr>
        <w:spacing w:after="0" w:line="360" w:lineRule="auto"/>
        <w:ind w:left="720" w:hanging="720"/>
        <w:jc w:val="both"/>
        <w:rPr>
          <w:rFonts w:ascii="Arial" w:hAnsi="Arial" w:cs="Arial"/>
          <w:b/>
          <w:bCs/>
          <w:color w:val="000000"/>
          <w:sz w:val="24"/>
          <w:szCs w:val="24"/>
          <w:lang w:val="en-ZA"/>
        </w:rPr>
      </w:pPr>
      <w:r w:rsidRPr="008B4FF5">
        <w:rPr>
          <w:rFonts w:ascii="Arial" w:hAnsi="Arial" w:cs="Arial"/>
          <w:b/>
          <w:bCs/>
          <w:color w:val="000000"/>
          <w:sz w:val="24"/>
          <w:szCs w:val="24"/>
          <w:lang w:val="en-ZA"/>
        </w:rPr>
        <w:t>t/a EMCON CONSULTING GROUP</w:t>
      </w:r>
      <w:r w:rsidRPr="008B4FF5">
        <w:rPr>
          <w:rFonts w:ascii="Arial" w:hAnsi="Arial" w:cs="Arial"/>
          <w:b/>
          <w:bCs/>
          <w:color w:val="000000"/>
          <w:sz w:val="24"/>
          <w:szCs w:val="24"/>
          <w:lang w:val="en-ZA"/>
        </w:rPr>
        <w:tab/>
      </w:r>
      <w:r w:rsidRPr="008B4FF5">
        <w:rPr>
          <w:rFonts w:ascii="Arial" w:hAnsi="Arial" w:cs="Arial"/>
          <w:b/>
          <w:bCs/>
          <w:color w:val="000000"/>
          <w:sz w:val="24"/>
          <w:szCs w:val="24"/>
          <w:lang w:val="en-ZA"/>
        </w:rPr>
        <w:tab/>
      </w:r>
      <w:r w:rsidRPr="008B4FF5">
        <w:rPr>
          <w:rFonts w:ascii="Arial" w:hAnsi="Arial" w:cs="Arial"/>
          <w:b/>
          <w:bCs/>
          <w:color w:val="000000"/>
          <w:sz w:val="24"/>
          <w:szCs w:val="24"/>
          <w:lang w:val="en-ZA"/>
        </w:rPr>
        <w:tab/>
      </w:r>
      <w:r w:rsidRPr="008B4FF5">
        <w:rPr>
          <w:rFonts w:ascii="Arial" w:hAnsi="Arial" w:cs="Arial"/>
          <w:b/>
          <w:bCs/>
          <w:color w:val="000000"/>
          <w:sz w:val="24"/>
          <w:szCs w:val="24"/>
          <w:lang w:val="en-ZA"/>
        </w:rPr>
        <w:tab/>
      </w:r>
      <w:r>
        <w:rPr>
          <w:rFonts w:ascii="Arial" w:hAnsi="Arial" w:cs="Arial"/>
          <w:b/>
          <w:bCs/>
          <w:color w:val="000000"/>
          <w:sz w:val="24"/>
          <w:szCs w:val="24"/>
          <w:lang w:val="en-ZA"/>
        </w:rPr>
        <w:tab/>
        <w:t xml:space="preserve">     </w:t>
      </w:r>
      <w:r w:rsidR="00E77352">
        <w:rPr>
          <w:rFonts w:ascii="Arial" w:hAnsi="Arial" w:cs="Arial"/>
          <w:b/>
          <w:bCs/>
          <w:color w:val="000000"/>
          <w:sz w:val="24"/>
          <w:szCs w:val="24"/>
          <w:lang w:val="en-ZA"/>
        </w:rPr>
        <w:t xml:space="preserve">     </w:t>
      </w:r>
      <w:r>
        <w:rPr>
          <w:rFonts w:ascii="Arial" w:hAnsi="Arial" w:cs="Arial"/>
          <w:b/>
          <w:bCs/>
          <w:color w:val="000000"/>
          <w:sz w:val="24"/>
          <w:szCs w:val="24"/>
          <w:lang w:val="en-ZA"/>
        </w:rPr>
        <w:t xml:space="preserve">  </w:t>
      </w:r>
      <w:r w:rsidR="00BA54B7">
        <w:rPr>
          <w:rFonts w:ascii="Arial" w:hAnsi="Arial" w:cs="Arial"/>
          <w:b/>
          <w:bCs/>
          <w:color w:val="000000"/>
          <w:sz w:val="24"/>
          <w:szCs w:val="24"/>
          <w:lang w:val="en-ZA"/>
        </w:rPr>
        <w:t>Appellant</w:t>
      </w:r>
    </w:p>
    <w:p w14:paraId="6CB00B88" w14:textId="77777777" w:rsidR="008B4FF5" w:rsidRPr="008B4FF5" w:rsidRDefault="008B4FF5" w:rsidP="008B4FF5">
      <w:pPr>
        <w:spacing w:after="0" w:line="360" w:lineRule="auto"/>
        <w:ind w:left="720" w:hanging="720"/>
        <w:jc w:val="both"/>
        <w:rPr>
          <w:rFonts w:ascii="Arial" w:hAnsi="Arial" w:cs="Arial"/>
          <w:b/>
          <w:bCs/>
          <w:color w:val="000000"/>
          <w:sz w:val="24"/>
          <w:szCs w:val="24"/>
          <w:lang w:val="en-ZA"/>
        </w:rPr>
      </w:pPr>
    </w:p>
    <w:p w14:paraId="38B74DF4" w14:textId="2C32F79F" w:rsidR="008B4FF5" w:rsidRPr="008B4FF5" w:rsidRDefault="00E42BEA" w:rsidP="008B4FF5">
      <w:pPr>
        <w:spacing w:after="0" w:line="360" w:lineRule="auto"/>
        <w:ind w:left="720" w:hanging="720"/>
        <w:jc w:val="both"/>
        <w:rPr>
          <w:rFonts w:ascii="Arial" w:hAnsi="Arial" w:cs="Arial"/>
          <w:bCs/>
          <w:color w:val="000000"/>
          <w:sz w:val="24"/>
          <w:szCs w:val="24"/>
          <w:lang w:val="en-ZA"/>
        </w:rPr>
      </w:pPr>
      <w:r>
        <w:rPr>
          <w:rFonts w:ascii="Arial" w:hAnsi="Arial" w:cs="Arial"/>
          <w:bCs/>
          <w:color w:val="000000"/>
          <w:sz w:val="24"/>
          <w:szCs w:val="24"/>
          <w:lang w:val="en-ZA"/>
        </w:rPr>
        <w:t>a</w:t>
      </w:r>
      <w:r w:rsidR="008B4FF5" w:rsidRPr="008B4FF5">
        <w:rPr>
          <w:rFonts w:ascii="Arial" w:hAnsi="Arial" w:cs="Arial"/>
          <w:bCs/>
          <w:color w:val="000000"/>
          <w:sz w:val="24"/>
          <w:szCs w:val="24"/>
          <w:lang w:val="en-ZA"/>
        </w:rPr>
        <w:t>nd</w:t>
      </w:r>
    </w:p>
    <w:p w14:paraId="6B3652B2" w14:textId="77777777" w:rsidR="008B4FF5" w:rsidRPr="008B4FF5" w:rsidRDefault="008B4FF5" w:rsidP="008B4FF5">
      <w:pPr>
        <w:spacing w:after="0" w:line="360" w:lineRule="auto"/>
        <w:ind w:left="720" w:hanging="720"/>
        <w:jc w:val="both"/>
        <w:rPr>
          <w:rFonts w:ascii="Arial" w:hAnsi="Arial" w:cs="Arial"/>
          <w:b/>
          <w:bCs/>
          <w:color w:val="000000"/>
          <w:sz w:val="24"/>
          <w:szCs w:val="24"/>
          <w:lang w:val="en-ZA"/>
        </w:rPr>
      </w:pPr>
    </w:p>
    <w:p w14:paraId="1E0F5454" w14:textId="1749F9B0" w:rsidR="008B4FF5" w:rsidRDefault="008B4FF5" w:rsidP="008B4FF5">
      <w:pPr>
        <w:spacing w:after="0" w:line="360" w:lineRule="auto"/>
        <w:ind w:left="720" w:hanging="720"/>
        <w:jc w:val="both"/>
        <w:rPr>
          <w:rFonts w:ascii="Arial" w:hAnsi="Arial" w:cs="Arial"/>
          <w:b/>
          <w:bCs/>
          <w:color w:val="000000"/>
          <w:sz w:val="24"/>
          <w:szCs w:val="24"/>
          <w:lang w:val="en-ZA"/>
        </w:rPr>
      </w:pPr>
      <w:r w:rsidRPr="008B4FF5">
        <w:rPr>
          <w:rFonts w:ascii="Arial" w:hAnsi="Arial" w:cs="Arial"/>
          <w:b/>
          <w:bCs/>
          <w:color w:val="000000"/>
          <w:sz w:val="24"/>
          <w:szCs w:val="24"/>
          <w:lang w:val="en-ZA"/>
        </w:rPr>
        <w:t>MINISTER OF WORKS AND TRANSPORT</w:t>
      </w:r>
      <w:r>
        <w:rPr>
          <w:rFonts w:ascii="Arial" w:hAnsi="Arial" w:cs="Arial"/>
          <w:b/>
          <w:bCs/>
          <w:color w:val="000000"/>
          <w:sz w:val="24"/>
          <w:szCs w:val="24"/>
          <w:lang w:val="en-ZA"/>
        </w:rPr>
        <w:tab/>
      </w:r>
      <w:r>
        <w:rPr>
          <w:rFonts w:ascii="Arial" w:hAnsi="Arial" w:cs="Arial"/>
          <w:b/>
          <w:bCs/>
          <w:color w:val="000000"/>
          <w:sz w:val="24"/>
          <w:szCs w:val="24"/>
          <w:lang w:val="en-ZA"/>
        </w:rPr>
        <w:tab/>
      </w:r>
      <w:r w:rsidRPr="008B4FF5">
        <w:rPr>
          <w:rFonts w:ascii="Arial" w:hAnsi="Arial" w:cs="Arial"/>
          <w:b/>
          <w:bCs/>
          <w:color w:val="000000"/>
          <w:sz w:val="24"/>
          <w:szCs w:val="24"/>
          <w:lang w:val="en-ZA"/>
        </w:rPr>
        <w:tab/>
        <w:t xml:space="preserve">   </w:t>
      </w:r>
      <w:r w:rsidR="00E77352">
        <w:rPr>
          <w:rFonts w:ascii="Arial" w:hAnsi="Arial" w:cs="Arial"/>
          <w:b/>
          <w:bCs/>
          <w:color w:val="000000"/>
          <w:sz w:val="24"/>
          <w:szCs w:val="24"/>
          <w:lang w:val="en-ZA"/>
        </w:rPr>
        <w:t xml:space="preserve">      </w:t>
      </w:r>
      <w:r w:rsidRPr="008B4FF5">
        <w:rPr>
          <w:rFonts w:ascii="Arial" w:hAnsi="Arial" w:cs="Arial"/>
          <w:b/>
          <w:bCs/>
          <w:color w:val="000000"/>
          <w:sz w:val="24"/>
          <w:szCs w:val="24"/>
          <w:lang w:val="en-ZA"/>
        </w:rPr>
        <w:t xml:space="preserve"> First Respondent</w:t>
      </w:r>
    </w:p>
    <w:p w14:paraId="4643655D" w14:textId="77777777" w:rsidR="0004101C" w:rsidRDefault="0004101C" w:rsidP="008B4FF5">
      <w:pPr>
        <w:spacing w:after="0" w:line="360" w:lineRule="auto"/>
        <w:ind w:left="720" w:hanging="720"/>
        <w:jc w:val="both"/>
        <w:rPr>
          <w:rFonts w:ascii="Arial" w:hAnsi="Arial" w:cs="Arial"/>
          <w:b/>
          <w:bCs/>
          <w:color w:val="000000"/>
          <w:sz w:val="24"/>
          <w:szCs w:val="24"/>
          <w:lang w:val="en-ZA"/>
        </w:rPr>
      </w:pPr>
    </w:p>
    <w:p w14:paraId="7C9B2B4D" w14:textId="52CE7681" w:rsidR="0004101C" w:rsidRPr="0004101C" w:rsidRDefault="0004101C" w:rsidP="008B4FF5">
      <w:pPr>
        <w:spacing w:after="0" w:line="360" w:lineRule="auto"/>
        <w:ind w:left="720" w:hanging="720"/>
        <w:jc w:val="both"/>
        <w:rPr>
          <w:rFonts w:ascii="Arial" w:hAnsi="Arial" w:cs="Arial"/>
          <w:b/>
          <w:bCs/>
          <w:color w:val="000000"/>
          <w:sz w:val="24"/>
          <w:szCs w:val="24"/>
          <w:u w:val="single"/>
          <w:lang w:val="en-ZA"/>
        </w:rPr>
      </w:pPr>
      <w:r w:rsidRPr="0004101C">
        <w:rPr>
          <w:rFonts w:ascii="Arial" w:hAnsi="Arial" w:cs="Arial"/>
          <w:b/>
          <w:bCs/>
          <w:color w:val="000000"/>
          <w:sz w:val="24"/>
          <w:szCs w:val="24"/>
          <w:u w:val="single"/>
          <w:lang w:val="en-ZA"/>
        </w:rPr>
        <w:t>HC-MD-CIV-ACT-CON-2019/05157</w:t>
      </w:r>
    </w:p>
    <w:p w14:paraId="505FF97E" w14:textId="77777777" w:rsidR="0004101C" w:rsidRDefault="0004101C" w:rsidP="008B4FF5">
      <w:pPr>
        <w:spacing w:after="0" w:line="360" w:lineRule="auto"/>
        <w:ind w:left="720" w:hanging="720"/>
        <w:jc w:val="both"/>
        <w:rPr>
          <w:rFonts w:ascii="Arial" w:hAnsi="Arial" w:cs="Arial"/>
          <w:b/>
          <w:bCs/>
          <w:color w:val="000000"/>
          <w:sz w:val="24"/>
          <w:szCs w:val="24"/>
          <w:lang w:val="en-ZA"/>
        </w:rPr>
      </w:pPr>
    </w:p>
    <w:p w14:paraId="1981BF58"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 xml:space="preserve">GREEN CONSULTING ENGINEERS CC </w:t>
      </w:r>
    </w:p>
    <w:p w14:paraId="21964CAA"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t/a EMCON CONSULTING GROUP</w:t>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t xml:space="preserve">            Appellant</w:t>
      </w:r>
    </w:p>
    <w:p w14:paraId="1E07EA5B"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p>
    <w:p w14:paraId="30B65B4F" w14:textId="77777777" w:rsidR="0004101C" w:rsidRPr="00E66D0E" w:rsidRDefault="0004101C" w:rsidP="0004101C">
      <w:pPr>
        <w:spacing w:after="0" w:line="360" w:lineRule="auto"/>
        <w:ind w:left="720" w:hanging="720"/>
        <w:jc w:val="both"/>
        <w:rPr>
          <w:rFonts w:ascii="Arial" w:hAnsi="Arial" w:cs="Arial"/>
          <w:bCs/>
          <w:color w:val="000000"/>
          <w:sz w:val="24"/>
          <w:szCs w:val="24"/>
          <w:lang w:val="en-ZA"/>
        </w:rPr>
      </w:pPr>
      <w:r w:rsidRPr="00E66D0E">
        <w:rPr>
          <w:rFonts w:ascii="Arial" w:hAnsi="Arial" w:cs="Arial"/>
          <w:bCs/>
          <w:color w:val="000000"/>
          <w:sz w:val="24"/>
          <w:szCs w:val="24"/>
          <w:lang w:val="en-ZA"/>
        </w:rPr>
        <w:t>and</w:t>
      </w:r>
    </w:p>
    <w:p w14:paraId="5ED9ACA8"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p>
    <w:p w14:paraId="0DA39C6A" w14:textId="5FC18365" w:rsidR="0004101C" w:rsidRDefault="0004101C" w:rsidP="0004101C">
      <w:pPr>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MINISTER OF WORKS AND TRANSPORT</w:t>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t xml:space="preserve">          First Respondent</w:t>
      </w:r>
    </w:p>
    <w:p w14:paraId="55A50E0D" w14:textId="77777777" w:rsidR="00E66D0E" w:rsidRDefault="00E66D0E" w:rsidP="008B4FF5">
      <w:pPr>
        <w:spacing w:after="0" w:line="360" w:lineRule="auto"/>
        <w:ind w:left="720" w:hanging="720"/>
        <w:jc w:val="both"/>
        <w:rPr>
          <w:rFonts w:ascii="Arial" w:hAnsi="Arial" w:cs="Arial"/>
          <w:b/>
          <w:bCs/>
          <w:color w:val="000000"/>
          <w:sz w:val="24"/>
          <w:szCs w:val="24"/>
          <w:lang w:val="en-ZA"/>
        </w:rPr>
      </w:pPr>
    </w:p>
    <w:p w14:paraId="4B95D753" w14:textId="77777777" w:rsidR="00B27D91" w:rsidRDefault="00B27D91" w:rsidP="008B4FF5">
      <w:pPr>
        <w:spacing w:after="0" w:line="360" w:lineRule="auto"/>
        <w:ind w:left="720" w:hanging="720"/>
        <w:jc w:val="both"/>
        <w:rPr>
          <w:rFonts w:ascii="Arial" w:hAnsi="Arial" w:cs="Arial"/>
          <w:b/>
          <w:bCs/>
          <w:color w:val="000000"/>
          <w:sz w:val="24"/>
          <w:szCs w:val="24"/>
          <w:lang w:val="en-ZA"/>
        </w:rPr>
      </w:pPr>
      <w:r w:rsidRPr="00B27D91">
        <w:rPr>
          <w:rFonts w:ascii="Arial" w:hAnsi="Arial" w:cs="Arial"/>
          <w:b/>
          <w:bCs/>
          <w:color w:val="000000"/>
          <w:sz w:val="24"/>
          <w:szCs w:val="24"/>
          <w:lang w:val="en-ZA"/>
        </w:rPr>
        <w:t>MINISTER</w:t>
      </w:r>
      <w:r w:rsidR="00A95719">
        <w:rPr>
          <w:rFonts w:ascii="Arial" w:hAnsi="Arial" w:cs="Arial"/>
          <w:b/>
          <w:bCs/>
          <w:color w:val="000000"/>
          <w:sz w:val="24"/>
          <w:szCs w:val="24"/>
          <w:lang w:val="en-ZA"/>
        </w:rPr>
        <w:t xml:space="preserve"> OF SAFETY AN</w:t>
      </w:r>
      <w:r w:rsidRPr="00B27D91">
        <w:rPr>
          <w:rFonts w:ascii="Arial" w:hAnsi="Arial" w:cs="Arial"/>
          <w:b/>
          <w:bCs/>
          <w:color w:val="000000"/>
          <w:sz w:val="24"/>
          <w:szCs w:val="24"/>
          <w:lang w:val="en-ZA"/>
        </w:rPr>
        <w:t xml:space="preserve">D SECURITY AND </w:t>
      </w:r>
      <w:r w:rsidR="00501BCB">
        <w:rPr>
          <w:rFonts w:ascii="Arial" w:hAnsi="Arial" w:cs="Arial"/>
          <w:b/>
          <w:bCs/>
          <w:color w:val="000000"/>
          <w:sz w:val="24"/>
          <w:szCs w:val="24"/>
          <w:lang w:val="en-ZA"/>
        </w:rPr>
        <w:tab/>
      </w:r>
      <w:r w:rsidR="00501BCB">
        <w:rPr>
          <w:rFonts w:ascii="Arial" w:hAnsi="Arial" w:cs="Arial"/>
          <w:b/>
          <w:bCs/>
          <w:color w:val="000000"/>
          <w:sz w:val="24"/>
          <w:szCs w:val="24"/>
          <w:lang w:val="en-ZA"/>
        </w:rPr>
        <w:tab/>
      </w:r>
    </w:p>
    <w:p w14:paraId="4E72643E" w14:textId="0BFC8439" w:rsidR="00A95719" w:rsidRDefault="007A16DE" w:rsidP="00501BCB">
      <w:pPr>
        <w:spacing w:after="0" w:line="360" w:lineRule="auto"/>
        <w:jc w:val="both"/>
        <w:rPr>
          <w:rFonts w:ascii="Arial" w:hAnsi="Arial" w:cs="Arial"/>
          <w:b/>
          <w:bCs/>
          <w:color w:val="000000"/>
          <w:sz w:val="24"/>
          <w:szCs w:val="24"/>
          <w:lang w:val="en-ZA"/>
        </w:rPr>
      </w:pPr>
      <w:r>
        <w:rPr>
          <w:rFonts w:ascii="Arial" w:hAnsi="Arial" w:cs="Arial"/>
          <w:b/>
          <w:bCs/>
          <w:color w:val="000000"/>
          <w:sz w:val="24"/>
          <w:szCs w:val="24"/>
          <w:lang w:val="en-ZA"/>
        </w:rPr>
        <w:t xml:space="preserve">THE </w:t>
      </w:r>
      <w:r w:rsidR="00A95719">
        <w:rPr>
          <w:rFonts w:ascii="Arial" w:hAnsi="Arial" w:cs="Arial"/>
          <w:b/>
          <w:bCs/>
          <w:color w:val="000000"/>
          <w:sz w:val="24"/>
          <w:szCs w:val="24"/>
          <w:lang w:val="en-ZA"/>
        </w:rPr>
        <w:t>NAMIBIAN CORRECTIONAL SERVICES</w:t>
      </w:r>
      <w:r w:rsidR="00501BCB">
        <w:rPr>
          <w:rFonts w:ascii="Arial" w:hAnsi="Arial" w:cs="Arial"/>
          <w:b/>
          <w:bCs/>
          <w:color w:val="000000"/>
          <w:sz w:val="24"/>
          <w:szCs w:val="24"/>
          <w:lang w:val="en-ZA"/>
        </w:rPr>
        <w:tab/>
      </w:r>
      <w:r w:rsidR="00501BCB">
        <w:rPr>
          <w:rFonts w:ascii="Arial" w:hAnsi="Arial" w:cs="Arial"/>
          <w:b/>
          <w:bCs/>
          <w:color w:val="000000"/>
          <w:sz w:val="24"/>
          <w:szCs w:val="24"/>
          <w:lang w:val="en-ZA"/>
        </w:rPr>
        <w:tab/>
      </w:r>
      <w:r w:rsidR="00501BCB">
        <w:rPr>
          <w:rFonts w:ascii="Arial" w:hAnsi="Arial" w:cs="Arial"/>
          <w:b/>
          <w:bCs/>
          <w:color w:val="000000"/>
          <w:sz w:val="24"/>
          <w:szCs w:val="24"/>
          <w:lang w:val="en-ZA"/>
        </w:rPr>
        <w:tab/>
      </w:r>
      <w:r w:rsidR="00E77352">
        <w:rPr>
          <w:rFonts w:ascii="Arial" w:hAnsi="Arial" w:cs="Arial"/>
          <w:b/>
          <w:bCs/>
          <w:color w:val="000000"/>
          <w:sz w:val="24"/>
          <w:szCs w:val="24"/>
          <w:lang w:val="en-ZA"/>
        </w:rPr>
        <w:t xml:space="preserve">     </w:t>
      </w:r>
      <w:r w:rsidR="00501BCB" w:rsidRPr="00501BCB">
        <w:rPr>
          <w:rFonts w:ascii="Arial" w:hAnsi="Arial" w:cs="Arial"/>
          <w:b/>
          <w:bCs/>
          <w:color w:val="000000"/>
          <w:sz w:val="24"/>
          <w:szCs w:val="24"/>
          <w:lang w:val="en-ZA"/>
        </w:rPr>
        <w:t>Second Respondent</w:t>
      </w:r>
    </w:p>
    <w:p w14:paraId="17D9B678" w14:textId="77777777" w:rsidR="0004101C" w:rsidRDefault="0004101C" w:rsidP="00501BCB">
      <w:pPr>
        <w:spacing w:after="0" w:line="360" w:lineRule="auto"/>
        <w:jc w:val="both"/>
        <w:rPr>
          <w:rFonts w:ascii="Arial" w:hAnsi="Arial" w:cs="Arial"/>
          <w:b/>
          <w:bCs/>
          <w:color w:val="000000"/>
          <w:sz w:val="24"/>
          <w:szCs w:val="24"/>
          <w:lang w:val="en-ZA"/>
        </w:rPr>
      </w:pPr>
    </w:p>
    <w:p w14:paraId="41C23740" w14:textId="77777777" w:rsidR="00E66D0E" w:rsidRDefault="00E66D0E" w:rsidP="00501BCB">
      <w:pPr>
        <w:spacing w:after="0" w:line="360" w:lineRule="auto"/>
        <w:jc w:val="both"/>
        <w:rPr>
          <w:rFonts w:ascii="Arial" w:hAnsi="Arial" w:cs="Arial"/>
          <w:b/>
          <w:bCs/>
          <w:color w:val="000000"/>
          <w:sz w:val="24"/>
          <w:szCs w:val="24"/>
          <w:lang w:val="en-ZA"/>
        </w:rPr>
      </w:pPr>
    </w:p>
    <w:p w14:paraId="157C773E" w14:textId="00821D24" w:rsidR="00A95719" w:rsidRPr="00E66D0E" w:rsidRDefault="0004101C" w:rsidP="0004101C">
      <w:pPr>
        <w:tabs>
          <w:tab w:val="left" w:pos="4770"/>
        </w:tabs>
        <w:spacing w:after="0" w:line="360" w:lineRule="auto"/>
        <w:ind w:left="720" w:hanging="720"/>
        <w:jc w:val="both"/>
        <w:rPr>
          <w:rFonts w:ascii="Arial" w:hAnsi="Arial" w:cs="Arial"/>
          <w:b/>
          <w:bCs/>
          <w:color w:val="000000"/>
          <w:sz w:val="24"/>
          <w:szCs w:val="24"/>
          <w:u w:val="single"/>
          <w:lang w:val="en-ZA"/>
        </w:rPr>
      </w:pPr>
      <w:r w:rsidRPr="00E66D0E">
        <w:rPr>
          <w:rFonts w:ascii="Arial" w:hAnsi="Arial" w:cs="Arial"/>
          <w:b/>
          <w:bCs/>
          <w:color w:val="000000"/>
          <w:sz w:val="24"/>
          <w:szCs w:val="24"/>
          <w:u w:val="single"/>
          <w:lang w:val="en-ZA"/>
        </w:rPr>
        <w:lastRenderedPageBreak/>
        <w:t>HC-MD-CIV-ACT-CON-2019/05160</w:t>
      </w:r>
    </w:p>
    <w:p w14:paraId="39CF04CA" w14:textId="77777777" w:rsidR="0004101C" w:rsidRDefault="0004101C" w:rsidP="0004101C">
      <w:pPr>
        <w:tabs>
          <w:tab w:val="left" w:pos="4770"/>
        </w:tabs>
        <w:spacing w:after="0" w:line="360" w:lineRule="auto"/>
        <w:ind w:left="720" w:hanging="720"/>
        <w:jc w:val="both"/>
        <w:rPr>
          <w:rFonts w:ascii="Arial" w:hAnsi="Arial" w:cs="Arial"/>
          <w:b/>
          <w:bCs/>
          <w:color w:val="000000"/>
          <w:sz w:val="24"/>
          <w:szCs w:val="24"/>
          <w:lang w:val="en-ZA"/>
        </w:rPr>
      </w:pPr>
    </w:p>
    <w:p w14:paraId="3675675D" w14:textId="77777777" w:rsidR="0004101C" w:rsidRPr="0004101C" w:rsidRDefault="0004101C" w:rsidP="0004101C">
      <w:pPr>
        <w:tabs>
          <w:tab w:val="left" w:pos="4770"/>
        </w:tabs>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 xml:space="preserve">GREEN CONSULTING ENGINEERS CC </w:t>
      </w:r>
    </w:p>
    <w:p w14:paraId="510B29AF" w14:textId="77777777" w:rsidR="0004101C" w:rsidRPr="0004101C" w:rsidRDefault="0004101C" w:rsidP="0004101C">
      <w:pPr>
        <w:tabs>
          <w:tab w:val="left" w:pos="4770"/>
        </w:tabs>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t/a EMCON CONSULTING GROUP</w:t>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t xml:space="preserve">            Appellant</w:t>
      </w:r>
    </w:p>
    <w:p w14:paraId="344B02AE" w14:textId="77777777" w:rsidR="0004101C" w:rsidRPr="0004101C" w:rsidRDefault="0004101C" w:rsidP="0004101C">
      <w:pPr>
        <w:tabs>
          <w:tab w:val="left" w:pos="4770"/>
        </w:tabs>
        <w:spacing w:after="0" w:line="360" w:lineRule="auto"/>
        <w:ind w:left="720" w:hanging="720"/>
        <w:jc w:val="both"/>
        <w:rPr>
          <w:rFonts w:ascii="Arial" w:hAnsi="Arial" w:cs="Arial"/>
          <w:b/>
          <w:bCs/>
          <w:color w:val="000000"/>
          <w:sz w:val="24"/>
          <w:szCs w:val="24"/>
          <w:lang w:val="en-ZA"/>
        </w:rPr>
      </w:pPr>
    </w:p>
    <w:p w14:paraId="3CB29A76" w14:textId="77777777" w:rsidR="0004101C" w:rsidRPr="00E66D0E" w:rsidRDefault="0004101C" w:rsidP="0004101C">
      <w:pPr>
        <w:tabs>
          <w:tab w:val="left" w:pos="4770"/>
        </w:tabs>
        <w:spacing w:after="0" w:line="360" w:lineRule="auto"/>
        <w:ind w:left="720" w:hanging="720"/>
        <w:jc w:val="both"/>
        <w:rPr>
          <w:rFonts w:ascii="Arial" w:hAnsi="Arial" w:cs="Arial"/>
          <w:bCs/>
          <w:color w:val="000000"/>
          <w:sz w:val="24"/>
          <w:szCs w:val="24"/>
          <w:lang w:val="en-ZA"/>
        </w:rPr>
      </w:pPr>
      <w:r w:rsidRPr="00E66D0E">
        <w:rPr>
          <w:rFonts w:ascii="Arial" w:hAnsi="Arial" w:cs="Arial"/>
          <w:bCs/>
          <w:color w:val="000000"/>
          <w:sz w:val="24"/>
          <w:szCs w:val="24"/>
          <w:lang w:val="en-ZA"/>
        </w:rPr>
        <w:t>and</w:t>
      </w:r>
    </w:p>
    <w:p w14:paraId="2ADC851F" w14:textId="77777777" w:rsidR="0004101C" w:rsidRPr="0004101C" w:rsidRDefault="0004101C" w:rsidP="0004101C">
      <w:pPr>
        <w:tabs>
          <w:tab w:val="left" w:pos="4770"/>
        </w:tabs>
        <w:spacing w:after="0" w:line="360" w:lineRule="auto"/>
        <w:ind w:left="720" w:hanging="720"/>
        <w:jc w:val="both"/>
        <w:rPr>
          <w:rFonts w:ascii="Arial" w:hAnsi="Arial" w:cs="Arial"/>
          <w:b/>
          <w:bCs/>
          <w:color w:val="000000"/>
          <w:sz w:val="24"/>
          <w:szCs w:val="24"/>
          <w:lang w:val="en-ZA"/>
        </w:rPr>
      </w:pPr>
    </w:p>
    <w:p w14:paraId="0AFF736A" w14:textId="7928E4CD" w:rsidR="0004101C" w:rsidRDefault="0004101C" w:rsidP="0004101C">
      <w:pPr>
        <w:tabs>
          <w:tab w:val="left" w:pos="4770"/>
        </w:tabs>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MINISTER OF WORKS AND TRANSPORT</w:t>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t xml:space="preserve">      </w:t>
      </w:r>
      <w:r>
        <w:rPr>
          <w:rFonts w:ascii="Arial" w:hAnsi="Arial" w:cs="Arial"/>
          <w:b/>
          <w:bCs/>
          <w:color w:val="000000"/>
          <w:sz w:val="24"/>
          <w:szCs w:val="24"/>
          <w:lang w:val="en-ZA"/>
        </w:rPr>
        <w:tab/>
        <w:t xml:space="preserve">     </w:t>
      </w:r>
      <w:r w:rsidRPr="0004101C">
        <w:rPr>
          <w:rFonts w:ascii="Arial" w:hAnsi="Arial" w:cs="Arial"/>
          <w:b/>
          <w:bCs/>
          <w:color w:val="000000"/>
          <w:sz w:val="24"/>
          <w:szCs w:val="24"/>
          <w:lang w:val="en-ZA"/>
        </w:rPr>
        <w:t xml:space="preserve">    First Respondent</w:t>
      </w:r>
    </w:p>
    <w:p w14:paraId="45E9395E" w14:textId="77777777" w:rsidR="00E66D0E" w:rsidRDefault="00E66D0E" w:rsidP="008B4FF5">
      <w:pPr>
        <w:spacing w:after="0" w:line="360" w:lineRule="auto"/>
        <w:ind w:left="720" w:hanging="720"/>
        <w:jc w:val="both"/>
        <w:rPr>
          <w:rFonts w:ascii="Arial" w:hAnsi="Arial" w:cs="Arial"/>
          <w:b/>
          <w:bCs/>
          <w:color w:val="000000"/>
          <w:sz w:val="24"/>
          <w:szCs w:val="24"/>
          <w:lang w:val="en-ZA"/>
        </w:rPr>
      </w:pPr>
    </w:p>
    <w:p w14:paraId="04FB61EF" w14:textId="66595159" w:rsidR="0004101C" w:rsidRDefault="00846B18" w:rsidP="008B4FF5">
      <w:pPr>
        <w:spacing w:after="0" w:line="360" w:lineRule="auto"/>
        <w:ind w:left="720" w:hanging="720"/>
        <w:jc w:val="both"/>
        <w:rPr>
          <w:rFonts w:ascii="Arial" w:hAnsi="Arial" w:cs="Arial"/>
          <w:b/>
          <w:bCs/>
          <w:color w:val="000000"/>
          <w:sz w:val="24"/>
          <w:szCs w:val="24"/>
          <w:lang w:val="en-ZA"/>
        </w:rPr>
      </w:pPr>
      <w:r>
        <w:rPr>
          <w:rFonts w:ascii="Arial" w:hAnsi="Arial" w:cs="Arial"/>
          <w:b/>
          <w:bCs/>
          <w:color w:val="000000"/>
          <w:sz w:val="24"/>
          <w:szCs w:val="24"/>
          <w:lang w:val="en-ZA"/>
        </w:rPr>
        <w:t>MINISTER SAFETY AN</w:t>
      </w:r>
      <w:r w:rsidR="0004101C">
        <w:rPr>
          <w:rFonts w:ascii="Arial" w:hAnsi="Arial" w:cs="Arial"/>
          <w:b/>
          <w:bCs/>
          <w:color w:val="000000"/>
          <w:sz w:val="24"/>
          <w:szCs w:val="24"/>
          <w:lang w:val="en-ZA"/>
        </w:rPr>
        <w:t xml:space="preserve">D SECURITY AND </w:t>
      </w:r>
    </w:p>
    <w:p w14:paraId="62F73B65" w14:textId="60D57CFD" w:rsidR="00501BCB" w:rsidRDefault="0004101C" w:rsidP="008B4FF5">
      <w:pPr>
        <w:spacing w:after="0" w:line="360" w:lineRule="auto"/>
        <w:ind w:left="720" w:hanging="720"/>
        <w:jc w:val="both"/>
        <w:rPr>
          <w:rFonts w:ascii="Arial" w:hAnsi="Arial" w:cs="Arial"/>
          <w:b/>
          <w:bCs/>
          <w:color w:val="000000"/>
          <w:sz w:val="24"/>
          <w:szCs w:val="24"/>
          <w:lang w:val="en-ZA"/>
        </w:rPr>
      </w:pPr>
      <w:r>
        <w:rPr>
          <w:rFonts w:ascii="Arial" w:hAnsi="Arial" w:cs="Arial"/>
          <w:b/>
          <w:bCs/>
          <w:color w:val="000000"/>
          <w:sz w:val="24"/>
          <w:szCs w:val="24"/>
          <w:lang w:val="en-ZA"/>
        </w:rPr>
        <w:t xml:space="preserve">THE </w:t>
      </w:r>
      <w:r w:rsidR="00B27D91" w:rsidRPr="00B27D91">
        <w:rPr>
          <w:rFonts w:ascii="Arial" w:hAnsi="Arial" w:cs="Arial"/>
          <w:b/>
          <w:bCs/>
          <w:color w:val="000000"/>
          <w:sz w:val="24"/>
          <w:szCs w:val="24"/>
          <w:lang w:val="en-ZA"/>
        </w:rPr>
        <w:t>NAMIBIAN POLICE FORCE</w:t>
      </w:r>
      <w:r w:rsidR="00501BCB">
        <w:rPr>
          <w:rFonts w:ascii="Arial" w:hAnsi="Arial" w:cs="Arial"/>
          <w:b/>
          <w:bCs/>
          <w:color w:val="000000"/>
          <w:sz w:val="24"/>
          <w:szCs w:val="24"/>
          <w:lang w:val="en-ZA"/>
        </w:rPr>
        <w:tab/>
      </w:r>
      <w:r w:rsidR="00501BCB">
        <w:rPr>
          <w:rFonts w:ascii="Arial" w:hAnsi="Arial" w:cs="Arial"/>
          <w:b/>
          <w:bCs/>
          <w:color w:val="000000"/>
          <w:sz w:val="24"/>
          <w:szCs w:val="24"/>
          <w:lang w:val="en-ZA"/>
        </w:rPr>
        <w:tab/>
      </w:r>
      <w:r w:rsidR="00501BCB">
        <w:rPr>
          <w:rFonts w:ascii="Arial" w:hAnsi="Arial" w:cs="Arial"/>
          <w:b/>
          <w:bCs/>
          <w:color w:val="000000"/>
          <w:sz w:val="24"/>
          <w:szCs w:val="24"/>
          <w:lang w:val="en-ZA"/>
        </w:rPr>
        <w:tab/>
      </w:r>
      <w:r w:rsidR="00501BCB">
        <w:rPr>
          <w:rFonts w:ascii="Arial" w:hAnsi="Arial" w:cs="Arial"/>
          <w:b/>
          <w:bCs/>
          <w:color w:val="000000"/>
          <w:sz w:val="24"/>
          <w:szCs w:val="24"/>
          <w:lang w:val="en-ZA"/>
        </w:rPr>
        <w:tab/>
      </w:r>
      <w:r>
        <w:rPr>
          <w:rFonts w:ascii="Arial" w:hAnsi="Arial" w:cs="Arial"/>
          <w:b/>
          <w:bCs/>
          <w:color w:val="000000"/>
          <w:sz w:val="24"/>
          <w:szCs w:val="24"/>
          <w:lang w:val="en-ZA"/>
        </w:rPr>
        <w:t xml:space="preserve">     </w:t>
      </w:r>
      <w:r w:rsidR="00501BCB" w:rsidRPr="00501BCB">
        <w:rPr>
          <w:rFonts w:ascii="Arial" w:hAnsi="Arial" w:cs="Arial"/>
          <w:b/>
          <w:bCs/>
          <w:color w:val="000000"/>
          <w:sz w:val="24"/>
          <w:szCs w:val="24"/>
          <w:lang w:val="en-ZA"/>
        </w:rPr>
        <w:t>Second Respondent</w:t>
      </w:r>
    </w:p>
    <w:p w14:paraId="61499D28" w14:textId="77777777" w:rsidR="0004101C" w:rsidRDefault="0004101C" w:rsidP="008B4FF5">
      <w:pPr>
        <w:spacing w:after="0" w:line="360" w:lineRule="auto"/>
        <w:ind w:left="720" w:hanging="720"/>
        <w:jc w:val="both"/>
        <w:rPr>
          <w:rFonts w:ascii="Arial" w:hAnsi="Arial" w:cs="Arial"/>
          <w:b/>
          <w:bCs/>
          <w:color w:val="000000"/>
          <w:sz w:val="24"/>
          <w:szCs w:val="24"/>
          <w:lang w:val="en-ZA"/>
        </w:rPr>
      </w:pPr>
    </w:p>
    <w:p w14:paraId="41AE8289" w14:textId="72749EB0" w:rsidR="00501BCB" w:rsidRDefault="0004101C" w:rsidP="008B4FF5">
      <w:pPr>
        <w:spacing w:after="0" w:line="360" w:lineRule="auto"/>
        <w:ind w:left="720" w:hanging="720"/>
        <w:jc w:val="both"/>
        <w:rPr>
          <w:rFonts w:ascii="Arial" w:hAnsi="Arial" w:cs="Arial"/>
          <w:b/>
          <w:bCs/>
          <w:color w:val="000000"/>
          <w:sz w:val="24"/>
          <w:szCs w:val="24"/>
          <w:u w:val="single"/>
          <w:lang w:val="en-ZA"/>
        </w:rPr>
      </w:pPr>
      <w:r w:rsidRPr="0004101C">
        <w:rPr>
          <w:rFonts w:ascii="Arial" w:hAnsi="Arial" w:cs="Arial"/>
          <w:b/>
          <w:bCs/>
          <w:color w:val="000000"/>
          <w:sz w:val="24"/>
          <w:szCs w:val="24"/>
          <w:u w:val="single"/>
          <w:lang w:val="en-ZA"/>
        </w:rPr>
        <w:t>HC-MD-CIV-ACT-CON-2019/05130</w:t>
      </w:r>
    </w:p>
    <w:p w14:paraId="601EFBE5" w14:textId="77777777" w:rsidR="0004101C" w:rsidRDefault="0004101C" w:rsidP="008B4FF5">
      <w:pPr>
        <w:spacing w:after="0" w:line="360" w:lineRule="auto"/>
        <w:ind w:left="720" w:hanging="720"/>
        <w:jc w:val="both"/>
        <w:rPr>
          <w:rFonts w:ascii="Arial" w:hAnsi="Arial" w:cs="Arial"/>
          <w:b/>
          <w:bCs/>
          <w:color w:val="000000"/>
          <w:sz w:val="24"/>
          <w:szCs w:val="24"/>
          <w:u w:val="single"/>
          <w:lang w:val="en-ZA"/>
        </w:rPr>
      </w:pPr>
    </w:p>
    <w:p w14:paraId="3762CF0A"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 xml:space="preserve">GREEN CONSULTING ENGINEERS CC </w:t>
      </w:r>
    </w:p>
    <w:p w14:paraId="64AD7D56"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t/a EMCON CONSULTING GROUP</w:t>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t xml:space="preserve">            Appellant</w:t>
      </w:r>
    </w:p>
    <w:p w14:paraId="6EAE29C0"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p>
    <w:p w14:paraId="2A849EF7" w14:textId="77777777" w:rsidR="0004101C" w:rsidRPr="00E66D0E" w:rsidRDefault="0004101C" w:rsidP="0004101C">
      <w:pPr>
        <w:spacing w:after="0" w:line="360" w:lineRule="auto"/>
        <w:ind w:left="720" w:hanging="720"/>
        <w:jc w:val="both"/>
        <w:rPr>
          <w:rFonts w:ascii="Arial" w:hAnsi="Arial" w:cs="Arial"/>
          <w:bCs/>
          <w:color w:val="000000"/>
          <w:sz w:val="24"/>
          <w:szCs w:val="24"/>
          <w:lang w:val="en-ZA"/>
        </w:rPr>
      </w:pPr>
      <w:r w:rsidRPr="00E66D0E">
        <w:rPr>
          <w:rFonts w:ascii="Arial" w:hAnsi="Arial" w:cs="Arial"/>
          <w:bCs/>
          <w:color w:val="000000"/>
          <w:sz w:val="24"/>
          <w:szCs w:val="24"/>
          <w:lang w:val="en-ZA"/>
        </w:rPr>
        <w:t>and</w:t>
      </w:r>
    </w:p>
    <w:p w14:paraId="3CD33914"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p>
    <w:p w14:paraId="1FB25D68" w14:textId="39E02445" w:rsidR="0004101C" w:rsidRPr="0004101C" w:rsidRDefault="0004101C" w:rsidP="0004101C">
      <w:pPr>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MINISTER OF WORKS AND TRANSPORT</w:t>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Pr>
          <w:rFonts w:ascii="Arial" w:hAnsi="Arial" w:cs="Arial"/>
          <w:b/>
          <w:bCs/>
          <w:color w:val="000000"/>
          <w:sz w:val="24"/>
          <w:szCs w:val="24"/>
          <w:lang w:val="en-ZA"/>
        </w:rPr>
        <w:t xml:space="preserve">      </w:t>
      </w:r>
      <w:r w:rsidRPr="0004101C">
        <w:rPr>
          <w:rFonts w:ascii="Arial" w:hAnsi="Arial" w:cs="Arial"/>
          <w:b/>
          <w:bCs/>
          <w:color w:val="000000"/>
          <w:sz w:val="24"/>
          <w:szCs w:val="24"/>
          <w:lang w:val="en-ZA"/>
        </w:rPr>
        <w:t xml:space="preserve">    </w:t>
      </w:r>
      <w:r w:rsidRPr="0004101C">
        <w:rPr>
          <w:rFonts w:ascii="Arial" w:hAnsi="Arial" w:cs="Arial"/>
          <w:b/>
          <w:bCs/>
          <w:color w:val="000000"/>
          <w:sz w:val="24"/>
          <w:szCs w:val="24"/>
          <w:lang w:val="en-ZA"/>
        </w:rPr>
        <w:tab/>
        <w:t xml:space="preserve">         First Respondent</w:t>
      </w:r>
    </w:p>
    <w:p w14:paraId="0AADBAF0" w14:textId="77777777" w:rsidR="00E66D0E" w:rsidRDefault="00E66D0E" w:rsidP="008B4FF5">
      <w:pPr>
        <w:spacing w:after="0" w:line="360" w:lineRule="auto"/>
        <w:ind w:left="720" w:hanging="720"/>
        <w:jc w:val="both"/>
        <w:rPr>
          <w:rFonts w:ascii="Arial" w:hAnsi="Arial" w:cs="Arial"/>
          <w:b/>
          <w:bCs/>
          <w:color w:val="000000"/>
          <w:sz w:val="24"/>
          <w:szCs w:val="24"/>
          <w:lang w:val="en-ZA"/>
        </w:rPr>
      </w:pPr>
    </w:p>
    <w:p w14:paraId="5ED28A60" w14:textId="0B5B2A65" w:rsidR="00501BCB" w:rsidRDefault="00501BCB" w:rsidP="008B4FF5">
      <w:pPr>
        <w:spacing w:after="0" w:line="360" w:lineRule="auto"/>
        <w:ind w:left="720" w:hanging="720"/>
        <w:jc w:val="both"/>
        <w:rPr>
          <w:rFonts w:ascii="Arial" w:hAnsi="Arial" w:cs="Arial"/>
          <w:b/>
          <w:bCs/>
          <w:color w:val="000000"/>
          <w:sz w:val="24"/>
          <w:szCs w:val="24"/>
          <w:lang w:val="en-ZA"/>
        </w:rPr>
      </w:pPr>
      <w:r>
        <w:rPr>
          <w:rFonts w:ascii="Arial" w:hAnsi="Arial" w:cs="Arial"/>
          <w:b/>
          <w:bCs/>
          <w:color w:val="000000"/>
          <w:sz w:val="24"/>
          <w:szCs w:val="24"/>
          <w:lang w:val="en-ZA"/>
        </w:rPr>
        <w:t>MINISTER OF EDUCATION, ARTS AND CULTURE</w:t>
      </w:r>
      <w:r>
        <w:rPr>
          <w:rFonts w:ascii="Arial" w:hAnsi="Arial" w:cs="Arial"/>
          <w:b/>
          <w:bCs/>
          <w:color w:val="000000"/>
          <w:sz w:val="24"/>
          <w:szCs w:val="24"/>
          <w:lang w:val="en-ZA"/>
        </w:rPr>
        <w:tab/>
      </w:r>
      <w:r>
        <w:rPr>
          <w:rFonts w:ascii="Arial" w:hAnsi="Arial" w:cs="Arial"/>
          <w:b/>
          <w:bCs/>
          <w:color w:val="000000"/>
          <w:sz w:val="24"/>
          <w:szCs w:val="24"/>
          <w:lang w:val="en-ZA"/>
        </w:rPr>
        <w:tab/>
      </w:r>
      <w:r w:rsidR="00E77352">
        <w:rPr>
          <w:rFonts w:ascii="Arial" w:hAnsi="Arial" w:cs="Arial"/>
          <w:b/>
          <w:bCs/>
          <w:color w:val="000000"/>
          <w:sz w:val="24"/>
          <w:szCs w:val="24"/>
          <w:lang w:val="en-ZA"/>
        </w:rPr>
        <w:t xml:space="preserve">     </w:t>
      </w:r>
      <w:r w:rsidRPr="00501BCB">
        <w:rPr>
          <w:rFonts w:ascii="Arial" w:hAnsi="Arial" w:cs="Arial"/>
          <w:b/>
          <w:bCs/>
          <w:color w:val="000000"/>
          <w:sz w:val="24"/>
          <w:szCs w:val="24"/>
          <w:lang w:val="en-ZA"/>
        </w:rPr>
        <w:t>Second Respondent</w:t>
      </w:r>
    </w:p>
    <w:p w14:paraId="5C1E15AC" w14:textId="77777777" w:rsidR="0004101C" w:rsidRPr="0004101C" w:rsidRDefault="0004101C" w:rsidP="0004101C">
      <w:pPr>
        <w:spacing w:after="0" w:line="360" w:lineRule="auto"/>
        <w:jc w:val="both"/>
        <w:rPr>
          <w:rFonts w:ascii="Arial" w:hAnsi="Arial" w:cs="Arial"/>
          <w:b/>
          <w:bCs/>
          <w:color w:val="000000"/>
          <w:sz w:val="24"/>
          <w:szCs w:val="24"/>
          <w:u w:val="single"/>
          <w:lang w:val="en-ZA"/>
        </w:rPr>
      </w:pPr>
    </w:p>
    <w:p w14:paraId="70BEF6A0" w14:textId="35CA83CE" w:rsidR="0004101C" w:rsidRDefault="0004101C" w:rsidP="0004101C">
      <w:pPr>
        <w:spacing w:after="0" w:line="360" w:lineRule="auto"/>
        <w:ind w:left="720" w:hanging="720"/>
        <w:jc w:val="both"/>
        <w:rPr>
          <w:rFonts w:ascii="Arial" w:hAnsi="Arial" w:cs="Arial"/>
          <w:b/>
          <w:bCs/>
          <w:color w:val="000000"/>
          <w:sz w:val="24"/>
          <w:szCs w:val="24"/>
          <w:u w:val="single"/>
          <w:lang w:val="en-ZA"/>
        </w:rPr>
      </w:pPr>
      <w:r w:rsidRPr="0004101C">
        <w:rPr>
          <w:rFonts w:ascii="Arial" w:hAnsi="Arial" w:cs="Arial"/>
          <w:b/>
          <w:bCs/>
          <w:color w:val="000000"/>
          <w:sz w:val="24"/>
          <w:szCs w:val="24"/>
          <w:u w:val="single"/>
          <w:lang w:val="en-ZA"/>
        </w:rPr>
        <w:t>HC-MD-CIV-ACT-CON-2019/05163</w:t>
      </w:r>
    </w:p>
    <w:p w14:paraId="6B569869" w14:textId="77777777" w:rsidR="0004101C" w:rsidRPr="0004101C" w:rsidRDefault="0004101C" w:rsidP="0004101C">
      <w:pPr>
        <w:spacing w:after="0" w:line="360" w:lineRule="auto"/>
        <w:ind w:left="720" w:hanging="720"/>
        <w:jc w:val="both"/>
        <w:rPr>
          <w:rFonts w:ascii="Arial" w:hAnsi="Arial" w:cs="Arial"/>
          <w:b/>
          <w:bCs/>
          <w:color w:val="000000"/>
          <w:sz w:val="24"/>
          <w:szCs w:val="24"/>
          <w:u w:val="single"/>
          <w:lang w:val="en-ZA"/>
        </w:rPr>
      </w:pPr>
    </w:p>
    <w:p w14:paraId="0BB993FF"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 xml:space="preserve">GREEN CONSULTING ENGINEERS CC </w:t>
      </w:r>
    </w:p>
    <w:p w14:paraId="696F59E0"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t/a EMCON CONSULTING GROUP</w:t>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t xml:space="preserve">            Appellant</w:t>
      </w:r>
    </w:p>
    <w:p w14:paraId="6FD7E813"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p>
    <w:p w14:paraId="48EF0ADA" w14:textId="77777777" w:rsidR="0004101C" w:rsidRPr="00E66D0E" w:rsidRDefault="0004101C" w:rsidP="0004101C">
      <w:pPr>
        <w:spacing w:after="0" w:line="360" w:lineRule="auto"/>
        <w:ind w:left="720" w:hanging="720"/>
        <w:jc w:val="both"/>
        <w:rPr>
          <w:rFonts w:ascii="Arial" w:hAnsi="Arial" w:cs="Arial"/>
          <w:bCs/>
          <w:color w:val="000000"/>
          <w:sz w:val="24"/>
          <w:szCs w:val="24"/>
          <w:lang w:val="en-ZA"/>
        </w:rPr>
      </w:pPr>
      <w:r w:rsidRPr="00E66D0E">
        <w:rPr>
          <w:rFonts w:ascii="Arial" w:hAnsi="Arial" w:cs="Arial"/>
          <w:bCs/>
          <w:color w:val="000000"/>
          <w:sz w:val="24"/>
          <w:szCs w:val="24"/>
          <w:lang w:val="en-ZA"/>
        </w:rPr>
        <w:t>and</w:t>
      </w:r>
    </w:p>
    <w:p w14:paraId="1580210B" w14:textId="77777777" w:rsidR="0004101C" w:rsidRPr="0004101C" w:rsidRDefault="0004101C" w:rsidP="0004101C">
      <w:pPr>
        <w:spacing w:after="0" w:line="360" w:lineRule="auto"/>
        <w:ind w:left="720" w:hanging="720"/>
        <w:jc w:val="both"/>
        <w:rPr>
          <w:rFonts w:ascii="Arial" w:hAnsi="Arial" w:cs="Arial"/>
          <w:b/>
          <w:bCs/>
          <w:color w:val="000000"/>
          <w:sz w:val="24"/>
          <w:szCs w:val="24"/>
          <w:lang w:val="en-ZA"/>
        </w:rPr>
      </w:pPr>
    </w:p>
    <w:p w14:paraId="430750A6" w14:textId="4A25848F" w:rsidR="00E66D0E" w:rsidRDefault="0004101C" w:rsidP="006D65C4">
      <w:pPr>
        <w:spacing w:after="0" w:line="360" w:lineRule="auto"/>
        <w:ind w:left="720" w:hanging="720"/>
        <w:jc w:val="both"/>
        <w:rPr>
          <w:rFonts w:ascii="Arial" w:hAnsi="Arial" w:cs="Arial"/>
          <w:b/>
          <w:bCs/>
          <w:color w:val="000000"/>
          <w:sz w:val="24"/>
          <w:szCs w:val="24"/>
          <w:lang w:val="en-ZA"/>
        </w:rPr>
      </w:pPr>
      <w:r w:rsidRPr="0004101C">
        <w:rPr>
          <w:rFonts w:ascii="Arial" w:hAnsi="Arial" w:cs="Arial"/>
          <w:b/>
          <w:bCs/>
          <w:color w:val="000000"/>
          <w:sz w:val="24"/>
          <w:szCs w:val="24"/>
          <w:lang w:val="en-ZA"/>
        </w:rPr>
        <w:t>MINISTER OF WORKS AND TRANSPORT</w:t>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r>
      <w:r w:rsidRPr="0004101C">
        <w:rPr>
          <w:rFonts w:ascii="Arial" w:hAnsi="Arial" w:cs="Arial"/>
          <w:b/>
          <w:bCs/>
          <w:color w:val="000000"/>
          <w:sz w:val="24"/>
          <w:szCs w:val="24"/>
          <w:lang w:val="en-ZA"/>
        </w:rPr>
        <w:tab/>
        <w:t xml:space="preserve">         First Respondent</w:t>
      </w:r>
    </w:p>
    <w:p w14:paraId="22D27E9E" w14:textId="00503BB5" w:rsidR="0004101C" w:rsidRPr="0004101C" w:rsidRDefault="00501BCB" w:rsidP="00751BF5">
      <w:pPr>
        <w:spacing w:after="0" w:line="360" w:lineRule="auto"/>
        <w:ind w:left="720" w:hanging="720"/>
        <w:rPr>
          <w:rFonts w:ascii="Arial" w:hAnsi="Arial" w:cs="Arial"/>
          <w:b/>
          <w:bCs/>
          <w:color w:val="000000"/>
          <w:sz w:val="24"/>
          <w:szCs w:val="24"/>
          <w:lang w:val="en-ZA"/>
        </w:rPr>
      </w:pPr>
      <w:r>
        <w:rPr>
          <w:rFonts w:ascii="Arial" w:hAnsi="Arial" w:cs="Arial"/>
          <w:b/>
          <w:bCs/>
          <w:color w:val="000000"/>
          <w:sz w:val="24"/>
          <w:szCs w:val="24"/>
          <w:lang w:val="en-ZA"/>
        </w:rPr>
        <w:lastRenderedPageBreak/>
        <w:t>MINISTER OF FISHERIES AND MARINE RESOURCES</w:t>
      </w:r>
      <w:r w:rsidR="008B4FF5" w:rsidRPr="008B4FF5">
        <w:rPr>
          <w:rFonts w:ascii="Arial" w:hAnsi="Arial" w:cs="Arial"/>
          <w:b/>
          <w:bCs/>
          <w:color w:val="000000"/>
          <w:sz w:val="24"/>
          <w:szCs w:val="24"/>
          <w:lang w:val="en-ZA"/>
        </w:rPr>
        <w:tab/>
      </w:r>
      <w:r w:rsidR="00E77352">
        <w:rPr>
          <w:rFonts w:ascii="Arial" w:hAnsi="Arial" w:cs="Arial"/>
          <w:b/>
          <w:bCs/>
          <w:color w:val="000000"/>
          <w:sz w:val="24"/>
          <w:szCs w:val="24"/>
          <w:lang w:val="en-ZA"/>
        </w:rPr>
        <w:t xml:space="preserve">    </w:t>
      </w:r>
      <w:r w:rsidRPr="00501BCB">
        <w:rPr>
          <w:rFonts w:ascii="Arial" w:hAnsi="Arial" w:cs="Arial"/>
          <w:b/>
          <w:bCs/>
          <w:color w:val="000000"/>
          <w:sz w:val="24"/>
          <w:szCs w:val="24"/>
          <w:lang w:val="en-ZA"/>
        </w:rPr>
        <w:t>Second Respondent</w:t>
      </w:r>
    </w:p>
    <w:p w14:paraId="24388561" w14:textId="77777777" w:rsidR="0004101C" w:rsidRDefault="0004101C" w:rsidP="0004101C">
      <w:pPr>
        <w:spacing w:after="0" w:line="240" w:lineRule="auto"/>
        <w:rPr>
          <w:rFonts w:ascii="Arial" w:hAnsi="Arial" w:cs="Arial"/>
          <w:b/>
          <w:sz w:val="24"/>
          <w:szCs w:val="24"/>
          <w:lang w:val="en-ZA"/>
        </w:rPr>
      </w:pPr>
    </w:p>
    <w:p w14:paraId="603679DE" w14:textId="77777777" w:rsidR="0004101C" w:rsidRDefault="0004101C" w:rsidP="0004101C">
      <w:pPr>
        <w:spacing w:after="0" w:line="240" w:lineRule="auto"/>
        <w:rPr>
          <w:rFonts w:ascii="Arial" w:hAnsi="Arial" w:cs="Arial"/>
          <w:b/>
          <w:sz w:val="24"/>
          <w:szCs w:val="24"/>
          <w:lang w:val="en-ZA"/>
        </w:rPr>
      </w:pPr>
    </w:p>
    <w:p w14:paraId="5D8FCC08" w14:textId="77777777" w:rsidR="008B4FF5" w:rsidRPr="008B4FF5" w:rsidRDefault="008B4FF5" w:rsidP="0004101C">
      <w:pPr>
        <w:spacing w:after="0" w:line="240" w:lineRule="auto"/>
        <w:rPr>
          <w:rFonts w:ascii="Arial" w:hAnsi="Arial" w:cs="Arial"/>
          <w:sz w:val="24"/>
          <w:szCs w:val="24"/>
          <w:lang w:val="en-ZA"/>
        </w:rPr>
      </w:pPr>
      <w:r w:rsidRPr="008B4FF5">
        <w:rPr>
          <w:rFonts w:ascii="Arial" w:hAnsi="Arial" w:cs="Arial"/>
          <w:b/>
          <w:sz w:val="24"/>
          <w:szCs w:val="24"/>
          <w:lang w:val="en-ZA"/>
        </w:rPr>
        <w:t>Coram:</w:t>
      </w:r>
      <w:r w:rsidRPr="008B4FF5">
        <w:rPr>
          <w:rFonts w:ascii="Arial" w:hAnsi="Arial" w:cs="Arial"/>
          <w:sz w:val="24"/>
          <w:szCs w:val="24"/>
          <w:lang w:val="en-ZA"/>
        </w:rPr>
        <w:tab/>
        <w:t xml:space="preserve">DAMASEB DCJ, </w:t>
      </w:r>
      <w:r w:rsidR="00B27D91">
        <w:rPr>
          <w:rFonts w:ascii="Arial" w:hAnsi="Arial" w:cs="Arial"/>
          <w:sz w:val="24"/>
          <w:szCs w:val="24"/>
          <w:lang w:val="en-ZA"/>
        </w:rPr>
        <w:t>PRINSLOO</w:t>
      </w:r>
      <w:r w:rsidRPr="008B4FF5">
        <w:rPr>
          <w:rFonts w:ascii="Arial" w:hAnsi="Arial" w:cs="Arial"/>
          <w:sz w:val="24"/>
          <w:szCs w:val="24"/>
          <w:lang w:val="en-ZA"/>
        </w:rPr>
        <w:t xml:space="preserve"> </w:t>
      </w:r>
      <w:r w:rsidR="00B27D91">
        <w:rPr>
          <w:rFonts w:ascii="Arial" w:hAnsi="Arial" w:cs="Arial"/>
          <w:sz w:val="24"/>
          <w:szCs w:val="24"/>
          <w:lang w:val="en-ZA"/>
        </w:rPr>
        <w:t>A</w:t>
      </w:r>
      <w:r w:rsidRPr="008B4FF5">
        <w:rPr>
          <w:rFonts w:ascii="Arial" w:hAnsi="Arial" w:cs="Arial"/>
          <w:sz w:val="24"/>
          <w:szCs w:val="24"/>
          <w:lang w:val="en-ZA"/>
        </w:rPr>
        <w:t xml:space="preserve">JA and </w:t>
      </w:r>
      <w:r w:rsidR="00B27D91">
        <w:rPr>
          <w:rFonts w:ascii="Arial" w:hAnsi="Arial" w:cs="Arial"/>
          <w:sz w:val="24"/>
          <w:szCs w:val="24"/>
          <w:lang w:val="en-ZA"/>
        </w:rPr>
        <w:t>SCHIMMING-CHASE</w:t>
      </w:r>
      <w:r w:rsidRPr="008B4FF5">
        <w:rPr>
          <w:rFonts w:ascii="Arial" w:hAnsi="Arial" w:cs="Arial"/>
          <w:sz w:val="24"/>
          <w:szCs w:val="24"/>
          <w:lang w:val="en-ZA"/>
        </w:rPr>
        <w:t xml:space="preserve"> </w:t>
      </w:r>
      <w:r w:rsidR="00B27D91">
        <w:rPr>
          <w:rFonts w:ascii="Arial" w:hAnsi="Arial" w:cs="Arial"/>
          <w:sz w:val="24"/>
          <w:szCs w:val="24"/>
          <w:lang w:val="en-ZA"/>
        </w:rPr>
        <w:t>A</w:t>
      </w:r>
      <w:r w:rsidRPr="008B4FF5">
        <w:rPr>
          <w:rFonts w:ascii="Arial" w:hAnsi="Arial" w:cs="Arial"/>
          <w:sz w:val="24"/>
          <w:szCs w:val="24"/>
          <w:lang w:val="en-ZA"/>
        </w:rPr>
        <w:t>JA</w:t>
      </w:r>
    </w:p>
    <w:p w14:paraId="70933A93" w14:textId="77777777" w:rsidR="008B4FF5" w:rsidRPr="008B4FF5" w:rsidRDefault="008B4FF5" w:rsidP="0004101C">
      <w:pPr>
        <w:spacing w:after="0" w:line="240" w:lineRule="auto"/>
        <w:rPr>
          <w:rFonts w:ascii="Arial" w:hAnsi="Arial" w:cs="Arial"/>
          <w:b/>
          <w:sz w:val="24"/>
          <w:szCs w:val="24"/>
          <w:lang w:val="en-ZA"/>
        </w:rPr>
      </w:pPr>
    </w:p>
    <w:p w14:paraId="5B3B1A47" w14:textId="2A876F2D" w:rsidR="008B4FF5" w:rsidRPr="008B4FF5" w:rsidRDefault="008B4FF5" w:rsidP="0004101C">
      <w:pPr>
        <w:spacing w:after="0" w:line="240" w:lineRule="auto"/>
        <w:rPr>
          <w:rFonts w:ascii="Arial" w:hAnsi="Arial" w:cs="Arial"/>
          <w:b/>
          <w:sz w:val="24"/>
          <w:szCs w:val="24"/>
          <w:lang w:val="en-ZA"/>
        </w:rPr>
      </w:pPr>
      <w:r w:rsidRPr="008B4FF5">
        <w:rPr>
          <w:rFonts w:ascii="Arial" w:hAnsi="Arial" w:cs="Arial"/>
          <w:b/>
          <w:sz w:val="24"/>
          <w:szCs w:val="24"/>
          <w:lang w:val="en-ZA"/>
        </w:rPr>
        <w:t>Heard:</w:t>
      </w:r>
      <w:r w:rsidRPr="008B4FF5">
        <w:rPr>
          <w:rFonts w:ascii="Arial" w:hAnsi="Arial" w:cs="Arial"/>
          <w:b/>
          <w:sz w:val="24"/>
          <w:szCs w:val="24"/>
          <w:lang w:val="en-ZA"/>
        </w:rPr>
        <w:tab/>
      </w:r>
      <w:r w:rsidR="00AE3069">
        <w:rPr>
          <w:rFonts w:ascii="Arial" w:hAnsi="Arial" w:cs="Arial"/>
          <w:b/>
          <w:sz w:val="24"/>
          <w:szCs w:val="24"/>
          <w:lang w:val="en-ZA"/>
        </w:rPr>
        <w:t>18</w:t>
      </w:r>
      <w:r w:rsidR="00B27D91">
        <w:rPr>
          <w:rFonts w:ascii="Arial" w:hAnsi="Arial" w:cs="Arial"/>
          <w:b/>
          <w:sz w:val="24"/>
          <w:szCs w:val="24"/>
          <w:lang w:val="en-ZA"/>
        </w:rPr>
        <w:t xml:space="preserve"> Ju</w:t>
      </w:r>
      <w:r w:rsidR="00AE3069">
        <w:rPr>
          <w:rFonts w:ascii="Arial" w:hAnsi="Arial" w:cs="Arial"/>
          <w:b/>
          <w:sz w:val="24"/>
          <w:szCs w:val="24"/>
          <w:lang w:val="en-ZA"/>
        </w:rPr>
        <w:t>ly</w:t>
      </w:r>
      <w:r w:rsidRPr="008B4FF5">
        <w:rPr>
          <w:rFonts w:ascii="Arial" w:hAnsi="Arial" w:cs="Arial"/>
          <w:b/>
          <w:sz w:val="24"/>
          <w:szCs w:val="24"/>
          <w:lang w:val="en-ZA"/>
        </w:rPr>
        <w:t xml:space="preserve"> 2023</w:t>
      </w:r>
    </w:p>
    <w:p w14:paraId="056BFFD2" w14:textId="77777777" w:rsidR="008B4FF5" w:rsidRPr="008B4FF5" w:rsidRDefault="008B4FF5" w:rsidP="0004101C">
      <w:pPr>
        <w:spacing w:after="0" w:line="240" w:lineRule="auto"/>
        <w:rPr>
          <w:rFonts w:ascii="Arial" w:hAnsi="Arial" w:cs="Arial"/>
          <w:b/>
          <w:sz w:val="24"/>
          <w:szCs w:val="24"/>
          <w:lang w:val="en-ZA"/>
        </w:rPr>
      </w:pPr>
    </w:p>
    <w:p w14:paraId="46C5A574" w14:textId="0717EB3A" w:rsidR="00B27D91" w:rsidRDefault="008B4FF5" w:rsidP="0004101C">
      <w:pPr>
        <w:spacing w:after="0" w:line="240" w:lineRule="auto"/>
        <w:rPr>
          <w:rFonts w:ascii="Arial" w:hAnsi="Arial" w:cs="Arial"/>
          <w:b/>
          <w:sz w:val="24"/>
          <w:szCs w:val="24"/>
          <w:lang w:val="en-ZA"/>
        </w:rPr>
      </w:pPr>
      <w:r w:rsidRPr="008B4FF5">
        <w:rPr>
          <w:rFonts w:ascii="Arial" w:hAnsi="Arial" w:cs="Arial"/>
          <w:b/>
          <w:sz w:val="24"/>
          <w:szCs w:val="24"/>
          <w:lang w:val="en-ZA"/>
        </w:rPr>
        <w:t>Delivered:</w:t>
      </w:r>
      <w:r w:rsidRPr="008B4FF5">
        <w:rPr>
          <w:rFonts w:ascii="Arial" w:hAnsi="Arial" w:cs="Arial"/>
          <w:b/>
          <w:sz w:val="24"/>
          <w:szCs w:val="24"/>
          <w:lang w:val="en-ZA"/>
        </w:rPr>
        <w:tab/>
      </w:r>
      <w:r w:rsidR="00571A5C">
        <w:rPr>
          <w:rFonts w:ascii="Arial" w:hAnsi="Arial" w:cs="Arial"/>
          <w:b/>
          <w:sz w:val="24"/>
          <w:szCs w:val="24"/>
          <w:lang w:val="en-ZA"/>
        </w:rPr>
        <w:t xml:space="preserve">28 </w:t>
      </w:r>
      <w:r w:rsidR="00D86BFA">
        <w:rPr>
          <w:rFonts w:ascii="Arial" w:hAnsi="Arial" w:cs="Arial"/>
          <w:b/>
          <w:sz w:val="24"/>
          <w:szCs w:val="24"/>
          <w:lang w:val="en-ZA"/>
        </w:rPr>
        <w:t xml:space="preserve">July </w:t>
      </w:r>
      <w:r w:rsidR="00B27D91">
        <w:rPr>
          <w:rFonts w:ascii="Arial" w:hAnsi="Arial" w:cs="Arial"/>
          <w:b/>
          <w:sz w:val="24"/>
          <w:szCs w:val="24"/>
          <w:lang w:val="en-ZA"/>
        </w:rPr>
        <w:t>2023</w:t>
      </w:r>
    </w:p>
    <w:p w14:paraId="24EE35A8" w14:textId="77777777" w:rsidR="0004101C" w:rsidRDefault="0004101C" w:rsidP="0004101C">
      <w:pPr>
        <w:spacing w:after="0" w:line="240" w:lineRule="auto"/>
        <w:rPr>
          <w:rFonts w:ascii="Arial" w:hAnsi="Arial" w:cs="Arial"/>
          <w:b/>
          <w:sz w:val="24"/>
          <w:szCs w:val="24"/>
          <w:lang w:val="en-ZA"/>
        </w:rPr>
      </w:pPr>
    </w:p>
    <w:p w14:paraId="618D391C" w14:textId="77777777" w:rsidR="0004101C" w:rsidRDefault="0004101C" w:rsidP="0004101C">
      <w:pPr>
        <w:spacing w:after="0" w:line="240" w:lineRule="auto"/>
        <w:rPr>
          <w:rFonts w:ascii="Arial" w:hAnsi="Arial" w:cs="Arial"/>
          <w:b/>
          <w:sz w:val="24"/>
          <w:szCs w:val="24"/>
          <w:lang w:val="en-ZA"/>
        </w:rPr>
      </w:pPr>
    </w:p>
    <w:p w14:paraId="2FD09152" w14:textId="3B1E61BF" w:rsidR="00E11583" w:rsidRDefault="00B27D91" w:rsidP="00F402CF">
      <w:pPr>
        <w:spacing w:after="0" w:line="360" w:lineRule="auto"/>
        <w:jc w:val="both"/>
        <w:rPr>
          <w:rFonts w:ascii="Arial" w:hAnsi="Arial" w:cs="Arial"/>
          <w:sz w:val="24"/>
          <w:szCs w:val="24"/>
        </w:rPr>
      </w:pPr>
      <w:r w:rsidRPr="00B27D91">
        <w:rPr>
          <w:rFonts w:ascii="Arial" w:hAnsi="Arial" w:cs="Arial"/>
          <w:b/>
          <w:sz w:val="24"/>
          <w:szCs w:val="24"/>
          <w:lang w:val="en-ZA"/>
        </w:rPr>
        <w:t>Summary:</w:t>
      </w:r>
      <w:r w:rsidR="00101F87" w:rsidRPr="00101F87">
        <w:t xml:space="preserve"> </w:t>
      </w:r>
      <w:r w:rsidR="001C40A4">
        <w:rPr>
          <w:rFonts w:ascii="Arial" w:hAnsi="Arial" w:cs="Arial"/>
          <w:sz w:val="24"/>
          <w:szCs w:val="24"/>
        </w:rPr>
        <w:t>The respondent</w:t>
      </w:r>
      <w:r w:rsidR="00E14A0A">
        <w:rPr>
          <w:rFonts w:ascii="Arial" w:hAnsi="Arial" w:cs="Arial"/>
          <w:sz w:val="24"/>
          <w:szCs w:val="24"/>
        </w:rPr>
        <w:t>s</w:t>
      </w:r>
      <w:r w:rsidR="001C40A4">
        <w:rPr>
          <w:rFonts w:ascii="Arial" w:hAnsi="Arial" w:cs="Arial"/>
          <w:sz w:val="24"/>
          <w:szCs w:val="24"/>
        </w:rPr>
        <w:t xml:space="preserve"> </w:t>
      </w:r>
      <w:r w:rsidR="003E7229">
        <w:rPr>
          <w:rFonts w:ascii="Arial" w:hAnsi="Arial" w:cs="Arial"/>
          <w:sz w:val="24"/>
          <w:szCs w:val="24"/>
        </w:rPr>
        <w:t>(the Government)</w:t>
      </w:r>
      <w:r w:rsidR="001C40A4" w:rsidRPr="001C40A4">
        <w:rPr>
          <w:rFonts w:ascii="Arial" w:hAnsi="Arial" w:cs="Arial"/>
          <w:sz w:val="24"/>
          <w:szCs w:val="24"/>
        </w:rPr>
        <w:t xml:space="preserve"> </w:t>
      </w:r>
      <w:r w:rsidR="00F402CF">
        <w:rPr>
          <w:rFonts w:ascii="Arial" w:hAnsi="Arial" w:cs="Arial"/>
          <w:sz w:val="24"/>
          <w:szCs w:val="24"/>
        </w:rPr>
        <w:t xml:space="preserve">had </w:t>
      </w:r>
      <w:r w:rsidR="003E7229">
        <w:rPr>
          <w:rFonts w:ascii="Arial" w:hAnsi="Arial" w:cs="Arial"/>
          <w:sz w:val="24"/>
          <w:szCs w:val="24"/>
        </w:rPr>
        <w:t>contracted the appellant</w:t>
      </w:r>
      <w:r w:rsidR="001C40A4" w:rsidRPr="001C40A4">
        <w:rPr>
          <w:rFonts w:ascii="Arial" w:hAnsi="Arial" w:cs="Arial"/>
          <w:sz w:val="24"/>
          <w:szCs w:val="24"/>
        </w:rPr>
        <w:t xml:space="preserve"> as consultant on several construction projects. The appellant completed the agreed work and rendered invoices some of which went unpaid. The</w:t>
      </w:r>
      <w:r w:rsidR="003E7229">
        <w:rPr>
          <w:rFonts w:ascii="Arial" w:hAnsi="Arial" w:cs="Arial"/>
          <w:sz w:val="24"/>
          <w:szCs w:val="24"/>
        </w:rPr>
        <w:t xml:space="preserve"> appellant then</w:t>
      </w:r>
      <w:r w:rsidR="001C40A4" w:rsidRPr="001C40A4">
        <w:rPr>
          <w:rFonts w:ascii="Arial" w:hAnsi="Arial" w:cs="Arial"/>
          <w:sz w:val="24"/>
          <w:szCs w:val="24"/>
        </w:rPr>
        <w:t xml:space="preserve"> issued demand in respect of </w:t>
      </w:r>
      <w:r w:rsidR="003E7229">
        <w:rPr>
          <w:rFonts w:ascii="Arial" w:hAnsi="Arial" w:cs="Arial"/>
          <w:sz w:val="24"/>
          <w:szCs w:val="24"/>
        </w:rPr>
        <w:t xml:space="preserve">the </w:t>
      </w:r>
      <w:r w:rsidR="001C40A4" w:rsidRPr="001C40A4">
        <w:rPr>
          <w:rFonts w:ascii="Arial" w:hAnsi="Arial" w:cs="Arial"/>
          <w:sz w:val="24"/>
          <w:szCs w:val="24"/>
        </w:rPr>
        <w:t>unpaid invoices and when</w:t>
      </w:r>
      <w:r w:rsidR="003E7229">
        <w:rPr>
          <w:rFonts w:ascii="Arial" w:hAnsi="Arial" w:cs="Arial"/>
          <w:sz w:val="24"/>
          <w:szCs w:val="24"/>
        </w:rPr>
        <w:t xml:space="preserve"> still no payment was received</w:t>
      </w:r>
      <w:r w:rsidR="00AB7998">
        <w:rPr>
          <w:rFonts w:ascii="Arial" w:hAnsi="Arial" w:cs="Arial"/>
          <w:sz w:val="24"/>
          <w:szCs w:val="24"/>
        </w:rPr>
        <w:t>,</w:t>
      </w:r>
      <w:r w:rsidR="001C40A4" w:rsidRPr="001C40A4">
        <w:rPr>
          <w:rFonts w:ascii="Arial" w:hAnsi="Arial" w:cs="Arial"/>
          <w:sz w:val="24"/>
          <w:szCs w:val="24"/>
        </w:rPr>
        <w:t xml:space="preserve"> issued summonses in </w:t>
      </w:r>
      <w:r w:rsidR="00F402CF">
        <w:rPr>
          <w:rFonts w:ascii="Arial" w:hAnsi="Arial" w:cs="Arial"/>
          <w:sz w:val="24"/>
          <w:szCs w:val="24"/>
        </w:rPr>
        <w:t>five</w:t>
      </w:r>
      <w:r w:rsidR="00C50FA3">
        <w:rPr>
          <w:rFonts w:ascii="Arial" w:hAnsi="Arial" w:cs="Arial"/>
          <w:sz w:val="24"/>
          <w:szCs w:val="24"/>
        </w:rPr>
        <w:t xml:space="preserve"> separate </w:t>
      </w:r>
      <w:r w:rsidR="001C40A4" w:rsidRPr="001C40A4">
        <w:rPr>
          <w:rFonts w:ascii="Arial" w:hAnsi="Arial" w:cs="Arial"/>
          <w:sz w:val="24"/>
          <w:szCs w:val="24"/>
        </w:rPr>
        <w:t xml:space="preserve">but related </w:t>
      </w:r>
      <w:r w:rsidR="003E7229">
        <w:rPr>
          <w:rFonts w:ascii="Arial" w:hAnsi="Arial" w:cs="Arial"/>
          <w:sz w:val="24"/>
          <w:szCs w:val="24"/>
        </w:rPr>
        <w:t>civil cases against the Government seeking</w:t>
      </w:r>
      <w:r w:rsidR="00534A56">
        <w:rPr>
          <w:rFonts w:ascii="Arial" w:hAnsi="Arial" w:cs="Arial"/>
          <w:sz w:val="24"/>
          <w:szCs w:val="24"/>
        </w:rPr>
        <w:t xml:space="preserve"> payment of the capital amounts</w:t>
      </w:r>
      <w:r w:rsidR="003E7229">
        <w:rPr>
          <w:rFonts w:ascii="Arial" w:hAnsi="Arial" w:cs="Arial"/>
          <w:sz w:val="24"/>
          <w:szCs w:val="24"/>
        </w:rPr>
        <w:t xml:space="preserve"> and interest.</w:t>
      </w:r>
    </w:p>
    <w:p w14:paraId="5F39D0D8" w14:textId="77777777" w:rsidR="00E11583" w:rsidRDefault="00E11583" w:rsidP="00F402CF">
      <w:pPr>
        <w:spacing w:after="0" w:line="360" w:lineRule="auto"/>
        <w:jc w:val="both"/>
        <w:rPr>
          <w:rFonts w:ascii="Arial" w:hAnsi="Arial" w:cs="Arial"/>
          <w:sz w:val="24"/>
          <w:szCs w:val="24"/>
        </w:rPr>
      </w:pPr>
    </w:p>
    <w:p w14:paraId="534D6347" w14:textId="0D7E04B9" w:rsidR="00E11583" w:rsidRDefault="001C40A4" w:rsidP="001C40A4">
      <w:pPr>
        <w:spacing w:after="0" w:line="360" w:lineRule="auto"/>
        <w:jc w:val="both"/>
        <w:rPr>
          <w:rFonts w:ascii="Arial" w:hAnsi="Arial" w:cs="Arial"/>
          <w:sz w:val="24"/>
          <w:szCs w:val="24"/>
        </w:rPr>
      </w:pPr>
      <w:r w:rsidRPr="001C40A4">
        <w:rPr>
          <w:rFonts w:ascii="Arial" w:hAnsi="Arial" w:cs="Arial"/>
          <w:sz w:val="24"/>
          <w:szCs w:val="24"/>
        </w:rPr>
        <w:t>After pleadings closed</w:t>
      </w:r>
      <w:r w:rsidR="003E7229">
        <w:rPr>
          <w:rFonts w:ascii="Arial" w:hAnsi="Arial" w:cs="Arial"/>
          <w:sz w:val="24"/>
          <w:szCs w:val="24"/>
        </w:rPr>
        <w:t>,</w:t>
      </w:r>
      <w:r w:rsidRPr="001C40A4">
        <w:rPr>
          <w:rFonts w:ascii="Arial" w:hAnsi="Arial" w:cs="Arial"/>
          <w:sz w:val="24"/>
          <w:szCs w:val="24"/>
        </w:rPr>
        <w:t xml:space="preserve"> the parties sought and were granted an order by the managing judge t</w:t>
      </w:r>
      <w:r>
        <w:rPr>
          <w:rFonts w:ascii="Arial" w:hAnsi="Arial" w:cs="Arial"/>
          <w:sz w:val="24"/>
          <w:szCs w:val="24"/>
        </w:rPr>
        <w:t xml:space="preserve">o state a case for </w:t>
      </w:r>
      <w:r w:rsidR="003E7229">
        <w:rPr>
          <w:rFonts w:ascii="Arial" w:hAnsi="Arial" w:cs="Arial"/>
          <w:sz w:val="24"/>
          <w:szCs w:val="24"/>
        </w:rPr>
        <w:t>the court’s</w:t>
      </w:r>
      <w:r>
        <w:rPr>
          <w:rFonts w:ascii="Arial" w:hAnsi="Arial" w:cs="Arial"/>
          <w:sz w:val="24"/>
          <w:szCs w:val="24"/>
        </w:rPr>
        <w:t xml:space="preserve"> decision </w:t>
      </w:r>
      <w:r w:rsidR="00E14A0A">
        <w:rPr>
          <w:rFonts w:ascii="Arial" w:hAnsi="Arial" w:cs="Arial"/>
          <w:sz w:val="24"/>
          <w:szCs w:val="24"/>
        </w:rPr>
        <w:t xml:space="preserve">on a question of law </w:t>
      </w:r>
      <w:r>
        <w:rPr>
          <w:rFonts w:ascii="Arial" w:hAnsi="Arial" w:cs="Arial"/>
          <w:sz w:val="24"/>
          <w:szCs w:val="24"/>
        </w:rPr>
        <w:t>in terms of rule 63 of the Rules of the High C</w:t>
      </w:r>
      <w:r w:rsidR="003E7229">
        <w:rPr>
          <w:rFonts w:ascii="Arial" w:hAnsi="Arial" w:cs="Arial"/>
          <w:sz w:val="24"/>
          <w:szCs w:val="24"/>
        </w:rPr>
        <w:t xml:space="preserve">ourt. The stated case asked the court </w:t>
      </w:r>
      <w:r w:rsidR="003E7229" w:rsidRPr="006415B4">
        <w:rPr>
          <w:rFonts w:ascii="Arial" w:hAnsi="Arial" w:cs="Arial"/>
          <w:i/>
          <w:sz w:val="24"/>
          <w:szCs w:val="24"/>
        </w:rPr>
        <w:t>a quo</w:t>
      </w:r>
      <w:r w:rsidR="003E7229">
        <w:rPr>
          <w:rFonts w:ascii="Arial" w:hAnsi="Arial" w:cs="Arial"/>
          <w:sz w:val="24"/>
          <w:szCs w:val="24"/>
        </w:rPr>
        <w:t xml:space="preserve"> to determine </w:t>
      </w:r>
      <w:r w:rsidR="007F397B">
        <w:rPr>
          <w:rFonts w:ascii="Arial" w:hAnsi="Arial" w:cs="Arial"/>
          <w:sz w:val="24"/>
          <w:szCs w:val="24"/>
        </w:rPr>
        <w:t xml:space="preserve">whether the Government </w:t>
      </w:r>
      <w:r w:rsidR="00713F69">
        <w:rPr>
          <w:rFonts w:ascii="Arial" w:hAnsi="Arial" w:cs="Arial"/>
          <w:sz w:val="24"/>
          <w:szCs w:val="24"/>
        </w:rPr>
        <w:t>was l</w:t>
      </w:r>
      <w:r w:rsidR="007F397B">
        <w:rPr>
          <w:rFonts w:ascii="Arial" w:hAnsi="Arial" w:cs="Arial"/>
          <w:sz w:val="24"/>
          <w:szCs w:val="24"/>
        </w:rPr>
        <w:t>i</w:t>
      </w:r>
      <w:r w:rsidR="00713F69">
        <w:rPr>
          <w:rFonts w:ascii="Arial" w:hAnsi="Arial" w:cs="Arial"/>
          <w:sz w:val="24"/>
          <w:szCs w:val="24"/>
        </w:rPr>
        <w:t>a</w:t>
      </w:r>
      <w:r w:rsidR="007F397B">
        <w:rPr>
          <w:rFonts w:ascii="Arial" w:hAnsi="Arial" w:cs="Arial"/>
          <w:sz w:val="24"/>
          <w:szCs w:val="24"/>
        </w:rPr>
        <w:t xml:space="preserve">ble for </w:t>
      </w:r>
      <w:r w:rsidR="00713F69">
        <w:rPr>
          <w:rFonts w:ascii="Arial" w:hAnsi="Arial" w:cs="Arial"/>
          <w:sz w:val="24"/>
          <w:szCs w:val="24"/>
        </w:rPr>
        <w:t xml:space="preserve">interest and if so whether </w:t>
      </w:r>
      <w:r w:rsidR="00F402CF">
        <w:rPr>
          <w:rFonts w:ascii="Arial" w:hAnsi="Arial" w:cs="Arial"/>
          <w:sz w:val="24"/>
          <w:szCs w:val="24"/>
        </w:rPr>
        <w:t xml:space="preserve">interest should run </w:t>
      </w:r>
      <w:r w:rsidR="00713F69">
        <w:rPr>
          <w:rFonts w:ascii="Arial" w:hAnsi="Arial" w:cs="Arial"/>
          <w:sz w:val="24"/>
          <w:szCs w:val="24"/>
        </w:rPr>
        <w:t xml:space="preserve">from date of service of summons or </w:t>
      </w:r>
      <w:r w:rsidR="00F402CF">
        <w:rPr>
          <w:rFonts w:ascii="Arial" w:hAnsi="Arial" w:cs="Arial"/>
          <w:sz w:val="24"/>
          <w:szCs w:val="24"/>
        </w:rPr>
        <w:t xml:space="preserve">from the date of </w:t>
      </w:r>
      <w:r w:rsidR="00713F69">
        <w:rPr>
          <w:rFonts w:ascii="Arial" w:hAnsi="Arial" w:cs="Arial"/>
          <w:sz w:val="24"/>
          <w:szCs w:val="24"/>
        </w:rPr>
        <w:t>demand.</w:t>
      </w:r>
      <w:r w:rsidR="009555BB">
        <w:rPr>
          <w:rFonts w:ascii="Arial" w:hAnsi="Arial" w:cs="Arial"/>
          <w:sz w:val="24"/>
          <w:szCs w:val="24"/>
        </w:rPr>
        <w:t xml:space="preserve"> </w:t>
      </w:r>
    </w:p>
    <w:p w14:paraId="58822096" w14:textId="77777777" w:rsidR="00E11583" w:rsidRDefault="00E11583" w:rsidP="001C40A4">
      <w:pPr>
        <w:spacing w:after="0" w:line="360" w:lineRule="auto"/>
        <w:jc w:val="both"/>
        <w:rPr>
          <w:rFonts w:ascii="Arial" w:hAnsi="Arial" w:cs="Arial"/>
          <w:sz w:val="24"/>
          <w:szCs w:val="24"/>
        </w:rPr>
      </w:pPr>
    </w:p>
    <w:p w14:paraId="27692590" w14:textId="4FAF0FBA" w:rsidR="001C40A4" w:rsidRDefault="009555BB" w:rsidP="001C40A4">
      <w:pPr>
        <w:spacing w:after="0" w:line="360" w:lineRule="auto"/>
        <w:jc w:val="both"/>
        <w:rPr>
          <w:rFonts w:ascii="Arial" w:hAnsi="Arial" w:cs="Arial"/>
          <w:sz w:val="24"/>
          <w:szCs w:val="24"/>
        </w:rPr>
      </w:pPr>
      <w:r>
        <w:rPr>
          <w:rFonts w:ascii="Arial" w:hAnsi="Arial" w:cs="Arial"/>
          <w:sz w:val="24"/>
          <w:szCs w:val="24"/>
        </w:rPr>
        <w:t>The High Court held it was the former.</w:t>
      </w:r>
      <w:r w:rsidR="0040669E">
        <w:rPr>
          <w:rFonts w:ascii="Arial" w:hAnsi="Arial" w:cs="Arial"/>
          <w:sz w:val="24"/>
          <w:szCs w:val="24"/>
        </w:rPr>
        <w:t xml:space="preserve"> I</w:t>
      </w:r>
      <w:r w:rsidR="00571A5C">
        <w:rPr>
          <w:rFonts w:ascii="Arial" w:hAnsi="Arial" w:cs="Arial"/>
          <w:sz w:val="24"/>
          <w:szCs w:val="24"/>
        </w:rPr>
        <w:t>n</w:t>
      </w:r>
      <w:r w:rsidR="0040669E">
        <w:rPr>
          <w:rFonts w:ascii="Arial" w:hAnsi="Arial" w:cs="Arial"/>
          <w:sz w:val="24"/>
          <w:szCs w:val="24"/>
        </w:rPr>
        <w:t xml:space="preserve"> so doing</w:t>
      </w:r>
      <w:r w:rsidR="00571A5C">
        <w:rPr>
          <w:rFonts w:ascii="Arial" w:hAnsi="Arial" w:cs="Arial"/>
          <w:sz w:val="24"/>
          <w:szCs w:val="24"/>
        </w:rPr>
        <w:t>,</w:t>
      </w:r>
      <w:r w:rsidR="0040669E">
        <w:rPr>
          <w:rFonts w:ascii="Arial" w:hAnsi="Arial" w:cs="Arial"/>
          <w:sz w:val="24"/>
          <w:szCs w:val="24"/>
        </w:rPr>
        <w:t xml:space="preserve"> the High Court placed reliance on the pleadings</w:t>
      </w:r>
      <w:r w:rsidR="00571A5C">
        <w:rPr>
          <w:rFonts w:ascii="Arial" w:hAnsi="Arial" w:cs="Arial"/>
          <w:sz w:val="24"/>
          <w:szCs w:val="24"/>
        </w:rPr>
        <w:t xml:space="preserve"> not included in the stated case</w:t>
      </w:r>
      <w:r w:rsidR="0040669E">
        <w:rPr>
          <w:rFonts w:ascii="Arial" w:hAnsi="Arial" w:cs="Arial"/>
          <w:sz w:val="24"/>
          <w:szCs w:val="24"/>
        </w:rPr>
        <w:t xml:space="preserve"> to find that up to the date of service of </w:t>
      </w:r>
      <w:r w:rsidR="004462B0">
        <w:rPr>
          <w:rFonts w:ascii="Arial" w:hAnsi="Arial" w:cs="Arial"/>
          <w:sz w:val="24"/>
          <w:szCs w:val="24"/>
        </w:rPr>
        <w:t xml:space="preserve">the </w:t>
      </w:r>
      <w:r w:rsidR="0040669E">
        <w:rPr>
          <w:rFonts w:ascii="Arial" w:hAnsi="Arial" w:cs="Arial"/>
          <w:sz w:val="24"/>
          <w:szCs w:val="24"/>
        </w:rPr>
        <w:t>summons the claimed amounts were disputed</w:t>
      </w:r>
      <w:r w:rsidR="00E14A0A">
        <w:rPr>
          <w:rFonts w:ascii="Arial" w:hAnsi="Arial" w:cs="Arial"/>
          <w:sz w:val="24"/>
          <w:szCs w:val="24"/>
        </w:rPr>
        <w:t xml:space="preserve"> and therefore unliquidated and that the amounts claimed only became liquidated from date of summons on which date the Government admitted liability</w:t>
      </w:r>
      <w:r w:rsidR="0040669E">
        <w:rPr>
          <w:rFonts w:ascii="Arial" w:hAnsi="Arial" w:cs="Arial"/>
          <w:sz w:val="24"/>
          <w:szCs w:val="24"/>
        </w:rPr>
        <w:t>.</w:t>
      </w:r>
    </w:p>
    <w:p w14:paraId="480DE5D4" w14:textId="77777777" w:rsidR="00E11583" w:rsidRDefault="00E11583" w:rsidP="001C40A4">
      <w:pPr>
        <w:spacing w:after="0" w:line="360" w:lineRule="auto"/>
        <w:jc w:val="both"/>
        <w:rPr>
          <w:rFonts w:ascii="Arial" w:hAnsi="Arial" w:cs="Arial"/>
          <w:sz w:val="24"/>
          <w:szCs w:val="24"/>
        </w:rPr>
      </w:pPr>
    </w:p>
    <w:p w14:paraId="76629FDD" w14:textId="501B75DF" w:rsidR="00496EF5" w:rsidRDefault="00E11583" w:rsidP="001C40A4">
      <w:pPr>
        <w:spacing w:after="0" w:line="360" w:lineRule="auto"/>
        <w:jc w:val="both"/>
        <w:rPr>
          <w:rFonts w:ascii="Arial" w:hAnsi="Arial" w:cs="Arial"/>
          <w:sz w:val="24"/>
          <w:szCs w:val="24"/>
        </w:rPr>
      </w:pPr>
      <w:r>
        <w:rPr>
          <w:rFonts w:ascii="Arial" w:hAnsi="Arial" w:cs="Arial"/>
          <w:sz w:val="24"/>
          <w:szCs w:val="24"/>
        </w:rPr>
        <w:t>O</w:t>
      </w:r>
      <w:r w:rsidR="00496EF5">
        <w:rPr>
          <w:rFonts w:ascii="Arial" w:hAnsi="Arial" w:cs="Arial"/>
          <w:sz w:val="24"/>
          <w:szCs w:val="24"/>
        </w:rPr>
        <w:t xml:space="preserve">n appeal </w:t>
      </w:r>
      <w:r>
        <w:rPr>
          <w:rFonts w:ascii="Arial" w:hAnsi="Arial" w:cs="Arial"/>
          <w:sz w:val="24"/>
          <w:szCs w:val="24"/>
        </w:rPr>
        <w:t>the appellant</w:t>
      </w:r>
      <w:r w:rsidR="00496EF5">
        <w:rPr>
          <w:rFonts w:ascii="Arial" w:hAnsi="Arial" w:cs="Arial"/>
          <w:sz w:val="24"/>
          <w:szCs w:val="24"/>
        </w:rPr>
        <w:t xml:space="preserve"> maintain</w:t>
      </w:r>
      <w:r w:rsidR="00CB144D">
        <w:rPr>
          <w:rFonts w:ascii="Arial" w:hAnsi="Arial" w:cs="Arial"/>
          <w:sz w:val="24"/>
          <w:szCs w:val="24"/>
        </w:rPr>
        <w:t>ed</w:t>
      </w:r>
      <w:r w:rsidR="00496EF5">
        <w:rPr>
          <w:rFonts w:ascii="Arial" w:hAnsi="Arial" w:cs="Arial"/>
          <w:sz w:val="24"/>
          <w:szCs w:val="24"/>
        </w:rPr>
        <w:t xml:space="preserve"> that as at the date of the stated case </w:t>
      </w:r>
      <w:r w:rsidR="003804EA">
        <w:rPr>
          <w:rFonts w:ascii="Arial" w:hAnsi="Arial" w:cs="Arial"/>
          <w:sz w:val="24"/>
          <w:szCs w:val="24"/>
        </w:rPr>
        <w:t xml:space="preserve">the amounts claimed were not in dispute and were therefore liquidated amounts which under the common law attracted interest on the debtor being placed in </w:t>
      </w:r>
      <w:r w:rsidR="003804EA" w:rsidRPr="00A80CD5">
        <w:rPr>
          <w:rFonts w:ascii="Arial" w:hAnsi="Arial" w:cs="Arial"/>
          <w:i/>
          <w:sz w:val="24"/>
          <w:szCs w:val="24"/>
        </w:rPr>
        <w:t>mora</w:t>
      </w:r>
      <w:r w:rsidR="003804EA">
        <w:rPr>
          <w:rFonts w:ascii="Arial" w:hAnsi="Arial" w:cs="Arial"/>
          <w:sz w:val="24"/>
          <w:szCs w:val="24"/>
        </w:rPr>
        <w:t xml:space="preserve"> </w:t>
      </w:r>
      <w:r w:rsidR="00571A5C">
        <w:rPr>
          <w:rFonts w:ascii="Arial" w:hAnsi="Arial" w:cs="Arial"/>
          <w:sz w:val="24"/>
          <w:szCs w:val="24"/>
        </w:rPr>
        <w:t xml:space="preserve">by </w:t>
      </w:r>
      <w:r w:rsidR="00870AF3">
        <w:rPr>
          <w:rFonts w:ascii="Arial" w:hAnsi="Arial" w:cs="Arial"/>
          <w:sz w:val="24"/>
          <w:szCs w:val="24"/>
        </w:rPr>
        <w:t xml:space="preserve">demand. </w:t>
      </w:r>
    </w:p>
    <w:p w14:paraId="2544B7B5" w14:textId="77777777" w:rsidR="00BA54B7" w:rsidRPr="001C40A4" w:rsidRDefault="00BA54B7" w:rsidP="001C40A4">
      <w:pPr>
        <w:spacing w:after="0" w:line="360" w:lineRule="auto"/>
        <w:jc w:val="both"/>
        <w:rPr>
          <w:rFonts w:ascii="Arial" w:hAnsi="Arial" w:cs="Arial"/>
          <w:sz w:val="24"/>
          <w:szCs w:val="24"/>
        </w:rPr>
      </w:pPr>
    </w:p>
    <w:p w14:paraId="33E2739C" w14:textId="6AF4324B" w:rsidR="00400FCA" w:rsidRDefault="00DA049C" w:rsidP="00942241">
      <w:pPr>
        <w:spacing w:after="0" w:line="360" w:lineRule="auto"/>
        <w:jc w:val="both"/>
        <w:rPr>
          <w:rFonts w:ascii="Arial" w:hAnsi="Arial" w:cs="Arial"/>
          <w:sz w:val="24"/>
          <w:szCs w:val="24"/>
          <w:lang w:val="en-ZA"/>
        </w:rPr>
      </w:pPr>
      <w:r>
        <w:rPr>
          <w:rFonts w:ascii="Arial" w:hAnsi="Arial" w:cs="Arial"/>
          <w:sz w:val="24"/>
          <w:szCs w:val="24"/>
          <w:lang w:val="en-ZA"/>
        </w:rPr>
        <w:lastRenderedPageBreak/>
        <w:t>On appeal: p</w:t>
      </w:r>
      <w:r w:rsidR="00BA54B7" w:rsidRPr="00BA54B7">
        <w:rPr>
          <w:rFonts w:ascii="Arial" w:hAnsi="Arial" w:cs="Arial"/>
          <w:sz w:val="24"/>
          <w:szCs w:val="24"/>
          <w:lang w:val="en-ZA"/>
        </w:rPr>
        <w:t xml:space="preserve">roper approach to </w:t>
      </w:r>
      <w:r w:rsidR="00980686">
        <w:rPr>
          <w:rFonts w:ascii="Arial" w:hAnsi="Arial" w:cs="Arial"/>
          <w:sz w:val="24"/>
          <w:szCs w:val="24"/>
          <w:lang w:val="en-ZA"/>
        </w:rPr>
        <w:t>r</w:t>
      </w:r>
      <w:r w:rsidR="00BA54B7" w:rsidRPr="00BA54B7">
        <w:rPr>
          <w:rFonts w:ascii="Arial" w:hAnsi="Arial" w:cs="Arial"/>
          <w:sz w:val="24"/>
          <w:szCs w:val="24"/>
          <w:lang w:val="en-ZA"/>
        </w:rPr>
        <w:t>ule 63 explained. Stated case in terms of rule</w:t>
      </w:r>
      <w:r w:rsidR="00980686">
        <w:rPr>
          <w:rFonts w:ascii="Arial" w:hAnsi="Arial" w:cs="Arial"/>
          <w:sz w:val="24"/>
          <w:szCs w:val="24"/>
          <w:lang w:val="en-ZA"/>
        </w:rPr>
        <w:t xml:space="preserve"> 63</w:t>
      </w:r>
      <w:r w:rsidR="00BA54B7" w:rsidRPr="00BA54B7">
        <w:rPr>
          <w:rFonts w:ascii="Arial" w:hAnsi="Arial" w:cs="Arial"/>
          <w:sz w:val="24"/>
          <w:szCs w:val="24"/>
          <w:lang w:val="en-ZA"/>
        </w:rPr>
        <w:t xml:space="preserve"> must be drafted with precision and clarity. Court and parties may only rely on facts agreed and recorded in </w:t>
      </w:r>
      <w:r w:rsidR="00980686">
        <w:rPr>
          <w:rFonts w:ascii="Arial" w:hAnsi="Arial" w:cs="Arial"/>
          <w:sz w:val="24"/>
          <w:szCs w:val="24"/>
          <w:lang w:val="en-ZA"/>
        </w:rPr>
        <w:t xml:space="preserve">the </w:t>
      </w:r>
      <w:r w:rsidR="00BA54B7" w:rsidRPr="00BA54B7">
        <w:rPr>
          <w:rFonts w:ascii="Arial" w:hAnsi="Arial" w:cs="Arial"/>
          <w:sz w:val="24"/>
          <w:szCs w:val="24"/>
          <w:lang w:val="en-ZA"/>
        </w:rPr>
        <w:t xml:space="preserve">stated case. Court may not traverse outside stated case to make primary findings of fact based on allegations and facts stated in pleadings unless incorporated in </w:t>
      </w:r>
      <w:r w:rsidR="00980686">
        <w:rPr>
          <w:rFonts w:ascii="Arial" w:hAnsi="Arial" w:cs="Arial"/>
          <w:sz w:val="24"/>
          <w:szCs w:val="24"/>
          <w:lang w:val="en-ZA"/>
        </w:rPr>
        <w:t xml:space="preserve">the </w:t>
      </w:r>
      <w:r w:rsidR="00BA54B7" w:rsidRPr="00BA54B7">
        <w:rPr>
          <w:rFonts w:ascii="Arial" w:hAnsi="Arial" w:cs="Arial"/>
          <w:sz w:val="24"/>
          <w:szCs w:val="24"/>
          <w:lang w:val="en-ZA"/>
        </w:rPr>
        <w:t>stated case by reference.</w:t>
      </w:r>
    </w:p>
    <w:p w14:paraId="58485965" w14:textId="77777777" w:rsidR="00BA54B7" w:rsidRDefault="00BA54B7" w:rsidP="00942241">
      <w:pPr>
        <w:spacing w:after="0" w:line="360" w:lineRule="auto"/>
        <w:jc w:val="both"/>
        <w:rPr>
          <w:rFonts w:ascii="Arial" w:hAnsi="Arial" w:cs="Arial"/>
          <w:sz w:val="24"/>
          <w:szCs w:val="24"/>
          <w:lang w:val="en-ZA"/>
        </w:rPr>
      </w:pPr>
    </w:p>
    <w:p w14:paraId="5048C0ED" w14:textId="75E5A397" w:rsidR="00E14A0A" w:rsidRDefault="00E14A0A" w:rsidP="00101F87">
      <w:pPr>
        <w:spacing w:after="0" w:line="360" w:lineRule="auto"/>
        <w:jc w:val="both"/>
        <w:rPr>
          <w:rFonts w:ascii="Arial" w:hAnsi="Arial" w:cs="Arial"/>
          <w:sz w:val="24"/>
          <w:szCs w:val="24"/>
          <w:lang w:val="en-ZA"/>
        </w:rPr>
      </w:pPr>
      <w:r>
        <w:rPr>
          <w:rFonts w:ascii="Arial" w:hAnsi="Arial" w:cs="Arial"/>
          <w:i/>
          <w:sz w:val="24"/>
          <w:szCs w:val="24"/>
          <w:lang w:val="en-ZA"/>
        </w:rPr>
        <w:t xml:space="preserve">Held that, </w:t>
      </w:r>
      <w:r>
        <w:rPr>
          <w:rFonts w:ascii="Arial" w:hAnsi="Arial" w:cs="Arial"/>
          <w:sz w:val="24"/>
          <w:szCs w:val="24"/>
          <w:lang w:val="en-ZA"/>
        </w:rPr>
        <w:t xml:space="preserve">the court </w:t>
      </w:r>
      <w:r w:rsidRPr="00A53019">
        <w:rPr>
          <w:rFonts w:ascii="Arial" w:hAnsi="Arial" w:cs="Arial"/>
          <w:i/>
          <w:sz w:val="24"/>
          <w:szCs w:val="24"/>
          <w:lang w:val="en-ZA"/>
        </w:rPr>
        <w:t>a quo</w:t>
      </w:r>
      <w:r>
        <w:rPr>
          <w:rFonts w:ascii="Arial" w:hAnsi="Arial" w:cs="Arial"/>
          <w:sz w:val="24"/>
          <w:szCs w:val="24"/>
          <w:lang w:val="en-ZA"/>
        </w:rPr>
        <w:t xml:space="preserve"> misdirected itself by finding</w:t>
      </w:r>
      <w:r w:rsidR="00F37AF5">
        <w:rPr>
          <w:rFonts w:ascii="Arial" w:hAnsi="Arial" w:cs="Arial"/>
          <w:sz w:val="24"/>
          <w:szCs w:val="24"/>
          <w:lang w:val="en-ZA"/>
        </w:rPr>
        <w:t xml:space="preserve"> – </w:t>
      </w:r>
      <w:r w:rsidR="007D10C2">
        <w:rPr>
          <w:rFonts w:ascii="Arial" w:hAnsi="Arial" w:cs="Arial"/>
          <w:sz w:val="24"/>
          <w:szCs w:val="24"/>
          <w:lang w:val="en-ZA"/>
        </w:rPr>
        <w:t xml:space="preserve">relying on the pleadings – </w:t>
      </w:r>
      <w:r>
        <w:rPr>
          <w:rFonts w:ascii="Arial" w:hAnsi="Arial" w:cs="Arial"/>
          <w:sz w:val="24"/>
          <w:szCs w:val="24"/>
          <w:lang w:val="en-ZA"/>
        </w:rPr>
        <w:t>that liability was only</w:t>
      </w:r>
      <w:r w:rsidR="00A53019">
        <w:rPr>
          <w:rFonts w:ascii="Arial" w:hAnsi="Arial" w:cs="Arial"/>
          <w:sz w:val="24"/>
          <w:szCs w:val="24"/>
          <w:lang w:val="en-ZA"/>
        </w:rPr>
        <w:t xml:space="preserve"> admitted on service of summons</w:t>
      </w:r>
      <w:r w:rsidR="00707038">
        <w:rPr>
          <w:rFonts w:ascii="Arial" w:hAnsi="Arial" w:cs="Arial"/>
          <w:sz w:val="24"/>
          <w:szCs w:val="24"/>
          <w:lang w:val="en-ZA"/>
        </w:rPr>
        <w:t>.</w:t>
      </w:r>
      <w:r w:rsidR="008828CD">
        <w:rPr>
          <w:rFonts w:ascii="Arial" w:hAnsi="Arial" w:cs="Arial"/>
          <w:sz w:val="24"/>
          <w:szCs w:val="24"/>
          <w:lang w:val="en-ZA"/>
        </w:rPr>
        <w:t xml:space="preserve"> </w:t>
      </w:r>
      <w:r w:rsidR="00707038">
        <w:rPr>
          <w:rFonts w:ascii="Arial" w:hAnsi="Arial" w:cs="Arial"/>
          <w:sz w:val="24"/>
          <w:szCs w:val="24"/>
          <w:lang w:val="en-ZA"/>
        </w:rPr>
        <w:t>L</w:t>
      </w:r>
      <w:r w:rsidR="008828CD">
        <w:rPr>
          <w:rFonts w:ascii="Arial" w:hAnsi="Arial" w:cs="Arial"/>
          <w:sz w:val="24"/>
          <w:szCs w:val="24"/>
          <w:lang w:val="en-ZA"/>
        </w:rPr>
        <w:t>iability had already been admitted by the Government by making partial payment without disputing t</w:t>
      </w:r>
      <w:r w:rsidR="00707038">
        <w:rPr>
          <w:rFonts w:ascii="Arial" w:hAnsi="Arial" w:cs="Arial"/>
          <w:sz w:val="24"/>
          <w:szCs w:val="24"/>
          <w:lang w:val="en-ZA"/>
        </w:rPr>
        <w:t>he capital amounts due; and</w:t>
      </w:r>
      <w:r w:rsidR="008828CD">
        <w:rPr>
          <w:rFonts w:ascii="Arial" w:hAnsi="Arial" w:cs="Arial"/>
          <w:sz w:val="24"/>
          <w:szCs w:val="24"/>
          <w:lang w:val="en-ZA"/>
        </w:rPr>
        <w:t xml:space="preserve"> the Government was placed in </w:t>
      </w:r>
      <w:r w:rsidR="008828CD" w:rsidRPr="00980686">
        <w:rPr>
          <w:rFonts w:ascii="Arial" w:hAnsi="Arial" w:cs="Arial"/>
          <w:i/>
          <w:sz w:val="24"/>
          <w:szCs w:val="24"/>
          <w:lang w:val="en-ZA"/>
        </w:rPr>
        <w:t>mora</w:t>
      </w:r>
      <w:r w:rsidR="008828CD">
        <w:rPr>
          <w:rFonts w:ascii="Arial" w:hAnsi="Arial" w:cs="Arial"/>
          <w:sz w:val="24"/>
          <w:szCs w:val="24"/>
          <w:lang w:val="en-ZA"/>
        </w:rPr>
        <w:t xml:space="preserve"> when demand was made.</w:t>
      </w:r>
    </w:p>
    <w:p w14:paraId="6A9A4BD5" w14:textId="77777777" w:rsidR="00BA54B7" w:rsidRPr="00A80CD5" w:rsidRDefault="00BA54B7" w:rsidP="00101F87">
      <w:pPr>
        <w:spacing w:after="0" w:line="360" w:lineRule="auto"/>
        <w:jc w:val="both"/>
        <w:rPr>
          <w:rFonts w:ascii="Arial" w:hAnsi="Arial" w:cs="Arial"/>
          <w:sz w:val="24"/>
          <w:szCs w:val="24"/>
          <w:lang w:val="en-ZA"/>
        </w:rPr>
      </w:pPr>
    </w:p>
    <w:p w14:paraId="1179F84C" w14:textId="77777777" w:rsidR="00DF4A1D" w:rsidRPr="00101F87" w:rsidRDefault="00572AE3" w:rsidP="00101F87">
      <w:pPr>
        <w:spacing w:after="0" w:line="360" w:lineRule="auto"/>
        <w:jc w:val="both"/>
        <w:rPr>
          <w:rFonts w:ascii="Arial" w:hAnsi="Arial" w:cs="Arial"/>
          <w:sz w:val="24"/>
          <w:szCs w:val="24"/>
          <w:lang w:val="en-ZA"/>
        </w:rPr>
      </w:pPr>
      <w:r w:rsidRPr="00572AE3">
        <w:rPr>
          <w:rFonts w:ascii="Arial" w:hAnsi="Arial" w:cs="Arial"/>
          <w:i/>
          <w:sz w:val="24"/>
          <w:szCs w:val="24"/>
          <w:lang w:val="en-ZA"/>
        </w:rPr>
        <w:t>Held that</w:t>
      </w:r>
      <w:r>
        <w:rPr>
          <w:rFonts w:ascii="Arial" w:hAnsi="Arial" w:cs="Arial"/>
          <w:sz w:val="24"/>
          <w:szCs w:val="24"/>
          <w:lang w:val="en-ZA"/>
        </w:rPr>
        <w:t>, w</w:t>
      </w:r>
      <w:r w:rsidRPr="00572AE3">
        <w:rPr>
          <w:rFonts w:ascii="Arial" w:hAnsi="Arial" w:cs="Arial"/>
          <w:sz w:val="24"/>
          <w:szCs w:val="24"/>
          <w:lang w:val="en-ZA"/>
        </w:rPr>
        <w:t xml:space="preserve">hen the contract does not fix a time for performance demand by the creditor is necessary in order to place the debtor in </w:t>
      </w:r>
      <w:r w:rsidRPr="00C6475A">
        <w:rPr>
          <w:rFonts w:ascii="Arial" w:hAnsi="Arial" w:cs="Arial"/>
          <w:i/>
          <w:sz w:val="24"/>
          <w:szCs w:val="24"/>
          <w:lang w:val="en-ZA"/>
        </w:rPr>
        <w:t>mora.</w:t>
      </w:r>
    </w:p>
    <w:p w14:paraId="0F37402C" w14:textId="77777777" w:rsidR="00101F87" w:rsidRPr="00101F87" w:rsidRDefault="00101F87" w:rsidP="00101F87">
      <w:pPr>
        <w:spacing w:after="0" w:line="360" w:lineRule="auto"/>
        <w:jc w:val="both"/>
        <w:rPr>
          <w:rFonts w:ascii="Arial" w:hAnsi="Arial" w:cs="Arial"/>
          <w:sz w:val="24"/>
          <w:szCs w:val="24"/>
          <w:lang w:val="en-ZA"/>
        </w:rPr>
      </w:pPr>
    </w:p>
    <w:p w14:paraId="55A5932D" w14:textId="301AA51B" w:rsidR="008B4FF5" w:rsidRDefault="00F01507" w:rsidP="00101F87">
      <w:pPr>
        <w:spacing w:after="0" w:line="360" w:lineRule="auto"/>
        <w:jc w:val="both"/>
        <w:rPr>
          <w:rFonts w:ascii="Arial" w:hAnsi="Arial" w:cs="Arial"/>
          <w:sz w:val="24"/>
          <w:szCs w:val="24"/>
          <w:lang w:val="en-ZA"/>
        </w:rPr>
      </w:pPr>
      <w:r w:rsidRPr="00F01507">
        <w:rPr>
          <w:rFonts w:ascii="Arial" w:hAnsi="Arial" w:cs="Arial"/>
          <w:i/>
          <w:sz w:val="24"/>
          <w:szCs w:val="24"/>
          <w:lang w:val="en-ZA"/>
        </w:rPr>
        <w:t>Held that</w:t>
      </w:r>
      <w:r w:rsidR="00B54317">
        <w:rPr>
          <w:rFonts w:ascii="Arial" w:hAnsi="Arial" w:cs="Arial"/>
          <w:sz w:val="24"/>
          <w:szCs w:val="24"/>
          <w:lang w:val="en-ZA"/>
        </w:rPr>
        <w:t>,</w:t>
      </w:r>
      <w:r w:rsidRPr="00F01507">
        <w:rPr>
          <w:rFonts w:ascii="Arial" w:hAnsi="Arial" w:cs="Arial"/>
          <w:sz w:val="24"/>
          <w:szCs w:val="24"/>
          <w:lang w:val="en-ZA"/>
        </w:rPr>
        <w:t xml:space="preserve"> the court </w:t>
      </w:r>
      <w:r w:rsidRPr="00F01507">
        <w:rPr>
          <w:rFonts w:ascii="Arial" w:hAnsi="Arial" w:cs="Arial"/>
          <w:i/>
          <w:sz w:val="24"/>
          <w:szCs w:val="24"/>
          <w:lang w:val="en-ZA"/>
        </w:rPr>
        <w:t>a quo</w:t>
      </w:r>
      <w:r w:rsidRPr="00F01507">
        <w:rPr>
          <w:rFonts w:ascii="Arial" w:hAnsi="Arial" w:cs="Arial"/>
          <w:sz w:val="24"/>
          <w:szCs w:val="24"/>
          <w:lang w:val="en-ZA"/>
        </w:rPr>
        <w:t xml:space="preserve"> should have </w:t>
      </w:r>
      <w:r w:rsidR="00B54317">
        <w:rPr>
          <w:rFonts w:ascii="Arial" w:hAnsi="Arial" w:cs="Arial"/>
          <w:sz w:val="24"/>
          <w:szCs w:val="24"/>
          <w:lang w:val="en-ZA"/>
        </w:rPr>
        <w:t>held</w:t>
      </w:r>
      <w:r w:rsidRPr="00F01507">
        <w:rPr>
          <w:rFonts w:ascii="Arial" w:hAnsi="Arial" w:cs="Arial"/>
          <w:sz w:val="24"/>
          <w:szCs w:val="24"/>
          <w:lang w:val="en-ZA"/>
        </w:rPr>
        <w:t xml:space="preserve"> </w:t>
      </w:r>
      <w:r w:rsidR="003C363B">
        <w:rPr>
          <w:rFonts w:ascii="Arial" w:hAnsi="Arial" w:cs="Arial"/>
          <w:sz w:val="24"/>
          <w:szCs w:val="24"/>
          <w:lang w:val="en-ZA"/>
        </w:rPr>
        <w:t xml:space="preserve">that </w:t>
      </w:r>
      <w:r w:rsidRPr="00F01507">
        <w:rPr>
          <w:rFonts w:ascii="Arial" w:hAnsi="Arial" w:cs="Arial"/>
          <w:sz w:val="24"/>
          <w:szCs w:val="24"/>
          <w:lang w:val="en-ZA"/>
        </w:rPr>
        <w:t xml:space="preserve">the Government </w:t>
      </w:r>
      <w:r w:rsidR="00571A5C">
        <w:rPr>
          <w:rFonts w:ascii="Arial" w:hAnsi="Arial" w:cs="Arial"/>
          <w:sz w:val="24"/>
          <w:szCs w:val="24"/>
          <w:lang w:val="en-ZA"/>
        </w:rPr>
        <w:t xml:space="preserve">was </w:t>
      </w:r>
      <w:r w:rsidRPr="00F01507">
        <w:rPr>
          <w:rFonts w:ascii="Arial" w:hAnsi="Arial" w:cs="Arial"/>
          <w:sz w:val="24"/>
          <w:szCs w:val="24"/>
          <w:lang w:val="en-ZA"/>
        </w:rPr>
        <w:t xml:space="preserve">liable to pay interest on the outstanding amounts </w:t>
      </w:r>
      <w:r w:rsidR="00571A5C">
        <w:rPr>
          <w:rFonts w:ascii="Arial" w:hAnsi="Arial" w:cs="Arial"/>
          <w:sz w:val="24"/>
          <w:szCs w:val="24"/>
          <w:lang w:val="en-ZA"/>
        </w:rPr>
        <w:t xml:space="preserve">from </w:t>
      </w:r>
      <w:r w:rsidR="00980686">
        <w:rPr>
          <w:rFonts w:ascii="Arial" w:hAnsi="Arial" w:cs="Arial"/>
          <w:sz w:val="24"/>
          <w:szCs w:val="24"/>
          <w:lang w:val="en-ZA"/>
        </w:rPr>
        <w:t xml:space="preserve">the </w:t>
      </w:r>
      <w:r w:rsidR="00571A5C">
        <w:rPr>
          <w:rFonts w:ascii="Arial" w:hAnsi="Arial" w:cs="Arial"/>
          <w:sz w:val="24"/>
          <w:szCs w:val="24"/>
          <w:lang w:val="en-ZA"/>
        </w:rPr>
        <w:t xml:space="preserve">date of demand. </w:t>
      </w:r>
    </w:p>
    <w:p w14:paraId="4C0C1238" w14:textId="77777777" w:rsidR="00726AB9" w:rsidRDefault="00726AB9" w:rsidP="005F33BF">
      <w:pPr>
        <w:spacing w:after="0" w:line="360" w:lineRule="auto"/>
        <w:jc w:val="both"/>
        <w:rPr>
          <w:rFonts w:ascii="Arial" w:hAnsi="Arial" w:cs="Arial"/>
          <w:sz w:val="24"/>
          <w:szCs w:val="24"/>
          <w:lang w:val="en-ZA"/>
        </w:rPr>
      </w:pPr>
    </w:p>
    <w:p w14:paraId="0623C544" w14:textId="5B859C78" w:rsidR="00726AB9" w:rsidRDefault="00726AB9" w:rsidP="00101F87">
      <w:pPr>
        <w:spacing w:after="0" w:line="360" w:lineRule="auto"/>
        <w:jc w:val="both"/>
        <w:rPr>
          <w:rFonts w:ascii="Arial" w:hAnsi="Arial" w:cs="Arial"/>
          <w:sz w:val="24"/>
          <w:szCs w:val="24"/>
          <w:lang w:val="en-ZA"/>
        </w:rPr>
      </w:pPr>
      <w:r>
        <w:rPr>
          <w:rFonts w:ascii="Arial" w:hAnsi="Arial" w:cs="Arial"/>
          <w:sz w:val="24"/>
          <w:szCs w:val="24"/>
          <w:lang w:val="en-ZA"/>
        </w:rPr>
        <w:t>The appeal upheld</w:t>
      </w:r>
      <w:r w:rsidR="00571A5C">
        <w:rPr>
          <w:rFonts w:ascii="Arial" w:hAnsi="Arial" w:cs="Arial"/>
          <w:sz w:val="24"/>
          <w:szCs w:val="24"/>
          <w:lang w:val="en-ZA"/>
        </w:rPr>
        <w:t xml:space="preserve">, </w:t>
      </w:r>
      <w:r>
        <w:rPr>
          <w:rFonts w:ascii="Arial" w:hAnsi="Arial" w:cs="Arial"/>
          <w:sz w:val="24"/>
          <w:szCs w:val="24"/>
          <w:lang w:val="en-ZA"/>
        </w:rPr>
        <w:t>with costs</w:t>
      </w:r>
      <w:r w:rsidR="00571A5C">
        <w:rPr>
          <w:rFonts w:ascii="Arial" w:hAnsi="Arial" w:cs="Arial"/>
          <w:sz w:val="24"/>
          <w:szCs w:val="24"/>
          <w:lang w:val="en-ZA"/>
        </w:rPr>
        <w:t xml:space="preserve"> and High Court’s order </w:t>
      </w:r>
      <w:r w:rsidR="00E11583">
        <w:rPr>
          <w:rFonts w:ascii="Arial" w:hAnsi="Arial" w:cs="Arial"/>
          <w:sz w:val="24"/>
          <w:szCs w:val="24"/>
          <w:lang w:val="en-ZA"/>
        </w:rPr>
        <w:t>varied</w:t>
      </w:r>
      <w:r>
        <w:rPr>
          <w:rFonts w:ascii="Arial" w:hAnsi="Arial" w:cs="Arial"/>
          <w:sz w:val="24"/>
          <w:szCs w:val="24"/>
          <w:lang w:val="en-ZA"/>
        </w:rPr>
        <w:t>.</w:t>
      </w:r>
    </w:p>
    <w:p w14:paraId="255369CB" w14:textId="77777777" w:rsidR="00F24788" w:rsidRPr="00101F87" w:rsidRDefault="00F24788" w:rsidP="00101F87">
      <w:pPr>
        <w:spacing w:after="0" w:line="360" w:lineRule="auto"/>
        <w:jc w:val="both"/>
        <w:rPr>
          <w:rFonts w:ascii="Arial" w:hAnsi="Arial" w:cs="Arial"/>
          <w:sz w:val="24"/>
          <w:szCs w:val="24"/>
          <w:lang w:val="en-ZA"/>
        </w:rPr>
      </w:pPr>
    </w:p>
    <w:p w14:paraId="0C0E4B0B" w14:textId="77777777" w:rsidR="008B4FF5" w:rsidRPr="008B4FF5" w:rsidRDefault="008B4FF5" w:rsidP="008B4FF5">
      <w:pPr>
        <w:spacing w:after="0" w:line="240" w:lineRule="auto"/>
        <w:rPr>
          <w:rFonts w:ascii="Arial" w:hAnsi="Arial" w:cs="Arial"/>
          <w:sz w:val="24"/>
          <w:szCs w:val="24"/>
          <w:lang w:val="en-ZA"/>
        </w:rPr>
      </w:pPr>
      <w:r w:rsidRPr="008B4FF5">
        <w:rPr>
          <w:rFonts w:ascii="Arial" w:hAnsi="Arial" w:cs="Arial"/>
          <w:sz w:val="24"/>
          <w:szCs w:val="24"/>
          <w:lang w:val="en-ZA"/>
        </w:rPr>
        <w:t>____________________________________________________________________</w:t>
      </w:r>
    </w:p>
    <w:p w14:paraId="1B61A49D" w14:textId="77777777" w:rsidR="008B4FF5" w:rsidRPr="008B4FF5" w:rsidRDefault="008B4FF5" w:rsidP="008B4FF5">
      <w:pPr>
        <w:spacing w:after="0" w:line="240" w:lineRule="auto"/>
        <w:rPr>
          <w:rFonts w:ascii="Arial" w:hAnsi="Arial" w:cs="Arial"/>
          <w:sz w:val="24"/>
          <w:szCs w:val="24"/>
          <w:lang w:val="en-ZA"/>
        </w:rPr>
      </w:pPr>
    </w:p>
    <w:p w14:paraId="0BF4D6AE" w14:textId="7F758643" w:rsidR="008B4FF5" w:rsidRPr="008B4FF5" w:rsidRDefault="008B4FF5" w:rsidP="008B4FF5">
      <w:pPr>
        <w:spacing w:after="0" w:line="240" w:lineRule="auto"/>
        <w:jc w:val="center"/>
        <w:rPr>
          <w:rFonts w:ascii="Arial" w:hAnsi="Arial" w:cs="Arial"/>
          <w:b/>
          <w:sz w:val="24"/>
          <w:szCs w:val="24"/>
          <w:lang w:val="en-ZA"/>
        </w:rPr>
      </w:pPr>
      <w:r w:rsidRPr="008B4FF5">
        <w:rPr>
          <w:rFonts w:ascii="Arial" w:hAnsi="Arial" w:cs="Arial"/>
          <w:b/>
          <w:sz w:val="24"/>
          <w:szCs w:val="24"/>
          <w:lang w:val="en-ZA"/>
        </w:rPr>
        <w:t xml:space="preserve">APPEAL </w:t>
      </w:r>
      <w:r w:rsidR="008838A3">
        <w:rPr>
          <w:rFonts w:ascii="Arial" w:hAnsi="Arial" w:cs="Arial"/>
          <w:b/>
          <w:sz w:val="24"/>
          <w:szCs w:val="24"/>
          <w:lang w:val="en-ZA"/>
        </w:rPr>
        <w:t>JUDGMENT</w:t>
      </w:r>
    </w:p>
    <w:p w14:paraId="4ADC9B2A" w14:textId="77777777" w:rsidR="008B4FF5" w:rsidRPr="008B4FF5" w:rsidRDefault="008B4FF5" w:rsidP="008B4FF5">
      <w:pPr>
        <w:spacing w:after="0" w:line="240" w:lineRule="auto"/>
        <w:rPr>
          <w:rFonts w:ascii="Arial" w:hAnsi="Arial" w:cs="Arial"/>
          <w:sz w:val="24"/>
          <w:szCs w:val="24"/>
          <w:lang w:val="en-ZA"/>
        </w:rPr>
      </w:pPr>
      <w:r w:rsidRPr="008B4FF5">
        <w:rPr>
          <w:rFonts w:ascii="Arial" w:hAnsi="Arial" w:cs="Arial"/>
          <w:sz w:val="24"/>
          <w:szCs w:val="24"/>
          <w:lang w:val="en-ZA"/>
        </w:rPr>
        <w:t>____________________________________________________________________</w:t>
      </w:r>
    </w:p>
    <w:p w14:paraId="0C397ED1" w14:textId="77777777" w:rsidR="008B4FF5" w:rsidRPr="008B4FF5" w:rsidRDefault="008B4FF5" w:rsidP="008B4FF5">
      <w:pPr>
        <w:spacing w:after="0" w:line="240" w:lineRule="auto"/>
        <w:rPr>
          <w:rFonts w:ascii="Arial" w:hAnsi="Arial" w:cs="Arial"/>
          <w:sz w:val="24"/>
          <w:szCs w:val="24"/>
          <w:lang w:val="en-ZA"/>
        </w:rPr>
      </w:pPr>
    </w:p>
    <w:p w14:paraId="14C2C243" w14:textId="77777777" w:rsidR="008B4FF5" w:rsidRPr="008B4FF5" w:rsidRDefault="008B4FF5" w:rsidP="00621AFB">
      <w:pPr>
        <w:spacing w:after="0" w:line="480" w:lineRule="auto"/>
        <w:jc w:val="both"/>
        <w:rPr>
          <w:rFonts w:ascii="Arial" w:hAnsi="Arial" w:cs="Arial"/>
          <w:sz w:val="24"/>
          <w:szCs w:val="24"/>
          <w:lang w:val="en-ZA"/>
        </w:rPr>
      </w:pPr>
      <w:r w:rsidRPr="008B4FF5">
        <w:rPr>
          <w:rFonts w:ascii="Arial" w:hAnsi="Arial" w:cs="Arial"/>
          <w:sz w:val="24"/>
          <w:szCs w:val="24"/>
          <w:lang w:val="en-ZA"/>
        </w:rPr>
        <w:t xml:space="preserve">DAMASEB DCJ </w:t>
      </w:r>
      <w:r w:rsidR="00824F53">
        <w:rPr>
          <w:rFonts w:ascii="Arial" w:hAnsi="Arial" w:cs="Arial"/>
          <w:sz w:val="24"/>
          <w:szCs w:val="24"/>
          <w:lang w:val="en-ZA"/>
        </w:rPr>
        <w:t>(PRINSLOO AJA and SCHIMMING-CHASE</w:t>
      </w:r>
      <w:r w:rsidRPr="008B4FF5">
        <w:rPr>
          <w:rFonts w:ascii="Arial" w:hAnsi="Arial" w:cs="Arial"/>
          <w:sz w:val="24"/>
          <w:szCs w:val="24"/>
          <w:lang w:val="en-ZA"/>
        </w:rPr>
        <w:t xml:space="preserve"> </w:t>
      </w:r>
      <w:r w:rsidR="00824F53">
        <w:rPr>
          <w:rFonts w:ascii="Arial" w:hAnsi="Arial" w:cs="Arial"/>
          <w:sz w:val="24"/>
          <w:szCs w:val="24"/>
          <w:lang w:val="en-ZA"/>
        </w:rPr>
        <w:t>A</w:t>
      </w:r>
      <w:r w:rsidRPr="008B4FF5">
        <w:rPr>
          <w:rFonts w:ascii="Arial" w:hAnsi="Arial" w:cs="Arial"/>
          <w:sz w:val="24"/>
          <w:szCs w:val="24"/>
          <w:lang w:val="en-ZA"/>
        </w:rPr>
        <w:t>JA concurring):</w:t>
      </w:r>
    </w:p>
    <w:p w14:paraId="0EA34FDF" w14:textId="77777777" w:rsidR="00824F53" w:rsidRPr="00090BA6" w:rsidRDefault="00824F53" w:rsidP="00621AFB">
      <w:pPr>
        <w:spacing w:after="0" w:line="480" w:lineRule="auto"/>
        <w:jc w:val="both"/>
        <w:rPr>
          <w:rFonts w:ascii="Arial" w:hAnsi="Arial" w:cs="Arial"/>
          <w:sz w:val="24"/>
          <w:szCs w:val="24"/>
          <w:u w:val="single"/>
          <w:lang w:val="en-ZA"/>
        </w:rPr>
      </w:pPr>
      <w:r w:rsidRPr="00090BA6">
        <w:rPr>
          <w:rFonts w:ascii="Arial" w:hAnsi="Arial" w:cs="Arial"/>
          <w:sz w:val="24"/>
          <w:szCs w:val="24"/>
          <w:u w:val="single"/>
          <w:lang w:val="en-ZA"/>
        </w:rPr>
        <w:t>Introduction</w:t>
      </w:r>
    </w:p>
    <w:p w14:paraId="08259BF4" w14:textId="6B06663E" w:rsidR="00502C35" w:rsidRPr="00FA69BC" w:rsidRDefault="00453C72" w:rsidP="00CA7CF8">
      <w:pPr>
        <w:pStyle w:val="NormalWeb"/>
        <w:numPr>
          <w:ilvl w:val="0"/>
          <w:numId w:val="8"/>
        </w:numPr>
        <w:spacing w:before="0" w:beforeAutospacing="0" w:after="0" w:afterAutospacing="0" w:line="480" w:lineRule="auto"/>
        <w:ind w:left="0" w:firstLine="0"/>
        <w:jc w:val="both"/>
        <w:rPr>
          <w:rFonts w:ascii="Arial" w:eastAsia="Calibri" w:hAnsi="Arial" w:cs="Arial"/>
        </w:rPr>
      </w:pPr>
      <w:r>
        <w:rPr>
          <w:rFonts w:ascii="Arial" w:eastAsia="Calibri" w:hAnsi="Arial" w:cs="Arial"/>
        </w:rPr>
        <w:t xml:space="preserve">This is an appeal against an order given by the High Court in answer to a question of law in a stated case </w:t>
      </w:r>
      <w:r w:rsidR="009443B3">
        <w:rPr>
          <w:rFonts w:ascii="Arial" w:eastAsia="Calibri" w:hAnsi="Arial" w:cs="Arial"/>
        </w:rPr>
        <w:t>in terms of</w:t>
      </w:r>
      <w:r w:rsidR="00993B02">
        <w:rPr>
          <w:rFonts w:ascii="Arial" w:eastAsia="Calibri" w:hAnsi="Arial" w:cs="Arial"/>
        </w:rPr>
        <w:t xml:space="preserve"> r</w:t>
      </w:r>
      <w:r>
        <w:rPr>
          <w:rFonts w:ascii="Arial" w:eastAsia="Calibri" w:hAnsi="Arial" w:cs="Arial"/>
        </w:rPr>
        <w:t>ule 63 of the High Court Rules: When does interest begin to run on a claim for contractual damages: from the date of service of summons or from the date of demand?</w:t>
      </w:r>
    </w:p>
    <w:p w14:paraId="6D11F1E6" w14:textId="0D75F9F7" w:rsidR="00502C35" w:rsidRDefault="00502C35" w:rsidP="00CA7CF8">
      <w:pPr>
        <w:pStyle w:val="NormalWeb"/>
        <w:numPr>
          <w:ilvl w:val="0"/>
          <w:numId w:val="8"/>
        </w:numPr>
        <w:spacing w:before="0" w:beforeAutospacing="0" w:after="0" w:afterAutospacing="0" w:line="480" w:lineRule="auto"/>
        <w:ind w:left="0" w:firstLine="0"/>
        <w:jc w:val="both"/>
        <w:rPr>
          <w:rFonts w:ascii="Arial" w:hAnsi="Arial" w:cs="Arial"/>
          <w:lang w:val="en-ZA"/>
        </w:rPr>
      </w:pPr>
      <w:r w:rsidRPr="00711E34">
        <w:rPr>
          <w:rFonts w:ascii="Arial" w:eastAsia="Calibri" w:hAnsi="Arial" w:cs="Arial"/>
        </w:rPr>
        <w:lastRenderedPageBreak/>
        <w:t>There is a preliminary matter of a condonation application and reinstatement of the appeal</w:t>
      </w:r>
      <w:r w:rsidR="004E2182">
        <w:rPr>
          <w:rFonts w:ascii="Arial" w:eastAsia="Calibri" w:hAnsi="Arial" w:cs="Arial"/>
        </w:rPr>
        <w:t xml:space="preserve"> because of non-compliance with the time limits </w:t>
      </w:r>
      <w:r w:rsidR="00F0112C">
        <w:rPr>
          <w:rFonts w:ascii="Arial" w:eastAsia="Calibri" w:hAnsi="Arial" w:cs="Arial"/>
        </w:rPr>
        <w:t>under</w:t>
      </w:r>
      <w:r w:rsidR="004E2182">
        <w:rPr>
          <w:rFonts w:ascii="Arial" w:eastAsia="Calibri" w:hAnsi="Arial" w:cs="Arial"/>
        </w:rPr>
        <w:t xml:space="preserve"> </w:t>
      </w:r>
      <w:r w:rsidR="003D27FA">
        <w:rPr>
          <w:rFonts w:ascii="Arial" w:eastAsia="Calibri" w:hAnsi="Arial" w:cs="Arial"/>
        </w:rPr>
        <w:t xml:space="preserve">Supreme Court </w:t>
      </w:r>
      <w:r w:rsidR="00C228F9">
        <w:rPr>
          <w:rFonts w:ascii="Arial" w:eastAsia="Calibri" w:hAnsi="Arial" w:cs="Arial"/>
        </w:rPr>
        <w:t>R</w:t>
      </w:r>
      <w:r w:rsidR="004E2182">
        <w:rPr>
          <w:rFonts w:ascii="Arial" w:hAnsi="Arial" w:cs="Arial"/>
          <w:lang w:val="en-ZA"/>
        </w:rPr>
        <w:t>ules</w:t>
      </w:r>
      <w:r w:rsidR="0029758B">
        <w:rPr>
          <w:rFonts w:ascii="Arial" w:hAnsi="Arial" w:cs="Arial"/>
          <w:lang w:val="en-ZA"/>
        </w:rPr>
        <w:t xml:space="preserve"> </w:t>
      </w:r>
      <w:r w:rsidR="004E2182">
        <w:rPr>
          <w:rFonts w:ascii="Arial" w:hAnsi="Arial" w:cs="Arial"/>
          <w:lang w:val="en-ZA"/>
        </w:rPr>
        <w:t>8(2)(b) (</w:t>
      </w:r>
      <w:r w:rsidR="004E1BEE">
        <w:rPr>
          <w:rFonts w:ascii="Arial" w:hAnsi="Arial" w:cs="Arial"/>
          <w:lang w:val="en-ZA"/>
        </w:rPr>
        <w:t xml:space="preserve">lodging </w:t>
      </w:r>
      <w:r w:rsidR="004E2182">
        <w:rPr>
          <w:rFonts w:ascii="Arial" w:hAnsi="Arial" w:cs="Arial"/>
          <w:lang w:val="en-ZA"/>
        </w:rPr>
        <w:t xml:space="preserve">of </w:t>
      </w:r>
      <w:r w:rsidR="009E1059">
        <w:rPr>
          <w:rFonts w:ascii="Arial" w:hAnsi="Arial" w:cs="Arial"/>
          <w:lang w:val="en-ZA"/>
        </w:rPr>
        <w:t xml:space="preserve">an </w:t>
      </w:r>
      <w:r w:rsidR="004E2182">
        <w:rPr>
          <w:rFonts w:ascii="Arial" w:hAnsi="Arial" w:cs="Arial"/>
          <w:lang w:val="en-ZA"/>
        </w:rPr>
        <w:t>appeal record</w:t>
      </w:r>
      <w:r w:rsidR="009E1059">
        <w:rPr>
          <w:rFonts w:ascii="Arial" w:hAnsi="Arial" w:cs="Arial"/>
          <w:lang w:val="en-ZA"/>
        </w:rPr>
        <w:t xml:space="preserve"> within three</w:t>
      </w:r>
      <w:r w:rsidR="004E1BEE">
        <w:rPr>
          <w:rFonts w:ascii="Arial" w:hAnsi="Arial" w:cs="Arial"/>
          <w:lang w:val="en-ZA"/>
        </w:rPr>
        <w:t xml:space="preserve"> months from date of order appealed against</w:t>
      </w:r>
      <w:r w:rsidR="004E2182">
        <w:rPr>
          <w:rFonts w:ascii="Arial" w:hAnsi="Arial" w:cs="Arial"/>
          <w:lang w:val="en-ZA"/>
        </w:rPr>
        <w:t>)</w:t>
      </w:r>
      <w:r w:rsidR="004E1BEE">
        <w:rPr>
          <w:rFonts w:ascii="Arial" w:hAnsi="Arial" w:cs="Arial"/>
          <w:lang w:val="en-ZA"/>
        </w:rPr>
        <w:t>;</w:t>
      </w:r>
      <w:r w:rsidR="004E2182">
        <w:rPr>
          <w:rFonts w:ascii="Arial" w:hAnsi="Arial" w:cs="Arial"/>
          <w:lang w:val="en-ZA"/>
        </w:rPr>
        <w:t xml:space="preserve"> 11(10) </w:t>
      </w:r>
      <w:r w:rsidR="004E1BEE">
        <w:rPr>
          <w:rFonts w:ascii="Arial" w:hAnsi="Arial" w:cs="Arial"/>
          <w:lang w:val="en-ZA"/>
        </w:rPr>
        <w:t>(partie</w:t>
      </w:r>
      <w:r w:rsidR="00F037F5">
        <w:rPr>
          <w:rFonts w:ascii="Arial" w:hAnsi="Arial" w:cs="Arial"/>
          <w:lang w:val="en-ZA"/>
        </w:rPr>
        <w:t xml:space="preserve">s to hold a meeting to agree on the </w:t>
      </w:r>
      <w:r w:rsidR="004E1BEE">
        <w:rPr>
          <w:rFonts w:ascii="Arial" w:hAnsi="Arial" w:cs="Arial"/>
          <w:lang w:val="en-ZA"/>
        </w:rPr>
        <w:t>appeal</w:t>
      </w:r>
      <w:r w:rsidR="00F037F5">
        <w:rPr>
          <w:rFonts w:ascii="Arial" w:hAnsi="Arial" w:cs="Arial"/>
          <w:lang w:val="en-ZA"/>
        </w:rPr>
        <w:t xml:space="preserve"> record</w:t>
      </w:r>
      <w:r w:rsidR="004E1BEE">
        <w:rPr>
          <w:rFonts w:ascii="Arial" w:hAnsi="Arial" w:cs="Arial"/>
          <w:lang w:val="en-ZA"/>
        </w:rPr>
        <w:t xml:space="preserve"> and submitting a report to the registrar</w:t>
      </w:r>
      <w:r w:rsidR="005F3FE6">
        <w:rPr>
          <w:rFonts w:ascii="Arial" w:hAnsi="Arial" w:cs="Arial"/>
          <w:lang w:val="en-ZA"/>
        </w:rPr>
        <w:t>)</w:t>
      </w:r>
      <w:r w:rsidR="004E1BEE">
        <w:rPr>
          <w:rFonts w:ascii="Arial" w:hAnsi="Arial" w:cs="Arial"/>
          <w:lang w:val="en-ZA"/>
        </w:rPr>
        <w:t>; 1</w:t>
      </w:r>
      <w:r w:rsidR="00E14A0A">
        <w:rPr>
          <w:rFonts w:ascii="Arial" w:hAnsi="Arial" w:cs="Arial"/>
          <w:lang w:val="en-ZA"/>
        </w:rPr>
        <w:t>4</w:t>
      </w:r>
      <w:r w:rsidR="004E2182">
        <w:rPr>
          <w:rFonts w:ascii="Arial" w:hAnsi="Arial" w:cs="Arial"/>
          <w:lang w:val="en-ZA"/>
        </w:rPr>
        <w:t>(2) (</w:t>
      </w:r>
      <w:r w:rsidR="004E1BEE">
        <w:rPr>
          <w:rFonts w:ascii="Arial" w:hAnsi="Arial" w:cs="Arial"/>
          <w:lang w:val="en-ZA"/>
        </w:rPr>
        <w:t>provision of security by the appellant before lodging record of appeal</w:t>
      </w:r>
      <w:r w:rsidR="004E2182">
        <w:rPr>
          <w:rFonts w:ascii="Arial" w:hAnsi="Arial" w:cs="Arial"/>
          <w:lang w:val="en-ZA"/>
        </w:rPr>
        <w:t>) as a res</w:t>
      </w:r>
      <w:r w:rsidR="00993B02">
        <w:rPr>
          <w:rFonts w:ascii="Arial" w:hAnsi="Arial" w:cs="Arial"/>
          <w:lang w:val="en-ZA"/>
        </w:rPr>
        <w:t>ult of which the appeal lapsed –</w:t>
      </w:r>
      <w:r w:rsidR="004E2182">
        <w:rPr>
          <w:rFonts w:ascii="Arial" w:hAnsi="Arial" w:cs="Arial"/>
          <w:lang w:val="en-ZA"/>
        </w:rPr>
        <w:t xml:space="preserve"> </w:t>
      </w:r>
      <w:r>
        <w:rPr>
          <w:rFonts w:ascii="Arial" w:hAnsi="Arial" w:cs="Arial"/>
          <w:lang w:val="en-ZA"/>
        </w:rPr>
        <w:t xml:space="preserve">hence the condonation and reinstatement application. For the reasons that I set out </w:t>
      </w:r>
      <w:r w:rsidR="004E2182">
        <w:rPr>
          <w:rFonts w:ascii="Arial" w:hAnsi="Arial" w:cs="Arial"/>
          <w:lang w:val="en-ZA"/>
        </w:rPr>
        <w:t>at the end of this judgment</w:t>
      </w:r>
      <w:r w:rsidR="00E14A0A">
        <w:rPr>
          <w:rFonts w:ascii="Arial" w:hAnsi="Arial" w:cs="Arial"/>
          <w:lang w:val="en-ZA"/>
        </w:rPr>
        <w:t>,</w:t>
      </w:r>
      <w:r w:rsidR="004E2182">
        <w:rPr>
          <w:rFonts w:ascii="Arial" w:hAnsi="Arial" w:cs="Arial"/>
          <w:lang w:val="en-ZA"/>
        </w:rPr>
        <w:t xml:space="preserve"> </w:t>
      </w:r>
      <w:r>
        <w:rPr>
          <w:rFonts w:ascii="Arial" w:hAnsi="Arial" w:cs="Arial"/>
          <w:lang w:val="en-ZA"/>
        </w:rPr>
        <w:t xml:space="preserve">the condonation application is granted and the appeal reinstated. </w:t>
      </w:r>
    </w:p>
    <w:p w14:paraId="34B9FE3B" w14:textId="77777777" w:rsidR="00502C35" w:rsidRDefault="00502C35" w:rsidP="00CA7CF8">
      <w:pPr>
        <w:pStyle w:val="NormalWeb"/>
        <w:spacing w:before="0" w:beforeAutospacing="0" w:after="0" w:afterAutospacing="0" w:line="480" w:lineRule="auto"/>
        <w:jc w:val="both"/>
        <w:rPr>
          <w:rFonts w:ascii="Arial" w:hAnsi="Arial" w:cs="Arial"/>
          <w:lang w:val="en-ZA"/>
        </w:rPr>
      </w:pPr>
    </w:p>
    <w:p w14:paraId="4A54DD48" w14:textId="339A0513" w:rsidR="00502C35" w:rsidRDefault="00502C35" w:rsidP="00CA7CF8">
      <w:pPr>
        <w:pStyle w:val="NormalWeb"/>
        <w:numPr>
          <w:ilvl w:val="0"/>
          <w:numId w:val="8"/>
        </w:numPr>
        <w:spacing w:before="0" w:beforeAutospacing="0" w:after="0" w:afterAutospacing="0" w:line="480" w:lineRule="auto"/>
        <w:ind w:left="0" w:firstLine="0"/>
        <w:jc w:val="both"/>
        <w:rPr>
          <w:rFonts w:ascii="Arial" w:hAnsi="Arial" w:cs="Arial"/>
          <w:lang w:val="en-ZA"/>
        </w:rPr>
      </w:pPr>
      <w:r>
        <w:rPr>
          <w:rFonts w:ascii="Arial" w:hAnsi="Arial" w:cs="Arial"/>
          <w:lang w:val="en-ZA"/>
        </w:rPr>
        <w:t>The appellant w</w:t>
      </w:r>
      <w:r w:rsidR="00E14A0A">
        <w:rPr>
          <w:rFonts w:ascii="Arial" w:hAnsi="Arial" w:cs="Arial"/>
          <w:lang w:val="en-ZA"/>
        </w:rPr>
        <w:t>as</w:t>
      </w:r>
      <w:r>
        <w:rPr>
          <w:rFonts w:ascii="Arial" w:hAnsi="Arial" w:cs="Arial"/>
          <w:lang w:val="en-ZA"/>
        </w:rPr>
        <w:t xml:space="preserve"> contracted as </w:t>
      </w:r>
      <w:r w:rsidR="008828CD">
        <w:rPr>
          <w:rFonts w:ascii="Arial" w:hAnsi="Arial" w:cs="Arial"/>
          <w:lang w:val="en-ZA"/>
        </w:rPr>
        <w:t xml:space="preserve">a </w:t>
      </w:r>
      <w:r>
        <w:rPr>
          <w:rFonts w:ascii="Arial" w:hAnsi="Arial" w:cs="Arial"/>
          <w:lang w:val="en-ZA"/>
        </w:rPr>
        <w:t>consult</w:t>
      </w:r>
      <w:r w:rsidR="00713F10">
        <w:rPr>
          <w:rFonts w:ascii="Arial" w:hAnsi="Arial" w:cs="Arial"/>
          <w:lang w:val="en-ZA"/>
        </w:rPr>
        <w:t xml:space="preserve">ant by the Government of Namibia </w:t>
      </w:r>
      <w:r>
        <w:rPr>
          <w:rFonts w:ascii="Arial" w:hAnsi="Arial" w:cs="Arial"/>
          <w:lang w:val="en-ZA"/>
        </w:rPr>
        <w:t xml:space="preserve">on </w:t>
      </w:r>
      <w:r w:rsidR="00CD3E0B">
        <w:rPr>
          <w:rFonts w:ascii="Arial" w:hAnsi="Arial" w:cs="Arial"/>
          <w:lang w:val="en-ZA"/>
        </w:rPr>
        <w:t>several construction projects. It</w:t>
      </w:r>
      <w:r>
        <w:rPr>
          <w:rFonts w:ascii="Arial" w:hAnsi="Arial" w:cs="Arial"/>
          <w:lang w:val="en-ZA"/>
        </w:rPr>
        <w:t xml:space="preserve"> completed the </w:t>
      </w:r>
      <w:r w:rsidR="00613A8C">
        <w:rPr>
          <w:rFonts w:ascii="Arial" w:hAnsi="Arial" w:cs="Arial"/>
          <w:lang w:val="en-ZA"/>
        </w:rPr>
        <w:t xml:space="preserve">agreed </w:t>
      </w:r>
      <w:r>
        <w:rPr>
          <w:rFonts w:ascii="Arial" w:hAnsi="Arial" w:cs="Arial"/>
          <w:lang w:val="en-ZA"/>
        </w:rPr>
        <w:t xml:space="preserve">work </w:t>
      </w:r>
      <w:r w:rsidR="00613A8C">
        <w:rPr>
          <w:rFonts w:ascii="Arial" w:hAnsi="Arial" w:cs="Arial"/>
          <w:lang w:val="en-ZA"/>
        </w:rPr>
        <w:t>and rendered invoices to the Government, some of which went unpaid. The appellant then issued demand on 10 July 2019 for the unpaid amounts and when still no payment was received</w:t>
      </w:r>
      <w:r w:rsidR="00432864">
        <w:rPr>
          <w:rFonts w:ascii="Arial" w:hAnsi="Arial" w:cs="Arial"/>
          <w:lang w:val="en-ZA"/>
        </w:rPr>
        <w:t>,</w:t>
      </w:r>
      <w:r w:rsidR="00613A8C">
        <w:rPr>
          <w:rFonts w:ascii="Arial" w:hAnsi="Arial" w:cs="Arial"/>
          <w:lang w:val="en-ZA"/>
        </w:rPr>
        <w:t xml:space="preserve"> </w:t>
      </w:r>
      <w:r w:rsidR="00BE2C66">
        <w:rPr>
          <w:rFonts w:ascii="Arial" w:hAnsi="Arial" w:cs="Arial"/>
          <w:lang w:val="en-ZA"/>
        </w:rPr>
        <w:t xml:space="preserve">issued </w:t>
      </w:r>
      <w:r w:rsidR="00613A8C">
        <w:rPr>
          <w:rFonts w:ascii="Arial" w:hAnsi="Arial" w:cs="Arial"/>
          <w:lang w:val="en-ZA"/>
        </w:rPr>
        <w:t>summons</w:t>
      </w:r>
      <w:r w:rsidR="00511EDA">
        <w:rPr>
          <w:rFonts w:ascii="Arial" w:hAnsi="Arial" w:cs="Arial"/>
          <w:lang w:val="en-ZA"/>
        </w:rPr>
        <w:t xml:space="preserve">es </w:t>
      </w:r>
      <w:r w:rsidR="00613A8C">
        <w:rPr>
          <w:rFonts w:ascii="Arial" w:hAnsi="Arial" w:cs="Arial"/>
          <w:lang w:val="en-ZA"/>
        </w:rPr>
        <w:t xml:space="preserve">against the Government in </w:t>
      </w:r>
      <w:r w:rsidR="00F402CF">
        <w:rPr>
          <w:rFonts w:ascii="Arial" w:hAnsi="Arial" w:cs="Arial"/>
          <w:lang w:val="en-ZA"/>
        </w:rPr>
        <w:t>five</w:t>
      </w:r>
      <w:r w:rsidR="00613A8C">
        <w:rPr>
          <w:rFonts w:ascii="Arial" w:hAnsi="Arial" w:cs="Arial"/>
          <w:lang w:val="en-ZA"/>
        </w:rPr>
        <w:t xml:space="preserve"> separate</w:t>
      </w:r>
      <w:r w:rsidR="00DB3D01">
        <w:rPr>
          <w:rFonts w:ascii="Arial" w:hAnsi="Arial" w:cs="Arial"/>
          <w:lang w:val="en-ZA"/>
        </w:rPr>
        <w:t xml:space="preserve"> but related cases.</w:t>
      </w:r>
    </w:p>
    <w:p w14:paraId="523E4D4A" w14:textId="77777777" w:rsidR="00613A8C" w:rsidRDefault="00613A8C" w:rsidP="00CA7CF8">
      <w:pPr>
        <w:pStyle w:val="NormalWeb"/>
        <w:spacing w:before="0" w:beforeAutospacing="0" w:after="0" w:afterAutospacing="0" w:line="480" w:lineRule="auto"/>
        <w:jc w:val="both"/>
        <w:rPr>
          <w:rFonts w:ascii="Arial" w:hAnsi="Arial" w:cs="Arial"/>
          <w:lang w:val="en-ZA"/>
        </w:rPr>
      </w:pPr>
    </w:p>
    <w:p w14:paraId="5B3DDF0C" w14:textId="6F8B4096" w:rsidR="00613A8C" w:rsidRDefault="00613A8C" w:rsidP="00CA7CF8">
      <w:pPr>
        <w:pStyle w:val="NormalWeb"/>
        <w:numPr>
          <w:ilvl w:val="0"/>
          <w:numId w:val="8"/>
        </w:numPr>
        <w:spacing w:before="0" w:beforeAutospacing="0" w:after="0" w:afterAutospacing="0" w:line="480" w:lineRule="auto"/>
        <w:ind w:left="0" w:firstLine="0"/>
        <w:jc w:val="both"/>
        <w:rPr>
          <w:rFonts w:ascii="Arial" w:hAnsi="Arial" w:cs="Arial"/>
          <w:lang w:val="en-ZA"/>
        </w:rPr>
      </w:pPr>
      <w:r>
        <w:rPr>
          <w:rFonts w:ascii="Arial" w:hAnsi="Arial" w:cs="Arial"/>
          <w:lang w:val="en-ZA"/>
        </w:rPr>
        <w:t xml:space="preserve">After pleadings </w:t>
      </w:r>
      <w:r w:rsidR="00F67DC9">
        <w:rPr>
          <w:rFonts w:ascii="Arial" w:hAnsi="Arial" w:cs="Arial"/>
          <w:lang w:val="en-ZA"/>
        </w:rPr>
        <w:t xml:space="preserve">had </w:t>
      </w:r>
      <w:r>
        <w:rPr>
          <w:rFonts w:ascii="Arial" w:hAnsi="Arial" w:cs="Arial"/>
          <w:lang w:val="en-ZA"/>
        </w:rPr>
        <w:t>closed the parties sought and were granted an order by the managing judge to state a case for his decision</w:t>
      </w:r>
      <w:r w:rsidR="00406796">
        <w:rPr>
          <w:rFonts w:ascii="Arial" w:hAnsi="Arial" w:cs="Arial"/>
          <w:lang w:val="en-ZA"/>
        </w:rPr>
        <w:t xml:space="preserve"> </w:t>
      </w:r>
      <w:r w:rsidR="008828CD">
        <w:rPr>
          <w:rFonts w:ascii="Arial" w:hAnsi="Arial" w:cs="Arial"/>
          <w:lang w:val="en-ZA"/>
        </w:rPr>
        <w:t xml:space="preserve">on questions of law </w:t>
      </w:r>
      <w:r w:rsidR="00406796">
        <w:rPr>
          <w:rFonts w:ascii="Arial" w:hAnsi="Arial" w:cs="Arial"/>
          <w:lang w:val="en-ZA"/>
        </w:rPr>
        <w:t xml:space="preserve">in terms of </w:t>
      </w:r>
      <w:r w:rsidR="00993B02">
        <w:rPr>
          <w:rFonts w:ascii="Arial" w:hAnsi="Arial" w:cs="Arial"/>
          <w:lang w:val="en-ZA"/>
        </w:rPr>
        <w:t>r</w:t>
      </w:r>
      <w:r w:rsidR="00F67DC9">
        <w:rPr>
          <w:rFonts w:ascii="Arial" w:hAnsi="Arial" w:cs="Arial"/>
          <w:lang w:val="en-ZA"/>
        </w:rPr>
        <w:t>ule 63</w:t>
      </w:r>
      <w:r w:rsidR="008828CD">
        <w:rPr>
          <w:rFonts w:ascii="Arial" w:hAnsi="Arial" w:cs="Arial"/>
          <w:lang w:val="en-ZA"/>
        </w:rPr>
        <w:t xml:space="preserve"> of the High Court Rules. </w:t>
      </w:r>
      <w:r>
        <w:rPr>
          <w:rFonts w:ascii="Arial" w:hAnsi="Arial" w:cs="Arial"/>
          <w:lang w:val="en-ZA"/>
        </w:rPr>
        <w:t xml:space="preserve">That resulted in </w:t>
      </w:r>
      <w:r w:rsidR="00E16088">
        <w:rPr>
          <w:rFonts w:ascii="Arial" w:hAnsi="Arial" w:cs="Arial"/>
          <w:lang w:val="en-ZA"/>
        </w:rPr>
        <w:t xml:space="preserve">a </w:t>
      </w:r>
      <w:r>
        <w:rPr>
          <w:rFonts w:ascii="Arial" w:hAnsi="Arial" w:cs="Arial"/>
          <w:lang w:val="en-ZA"/>
        </w:rPr>
        <w:t>stated case in the following civil cases then pending in the High Court</w:t>
      </w:r>
      <w:r w:rsidR="0024107E">
        <w:rPr>
          <w:rFonts w:ascii="Arial" w:hAnsi="Arial" w:cs="Arial"/>
          <w:lang w:val="en-ZA"/>
        </w:rPr>
        <w:t xml:space="preserve"> as</w:t>
      </w:r>
      <w:r>
        <w:rPr>
          <w:rFonts w:ascii="Arial" w:hAnsi="Arial" w:cs="Arial"/>
          <w:lang w:val="en-ZA"/>
        </w:rPr>
        <w:t xml:space="preserve"> </w:t>
      </w:r>
      <w:r w:rsidR="00993B02">
        <w:rPr>
          <w:rFonts w:ascii="Arial" w:hAnsi="Arial" w:cs="Arial"/>
          <w:lang w:val="en-ZA"/>
        </w:rPr>
        <w:t>HC-MD-CIV-</w:t>
      </w:r>
      <w:r w:rsidR="0024107E" w:rsidRPr="00993B02">
        <w:rPr>
          <w:rFonts w:ascii="Arial" w:hAnsi="Arial" w:cs="Arial"/>
          <w:lang w:val="en-ZA"/>
        </w:rPr>
        <w:t>ACT-CON</w:t>
      </w:r>
      <w:r w:rsidR="0024107E">
        <w:rPr>
          <w:rFonts w:ascii="Arial" w:hAnsi="Arial" w:cs="Arial"/>
          <w:lang w:val="en-ZA"/>
        </w:rPr>
        <w:t>: 2019/05158; 2019/05157; 2019</w:t>
      </w:r>
      <w:r w:rsidR="00993B02">
        <w:rPr>
          <w:rFonts w:ascii="Arial" w:hAnsi="Arial" w:cs="Arial"/>
          <w:lang w:val="en-ZA"/>
        </w:rPr>
        <w:t>/05160; 2019/05130 and</w:t>
      </w:r>
      <w:r w:rsidR="004F081E">
        <w:rPr>
          <w:rFonts w:ascii="Arial" w:hAnsi="Arial" w:cs="Arial"/>
          <w:lang w:val="en-ZA"/>
        </w:rPr>
        <w:t xml:space="preserve"> 2019/05163.</w:t>
      </w:r>
    </w:p>
    <w:p w14:paraId="6D23A5AD" w14:textId="77777777" w:rsidR="00DB3D01" w:rsidRDefault="00DB3D01" w:rsidP="00CA7CF8">
      <w:pPr>
        <w:pStyle w:val="NormalWeb"/>
        <w:spacing w:before="0" w:beforeAutospacing="0" w:after="0" w:afterAutospacing="0" w:line="480" w:lineRule="auto"/>
        <w:jc w:val="both"/>
        <w:rPr>
          <w:rFonts w:ascii="Arial" w:hAnsi="Arial" w:cs="Arial"/>
          <w:lang w:val="en-ZA"/>
        </w:rPr>
      </w:pPr>
    </w:p>
    <w:p w14:paraId="0224BDF7" w14:textId="5A94D1D7" w:rsidR="000F072A" w:rsidRDefault="00DB3D01" w:rsidP="00CA7CF8">
      <w:pPr>
        <w:pStyle w:val="NormalWeb"/>
        <w:numPr>
          <w:ilvl w:val="0"/>
          <w:numId w:val="8"/>
        </w:numPr>
        <w:spacing w:before="0" w:beforeAutospacing="0" w:after="0" w:afterAutospacing="0" w:line="480" w:lineRule="auto"/>
        <w:ind w:left="0" w:firstLine="0"/>
        <w:jc w:val="both"/>
        <w:rPr>
          <w:rFonts w:ascii="Arial" w:hAnsi="Arial" w:cs="Arial"/>
          <w:lang w:val="en-ZA"/>
        </w:rPr>
      </w:pPr>
      <w:r>
        <w:rPr>
          <w:rFonts w:ascii="Arial" w:hAnsi="Arial" w:cs="Arial"/>
          <w:lang w:val="en-ZA"/>
        </w:rPr>
        <w:t>Th</w:t>
      </w:r>
      <w:r w:rsidR="004D57DC">
        <w:rPr>
          <w:rFonts w:ascii="Arial" w:hAnsi="Arial" w:cs="Arial"/>
          <w:lang w:val="en-ZA"/>
        </w:rPr>
        <w:t>e stated case related to all</w:t>
      </w:r>
      <w:r>
        <w:rPr>
          <w:rFonts w:ascii="Arial" w:hAnsi="Arial" w:cs="Arial"/>
          <w:lang w:val="en-ZA"/>
        </w:rPr>
        <w:t xml:space="preserve"> </w:t>
      </w:r>
      <w:r w:rsidR="00F402CF">
        <w:rPr>
          <w:rFonts w:ascii="Arial" w:hAnsi="Arial" w:cs="Arial"/>
          <w:lang w:val="en-ZA"/>
        </w:rPr>
        <w:t>five</w:t>
      </w:r>
      <w:r>
        <w:rPr>
          <w:rFonts w:ascii="Arial" w:hAnsi="Arial" w:cs="Arial"/>
          <w:lang w:val="en-ZA"/>
        </w:rPr>
        <w:t xml:space="preserve"> cases and each is couched in identical terms except for differences in the amounts involved. Each records that summons was issued on 21 November 2019</w:t>
      </w:r>
      <w:r w:rsidR="00D809FF">
        <w:rPr>
          <w:rFonts w:ascii="Arial" w:hAnsi="Arial" w:cs="Arial"/>
          <w:lang w:val="en-ZA"/>
        </w:rPr>
        <w:t xml:space="preserve"> in respect of </w:t>
      </w:r>
      <w:r>
        <w:rPr>
          <w:rFonts w:ascii="Arial" w:hAnsi="Arial" w:cs="Arial"/>
          <w:lang w:val="en-ZA"/>
        </w:rPr>
        <w:t xml:space="preserve">a capital amount </w:t>
      </w:r>
      <w:r w:rsidR="008828CD">
        <w:rPr>
          <w:rFonts w:ascii="Arial" w:hAnsi="Arial" w:cs="Arial"/>
          <w:lang w:val="en-ZA"/>
        </w:rPr>
        <w:t xml:space="preserve">with </w:t>
      </w:r>
      <w:r>
        <w:rPr>
          <w:rFonts w:ascii="Arial" w:hAnsi="Arial" w:cs="Arial"/>
          <w:lang w:val="en-ZA"/>
        </w:rPr>
        <w:t>interest</w:t>
      </w:r>
      <w:r w:rsidR="008828CD">
        <w:rPr>
          <w:rFonts w:ascii="Arial" w:hAnsi="Arial" w:cs="Arial"/>
          <w:lang w:val="en-ZA"/>
        </w:rPr>
        <w:t>.</w:t>
      </w:r>
      <w:r w:rsidR="00414F9E">
        <w:rPr>
          <w:rFonts w:ascii="Arial" w:hAnsi="Arial" w:cs="Arial"/>
          <w:lang w:val="en-ZA"/>
        </w:rPr>
        <w:t xml:space="preserve"> </w:t>
      </w:r>
      <w:r>
        <w:rPr>
          <w:rFonts w:ascii="Arial" w:hAnsi="Arial" w:cs="Arial"/>
          <w:lang w:val="en-ZA"/>
        </w:rPr>
        <w:t xml:space="preserve">Each </w:t>
      </w:r>
      <w:r w:rsidR="00DE2C0A">
        <w:rPr>
          <w:rFonts w:ascii="Arial" w:hAnsi="Arial" w:cs="Arial"/>
          <w:lang w:val="en-ZA"/>
        </w:rPr>
        <w:t xml:space="preserve">case </w:t>
      </w:r>
      <w:r>
        <w:rPr>
          <w:rFonts w:ascii="Arial" w:hAnsi="Arial" w:cs="Arial"/>
          <w:lang w:val="en-ZA"/>
        </w:rPr>
        <w:t xml:space="preserve">records </w:t>
      </w:r>
      <w:r>
        <w:rPr>
          <w:rFonts w:ascii="Arial" w:hAnsi="Arial" w:cs="Arial"/>
          <w:lang w:val="en-ZA"/>
        </w:rPr>
        <w:lastRenderedPageBreak/>
        <w:t>that ‘Prior to summons being issued the Plaintiff sen</w:t>
      </w:r>
      <w:r w:rsidR="00933329">
        <w:rPr>
          <w:rFonts w:ascii="Arial" w:hAnsi="Arial" w:cs="Arial"/>
          <w:lang w:val="en-ZA"/>
        </w:rPr>
        <w:t>d</w:t>
      </w:r>
      <w:r>
        <w:rPr>
          <w:rFonts w:ascii="Arial" w:hAnsi="Arial" w:cs="Arial"/>
          <w:lang w:val="en-ZA"/>
        </w:rPr>
        <w:t xml:space="preserve"> (sic) a let</w:t>
      </w:r>
      <w:r w:rsidR="000176A2">
        <w:rPr>
          <w:rFonts w:ascii="Arial" w:hAnsi="Arial" w:cs="Arial"/>
          <w:lang w:val="en-ZA"/>
        </w:rPr>
        <w:t>ter of demand on 10 July 2019</w:t>
      </w:r>
      <w:r w:rsidR="00F550DC">
        <w:rPr>
          <w:rFonts w:ascii="Arial" w:hAnsi="Arial" w:cs="Arial"/>
          <w:lang w:val="en-ZA"/>
        </w:rPr>
        <w:t>’</w:t>
      </w:r>
      <w:r w:rsidR="000176A2">
        <w:rPr>
          <w:rFonts w:ascii="Arial" w:hAnsi="Arial" w:cs="Arial"/>
          <w:lang w:val="en-ZA"/>
        </w:rPr>
        <w:t>.</w:t>
      </w:r>
    </w:p>
    <w:p w14:paraId="2ECC61A3" w14:textId="77777777" w:rsidR="000F072A" w:rsidRDefault="000F072A" w:rsidP="000F072A">
      <w:pPr>
        <w:pStyle w:val="NormalWeb"/>
        <w:spacing w:before="0" w:beforeAutospacing="0" w:after="0" w:afterAutospacing="0" w:line="480" w:lineRule="auto"/>
        <w:jc w:val="both"/>
        <w:rPr>
          <w:rFonts w:ascii="Arial" w:hAnsi="Arial" w:cs="Arial"/>
          <w:lang w:val="en-ZA"/>
        </w:rPr>
      </w:pPr>
    </w:p>
    <w:p w14:paraId="7620790F" w14:textId="77777777" w:rsidR="00F550DC" w:rsidRDefault="00DB3D01" w:rsidP="00F550DC">
      <w:pPr>
        <w:pStyle w:val="NormalWeb"/>
        <w:numPr>
          <w:ilvl w:val="0"/>
          <w:numId w:val="8"/>
        </w:numPr>
        <w:spacing w:before="0" w:beforeAutospacing="0" w:after="0" w:afterAutospacing="0" w:line="480" w:lineRule="auto"/>
        <w:ind w:left="0" w:firstLine="0"/>
        <w:jc w:val="both"/>
        <w:rPr>
          <w:rFonts w:ascii="Arial" w:hAnsi="Arial" w:cs="Arial"/>
          <w:lang w:val="en-ZA"/>
        </w:rPr>
      </w:pPr>
      <w:r>
        <w:rPr>
          <w:rFonts w:ascii="Arial" w:hAnsi="Arial" w:cs="Arial"/>
          <w:lang w:val="en-ZA"/>
        </w:rPr>
        <w:t xml:space="preserve">Each </w:t>
      </w:r>
      <w:r w:rsidR="00717E24">
        <w:rPr>
          <w:rFonts w:ascii="Arial" w:hAnsi="Arial" w:cs="Arial"/>
          <w:lang w:val="en-ZA"/>
        </w:rPr>
        <w:t>case ends</w:t>
      </w:r>
      <w:r>
        <w:rPr>
          <w:rFonts w:ascii="Arial" w:hAnsi="Arial" w:cs="Arial"/>
          <w:lang w:val="en-ZA"/>
        </w:rPr>
        <w:t xml:space="preserve"> with the following words: ‘The parties agree that the main issue for determination in this stated case </w:t>
      </w:r>
      <w:r w:rsidR="00E11E4D">
        <w:rPr>
          <w:rFonts w:ascii="Arial" w:hAnsi="Arial" w:cs="Arial"/>
          <w:lang w:val="en-ZA"/>
        </w:rPr>
        <w:t xml:space="preserve">is whether </w:t>
      </w:r>
      <w:r w:rsidR="00536A5E">
        <w:rPr>
          <w:rFonts w:ascii="Arial" w:hAnsi="Arial" w:cs="Arial"/>
          <w:lang w:val="en-ZA"/>
        </w:rPr>
        <w:t>the Plaintiff is entitled to interest as claimed, and if so</w:t>
      </w:r>
      <w:r w:rsidR="00536A5E" w:rsidRPr="00C76956">
        <w:rPr>
          <w:rFonts w:ascii="Arial" w:hAnsi="Arial" w:cs="Arial"/>
          <w:lang w:val="en-ZA"/>
        </w:rPr>
        <w:t>:</w:t>
      </w:r>
    </w:p>
    <w:p w14:paraId="22AEAE3C" w14:textId="77777777" w:rsidR="00F550DC" w:rsidRDefault="00F550DC" w:rsidP="00F550DC">
      <w:pPr>
        <w:pStyle w:val="NormalWeb"/>
        <w:spacing w:before="0" w:beforeAutospacing="0" w:after="0" w:afterAutospacing="0" w:line="480" w:lineRule="auto"/>
        <w:ind w:left="780"/>
        <w:jc w:val="both"/>
        <w:rPr>
          <w:rFonts w:ascii="Arial" w:hAnsi="Arial" w:cs="Arial"/>
          <w:lang w:val="en-ZA"/>
        </w:rPr>
      </w:pPr>
      <w:r>
        <w:rPr>
          <w:rFonts w:ascii="Arial" w:hAnsi="Arial" w:cs="Arial"/>
          <w:lang w:val="en-ZA"/>
        </w:rPr>
        <w:t>a.</w:t>
      </w:r>
      <w:r>
        <w:rPr>
          <w:rFonts w:ascii="Arial" w:hAnsi="Arial" w:cs="Arial"/>
          <w:lang w:val="en-ZA"/>
        </w:rPr>
        <w:tab/>
      </w:r>
      <w:r w:rsidR="00536A5E" w:rsidRPr="00F550DC">
        <w:rPr>
          <w:rFonts w:ascii="Arial" w:hAnsi="Arial" w:cs="Arial"/>
          <w:lang w:val="en-ZA"/>
        </w:rPr>
        <w:t>Whether interest can be claimed per th</w:t>
      </w:r>
      <w:r>
        <w:rPr>
          <w:rFonts w:ascii="Arial" w:hAnsi="Arial" w:cs="Arial"/>
          <w:lang w:val="en-ZA"/>
        </w:rPr>
        <w:t>e summons, alternatively as per</w:t>
      </w:r>
    </w:p>
    <w:p w14:paraId="27333A68" w14:textId="305C3D43" w:rsidR="00F550DC" w:rsidRDefault="00536A5E" w:rsidP="00F550DC">
      <w:pPr>
        <w:pStyle w:val="NormalWeb"/>
        <w:spacing w:before="0" w:beforeAutospacing="0" w:after="0" w:afterAutospacing="0" w:line="480" w:lineRule="auto"/>
        <w:ind w:left="780" w:firstLine="660"/>
        <w:jc w:val="both"/>
        <w:rPr>
          <w:rFonts w:ascii="Arial" w:hAnsi="Arial" w:cs="Arial"/>
          <w:lang w:val="en-ZA"/>
        </w:rPr>
      </w:pPr>
      <w:r w:rsidRPr="00F550DC">
        <w:rPr>
          <w:rFonts w:ascii="Arial" w:hAnsi="Arial" w:cs="Arial"/>
          <w:lang w:val="en-ZA"/>
        </w:rPr>
        <w:t>the letter of demand or further alternatively, from the date of summons.</w:t>
      </w:r>
    </w:p>
    <w:p w14:paraId="1EECF5BB" w14:textId="77777777" w:rsidR="00F550DC" w:rsidRDefault="00F550DC" w:rsidP="00F550DC">
      <w:pPr>
        <w:pStyle w:val="NormalWeb"/>
        <w:spacing w:before="0" w:beforeAutospacing="0" w:after="0" w:afterAutospacing="0" w:line="480" w:lineRule="auto"/>
        <w:ind w:firstLine="720"/>
        <w:jc w:val="both"/>
        <w:rPr>
          <w:rFonts w:ascii="Arial" w:hAnsi="Arial" w:cs="Arial"/>
          <w:lang w:val="en-ZA"/>
        </w:rPr>
      </w:pPr>
      <w:r>
        <w:rPr>
          <w:rFonts w:ascii="Arial" w:hAnsi="Arial" w:cs="Arial"/>
          <w:lang w:val="en-ZA"/>
        </w:rPr>
        <w:t xml:space="preserve"> b.</w:t>
      </w:r>
      <w:r>
        <w:rPr>
          <w:rFonts w:ascii="Arial" w:hAnsi="Arial" w:cs="Arial"/>
          <w:lang w:val="en-ZA"/>
        </w:rPr>
        <w:tab/>
      </w:r>
      <w:r w:rsidR="00536A5E" w:rsidRPr="00F550DC">
        <w:rPr>
          <w:rFonts w:ascii="Arial" w:hAnsi="Arial" w:cs="Arial"/>
          <w:lang w:val="en-ZA"/>
        </w:rPr>
        <w:t xml:space="preserve">What percentage in interest the Plaintiff is entitled to claim, if any. </w:t>
      </w:r>
    </w:p>
    <w:p w14:paraId="51395D0E" w14:textId="1EBF09CB" w:rsidR="000F072A" w:rsidRPr="00F550DC" w:rsidRDefault="009434E3" w:rsidP="00F550DC">
      <w:pPr>
        <w:pStyle w:val="NormalWeb"/>
        <w:spacing w:before="0" w:beforeAutospacing="0" w:after="0" w:afterAutospacing="0" w:line="480" w:lineRule="auto"/>
        <w:ind w:firstLine="720"/>
        <w:jc w:val="both"/>
        <w:rPr>
          <w:rFonts w:ascii="Arial" w:hAnsi="Arial" w:cs="Arial"/>
          <w:lang w:val="en-ZA"/>
        </w:rPr>
      </w:pPr>
      <w:r>
        <w:rPr>
          <w:rFonts w:ascii="Arial" w:hAnsi="Arial" w:cs="Arial"/>
          <w:lang w:val="en-ZA"/>
        </w:rPr>
        <w:t xml:space="preserve"> </w:t>
      </w:r>
      <w:r w:rsidR="00536A5E" w:rsidRPr="00F550DC">
        <w:rPr>
          <w:rFonts w:ascii="Arial" w:hAnsi="Arial" w:cs="Arial"/>
          <w:lang w:val="en-ZA"/>
        </w:rPr>
        <w:t xml:space="preserve">c. </w:t>
      </w:r>
      <w:r w:rsidR="00F550DC">
        <w:rPr>
          <w:rFonts w:ascii="Arial" w:hAnsi="Arial" w:cs="Arial"/>
          <w:lang w:val="en-ZA"/>
        </w:rPr>
        <w:tab/>
      </w:r>
      <w:r w:rsidR="00536A5E" w:rsidRPr="00F550DC">
        <w:rPr>
          <w:rFonts w:ascii="Arial" w:hAnsi="Arial" w:cs="Arial"/>
          <w:lang w:val="en-ZA"/>
        </w:rPr>
        <w:t xml:space="preserve">Costs of suit’. </w:t>
      </w:r>
    </w:p>
    <w:p w14:paraId="2D1D23AA" w14:textId="77777777" w:rsidR="000F072A" w:rsidRDefault="000F072A" w:rsidP="00CA7CF8">
      <w:pPr>
        <w:pStyle w:val="NormalWeb"/>
        <w:spacing w:before="0" w:beforeAutospacing="0" w:after="0" w:afterAutospacing="0" w:line="480" w:lineRule="auto"/>
        <w:jc w:val="both"/>
        <w:rPr>
          <w:rFonts w:ascii="Arial" w:hAnsi="Arial" w:cs="Arial"/>
          <w:lang w:val="en-ZA"/>
        </w:rPr>
      </w:pPr>
    </w:p>
    <w:p w14:paraId="2780CF11" w14:textId="0DF317C8" w:rsidR="00717E24" w:rsidRDefault="004743CA" w:rsidP="00CA7CF8">
      <w:pPr>
        <w:pStyle w:val="NormalWeb"/>
        <w:numPr>
          <w:ilvl w:val="0"/>
          <w:numId w:val="8"/>
        </w:numPr>
        <w:spacing w:before="0" w:beforeAutospacing="0" w:after="0" w:afterAutospacing="0" w:line="480" w:lineRule="auto"/>
        <w:ind w:left="0" w:firstLine="0"/>
        <w:jc w:val="both"/>
        <w:rPr>
          <w:rFonts w:ascii="Arial" w:hAnsi="Arial" w:cs="Arial"/>
          <w:lang w:val="en-ZA"/>
        </w:rPr>
      </w:pPr>
      <w:r>
        <w:rPr>
          <w:rFonts w:ascii="Arial" w:hAnsi="Arial" w:cs="Arial"/>
          <w:lang w:val="en-ZA"/>
        </w:rPr>
        <w:t>At the end of the listed cases</w:t>
      </w:r>
      <w:r w:rsidR="000F072A">
        <w:rPr>
          <w:rFonts w:ascii="Arial" w:hAnsi="Arial" w:cs="Arial"/>
          <w:lang w:val="en-ZA"/>
        </w:rPr>
        <w:t xml:space="preserve">, the </w:t>
      </w:r>
      <w:r>
        <w:rPr>
          <w:rFonts w:ascii="Arial" w:hAnsi="Arial" w:cs="Arial"/>
          <w:lang w:val="en-ZA"/>
        </w:rPr>
        <w:t xml:space="preserve">document containing the stated case </w:t>
      </w:r>
      <w:r w:rsidR="000F072A">
        <w:rPr>
          <w:rFonts w:ascii="Arial" w:hAnsi="Arial" w:cs="Arial"/>
          <w:lang w:val="en-ZA"/>
        </w:rPr>
        <w:t xml:space="preserve">ends with the respective contentions </w:t>
      </w:r>
      <w:r w:rsidR="00717E24">
        <w:rPr>
          <w:rFonts w:ascii="Arial" w:hAnsi="Arial" w:cs="Arial"/>
          <w:lang w:val="en-ZA"/>
        </w:rPr>
        <w:t xml:space="preserve">of the parties </w:t>
      </w:r>
      <w:r w:rsidR="000F072A">
        <w:rPr>
          <w:rFonts w:ascii="Arial" w:hAnsi="Arial" w:cs="Arial"/>
          <w:lang w:val="en-ZA"/>
        </w:rPr>
        <w:t>‘In respect of all matters’</w:t>
      </w:r>
      <w:r w:rsidR="00DC32F8">
        <w:rPr>
          <w:rFonts w:ascii="Arial" w:hAnsi="Arial" w:cs="Arial"/>
          <w:lang w:val="en-ZA"/>
        </w:rPr>
        <w:t xml:space="preserve"> as follows</w:t>
      </w:r>
      <w:r w:rsidR="000F072A">
        <w:rPr>
          <w:rFonts w:ascii="Arial" w:hAnsi="Arial" w:cs="Arial"/>
          <w:lang w:val="en-ZA"/>
        </w:rPr>
        <w:t>:</w:t>
      </w:r>
    </w:p>
    <w:p w14:paraId="41BCF9CE" w14:textId="77777777" w:rsidR="00717E24" w:rsidRPr="000E3219" w:rsidRDefault="00717E24" w:rsidP="00CA7CF8">
      <w:pPr>
        <w:pStyle w:val="NormalWeb"/>
        <w:spacing w:before="0" w:beforeAutospacing="0" w:after="0" w:afterAutospacing="0" w:line="360" w:lineRule="auto"/>
        <w:jc w:val="both"/>
        <w:rPr>
          <w:rFonts w:ascii="Arial" w:hAnsi="Arial" w:cs="Arial"/>
          <w:lang w:val="en-ZA"/>
        </w:rPr>
      </w:pPr>
    </w:p>
    <w:p w14:paraId="304C6FC3" w14:textId="77777777" w:rsidR="009A4EB2" w:rsidRDefault="00982815" w:rsidP="00CA7CF8">
      <w:pPr>
        <w:pStyle w:val="NormalWeb"/>
        <w:spacing w:before="0" w:beforeAutospacing="0" w:after="0" w:afterAutospacing="0" w:line="360" w:lineRule="auto"/>
        <w:ind w:left="720"/>
        <w:jc w:val="both"/>
        <w:rPr>
          <w:rFonts w:ascii="Arial" w:hAnsi="Arial" w:cs="Arial"/>
          <w:sz w:val="22"/>
          <w:szCs w:val="22"/>
          <w:lang w:val="en-ZA"/>
        </w:rPr>
      </w:pPr>
      <w:r>
        <w:rPr>
          <w:rFonts w:ascii="Arial" w:hAnsi="Arial" w:cs="Arial"/>
          <w:sz w:val="22"/>
          <w:szCs w:val="22"/>
          <w:lang w:val="en-ZA"/>
        </w:rPr>
        <w:t>‘</w:t>
      </w:r>
      <w:r w:rsidR="000F072A" w:rsidRPr="000E3219">
        <w:rPr>
          <w:rFonts w:ascii="Arial" w:hAnsi="Arial" w:cs="Arial"/>
          <w:sz w:val="22"/>
          <w:szCs w:val="22"/>
          <w:lang w:val="en-ZA"/>
        </w:rPr>
        <w:t>27.</w:t>
      </w:r>
      <w:r w:rsidR="009A4EB2">
        <w:rPr>
          <w:rFonts w:ascii="Arial" w:hAnsi="Arial" w:cs="Arial"/>
          <w:sz w:val="22"/>
          <w:szCs w:val="22"/>
          <w:lang w:val="en-ZA"/>
        </w:rPr>
        <w:t xml:space="preserve"> </w:t>
      </w:r>
      <w:r w:rsidR="000F072A" w:rsidRPr="000E3219">
        <w:rPr>
          <w:rFonts w:ascii="Arial" w:hAnsi="Arial" w:cs="Arial"/>
          <w:sz w:val="22"/>
          <w:szCs w:val="22"/>
          <w:lang w:val="en-ZA"/>
        </w:rPr>
        <w:t xml:space="preserve">The plaintiff’s case is that the agreement between the parties made no provision for interest, but the Plaintiff is entitled to receive payment within a reasonable time. Plaintiff has charged the Defendant interest at prime plus 2% as from 60 days after the invoice. </w:t>
      </w:r>
    </w:p>
    <w:p w14:paraId="5696081B" w14:textId="77777777" w:rsidR="009A4EB2" w:rsidRDefault="009A4EB2" w:rsidP="00CA7CF8">
      <w:pPr>
        <w:pStyle w:val="NormalWeb"/>
        <w:spacing w:before="0" w:beforeAutospacing="0" w:after="0" w:afterAutospacing="0" w:line="360" w:lineRule="auto"/>
        <w:ind w:left="720"/>
        <w:jc w:val="both"/>
        <w:rPr>
          <w:rFonts w:ascii="Arial" w:hAnsi="Arial" w:cs="Arial"/>
          <w:sz w:val="22"/>
          <w:szCs w:val="22"/>
          <w:lang w:val="en-ZA"/>
        </w:rPr>
      </w:pPr>
    </w:p>
    <w:p w14:paraId="61512A0E" w14:textId="77777777" w:rsidR="009A4EB2" w:rsidRDefault="000F072A" w:rsidP="00CA7CF8">
      <w:pPr>
        <w:pStyle w:val="NormalWeb"/>
        <w:spacing w:before="0" w:beforeAutospacing="0" w:after="0" w:afterAutospacing="0" w:line="360" w:lineRule="auto"/>
        <w:ind w:left="720"/>
        <w:jc w:val="both"/>
        <w:rPr>
          <w:rFonts w:ascii="Arial" w:hAnsi="Arial" w:cs="Arial"/>
          <w:sz w:val="22"/>
          <w:szCs w:val="22"/>
          <w:lang w:val="en-ZA"/>
        </w:rPr>
      </w:pPr>
      <w:r w:rsidRPr="000E3219">
        <w:rPr>
          <w:rFonts w:ascii="Arial" w:hAnsi="Arial" w:cs="Arial"/>
          <w:sz w:val="22"/>
          <w:szCs w:val="22"/>
          <w:lang w:val="en-ZA"/>
        </w:rPr>
        <w:t>2</w:t>
      </w:r>
      <w:r w:rsidR="00717E24" w:rsidRPr="000E3219">
        <w:rPr>
          <w:rFonts w:ascii="Arial" w:hAnsi="Arial" w:cs="Arial"/>
          <w:sz w:val="22"/>
          <w:szCs w:val="22"/>
          <w:lang w:val="en-ZA"/>
        </w:rPr>
        <w:t>8</w:t>
      </w:r>
      <w:r w:rsidRPr="000E3219">
        <w:rPr>
          <w:rFonts w:ascii="Arial" w:hAnsi="Arial" w:cs="Arial"/>
          <w:sz w:val="22"/>
          <w:szCs w:val="22"/>
          <w:lang w:val="en-ZA"/>
        </w:rPr>
        <w:t xml:space="preserve">. The defendant’s case is that the Plaintiff cannot claim interest because the agreement between the parties made no provision for interest. </w:t>
      </w:r>
    </w:p>
    <w:p w14:paraId="54C1E9F9" w14:textId="77777777" w:rsidR="009A4EB2" w:rsidRDefault="009A4EB2" w:rsidP="00CA7CF8">
      <w:pPr>
        <w:pStyle w:val="NormalWeb"/>
        <w:spacing w:before="0" w:beforeAutospacing="0" w:after="0" w:afterAutospacing="0" w:line="360" w:lineRule="auto"/>
        <w:ind w:left="720"/>
        <w:jc w:val="both"/>
        <w:rPr>
          <w:rFonts w:ascii="Arial" w:hAnsi="Arial" w:cs="Arial"/>
          <w:sz w:val="22"/>
          <w:szCs w:val="22"/>
          <w:lang w:val="en-ZA"/>
        </w:rPr>
      </w:pPr>
    </w:p>
    <w:p w14:paraId="4A7B0961" w14:textId="7B17652D" w:rsidR="00DB3D01" w:rsidRPr="000E3219" w:rsidRDefault="000F072A" w:rsidP="00CA7CF8">
      <w:pPr>
        <w:pStyle w:val="NormalWeb"/>
        <w:spacing w:before="0" w:beforeAutospacing="0" w:after="0" w:afterAutospacing="0" w:line="360" w:lineRule="auto"/>
        <w:ind w:left="720"/>
        <w:jc w:val="both"/>
        <w:rPr>
          <w:rFonts w:ascii="Arial" w:hAnsi="Arial" w:cs="Arial"/>
          <w:lang w:val="en-ZA"/>
        </w:rPr>
      </w:pPr>
      <w:r w:rsidRPr="000E3219">
        <w:rPr>
          <w:rFonts w:ascii="Arial" w:hAnsi="Arial" w:cs="Arial"/>
          <w:sz w:val="22"/>
          <w:szCs w:val="22"/>
          <w:lang w:val="en-ZA"/>
        </w:rPr>
        <w:t>29. The partie</w:t>
      </w:r>
      <w:r w:rsidR="00982815">
        <w:rPr>
          <w:rFonts w:ascii="Arial" w:hAnsi="Arial" w:cs="Arial"/>
          <w:sz w:val="22"/>
          <w:szCs w:val="22"/>
          <w:lang w:val="en-ZA"/>
        </w:rPr>
        <w:t xml:space="preserve">s agree that the determination </w:t>
      </w:r>
      <w:r w:rsidRPr="000E3219">
        <w:rPr>
          <w:rFonts w:ascii="Arial" w:hAnsi="Arial" w:cs="Arial"/>
          <w:sz w:val="22"/>
          <w:szCs w:val="22"/>
          <w:lang w:val="en-ZA"/>
        </w:rPr>
        <w:t>of the above legal issues will resolve all 5 matters</w:t>
      </w:r>
      <w:r w:rsidR="009A4EB2">
        <w:rPr>
          <w:rFonts w:ascii="Arial" w:hAnsi="Arial" w:cs="Arial"/>
          <w:sz w:val="22"/>
          <w:szCs w:val="22"/>
          <w:lang w:val="en-ZA"/>
        </w:rPr>
        <w:t>.</w:t>
      </w:r>
      <w:r w:rsidRPr="000E3219">
        <w:rPr>
          <w:rFonts w:ascii="Arial" w:hAnsi="Arial" w:cs="Arial"/>
          <w:sz w:val="22"/>
          <w:szCs w:val="22"/>
          <w:lang w:val="en-ZA"/>
        </w:rPr>
        <w:t>’</w:t>
      </w:r>
    </w:p>
    <w:p w14:paraId="00DBFD70" w14:textId="77777777" w:rsidR="00717E24" w:rsidRDefault="00717E24" w:rsidP="00717E24">
      <w:pPr>
        <w:pStyle w:val="NormalWeb"/>
        <w:spacing w:before="0" w:beforeAutospacing="0" w:after="0" w:afterAutospacing="0" w:line="480" w:lineRule="auto"/>
        <w:jc w:val="both"/>
        <w:rPr>
          <w:rFonts w:ascii="Arial" w:hAnsi="Arial" w:cs="Arial"/>
          <w:lang w:val="en-ZA"/>
        </w:rPr>
      </w:pPr>
    </w:p>
    <w:p w14:paraId="3109B308" w14:textId="007A1CEE" w:rsidR="00717E24" w:rsidRPr="00717E24" w:rsidRDefault="00717E24" w:rsidP="00CA7CF8">
      <w:pPr>
        <w:pStyle w:val="NormalWeb"/>
        <w:numPr>
          <w:ilvl w:val="0"/>
          <w:numId w:val="8"/>
        </w:numPr>
        <w:spacing w:before="0" w:beforeAutospacing="0" w:after="0" w:afterAutospacing="0" w:line="480" w:lineRule="auto"/>
        <w:ind w:left="0" w:firstLine="0"/>
        <w:jc w:val="both"/>
        <w:rPr>
          <w:rFonts w:ascii="Arial" w:hAnsi="Arial" w:cs="Arial"/>
          <w:lang w:val="en-ZA"/>
        </w:rPr>
      </w:pPr>
      <w:r>
        <w:rPr>
          <w:rFonts w:ascii="Arial" w:hAnsi="Arial" w:cs="Arial"/>
          <w:lang w:val="en-ZA"/>
        </w:rPr>
        <w:t xml:space="preserve">There is an ‘Annexure’ (‘A’-‘E’) </w:t>
      </w:r>
      <w:r w:rsidR="006574F3">
        <w:rPr>
          <w:rFonts w:ascii="Arial" w:hAnsi="Arial" w:cs="Arial"/>
          <w:lang w:val="en-ZA"/>
        </w:rPr>
        <w:t xml:space="preserve">attached </w:t>
      </w:r>
      <w:r>
        <w:rPr>
          <w:rFonts w:ascii="Arial" w:hAnsi="Arial" w:cs="Arial"/>
          <w:lang w:val="en-ZA"/>
        </w:rPr>
        <w:t xml:space="preserve">to each case recording ‘Payments received to date’. In other words, it is accepted in each of the </w:t>
      </w:r>
      <w:r w:rsidR="00F402CF">
        <w:rPr>
          <w:rFonts w:ascii="Arial" w:hAnsi="Arial" w:cs="Arial"/>
          <w:lang w:val="en-ZA"/>
        </w:rPr>
        <w:t>five</w:t>
      </w:r>
      <w:r>
        <w:rPr>
          <w:rFonts w:ascii="Arial" w:hAnsi="Arial" w:cs="Arial"/>
          <w:lang w:val="en-ZA"/>
        </w:rPr>
        <w:t xml:space="preserve"> cases that (a) there </w:t>
      </w:r>
      <w:r>
        <w:rPr>
          <w:rFonts w:ascii="Arial" w:hAnsi="Arial" w:cs="Arial"/>
          <w:lang w:val="en-ZA"/>
        </w:rPr>
        <w:lastRenderedPageBreak/>
        <w:t xml:space="preserve">is an outstanding indebtedness which is due and owing, (b) that partial payment had been made in respect of the respective amounts claimed, </w:t>
      </w:r>
      <w:r w:rsidR="003224EB">
        <w:rPr>
          <w:rFonts w:ascii="Arial" w:hAnsi="Arial" w:cs="Arial"/>
          <w:lang w:val="en-ZA"/>
        </w:rPr>
        <w:t xml:space="preserve">and </w:t>
      </w:r>
      <w:r>
        <w:rPr>
          <w:rFonts w:ascii="Arial" w:hAnsi="Arial" w:cs="Arial"/>
          <w:lang w:val="en-ZA"/>
        </w:rPr>
        <w:t>(c) that the only issue between the parties is liability for interest and the date from which it runs</w:t>
      </w:r>
      <w:r w:rsidR="006574F3">
        <w:rPr>
          <w:rFonts w:ascii="Arial" w:hAnsi="Arial" w:cs="Arial"/>
          <w:lang w:val="en-ZA"/>
        </w:rPr>
        <w:t>,</w:t>
      </w:r>
      <w:r>
        <w:rPr>
          <w:rFonts w:ascii="Arial" w:hAnsi="Arial" w:cs="Arial"/>
          <w:lang w:val="en-ZA"/>
        </w:rPr>
        <w:t xml:space="preserve"> should such liability exist.</w:t>
      </w:r>
    </w:p>
    <w:p w14:paraId="42536CAD" w14:textId="77777777" w:rsidR="000E3219" w:rsidRDefault="000E3219" w:rsidP="00CA7CF8">
      <w:pPr>
        <w:pStyle w:val="NormalWeb"/>
        <w:spacing w:before="0" w:beforeAutospacing="0" w:after="0" w:afterAutospacing="0" w:line="480" w:lineRule="auto"/>
        <w:jc w:val="both"/>
        <w:rPr>
          <w:rFonts w:ascii="Arial" w:eastAsia="Calibri" w:hAnsi="Arial" w:cs="Arial"/>
        </w:rPr>
      </w:pPr>
    </w:p>
    <w:p w14:paraId="095804C7" w14:textId="3BBFB0EA" w:rsidR="00A53E8E" w:rsidRPr="000E3219" w:rsidRDefault="00EE3A7D" w:rsidP="00CA7CF8">
      <w:pPr>
        <w:pStyle w:val="NormalWeb"/>
        <w:spacing w:before="0" w:beforeAutospacing="0" w:after="0" w:afterAutospacing="0" w:line="480" w:lineRule="auto"/>
        <w:jc w:val="both"/>
        <w:rPr>
          <w:rFonts w:ascii="Arial" w:eastAsia="Calibri" w:hAnsi="Arial" w:cs="Arial"/>
          <w:u w:val="single"/>
        </w:rPr>
      </w:pPr>
      <w:r>
        <w:rPr>
          <w:rFonts w:ascii="Arial" w:eastAsia="Calibri" w:hAnsi="Arial" w:cs="Arial"/>
          <w:u w:val="single"/>
        </w:rPr>
        <w:t xml:space="preserve">The </w:t>
      </w:r>
      <w:r w:rsidR="00DC32F8">
        <w:rPr>
          <w:rFonts w:ascii="Arial" w:eastAsia="Calibri" w:hAnsi="Arial" w:cs="Arial"/>
          <w:u w:val="single"/>
        </w:rPr>
        <w:t>High Court</w:t>
      </w:r>
      <w:r>
        <w:rPr>
          <w:rFonts w:ascii="Arial" w:eastAsia="Calibri" w:hAnsi="Arial" w:cs="Arial"/>
          <w:u w:val="single"/>
        </w:rPr>
        <w:t xml:space="preserve"> </w:t>
      </w:r>
    </w:p>
    <w:p w14:paraId="34A86890" w14:textId="1D1D1F8D" w:rsidR="00663AA4" w:rsidRPr="000E3219" w:rsidRDefault="00B11F35" w:rsidP="00CA7CF8">
      <w:pPr>
        <w:pStyle w:val="NormalWeb"/>
        <w:numPr>
          <w:ilvl w:val="0"/>
          <w:numId w:val="8"/>
        </w:numPr>
        <w:spacing w:before="0" w:beforeAutospacing="0" w:after="0" w:afterAutospacing="0" w:line="480" w:lineRule="auto"/>
        <w:ind w:left="0" w:firstLine="0"/>
        <w:jc w:val="both"/>
        <w:rPr>
          <w:rFonts w:ascii="Arial" w:hAnsi="Arial" w:cs="Arial"/>
          <w:u w:val="single"/>
          <w:lang w:val="en-ZA"/>
        </w:rPr>
      </w:pPr>
      <w:r w:rsidRPr="00503343">
        <w:rPr>
          <w:rFonts w:ascii="Arial" w:eastAsia="Calibri" w:hAnsi="Arial" w:cs="Arial"/>
        </w:rPr>
        <w:t xml:space="preserve">The parties </w:t>
      </w:r>
      <w:r w:rsidR="002B690D">
        <w:rPr>
          <w:rFonts w:ascii="Arial" w:eastAsia="Calibri" w:hAnsi="Arial" w:cs="Arial"/>
        </w:rPr>
        <w:t>argued the</w:t>
      </w:r>
      <w:r w:rsidR="00503343" w:rsidRPr="00503343">
        <w:rPr>
          <w:rFonts w:ascii="Arial" w:eastAsia="Calibri" w:hAnsi="Arial" w:cs="Arial"/>
        </w:rPr>
        <w:t xml:space="preserve"> stated case and on </w:t>
      </w:r>
      <w:r w:rsidR="00503343" w:rsidRPr="00503343">
        <w:rPr>
          <w:rFonts w:ascii="Arial" w:hAnsi="Arial" w:cs="Arial"/>
          <w:lang w:val="en-ZA"/>
        </w:rPr>
        <w:t xml:space="preserve">19 March 2021 the court </w:t>
      </w:r>
      <w:r w:rsidR="00503343" w:rsidRPr="000E3219">
        <w:rPr>
          <w:rFonts w:ascii="Arial" w:hAnsi="Arial" w:cs="Arial"/>
          <w:i/>
          <w:lang w:val="en-ZA"/>
        </w:rPr>
        <w:t>a quo</w:t>
      </w:r>
      <w:r w:rsidR="00503343" w:rsidRPr="00503343">
        <w:rPr>
          <w:rFonts w:ascii="Arial" w:hAnsi="Arial" w:cs="Arial"/>
          <w:lang w:val="en-ZA"/>
        </w:rPr>
        <w:t xml:space="preserve"> </w:t>
      </w:r>
      <w:r w:rsidR="00663AA4" w:rsidRPr="00A276FE">
        <w:rPr>
          <w:rFonts w:ascii="Arial" w:hAnsi="Arial" w:cs="Arial"/>
          <w:lang w:val="en-ZA"/>
        </w:rPr>
        <w:t>made</w:t>
      </w:r>
      <w:r w:rsidR="00663AA4">
        <w:rPr>
          <w:rFonts w:ascii="Arial" w:hAnsi="Arial" w:cs="Arial"/>
          <w:lang w:val="en-ZA"/>
        </w:rPr>
        <w:t xml:space="preserve"> an order, without reasons, </w:t>
      </w:r>
      <w:r w:rsidR="00DC32F8">
        <w:rPr>
          <w:rFonts w:ascii="Arial" w:hAnsi="Arial" w:cs="Arial"/>
          <w:lang w:val="en-ZA"/>
        </w:rPr>
        <w:t xml:space="preserve">only </w:t>
      </w:r>
      <w:r w:rsidR="006D47E8">
        <w:rPr>
          <w:rFonts w:ascii="Arial" w:hAnsi="Arial" w:cs="Arial"/>
          <w:lang w:val="en-ZA"/>
        </w:rPr>
        <w:t xml:space="preserve">under case </w:t>
      </w:r>
      <w:r w:rsidR="008B2C97">
        <w:rPr>
          <w:rFonts w:ascii="Arial" w:hAnsi="Arial" w:cs="Arial"/>
          <w:lang w:val="en-ZA"/>
        </w:rPr>
        <w:t>n</w:t>
      </w:r>
      <w:r w:rsidR="006574F3">
        <w:rPr>
          <w:rFonts w:ascii="Arial" w:hAnsi="Arial" w:cs="Arial"/>
          <w:lang w:val="en-ZA"/>
        </w:rPr>
        <w:t>o:</w:t>
      </w:r>
      <w:r w:rsidR="00AA0B9F">
        <w:rPr>
          <w:rFonts w:ascii="Arial" w:hAnsi="Arial" w:cs="Arial"/>
          <w:lang w:val="en-ZA"/>
        </w:rPr>
        <w:t xml:space="preserve"> </w:t>
      </w:r>
      <w:r w:rsidR="006D47E8">
        <w:rPr>
          <w:rFonts w:ascii="Arial" w:hAnsi="Arial" w:cs="Arial"/>
          <w:lang w:val="en-ZA"/>
        </w:rPr>
        <w:t xml:space="preserve">2019/05160 </w:t>
      </w:r>
      <w:r w:rsidR="00663AA4">
        <w:rPr>
          <w:rFonts w:ascii="Arial" w:hAnsi="Arial" w:cs="Arial"/>
          <w:lang w:val="en-ZA"/>
        </w:rPr>
        <w:t xml:space="preserve">as follows: </w:t>
      </w:r>
    </w:p>
    <w:p w14:paraId="43F2C5F1" w14:textId="77777777" w:rsidR="000E3219" w:rsidRPr="004D6ABA" w:rsidRDefault="000E3219" w:rsidP="000E3219">
      <w:pPr>
        <w:pStyle w:val="NormalWeb"/>
        <w:spacing w:before="0" w:beforeAutospacing="0" w:after="0" w:afterAutospacing="0" w:line="480" w:lineRule="auto"/>
        <w:jc w:val="both"/>
        <w:rPr>
          <w:rFonts w:ascii="Arial" w:hAnsi="Arial" w:cs="Arial"/>
          <w:u w:val="single"/>
          <w:lang w:val="en-ZA"/>
        </w:rPr>
      </w:pPr>
    </w:p>
    <w:p w14:paraId="1E90C743" w14:textId="41E3FD64" w:rsidR="00503343" w:rsidRPr="004D6ABA" w:rsidRDefault="00503343" w:rsidP="001E6A00">
      <w:pPr>
        <w:spacing w:after="0" w:line="360" w:lineRule="auto"/>
        <w:ind w:firstLine="720"/>
        <w:jc w:val="both"/>
        <w:rPr>
          <w:rFonts w:ascii="Arial" w:hAnsi="Arial" w:cs="Arial"/>
          <w:lang w:val="en-ZA"/>
        </w:rPr>
      </w:pPr>
      <w:r w:rsidRPr="004D6ABA">
        <w:rPr>
          <w:rFonts w:ascii="Arial" w:hAnsi="Arial" w:cs="Arial"/>
          <w:lang w:val="en-ZA"/>
        </w:rPr>
        <w:t>‘1. It is declared that:</w:t>
      </w:r>
    </w:p>
    <w:p w14:paraId="33392969" w14:textId="77777777" w:rsidR="00503343" w:rsidRPr="004D6ABA" w:rsidRDefault="00503343" w:rsidP="001E6A00">
      <w:pPr>
        <w:spacing w:after="0" w:line="360" w:lineRule="auto"/>
        <w:jc w:val="both"/>
        <w:rPr>
          <w:rFonts w:ascii="Arial" w:hAnsi="Arial" w:cs="Arial"/>
          <w:lang w:val="en-ZA"/>
        </w:rPr>
      </w:pPr>
    </w:p>
    <w:p w14:paraId="32F67358" w14:textId="77777777" w:rsidR="00503343" w:rsidRPr="004D6ABA" w:rsidRDefault="00503343" w:rsidP="001E6A00">
      <w:pPr>
        <w:pStyle w:val="ListParagraph"/>
        <w:numPr>
          <w:ilvl w:val="1"/>
          <w:numId w:val="4"/>
        </w:numPr>
        <w:spacing w:after="0" w:line="360" w:lineRule="auto"/>
        <w:ind w:left="1701"/>
        <w:jc w:val="both"/>
        <w:rPr>
          <w:rFonts w:ascii="Arial" w:hAnsi="Arial" w:cs="Arial"/>
          <w:lang w:val="en-ZA"/>
        </w:rPr>
      </w:pPr>
      <w:r w:rsidRPr="004D6ABA">
        <w:rPr>
          <w:rFonts w:ascii="Arial" w:hAnsi="Arial" w:cs="Arial"/>
          <w:lang w:val="en-ZA"/>
        </w:rPr>
        <w:t>the plaintiff is entitled to claim interest from the defendant in respect of the amounts that the defendant delayed to pay to the plaintiff;</w:t>
      </w:r>
    </w:p>
    <w:p w14:paraId="33B3B469" w14:textId="77777777" w:rsidR="00503343" w:rsidRPr="004D6ABA" w:rsidRDefault="00503343" w:rsidP="001E6A00">
      <w:pPr>
        <w:pStyle w:val="ListParagraph"/>
        <w:spacing w:after="0" w:line="360" w:lineRule="auto"/>
        <w:ind w:left="1116"/>
        <w:jc w:val="both"/>
        <w:rPr>
          <w:rFonts w:ascii="Arial" w:hAnsi="Arial" w:cs="Arial"/>
          <w:lang w:val="en-ZA"/>
        </w:rPr>
      </w:pPr>
    </w:p>
    <w:p w14:paraId="101CF7E4" w14:textId="77777777" w:rsidR="00503343" w:rsidRPr="004D6ABA" w:rsidRDefault="00503343" w:rsidP="001E6A00">
      <w:pPr>
        <w:pStyle w:val="ListParagraph"/>
        <w:numPr>
          <w:ilvl w:val="1"/>
          <w:numId w:val="4"/>
        </w:numPr>
        <w:spacing w:after="0" w:line="360" w:lineRule="auto"/>
        <w:ind w:left="1701"/>
        <w:jc w:val="both"/>
        <w:rPr>
          <w:rFonts w:ascii="Arial" w:hAnsi="Arial" w:cs="Arial"/>
          <w:lang w:val="en-ZA"/>
        </w:rPr>
      </w:pPr>
      <w:r w:rsidRPr="004D6ABA">
        <w:rPr>
          <w:rFonts w:ascii="Arial" w:hAnsi="Arial" w:cs="Arial"/>
          <w:lang w:val="en-ZA"/>
        </w:rPr>
        <w:t xml:space="preserve"> the interest that must be paid is payable from the date on which the summons is served on the defendants; and</w:t>
      </w:r>
    </w:p>
    <w:p w14:paraId="425E8DD7" w14:textId="77777777" w:rsidR="00503343" w:rsidRPr="004D6ABA" w:rsidRDefault="00503343" w:rsidP="001E6A00">
      <w:pPr>
        <w:spacing w:after="0" w:line="360" w:lineRule="auto"/>
        <w:jc w:val="both"/>
        <w:rPr>
          <w:rFonts w:ascii="Arial" w:hAnsi="Arial" w:cs="Arial"/>
          <w:lang w:val="en-ZA"/>
        </w:rPr>
      </w:pPr>
    </w:p>
    <w:p w14:paraId="40744ACC" w14:textId="77777777" w:rsidR="00503343" w:rsidRPr="004D6ABA" w:rsidRDefault="00503343" w:rsidP="001E6A00">
      <w:pPr>
        <w:pStyle w:val="ListParagraph"/>
        <w:numPr>
          <w:ilvl w:val="1"/>
          <w:numId w:val="4"/>
        </w:numPr>
        <w:spacing w:after="0" w:line="360" w:lineRule="auto"/>
        <w:ind w:left="1701"/>
        <w:jc w:val="both"/>
        <w:rPr>
          <w:rFonts w:ascii="Arial" w:hAnsi="Arial" w:cs="Arial"/>
          <w:lang w:val="en-ZA"/>
        </w:rPr>
      </w:pPr>
      <w:r w:rsidRPr="004D6ABA">
        <w:rPr>
          <w:rFonts w:ascii="Arial" w:hAnsi="Arial" w:cs="Arial"/>
          <w:lang w:val="en-ZA"/>
        </w:rPr>
        <w:t>the interest is paid at the prescribed rate of interest which is currently 20% per annum.</w:t>
      </w:r>
    </w:p>
    <w:p w14:paraId="486637D8" w14:textId="77777777" w:rsidR="00503343" w:rsidRPr="004D6ABA" w:rsidRDefault="00503343" w:rsidP="001E6A00">
      <w:pPr>
        <w:spacing w:after="0" w:line="360" w:lineRule="auto"/>
        <w:jc w:val="both"/>
        <w:rPr>
          <w:rFonts w:ascii="Arial" w:hAnsi="Arial" w:cs="Arial"/>
          <w:lang w:val="en-ZA"/>
        </w:rPr>
      </w:pPr>
    </w:p>
    <w:p w14:paraId="14793B1A" w14:textId="77777777" w:rsidR="00503343" w:rsidRPr="004D6ABA" w:rsidRDefault="00503343" w:rsidP="001E6A00">
      <w:pPr>
        <w:spacing w:after="0" w:line="360" w:lineRule="auto"/>
        <w:ind w:left="720"/>
        <w:jc w:val="both"/>
        <w:rPr>
          <w:rFonts w:ascii="Arial" w:hAnsi="Arial" w:cs="Arial"/>
          <w:lang w:val="en-ZA"/>
        </w:rPr>
      </w:pPr>
      <w:r w:rsidRPr="004D6ABA">
        <w:rPr>
          <w:rFonts w:ascii="Arial" w:hAnsi="Arial" w:cs="Arial"/>
          <w:lang w:val="en-ZA"/>
        </w:rPr>
        <w:t>2. The defendants must, jointly and severally the one paying the others to be absolved, pay the plaintiff's costs of suit on a party and party scale, the costs to include that of one instructing and one instructed counsel.</w:t>
      </w:r>
    </w:p>
    <w:p w14:paraId="09DD21ED" w14:textId="77777777" w:rsidR="00503343" w:rsidRPr="004D6ABA" w:rsidRDefault="00503343" w:rsidP="001E6A00">
      <w:pPr>
        <w:spacing w:after="0" w:line="360" w:lineRule="auto"/>
        <w:jc w:val="both"/>
        <w:rPr>
          <w:rFonts w:ascii="Arial" w:hAnsi="Arial" w:cs="Arial"/>
          <w:lang w:val="en-ZA"/>
        </w:rPr>
      </w:pPr>
    </w:p>
    <w:p w14:paraId="036B2D89" w14:textId="26C16DBF" w:rsidR="00503343" w:rsidRPr="004D6ABA" w:rsidRDefault="00503343" w:rsidP="001E6A00">
      <w:pPr>
        <w:spacing w:after="0" w:line="360" w:lineRule="auto"/>
        <w:ind w:firstLine="720"/>
        <w:jc w:val="both"/>
        <w:rPr>
          <w:rFonts w:ascii="Arial" w:hAnsi="Arial" w:cs="Arial"/>
          <w:lang w:val="en-ZA"/>
        </w:rPr>
      </w:pPr>
      <w:r w:rsidRPr="004D6ABA">
        <w:rPr>
          <w:rFonts w:ascii="Arial" w:hAnsi="Arial" w:cs="Arial"/>
          <w:lang w:val="en-ZA"/>
        </w:rPr>
        <w:t>3. The matter is removed from the roll and regarded as finalised</w:t>
      </w:r>
      <w:r w:rsidR="00591BF8">
        <w:rPr>
          <w:rFonts w:ascii="Arial" w:hAnsi="Arial" w:cs="Arial"/>
          <w:lang w:val="en-ZA"/>
        </w:rPr>
        <w:t>.</w:t>
      </w:r>
      <w:r w:rsidRPr="004D6ABA">
        <w:rPr>
          <w:rFonts w:ascii="Arial" w:hAnsi="Arial" w:cs="Arial"/>
          <w:lang w:val="en-ZA"/>
        </w:rPr>
        <w:t>’</w:t>
      </w:r>
    </w:p>
    <w:p w14:paraId="17B73D3D" w14:textId="462827C5" w:rsidR="00711E34" w:rsidRPr="00503343" w:rsidRDefault="00711E34" w:rsidP="00503343">
      <w:pPr>
        <w:pStyle w:val="NormalWeb"/>
        <w:spacing w:before="0" w:beforeAutospacing="0" w:after="0" w:afterAutospacing="0" w:line="480" w:lineRule="auto"/>
        <w:jc w:val="both"/>
        <w:rPr>
          <w:rFonts w:ascii="Arial" w:eastAsia="Calibri" w:hAnsi="Arial" w:cs="Arial"/>
        </w:rPr>
      </w:pPr>
    </w:p>
    <w:p w14:paraId="6BB514DD" w14:textId="6E326FEA" w:rsidR="001C40A4" w:rsidRDefault="00594125" w:rsidP="00CA7CF8">
      <w:pPr>
        <w:pStyle w:val="NormalWeb"/>
        <w:numPr>
          <w:ilvl w:val="0"/>
          <w:numId w:val="8"/>
        </w:numPr>
        <w:spacing w:before="0" w:beforeAutospacing="0" w:after="0" w:afterAutospacing="0" w:line="480" w:lineRule="auto"/>
        <w:ind w:left="0" w:firstLine="0"/>
        <w:jc w:val="both"/>
        <w:rPr>
          <w:rFonts w:ascii="Arial" w:eastAsia="Calibri" w:hAnsi="Arial" w:cs="Arial"/>
        </w:rPr>
      </w:pPr>
      <w:r>
        <w:rPr>
          <w:rFonts w:ascii="Arial" w:eastAsia="Calibri" w:hAnsi="Arial" w:cs="Arial"/>
        </w:rPr>
        <w:t xml:space="preserve">In response to that order, the </w:t>
      </w:r>
      <w:r w:rsidR="00503343">
        <w:rPr>
          <w:rFonts w:ascii="Arial" w:eastAsia="Calibri" w:hAnsi="Arial" w:cs="Arial"/>
        </w:rPr>
        <w:t xml:space="preserve">appellant lodged an </w:t>
      </w:r>
      <w:r w:rsidR="006D47E8">
        <w:rPr>
          <w:rFonts w:ascii="Arial" w:eastAsia="Calibri" w:hAnsi="Arial" w:cs="Arial"/>
        </w:rPr>
        <w:t xml:space="preserve">appeal, citing all </w:t>
      </w:r>
      <w:r w:rsidR="00F402CF">
        <w:rPr>
          <w:rFonts w:ascii="Arial" w:eastAsia="Calibri" w:hAnsi="Arial" w:cs="Arial"/>
        </w:rPr>
        <w:t>five</w:t>
      </w:r>
      <w:r w:rsidR="006D47E8">
        <w:rPr>
          <w:rFonts w:ascii="Arial" w:eastAsia="Calibri" w:hAnsi="Arial" w:cs="Arial"/>
        </w:rPr>
        <w:t xml:space="preserve"> cases, and </w:t>
      </w:r>
      <w:r w:rsidR="001C40A4" w:rsidRPr="001C40A4">
        <w:rPr>
          <w:rFonts w:ascii="Arial" w:eastAsia="Calibri" w:hAnsi="Arial" w:cs="Arial"/>
        </w:rPr>
        <w:t xml:space="preserve">without the benefit of </w:t>
      </w:r>
      <w:r>
        <w:rPr>
          <w:rFonts w:ascii="Arial" w:eastAsia="Calibri" w:hAnsi="Arial" w:cs="Arial"/>
        </w:rPr>
        <w:t xml:space="preserve">the court </w:t>
      </w:r>
      <w:r w:rsidRPr="000E3219">
        <w:rPr>
          <w:rFonts w:ascii="Arial" w:eastAsia="Calibri" w:hAnsi="Arial" w:cs="Arial"/>
          <w:i/>
        </w:rPr>
        <w:t>a qu</w:t>
      </w:r>
      <w:r w:rsidRPr="00125814">
        <w:rPr>
          <w:rFonts w:ascii="Arial" w:eastAsia="Calibri" w:hAnsi="Arial" w:cs="Arial"/>
          <w:i/>
        </w:rPr>
        <w:t>o’s</w:t>
      </w:r>
      <w:r>
        <w:rPr>
          <w:rFonts w:ascii="Arial" w:eastAsia="Calibri" w:hAnsi="Arial" w:cs="Arial"/>
        </w:rPr>
        <w:t xml:space="preserve"> </w:t>
      </w:r>
      <w:r w:rsidR="001C40A4" w:rsidRPr="001C40A4">
        <w:rPr>
          <w:rFonts w:ascii="Arial" w:eastAsia="Calibri" w:hAnsi="Arial" w:cs="Arial"/>
        </w:rPr>
        <w:t>reasons. The appeal was</w:t>
      </w:r>
      <w:r w:rsidR="008E7B34">
        <w:rPr>
          <w:rFonts w:ascii="Arial" w:eastAsia="Calibri" w:hAnsi="Arial" w:cs="Arial"/>
        </w:rPr>
        <w:t xml:space="preserve"> thereafter </w:t>
      </w:r>
      <w:r w:rsidR="001C40A4" w:rsidRPr="001C40A4">
        <w:rPr>
          <w:rFonts w:ascii="Arial" w:eastAsia="Calibri" w:hAnsi="Arial" w:cs="Arial"/>
        </w:rPr>
        <w:t xml:space="preserve">set down </w:t>
      </w:r>
      <w:r w:rsidR="008E7B34">
        <w:rPr>
          <w:rFonts w:ascii="Arial" w:eastAsia="Calibri" w:hAnsi="Arial" w:cs="Arial"/>
        </w:rPr>
        <w:t>for hearing in th</w:t>
      </w:r>
      <w:r w:rsidR="00FF4DBD">
        <w:rPr>
          <w:rFonts w:ascii="Arial" w:eastAsia="Calibri" w:hAnsi="Arial" w:cs="Arial"/>
        </w:rPr>
        <w:t>e June –</w:t>
      </w:r>
      <w:r w:rsidR="00D46BDE">
        <w:rPr>
          <w:rFonts w:ascii="Arial" w:eastAsia="Calibri" w:hAnsi="Arial" w:cs="Arial"/>
        </w:rPr>
        <w:t xml:space="preserve"> July</w:t>
      </w:r>
      <w:r w:rsidR="00125814">
        <w:rPr>
          <w:rFonts w:ascii="Arial" w:eastAsia="Calibri" w:hAnsi="Arial" w:cs="Arial"/>
        </w:rPr>
        <w:t xml:space="preserve"> 2023</w:t>
      </w:r>
      <w:r w:rsidR="00D46BDE">
        <w:rPr>
          <w:rFonts w:ascii="Arial" w:eastAsia="Calibri" w:hAnsi="Arial" w:cs="Arial"/>
        </w:rPr>
        <w:t xml:space="preserve"> </w:t>
      </w:r>
      <w:r w:rsidR="008E7B34">
        <w:rPr>
          <w:rFonts w:ascii="Arial" w:eastAsia="Calibri" w:hAnsi="Arial" w:cs="Arial"/>
        </w:rPr>
        <w:t xml:space="preserve">term </w:t>
      </w:r>
      <w:r w:rsidR="00F024E5">
        <w:rPr>
          <w:rFonts w:ascii="Arial" w:eastAsia="Calibri" w:hAnsi="Arial" w:cs="Arial"/>
        </w:rPr>
        <w:t xml:space="preserve">of </w:t>
      </w:r>
      <w:r w:rsidR="00750E66">
        <w:rPr>
          <w:rFonts w:ascii="Arial" w:eastAsia="Calibri" w:hAnsi="Arial" w:cs="Arial"/>
        </w:rPr>
        <w:t>this Court</w:t>
      </w:r>
      <w:r w:rsidR="00F024E5">
        <w:rPr>
          <w:rFonts w:ascii="Arial" w:eastAsia="Calibri" w:hAnsi="Arial" w:cs="Arial"/>
        </w:rPr>
        <w:t xml:space="preserve"> </w:t>
      </w:r>
      <w:r w:rsidR="001C40A4" w:rsidRPr="001C40A4">
        <w:rPr>
          <w:rFonts w:ascii="Arial" w:eastAsia="Calibri" w:hAnsi="Arial" w:cs="Arial"/>
        </w:rPr>
        <w:t xml:space="preserve">but when it was called on </w:t>
      </w:r>
      <w:r w:rsidR="00A0194B">
        <w:rPr>
          <w:rFonts w:ascii="Arial" w:eastAsia="Calibri" w:hAnsi="Arial" w:cs="Arial"/>
        </w:rPr>
        <w:lastRenderedPageBreak/>
        <w:t xml:space="preserve">19 </w:t>
      </w:r>
      <w:r w:rsidR="00D46BDE">
        <w:rPr>
          <w:rFonts w:ascii="Arial" w:eastAsia="Calibri" w:hAnsi="Arial" w:cs="Arial"/>
        </w:rPr>
        <w:t xml:space="preserve">June 2023, </w:t>
      </w:r>
      <w:r w:rsidR="001C40A4" w:rsidRPr="001C40A4">
        <w:rPr>
          <w:rFonts w:ascii="Arial" w:eastAsia="Calibri" w:hAnsi="Arial" w:cs="Arial"/>
        </w:rPr>
        <w:t xml:space="preserve">we postponed </w:t>
      </w:r>
      <w:r w:rsidR="005D6E1A">
        <w:rPr>
          <w:rFonts w:ascii="Arial" w:eastAsia="Calibri" w:hAnsi="Arial" w:cs="Arial"/>
        </w:rPr>
        <w:t>the appeal hearing in order</w:t>
      </w:r>
      <w:r w:rsidR="001C40A4" w:rsidRPr="001C40A4">
        <w:rPr>
          <w:rFonts w:ascii="Arial" w:eastAsia="Calibri" w:hAnsi="Arial" w:cs="Arial"/>
        </w:rPr>
        <w:t xml:space="preserve"> for </w:t>
      </w:r>
      <w:r w:rsidR="005D6E1A">
        <w:rPr>
          <w:rFonts w:ascii="Arial" w:eastAsia="Calibri" w:hAnsi="Arial" w:cs="Arial"/>
        </w:rPr>
        <w:t>the learned judge to furnish</w:t>
      </w:r>
      <w:r w:rsidR="001C40A4" w:rsidRPr="001C40A4">
        <w:rPr>
          <w:rFonts w:ascii="Arial" w:eastAsia="Calibri" w:hAnsi="Arial" w:cs="Arial"/>
        </w:rPr>
        <w:t xml:space="preserve"> </w:t>
      </w:r>
      <w:r w:rsidR="00732212">
        <w:rPr>
          <w:rFonts w:ascii="Arial" w:eastAsia="Calibri" w:hAnsi="Arial" w:cs="Arial"/>
        </w:rPr>
        <w:t xml:space="preserve">his </w:t>
      </w:r>
      <w:r w:rsidR="001C40A4" w:rsidRPr="001C40A4">
        <w:rPr>
          <w:rFonts w:ascii="Arial" w:eastAsia="Calibri" w:hAnsi="Arial" w:cs="Arial"/>
        </w:rPr>
        <w:t>reasons</w:t>
      </w:r>
      <w:r w:rsidR="005D6E1A">
        <w:rPr>
          <w:rFonts w:ascii="Arial" w:eastAsia="Calibri" w:hAnsi="Arial" w:cs="Arial"/>
        </w:rPr>
        <w:t xml:space="preserve"> for the order</w:t>
      </w:r>
      <w:r w:rsidR="001C40A4" w:rsidRPr="001C40A4">
        <w:rPr>
          <w:rFonts w:ascii="Arial" w:eastAsia="Calibri" w:hAnsi="Arial" w:cs="Arial"/>
        </w:rPr>
        <w:t xml:space="preserve">. </w:t>
      </w:r>
      <w:r w:rsidR="005B1D81">
        <w:rPr>
          <w:rFonts w:ascii="Arial" w:eastAsia="Calibri" w:hAnsi="Arial" w:cs="Arial"/>
        </w:rPr>
        <w:t xml:space="preserve">The reasons were released </w:t>
      </w:r>
      <w:r w:rsidR="005838DF">
        <w:rPr>
          <w:rFonts w:ascii="Arial" w:eastAsia="Calibri" w:hAnsi="Arial" w:cs="Arial"/>
        </w:rPr>
        <w:t>on 20 June 2023 only under case n</w:t>
      </w:r>
      <w:r w:rsidR="005B1D81">
        <w:rPr>
          <w:rFonts w:ascii="Arial" w:eastAsia="Calibri" w:hAnsi="Arial" w:cs="Arial"/>
        </w:rPr>
        <w:t>o: 2019/05163</w:t>
      </w:r>
      <w:r w:rsidR="00F024E5">
        <w:rPr>
          <w:rFonts w:ascii="Arial" w:eastAsia="Calibri" w:hAnsi="Arial" w:cs="Arial"/>
        </w:rPr>
        <w:t xml:space="preserve"> (not under </w:t>
      </w:r>
      <w:r w:rsidR="005838DF">
        <w:rPr>
          <w:rFonts w:ascii="Arial" w:hAnsi="Arial" w:cs="Arial"/>
          <w:lang w:val="en-ZA"/>
        </w:rPr>
        <w:t>n</w:t>
      </w:r>
      <w:r w:rsidR="006574F3">
        <w:rPr>
          <w:rFonts w:ascii="Arial" w:hAnsi="Arial" w:cs="Arial"/>
          <w:lang w:val="en-ZA"/>
        </w:rPr>
        <w:t>o</w:t>
      </w:r>
      <w:r w:rsidR="00F024E5">
        <w:rPr>
          <w:rFonts w:ascii="Arial" w:hAnsi="Arial" w:cs="Arial"/>
          <w:lang w:val="en-ZA"/>
        </w:rPr>
        <w:t>.: 2019/05160 as per the order of 19 March 2021)</w:t>
      </w:r>
      <w:r w:rsidR="005B1D81">
        <w:rPr>
          <w:rFonts w:ascii="Arial" w:eastAsia="Calibri" w:hAnsi="Arial" w:cs="Arial"/>
        </w:rPr>
        <w:t>. Be that as it may, w</w:t>
      </w:r>
      <w:r w:rsidR="00503343">
        <w:rPr>
          <w:rFonts w:ascii="Arial" w:eastAsia="Calibri" w:hAnsi="Arial" w:cs="Arial"/>
        </w:rPr>
        <w:t>hen the reasons became available in the in</w:t>
      </w:r>
      <w:r w:rsidR="00A42915">
        <w:rPr>
          <w:rFonts w:ascii="Arial" w:eastAsia="Calibri" w:hAnsi="Arial" w:cs="Arial"/>
        </w:rPr>
        <w:t>tervening period, the appellant</w:t>
      </w:r>
      <w:r w:rsidR="00503343">
        <w:rPr>
          <w:rFonts w:ascii="Arial" w:eastAsia="Calibri" w:hAnsi="Arial" w:cs="Arial"/>
        </w:rPr>
        <w:t xml:space="preserve"> </w:t>
      </w:r>
      <w:r w:rsidR="00A42915">
        <w:rPr>
          <w:rFonts w:ascii="Arial" w:eastAsia="Calibri" w:hAnsi="Arial" w:cs="Arial"/>
        </w:rPr>
        <w:t xml:space="preserve">delivered </w:t>
      </w:r>
      <w:r w:rsidR="00503343">
        <w:rPr>
          <w:rFonts w:ascii="Arial" w:eastAsia="Calibri" w:hAnsi="Arial" w:cs="Arial"/>
        </w:rPr>
        <w:t xml:space="preserve">an </w:t>
      </w:r>
      <w:r w:rsidR="0072627D">
        <w:rPr>
          <w:rFonts w:ascii="Arial" w:eastAsia="Calibri" w:hAnsi="Arial" w:cs="Arial"/>
        </w:rPr>
        <w:t xml:space="preserve">amended notice of </w:t>
      </w:r>
      <w:r w:rsidR="0001691B">
        <w:rPr>
          <w:rFonts w:ascii="Arial" w:eastAsia="Calibri" w:hAnsi="Arial" w:cs="Arial"/>
        </w:rPr>
        <w:t xml:space="preserve">appeal </w:t>
      </w:r>
      <w:r w:rsidR="005D6E1A">
        <w:rPr>
          <w:rFonts w:ascii="Arial" w:eastAsia="Calibri" w:hAnsi="Arial" w:cs="Arial"/>
        </w:rPr>
        <w:t xml:space="preserve">focussing on one aspect of the order only: when </w:t>
      </w:r>
      <w:r w:rsidR="00916AAB">
        <w:rPr>
          <w:rFonts w:ascii="Arial" w:eastAsia="Calibri" w:hAnsi="Arial" w:cs="Arial"/>
        </w:rPr>
        <w:t>should</w:t>
      </w:r>
      <w:r w:rsidR="005D6E1A">
        <w:rPr>
          <w:rFonts w:ascii="Arial" w:eastAsia="Calibri" w:hAnsi="Arial" w:cs="Arial"/>
        </w:rPr>
        <w:t xml:space="preserve"> interest </w:t>
      </w:r>
      <w:r w:rsidR="00916AAB">
        <w:rPr>
          <w:rFonts w:ascii="Arial" w:eastAsia="Calibri" w:hAnsi="Arial" w:cs="Arial"/>
        </w:rPr>
        <w:t xml:space="preserve">on the capital amounts </w:t>
      </w:r>
      <w:r w:rsidR="005D6E1A">
        <w:rPr>
          <w:rFonts w:ascii="Arial" w:eastAsia="Calibri" w:hAnsi="Arial" w:cs="Arial"/>
        </w:rPr>
        <w:t>begin to run?</w:t>
      </w:r>
      <w:r w:rsidR="0001691B">
        <w:rPr>
          <w:rFonts w:ascii="Arial" w:eastAsia="Calibri" w:hAnsi="Arial" w:cs="Arial"/>
        </w:rPr>
        <w:t xml:space="preserve"> </w:t>
      </w:r>
    </w:p>
    <w:p w14:paraId="68B57670" w14:textId="77777777" w:rsidR="00663AA4" w:rsidRDefault="00663AA4" w:rsidP="00663AA4">
      <w:pPr>
        <w:pStyle w:val="NormalWeb"/>
        <w:spacing w:before="0" w:beforeAutospacing="0" w:after="0" w:afterAutospacing="0" w:line="480" w:lineRule="auto"/>
        <w:jc w:val="both"/>
        <w:rPr>
          <w:rFonts w:ascii="Arial" w:eastAsia="Calibri" w:hAnsi="Arial" w:cs="Arial"/>
        </w:rPr>
      </w:pPr>
    </w:p>
    <w:p w14:paraId="3713D870" w14:textId="0A066DE1" w:rsidR="00663AA4" w:rsidRDefault="00AD4C4C" w:rsidP="00CA7CF8">
      <w:pPr>
        <w:pStyle w:val="NormalWeb"/>
        <w:numPr>
          <w:ilvl w:val="0"/>
          <w:numId w:val="8"/>
        </w:numPr>
        <w:spacing w:before="0" w:beforeAutospacing="0" w:after="0" w:afterAutospacing="0" w:line="480" w:lineRule="auto"/>
        <w:ind w:left="0" w:firstLine="0"/>
        <w:jc w:val="both"/>
        <w:rPr>
          <w:rFonts w:ascii="Arial" w:eastAsia="Calibri" w:hAnsi="Arial" w:cs="Arial"/>
        </w:rPr>
      </w:pPr>
      <w:r>
        <w:rPr>
          <w:rFonts w:ascii="Arial" w:eastAsia="Calibri" w:hAnsi="Arial" w:cs="Arial"/>
        </w:rPr>
        <w:t xml:space="preserve">The narrow ground of appeal therefore focuses on </w:t>
      </w:r>
      <w:r w:rsidR="00663AA4">
        <w:rPr>
          <w:rFonts w:ascii="Arial" w:eastAsia="Calibri" w:hAnsi="Arial" w:cs="Arial"/>
        </w:rPr>
        <w:t>the following fin</w:t>
      </w:r>
      <w:r w:rsidR="00EB61F5">
        <w:rPr>
          <w:rFonts w:ascii="Arial" w:eastAsia="Calibri" w:hAnsi="Arial" w:cs="Arial"/>
        </w:rPr>
        <w:t xml:space="preserve">ding by the High Court at para </w:t>
      </w:r>
      <w:r w:rsidR="00663AA4">
        <w:rPr>
          <w:rFonts w:ascii="Arial" w:eastAsia="Calibri" w:hAnsi="Arial" w:cs="Arial"/>
        </w:rPr>
        <w:t>20 of the cyclostyled reasons:</w:t>
      </w:r>
    </w:p>
    <w:p w14:paraId="36866239" w14:textId="77777777" w:rsidR="00663AA4" w:rsidRDefault="00663AA4" w:rsidP="00663AA4">
      <w:pPr>
        <w:spacing w:after="0" w:line="360" w:lineRule="auto"/>
        <w:jc w:val="both"/>
        <w:rPr>
          <w:rFonts w:ascii="Arial" w:eastAsia="Calibri" w:hAnsi="Arial" w:cs="Arial"/>
          <w:lang w:val="en-ZA"/>
        </w:rPr>
      </w:pPr>
    </w:p>
    <w:p w14:paraId="2DBF6550" w14:textId="5994A144" w:rsidR="00663AA4" w:rsidRPr="00896847" w:rsidRDefault="000E3219" w:rsidP="000E3219">
      <w:pPr>
        <w:spacing w:after="0" w:line="360" w:lineRule="auto"/>
        <w:ind w:left="720"/>
        <w:jc w:val="both"/>
        <w:rPr>
          <w:rFonts w:ascii="Arial" w:eastAsia="Calibri" w:hAnsi="Arial" w:cs="Arial"/>
          <w:lang w:val="en-ZA"/>
        </w:rPr>
      </w:pPr>
      <w:r w:rsidRPr="00896847">
        <w:rPr>
          <w:rFonts w:ascii="Arial" w:eastAsia="Calibri" w:hAnsi="Arial" w:cs="Arial"/>
          <w:lang w:val="en-ZA"/>
        </w:rPr>
        <w:t>‘</w:t>
      </w:r>
      <w:r w:rsidR="00663AA4" w:rsidRPr="00896847">
        <w:rPr>
          <w:rFonts w:ascii="Arial" w:eastAsia="Calibri" w:hAnsi="Arial" w:cs="Arial"/>
          <w:lang w:val="en-ZA"/>
        </w:rPr>
        <w:t xml:space="preserve">[20] In this matter, the Ministry </w:t>
      </w:r>
      <w:r w:rsidR="00663AA4" w:rsidRPr="00896847">
        <w:rPr>
          <w:rFonts w:ascii="Arial" w:eastAsia="Calibri" w:hAnsi="Arial" w:cs="Arial"/>
          <w:u w:val="single"/>
          <w:lang w:val="en-ZA"/>
        </w:rPr>
        <w:t>disputed the plaintiff’s claim</w:t>
      </w:r>
      <w:r w:rsidR="00663AA4" w:rsidRPr="00896847">
        <w:rPr>
          <w:rFonts w:ascii="Arial" w:eastAsia="Calibri" w:hAnsi="Arial" w:cs="Arial"/>
          <w:lang w:val="en-ZA"/>
        </w:rPr>
        <w:t xml:space="preserve"> until 21 November 2019 and the plaintiff’s claim was therefore </w:t>
      </w:r>
      <w:r w:rsidR="00663AA4" w:rsidRPr="00896847">
        <w:rPr>
          <w:rFonts w:ascii="Arial" w:eastAsia="Calibri" w:hAnsi="Arial" w:cs="Arial"/>
          <w:u w:val="single"/>
          <w:lang w:val="en-ZA"/>
        </w:rPr>
        <w:t>unliquidated</w:t>
      </w:r>
      <w:r w:rsidR="00663AA4" w:rsidRPr="00896847">
        <w:rPr>
          <w:rFonts w:ascii="Arial" w:eastAsia="Calibri" w:hAnsi="Arial" w:cs="Arial"/>
          <w:lang w:val="en-ZA"/>
        </w:rPr>
        <w:t xml:space="preserve">, the defendant could thus not be in mora, but as soon as the Ministry </w:t>
      </w:r>
      <w:r w:rsidR="00663AA4" w:rsidRPr="00896847">
        <w:rPr>
          <w:rFonts w:ascii="Arial" w:eastAsia="Calibri" w:hAnsi="Arial" w:cs="Arial"/>
          <w:u w:val="single"/>
          <w:lang w:val="en-ZA"/>
        </w:rPr>
        <w:t>agreed to the plaintiff’s claim</w:t>
      </w:r>
      <w:r w:rsidR="00663AA4" w:rsidRPr="00896847">
        <w:rPr>
          <w:rFonts w:ascii="Arial" w:eastAsia="Calibri" w:hAnsi="Arial" w:cs="Arial"/>
          <w:lang w:val="en-ZA"/>
        </w:rPr>
        <w:t>, the amount that was in dispute between the parties became liquidated and from that moment the liability of the defendants for interest upon the agreed amount commenced.’ (My underlining for emphasis).</w:t>
      </w:r>
    </w:p>
    <w:p w14:paraId="21330DC1" w14:textId="77777777" w:rsidR="00A35FC0" w:rsidRDefault="00A35FC0" w:rsidP="009E1974">
      <w:pPr>
        <w:spacing w:after="0" w:line="480" w:lineRule="auto"/>
        <w:rPr>
          <w:rFonts w:ascii="Arial" w:hAnsi="Arial" w:cs="Arial"/>
          <w:sz w:val="24"/>
          <w:szCs w:val="24"/>
          <w:u w:val="single"/>
          <w:lang w:val="en-ZA"/>
        </w:rPr>
      </w:pPr>
    </w:p>
    <w:p w14:paraId="48C6C0C0" w14:textId="35FB90E9" w:rsidR="006A1750" w:rsidRPr="000E3219" w:rsidRDefault="00663AA4" w:rsidP="00CA7CF8">
      <w:pPr>
        <w:spacing w:after="0" w:line="480" w:lineRule="auto"/>
        <w:rPr>
          <w:rFonts w:ascii="Arial" w:hAnsi="Arial" w:cs="Arial"/>
          <w:sz w:val="24"/>
          <w:szCs w:val="24"/>
          <w:u w:val="single"/>
          <w:lang w:val="en-ZA"/>
        </w:rPr>
      </w:pPr>
      <w:r>
        <w:rPr>
          <w:rFonts w:ascii="Arial" w:hAnsi="Arial" w:cs="Arial"/>
          <w:sz w:val="24"/>
          <w:szCs w:val="24"/>
          <w:u w:val="single"/>
          <w:lang w:val="en-ZA"/>
        </w:rPr>
        <w:t>Grounds of appeal</w:t>
      </w:r>
    </w:p>
    <w:p w14:paraId="0FBD430A" w14:textId="26CFC008" w:rsidR="002D09A9" w:rsidRDefault="00387C7B" w:rsidP="00A06B56">
      <w:pPr>
        <w:pStyle w:val="NormalWeb"/>
        <w:numPr>
          <w:ilvl w:val="0"/>
          <w:numId w:val="8"/>
        </w:numPr>
        <w:spacing w:before="0" w:beforeAutospacing="0" w:after="0" w:afterAutospacing="0" w:line="480" w:lineRule="auto"/>
        <w:ind w:left="0" w:firstLine="0"/>
        <w:jc w:val="both"/>
        <w:rPr>
          <w:rFonts w:ascii="Arial" w:eastAsia="Calibri" w:hAnsi="Arial" w:cs="Arial"/>
        </w:rPr>
      </w:pPr>
      <w:r w:rsidRPr="002D09A9">
        <w:rPr>
          <w:rFonts w:ascii="Arial" w:eastAsia="Calibri" w:hAnsi="Arial" w:cs="Arial"/>
        </w:rPr>
        <w:t xml:space="preserve">The appellant contends that the court </w:t>
      </w:r>
      <w:r w:rsidRPr="002D09A9">
        <w:rPr>
          <w:rFonts w:ascii="Arial" w:eastAsia="Calibri" w:hAnsi="Arial" w:cs="Arial"/>
          <w:i/>
        </w:rPr>
        <w:t>a quo</w:t>
      </w:r>
      <w:r w:rsidRPr="002D09A9">
        <w:rPr>
          <w:rFonts w:ascii="Arial" w:eastAsia="Calibri" w:hAnsi="Arial" w:cs="Arial"/>
        </w:rPr>
        <w:t xml:space="preserve"> erred in </w:t>
      </w:r>
      <w:r w:rsidRPr="00C915A1">
        <w:rPr>
          <w:rFonts w:ascii="Arial" w:eastAsia="Calibri" w:hAnsi="Arial" w:cs="Arial"/>
        </w:rPr>
        <w:t xml:space="preserve">finding </w:t>
      </w:r>
      <w:r w:rsidR="00924F33" w:rsidRPr="00A80CD5">
        <w:rPr>
          <w:rFonts w:ascii="Arial" w:eastAsia="Calibri" w:hAnsi="Arial" w:cs="Arial"/>
        </w:rPr>
        <w:t xml:space="preserve">(a) </w:t>
      </w:r>
      <w:r w:rsidRPr="00A80CD5">
        <w:rPr>
          <w:rFonts w:ascii="Arial" w:eastAsia="Calibri" w:hAnsi="Arial" w:cs="Arial"/>
        </w:rPr>
        <w:t xml:space="preserve">that the </w:t>
      </w:r>
      <w:r w:rsidR="00A51053" w:rsidRPr="00A80CD5">
        <w:rPr>
          <w:rFonts w:ascii="Arial" w:eastAsia="Calibri" w:hAnsi="Arial" w:cs="Arial"/>
        </w:rPr>
        <w:t xml:space="preserve">Government </w:t>
      </w:r>
      <w:r w:rsidRPr="00A80CD5">
        <w:rPr>
          <w:rFonts w:ascii="Arial" w:eastAsia="Calibri" w:hAnsi="Arial" w:cs="Arial"/>
        </w:rPr>
        <w:t xml:space="preserve">disputed the </w:t>
      </w:r>
      <w:r w:rsidR="00A35FC0" w:rsidRPr="00A80CD5">
        <w:rPr>
          <w:rFonts w:ascii="Arial" w:eastAsia="Calibri" w:hAnsi="Arial" w:cs="Arial"/>
        </w:rPr>
        <w:t xml:space="preserve">appellant’s </w:t>
      </w:r>
      <w:r w:rsidRPr="00A80CD5">
        <w:rPr>
          <w:rFonts w:ascii="Arial" w:eastAsia="Calibri" w:hAnsi="Arial" w:cs="Arial"/>
        </w:rPr>
        <w:t xml:space="preserve">claim until 21 November 2019 </w:t>
      </w:r>
      <w:r w:rsidR="00730C18">
        <w:rPr>
          <w:rFonts w:ascii="Arial" w:eastAsia="Calibri" w:hAnsi="Arial" w:cs="Arial"/>
        </w:rPr>
        <w:t xml:space="preserve">and </w:t>
      </w:r>
      <w:r w:rsidR="00924F33" w:rsidRPr="00A80CD5">
        <w:rPr>
          <w:rFonts w:ascii="Arial" w:eastAsia="Calibri" w:hAnsi="Arial" w:cs="Arial"/>
        </w:rPr>
        <w:t xml:space="preserve">(b) </w:t>
      </w:r>
      <w:r w:rsidRPr="00A80CD5">
        <w:rPr>
          <w:rFonts w:ascii="Arial" w:eastAsia="Calibri" w:hAnsi="Arial" w:cs="Arial"/>
        </w:rPr>
        <w:t>that the claim was unliquidated</w:t>
      </w:r>
      <w:r w:rsidR="002D09A9" w:rsidRPr="00A80CD5">
        <w:rPr>
          <w:rFonts w:ascii="Arial" w:eastAsia="Calibri" w:hAnsi="Arial" w:cs="Arial"/>
        </w:rPr>
        <w:t>.</w:t>
      </w:r>
      <w:r w:rsidRPr="00A80CD5">
        <w:rPr>
          <w:rFonts w:ascii="Arial" w:eastAsia="Calibri" w:hAnsi="Arial" w:cs="Arial"/>
        </w:rPr>
        <w:t xml:space="preserve"> </w:t>
      </w:r>
    </w:p>
    <w:p w14:paraId="48D3BC91" w14:textId="77777777" w:rsidR="00387C7B" w:rsidRPr="002D09A9" w:rsidRDefault="00387C7B" w:rsidP="00A06B56">
      <w:pPr>
        <w:pStyle w:val="NormalWeb"/>
        <w:spacing w:before="0" w:beforeAutospacing="0" w:after="0" w:afterAutospacing="0" w:line="480" w:lineRule="auto"/>
        <w:jc w:val="both"/>
        <w:rPr>
          <w:rFonts w:ascii="Arial" w:eastAsia="Calibri" w:hAnsi="Arial" w:cs="Arial"/>
        </w:rPr>
      </w:pPr>
    </w:p>
    <w:p w14:paraId="5E2B88AF" w14:textId="5FB9CD03" w:rsidR="002A7CA8" w:rsidRPr="006D65C4" w:rsidRDefault="00387C7B" w:rsidP="006D65C4">
      <w:pPr>
        <w:pStyle w:val="NormalWeb"/>
        <w:numPr>
          <w:ilvl w:val="0"/>
          <w:numId w:val="8"/>
        </w:numPr>
        <w:spacing w:before="0" w:beforeAutospacing="0" w:after="0" w:afterAutospacing="0" w:line="480" w:lineRule="auto"/>
        <w:ind w:left="0" w:firstLine="0"/>
        <w:jc w:val="both"/>
        <w:rPr>
          <w:rFonts w:ascii="Arial" w:eastAsia="Calibri" w:hAnsi="Arial" w:cs="Arial"/>
        </w:rPr>
      </w:pPr>
      <w:r>
        <w:rPr>
          <w:rFonts w:ascii="Arial" w:eastAsia="Calibri" w:hAnsi="Arial" w:cs="Arial"/>
        </w:rPr>
        <w:t xml:space="preserve">It is </w:t>
      </w:r>
      <w:r w:rsidR="002A7CA8">
        <w:rPr>
          <w:rFonts w:ascii="Arial" w:eastAsia="Calibri" w:hAnsi="Arial" w:cs="Arial"/>
        </w:rPr>
        <w:t>appellant</w:t>
      </w:r>
      <w:r w:rsidR="003B131D">
        <w:rPr>
          <w:rFonts w:ascii="Arial" w:eastAsia="Calibri" w:hAnsi="Arial" w:cs="Arial"/>
        </w:rPr>
        <w:t>’s</w:t>
      </w:r>
      <w:r>
        <w:rPr>
          <w:rFonts w:ascii="Arial" w:eastAsia="Calibri" w:hAnsi="Arial" w:cs="Arial"/>
        </w:rPr>
        <w:t xml:space="preserve"> contention that the </w:t>
      </w:r>
      <w:r w:rsidR="00EE2597">
        <w:rPr>
          <w:rFonts w:ascii="Arial" w:eastAsia="Calibri" w:hAnsi="Arial" w:cs="Arial"/>
        </w:rPr>
        <w:t xml:space="preserve">Government </w:t>
      </w:r>
      <w:r>
        <w:rPr>
          <w:rFonts w:ascii="Arial" w:eastAsia="Calibri" w:hAnsi="Arial" w:cs="Arial"/>
        </w:rPr>
        <w:t>in</w:t>
      </w:r>
      <w:r w:rsidR="007427F2">
        <w:rPr>
          <w:rFonts w:ascii="Arial" w:eastAsia="Calibri" w:hAnsi="Arial" w:cs="Arial"/>
        </w:rPr>
        <w:t xml:space="preserve"> its</w:t>
      </w:r>
      <w:r w:rsidR="00EE2597">
        <w:rPr>
          <w:rFonts w:ascii="Arial" w:eastAsia="Calibri" w:hAnsi="Arial" w:cs="Arial"/>
        </w:rPr>
        <w:t xml:space="preserve"> respective pleas under the </w:t>
      </w:r>
      <w:r w:rsidR="00F402CF">
        <w:rPr>
          <w:rFonts w:ascii="Arial" w:eastAsia="Calibri" w:hAnsi="Arial" w:cs="Arial"/>
        </w:rPr>
        <w:t>five</w:t>
      </w:r>
      <w:r w:rsidR="00EE2597">
        <w:rPr>
          <w:rFonts w:ascii="Arial" w:eastAsia="Calibri" w:hAnsi="Arial" w:cs="Arial"/>
        </w:rPr>
        <w:t xml:space="preserve"> cases </w:t>
      </w:r>
      <w:r>
        <w:rPr>
          <w:rFonts w:ascii="Arial" w:eastAsia="Calibri" w:hAnsi="Arial" w:cs="Arial"/>
        </w:rPr>
        <w:t>admitted the capital amounts and only disputed the interest.</w:t>
      </w:r>
      <w:r w:rsidR="00BA2229">
        <w:rPr>
          <w:rFonts w:ascii="Arial" w:eastAsia="Calibri" w:hAnsi="Arial" w:cs="Arial"/>
        </w:rPr>
        <w:t xml:space="preserve"> In doing so, </w:t>
      </w:r>
      <w:r w:rsidR="002A7CA8">
        <w:rPr>
          <w:rFonts w:ascii="Arial" w:eastAsia="Calibri" w:hAnsi="Arial" w:cs="Arial"/>
        </w:rPr>
        <w:t>the capital amounts w</w:t>
      </w:r>
      <w:r w:rsidR="00A51053">
        <w:rPr>
          <w:rFonts w:ascii="Arial" w:eastAsia="Calibri" w:hAnsi="Arial" w:cs="Arial"/>
        </w:rPr>
        <w:t>ere</w:t>
      </w:r>
      <w:r w:rsidR="002A7CA8">
        <w:rPr>
          <w:rFonts w:ascii="Arial" w:eastAsia="Calibri" w:hAnsi="Arial" w:cs="Arial"/>
        </w:rPr>
        <w:t xml:space="preserve"> –</w:t>
      </w:r>
      <w:r w:rsidR="00EA6C51">
        <w:rPr>
          <w:rFonts w:ascii="Arial" w:eastAsia="Calibri" w:hAnsi="Arial" w:cs="Arial"/>
        </w:rPr>
        <w:t xml:space="preserve"> </w:t>
      </w:r>
      <w:r w:rsidR="002A7CA8">
        <w:rPr>
          <w:rFonts w:ascii="Arial" w:eastAsia="Calibri" w:hAnsi="Arial" w:cs="Arial"/>
        </w:rPr>
        <w:t>by virtue of the admission –</w:t>
      </w:r>
      <w:r w:rsidR="00C64581">
        <w:rPr>
          <w:rFonts w:ascii="Arial" w:eastAsia="Calibri" w:hAnsi="Arial" w:cs="Arial"/>
        </w:rPr>
        <w:t xml:space="preserve"> </w:t>
      </w:r>
      <w:r w:rsidR="002A7CA8">
        <w:rPr>
          <w:rFonts w:ascii="Arial" w:eastAsia="Calibri" w:hAnsi="Arial" w:cs="Arial"/>
        </w:rPr>
        <w:t>liquid</w:t>
      </w:r>
      <w:r w:rsidR="00A51053">
        <w:rPr>
          <w:rFonts w:ascii="Arial" w:eastAsia="Calibri" w:hAnsi="Arial" w:cs="Arial"/>
        </w:rPr>
        <w:t>ated</w:t>
      </w:r>
      <w:r w:rsidR="002A7CA8">
        <w:rPr>
          <w:rFonts w:ascii="Arial" w:eastAsia="Calibri" w:hAnsi="Arial" w:cs="Arial"/>
        </w:rPr>
        <w:t xml:space="preserve"> and the court </w:t>
      </w:r>
      <w:r w:rsidR="002A7CA8" w:rsidRPr="007C6261">
        <w:rPr>
          <w:rFonts w:ascii="Arial" w:eastAsia="Calibri" w:hAnsi="Arial" w:cs="Arial"/>
          <w:i/>
        </w:rPr>
        <w:t>a quo</w:t>
      </w:r>
      <w:r w:rsidR="002A7CA8">
        <w:rPr>
          <w:rFonts w:ascii="Arial" w:eastAsia="Calibri" w:hAnsi="Arial" w:cs="Arial"/>
        </w:rPr>
        <w:t xml:space="preserve"> erred in finding otherwise. </w:t>
      </w:r>
    </w:p>
    <w:p w14:paraId="47277844" w14:textId="3B4E2A8C" w:rsidR="002A7CA8" w:rsidRPr="00387C7B" w:rsidRDefault="003B131D" w:rsidP="00A06B56">
      <w:pPr>
        <w:pStyle w:val="NormalWeb"/>
        <w:numPr>
          <w:ilvl w:val="0"/>
          <w:numId w:val="8"/>
        </w:numPr>
        <w:spacing w:before="0" w:beforeAutospacing="0" w:after="0" w:afterAutospacing="0" w:line="480" w:lineRule="auto"/>
        <w:ind w:left="0" w:firstLine="0"/>
        <w:jc w:val="both"/>
        <w:rPr>
          <w:rFonts w:ascii="Arial" w:eastAsia="Calibri" w:hAnsi="Arial" w:cs="Arial"/>
        </w:rPr>
      </w:pPr>
      <w:r>
        <w:rPr>
          <w:rFonts w:ascii="Arial" w:eastAsia="Calibri" w:hAnsi="Arial" w:cs="Arial"/>
        </w:rPr>
        <w:lastRenderedPageBreak/>
        <w:t>The appellant</w:t>
      </w:r>
      <w:r w:rsidR="002A7CA8">
        <w:rPr>
          <w:rFonts w:ascii="Arial" w:eastAsia="Calibri" w:hAnsi="Arial" w:cs="Arial"/>
        </w:rPr>
        <w:t xml:space="preserve"> further contend</w:t>
      </w:r>
      <w:r>
        <w:rPr>
          <w:rFonts w:ascii="Arial" w:eastAsia="Calibri" w:hAnsi="Arial" w:cs="Arial"/>
        </w:rPr>
        <w:t>s</w:t>
      </w:r>
      <w:r w:rsidR="002A7CA8">
        <w:rPr>
          <w:rFonts w:ascii="Arial" w:eastAsia="Calibri" w:hAnsi="Arial" w:cs="Arial"/>
        </w:rPr>
        <w:t xml:space="preserve"> that the </w:t>
      </w:r>
      <w:r w:rsidR="00A51053">
        <w:rPr>
          <w:rFonts w:ascii="Arial" w:eastAsia="Calibri" w:hAnsi="Arial" w:cs="Arial"/>
        </w:rPr>
        <w:t xml:space="preserve">Government </w:t>
      </w:r>
      <w:r w:rsidR="002A7CA8">
        <w:rPr>
          <w:rFonts w:ascii="Arial" w:eastAsia="Calibri" w:hAnsi="Arial" w:cs="Arial"/>
        </w:rPr>
        <w:t xml:space="preserve">did not dispute </w:t>
      </w:r>
      <w:r w:rsidR="001C625C">
        <w:rPr>
          <w:rFonts w:ascii="Arial" w:eastAsia="Calibri" w:hAnsi="Arial" w:cs="Arial"/>
        </w:rPr>
        <w:t xml:space="preserve">that </w:t>
      </w:r>
      <w:r w:rsidR="00A51053">
        <w:rPr>
          <w:rFonts w:ascii="Arial" w:eastAsia="Calibri" w:hAnsi="Arial" w:cs="Arial"/>
        </w:rPr>
        <w:t xml:space="preserve">demand </w:t>
      </w:r>
      <w:r w:rsidR="001C625C">
        <w:rPr>
          <w:rFonts w:ascii="Arial" w:eastAsia="Calibri" w:hAnsi="Arial" w:cs="Arial"/>
        </w:rPr>
        <w:t xml:space="preserve">was made </w:t>
      </w:r>
      <w:r w:rsidR="002A7CA8">
        <w:rPr>
          <w:rFonts w:ascii="Arial" w:eastAsia="Calibri" w:hAnsi="Arial" w:cs="Arial"/>
        </w:rPr>
        <w:t xml:space="preserve">on 10 July 2019 and </w:t>
      </w:r>
      <w:r w:rsidR="00E257C8">
        <w:rPr>
          <w:rFonts w:ascii="Arial" w:eastAsia="Calibri" w:hAnsi="Arial" w:cs="Arial"/>
        </w:rPr>
        <w:t xml:space="preserve">for that reason </w:t>
      </w:r>
      <w:r w:rsidR="002A7CA8">
        <w:rPr>
          <w:rFonts w:ascii="Arial" w:eastAsia="Calibri" w:hAnsi="Arial" w:cs="Arial"/>
        </w:rPr>
        <w:t xml:space="preserve">the court </w:t>
      </w:r>
      <w:r w:rsidR="002A7CA8" w:rsidRPr="00A72172">
        <w:rPr>
          <w:rFonts w:ascii="Arial" w:eastAsia="Calibri" w:hAnsi="Arial" w:cs="Arial"/>
          <w:i/>
        </w:rPr>
        <w:t>a quo</w:t>
      </w:r>
      <w:r w:rsidR="002A7CA8">
        <w:rPr>
          <w:rFonts w:ascii="Arial" w:eastAsia="Calibri" w:hAnsi="Arial" w:cs="Arial"/>
        </w:rPr>
        <w:t xml:space="preserve"> misdirected itself in finding that the </w:t>
      </w:r>
      <w:r w:rsidR="00E257C8">
        <w:rPr>
          <w:rFonts w:ascii="Arial" w:eastAsia="Calibri" w:hAnsi="Arial" w:cs="Arial"/>
        </w:rPr>
        <w:t xml:space="preserve">Government was </w:t>
      </w:r>
      <w:r w:rsidR="002A7CA8">
        <w:rPr>
          <w:rFonts w:ascii="Arial" w:eastAsia="Calibri" w:hAnsi="Arial" w:cs="Arial"/>
        </w:rPr>
        <w:t xml:space="preserve">only placed in </w:t>
      </w:r>
      <w:r w:rsidR="002A7CA8" w:rsidRPr="002A7CA8">
        <w:rPr>
          <w:rFonts w:ascii="Arial" w:eastAsia="Calibri" w:hAnsi="Arial" w:cs="Arial"/>
          <w:i/>
        </w:rPr>
        <w:t xml:space="preserve">mora </w:t>
      </w:r>
      <w:r w:rsidR="00E257C8">
        <w:rPr>
          <w:rFonts w:ascii="Arial" w:eastAsia="Calibri" w:hAnsi="Arial" w:cs="Arial"/>
        </w:rPr>
        <w:t xml:space="preserve">upon service of </w:t>
      </w:r>
      <w:r w:rsidR="002A7CA8">
        <w:rPr>
          <w:rFonts w:ascii="Arial" w:eastAsia="Calibri" w:hAnsi="Arial" w:cs="Arial"/>
        </w:rPr>
        <w:t>summons.</w:t>
      </w:r>
    </w:p>
    <w:p w14:paraId="503DA89C" w14:textId="77777777" w:rsidR="00997409" w:rsidRDefault="00997409" w:rsidP="00A06B56">
      <w:pPr>
        <w:spacing w:after="0" w:line="480" w:lineRule="auto"/>
        <w:jc w:val="both"/>
        <w:rPr>
          <w:rFonts w:ascii="Arial" w:eastAsia="Calibri" w:hAnsi="Arial" w:cs="Arial"/>
          <w:sz w:val="24"/>
          <w:szCs w:val="24"/>
          <w:u w:val="single"/>
        </w:rPr>
      </w:pPr>
    </w:p>
    <w:p w14:paraId="38364C28" w14:textId="4726A8FD" w:rsidR="006A1750" w:rsidRPr="00090BA6" w:rsidRDefault="00A044B8" w:rsidP="00A06B56">
      <w:pPr>
        <w:spacing w:after="0" w:line="480" w:lineRule="auto"/>
        <w:jc w:val="both"/>
        <w:rPr>
          <w:rFonts w:ascii="Arial" w:eastAsia="Calibri" w:hAnsi="Arial" w:cs="Arial"/>
          <w:sz w:val="24"/>
          <w:szCs w:val="24"/>
          <w:u w:val="single"/>
        </w:rPr>
      </w:pPr>
      <w:r>
        <w:rPr>
          <w:rFonts w:ascii="Arial" w:eastAsia="Calibri" w:hAnsi="Arial" w:cs="Arial"/>
          <w:sz w:val="24"/>
          <w:szCs w:val="24"/>
          <w:u w:val="single"/>
        </w:rPr>
        <w:t xml:space="preserve">Issue on appeal </w:t>
      </w:r>
    </w:p>
    <w:p w14:paraId="26D01412" w14:textId="18EE6195" w:rsidR="005D7E92" w:rsidRPr="00101980" w:rsidRDefault="00EA0E14" w:rsidP="00A06B56">
      <w:pPr>
        <w:pStyle w:val="NormalWeb"/>
        <w:numPr>
          <w:ilvl w:val="0"/>
          <w:numId w:val="8"/>
        </w:numPr>
        <w:spacing w:before="0" w:beforeAutospacing="0" w:after="0" w:afterAutospacing="0" w:line="480" w:lineRule="auto"/>
        <w:ind w:left="0" w:firstLine="0"/>
        <w:jc w:val="both"/>
        <w:rPr>
          <w:rFonts w:ascii="Arial" w:hAnsi="Arial" w:cs="Arial"/>
          <w:b/>
          <w:lang w:val="en-ZA"/>
        </w:rPr>
      </w:pPr>
      <w:r w:rsidRPr="00EA0E14">
        <w:rPr>
          <w:rFonts w:ascii="Arial" w:hAnsi="Arial" w:cs="Arial"/>
          <w:lang w:val="en-ZA"/>
        </w:rPr>
        <w:t xml:space="preserve">The crisp issue that has </w:t>
      </w:r>
      <w:r w:rsidR="007F261A">
        <w:rPr>
          <w:rFonts w:ascii="Arial" w:hAnsi="Arial" w:cs="Arial"/>
          <w:lang w:val="en-ZA"/>
        </w:rPr>
        <w:t>crystallised</w:t>
      </w:r>
      <w:r w:rsidR="009F7F48">
        <w:rPr>
          <w:rFonts w:ascii="Arial" w:hAnsi="Arial" w:cs="Arial"/>
          <w:lang w:val="en-ZA"/>
        </w:rPr>
        <w:t xml:space="preserve"> </w:t>
      </w:r>
      <w:r w:rsidRPr="00EA0E14">
        <w:rPr>
          <w:rFonts w:ascii="Arial" w:hAnsi="Arial" w:cs="Arial"/>
          <w:lang w:val="en-ZA"/>
        </w:rPr>
        <w:t xml:space="preserve">on appeal is whether </w:t>
      </w:r>
      <w:r w:rsidR="009F7F48">
        <w:rPr>
          <w:rFonts w:ascii="Arial" w:hAnsi="Arial" w:cs="Arial"/>
          <w:lang w:val="en-ZA"/>
        </w:rPr>
        <w:t>on the date of demand</w:t>
      </w:r>
      <w:r w:rsidR="009F7F48" w:rsidRPr="00EA0E14">
        <w:rPr>
          <w:rFonts w:ascii="Arial" w:hAnsi="Arial" w:cs="Arial"/>
          <w:lang w:val="en-ZA"/>
        </w:rPr>
        <w:t xml:space="preserve"> </w:t>
      </w:r>
      <w:r w:rsidR="00B91AD4">
        <w:rPr>
          <w:rFonts w:ascii="Arial" w:hAnsi="Arial" w:cs="Arial"/>
          <w:lang w:val="en-ZA"/>
        </w:rPr>
        <w:t>(</w:t>
      </w:r>
      <w:r w:rsidR="009F7F48">
        <w:rPr>
          <w:rFonts w:ascii="Arial" w:hAnsi="Arial" w:cs="Arial"/>
          <w:lang w:val="en-ZA"/>
        </w:rPr>
        <w:t>or as at the date of the stated case</w:t>
      </w:r>
      <w:r w:rsidR="00B91AD4">
        <w:rPr>
          <w:rFonts w:ascii="Arial" w:hAnsi="Arial" w:cs="Arial"/>
          <w:lang w:val="en-ZA"/>
        </w:rPr>
        <w:t>)</w:t>
      </w:r>
      <w:r w:rsidR="004B0814">
        <w:rPr>
          <w:rFonts w:ascii="Arial" w:hAnsi="Arial" w:cs="Arial"/>
          <w:lang w:val="en-ZA"/>
        </w:rPr>
        <w:t>,</w:t>
      </w:r>
      <w:r w:rsidR="009F7F48">
        <w:rPr>
          <w:rFonts w:ascii="Arial" w:hAnsi="Arial" w:cs="Arial"/>
          <w:lang w:val="en-ZA"/>
        </w:rPr>
        <w:t xml:space="preserve"> </w:t>
      </w:r>
      <w:r w:rsidRPr="00EA0E14">
        <w:rPr>
          <w:rFonts w:ascii="Arial" w:hAnsi="Arial" w:cs="Arial"/>
          <w:lang w:val="en-ZA"/>
        </w:rPr>
        <w:t xml:space="preserve">the </w:t>
      </w:r>
      <w:r w:rsidR="009F7F48">
        <w:rPr>
          <w:rFonts w:ascii="Arial" w:hAnsi="Arial" w:cs="Arial"/>
          <w:lang w:val="en-ZA"/>
        </w:rPr>
        <w:t>Government</w:t>
      </w:r>
      <w:r w:rsidR="00B91AD4">
        <w:rPr>
          <w:rFonts w:ascii="Arial" w:hAnsi="Arial" w:cs="Arial"/>
          <w:lang w:val="en-ZA"/>
        </w:rPr>
        <w:t>’</w:t>
      </w:r>
      <w:r w:rsidR="009F7F48">
        <w:rPr>
          <w:rFonts w:ascii="Arial" w:hAnsi="Arial" w:cs="Arial"/>
          <w:lang w:val="en-ZA"/>
        </w:rPr>
        <w:t>s admi</w:t>
      </w:r>
      <w:r w:rsidR="00B91AD4">
        <w:rPr>
          <w:rFonts w:ascii="Arial" w:hAnsi="Arial" w:cs="Arial"/>
          <w:lang w:val="en-ZA"/>
        </w:rPr>
        <w:t>tted liability to the appellant</w:t>
      </w:r>
      <w:r w:rsidR="009F7F48">
        <w:rPr>
          <w:rFonts w:ascii="Arial" w:hAnsi="Arial" w:cs="Arial"/>
          <w:lang w:val="en-ZA"/>
        </w:rPr>
        <w:t xml:space="preserve"> was</w:t>
      </w:r>
      <w:r w:rsidRPr="00EA0E14">
        <w:rPr>
          <w:rFonts w:ascii="Arial" w:hAnsi="Arial" w:cs="Arial"/>
          <w:lang w:val="en-ZA"/>
        </w:rPr>
        <w:t xml:space="preserve"> liquidated or unliquidated</w:t>
      </w:r>
      <w:r w:rsidR="009F7F48">
        <w:rPr>
          <w:rFonts w:ascii="Arial" w:hAnsi="Arial" w:cs="Arial"/>
          <w:lang w:val="en-ZA"/>
        </w:rPr>
        <w:t xml:space="preserve">. </w:t>
      </w:r>
      <w:r w:rsidRPr="00EA0E14">
        <w:rPr>
          <w:rFonts w:ascii="Arial" w:hAnsi="Arial" w:cs="Arial"/>
          <w:lang w:val="en-ZA"/>
        </w:rPr>
        <w:t xml:space="preserve">Mr Ncube for the Government accepted during oral argument that </w:t>
      </w:r>
      <w:r w:rsidR="009F7F48">
        <w:rPr>
          <w:rFonts w:ascii="Arial" w:hAnsi="Arial" w:cs="Arial"/>
          <w:lang w:val="en-ZA"/>
        </w:rPr>
        <w:t xml:space="preserve">if the amounts owed were liquidated the court </w:t>
      </w:r>
      <w:r w:rsidR="009F7F48" w:rsidRPr="007F261A">
        <w:rPr>
          <w:rFonts w:ascii="Arial" w:hAnsi="Arial" w:cs="Arial"/>
          <w:i/>
          <w:lang w:val="en-ZA"/>
        </w:rPr>
        <w:t xml:space="preserve">a </w:t>
      </w:r>
      <w:r w:rsidR="009F7F48" w:rsidRPr="00320510">
        <w:rPr>
          <w:rFonts w:ascii="Arial" w:hAnsi="Arial" w:cs="Arial"/>
          <w:i/>
          <w:lang w:val="en-ZA"/>
        </w:rPr>
        <w:t>quo’s</w:t>
      </w:r>
      <w:r w:rsidR="009F7F48">
        <w:rPr>
          <w:rFonts w:ascii="Arial" w:hAnsi="Arial" w:cs="Arial"/>
          <w:lang w:val="en-ZA"/>
        </w:rPr>
        <w:t xml:space="preserve"> order cannot be su</w:t>
      </w:r>
      <w:r w:rsidR="00B91AD4">
        <w:rPr>
          <w:rFonts w:ascii="Arial" w:hAnsi="Arial" w:cs="Arial"/>
          <w:lang w:val="en-ZA"/>
        </w:rPr>
        <w:t>stained</w:t>
      </w:r>
      <w:r w:rsidR="009F7F48">
        <w:rPr>
          <w:rFonts w:ascii="Arial" w:hAnsi="Arial" w:cs="Arial"/>
          <w:lang w:val="en-ZA"/>
        </w:rPr>
        <w:t xml:space="preserve">. According to </w:t>
      </w:r>
      <w:r w:rsidR="00B91AD4">
        <w:rPr>
          <w:rFonts w:ascii="Arial" w:hAnsi="Arial" w:cs="Arial"/>
          <w:lang w:val="en-ZA"/>
        </w:rPr>
        <w:t xml:space="preserve">Mr </w:t>
      </w:r>
      <w:r w:rsidR="00B03887">
        <w:rPr>
          <w:rFonts w:ascii="Arial" w:hAnsi="Arial" w:cs="Arial"/>
          <w:lang w:val="en-ZA"/>
        </w:rPr>
        <w:t xml:space="preserve">Ravenscroft-Jones </w:t>
      </w:r>
      <w:r w:rsidR="00B91AD4">
        <w:rPr>
          <w:rFonts w:ascii="Arial" w:hAnsi="Arial" w:cs="Arial"/>
          <w:lang w:val="en-ZA"/>
        </w:rPr>
        <w:t>for the appellant</w:t>
      </w:r>
      <w:r w:rsidR="002D09A9">
        <w:rPr>
          <w:rFonts w:ascii="Arial" w:hAnsi="Arial" w:cs="Arial"/>
          <w:lang w:val="en-ZA"/>
        </w:rPr>
        <w:t>,</w:t>
      </w:r>
      <w:r w:rsidR="00B91AD4">
        <w:rPr>
          <w:rFonts w:ascii="Arial" w:hAnsi="Arial" w:cs="Arial"/>
          <w:lang w:val="en-ZA"/>
        </w:rPr>
        <w:t xml:space="preserve"> </w:t>
      </w:r>
      <w:r w:rsidR="00436FAD">
        <w:rPr>
          <w:rFonts w:ascii="Arial" w:hAnsi="Arial" w:cs="Arial"/>
          <w:lang w:val="en-ZA"/>
        </w:rPr>
        <w:t>it was not in</w:t>
      </w:r>
      <w:r w:rsidR="00B91AD4">
        <w:rPr>
          <w:rFonts w:ascii="Arial" w:hAnsi="Arial" w:cs="Arial"/>
          <w:lang w:val="en-ZA"/>
        </w:rPr>
        <w:t xml:space="preserve"> dispute</w:t>
      </w:r>
      <w:r w:rsidR="00B91AD4" w:rsidRPr="00EA0E14">
        <w:rPr>
          <w:rFonts w:ascii="Arial" w:hAnsi="Arial" w:cs="Arial"/>
          <w:lang w:val="en-ZA"/>
        </w:rPr>
        <w:t xml:space="preserve"> </w:t>
      </w:r>
      <w:r w:rsidR="00B91AD4">
        <w:rPr>
          <w:rFonts w:ascii="Arial" w:hAnsi="Arial" w:cs="Arial"/>
          <w:lang w:val="en-ZA"/>
        </w:rPr>
        <w:t xml:space="preserve">on the date of the </w:t>
      </w:r>
      <w:r w:rsidR="00F402CF">
        <w:rPr>
          <w:rFonts w:ascii="Arial" w:hAnsi="Arial" w:cs="Arial"/>
          <w:lang w:val="en-ZA"/>
        </w:rPr>
        <w:t>stated</w:t>
      </w:r>
      <w:r w:rsidR="00B91AD4">
        <w:rPr>
          <w:rFonts w:ascii="Arial" w:hAnsi="Arial" w:cs="Arial"/>
          <w:lang w:val="en-ZA"/>
        </w:rPr>
        <w:t xml:space="preserve"> case</w:t>
      </w:r>
      <w:r w:rsidR="00B91AD4" w:rsidRPr="00EA0E14">
        <w:rPr>
          <w:rFonts w:ascii="Arial" w:hAnsi="Arial" w:cs="Arial"/>
          <w:lang w:val="en-ZA"/>
        </w:rPr>
        <w:t xml:space="preserve"> </w:t>
      </w:r>
      <w:r w:rsidRPr="00EA0E14">
        <w:rPr>
          <w:rFonts w:ascii="Arial" w:hAnsi="Arial" w:cs="Arial"/>
          <w:lang w:val="en-ZA"/>
        </w:rPr>
        <w:t xml:space="preserve">that the amounts due and owing were liquidated because </w:t>
      </w:r>
      <w:r w:rsidR="00DF4A1D" w:rsidRPr="00EA0E14">
        <w:rPr>
          <w:rFonts w:ascii="Arial" w:hAnsi="Arial" w:cs="Arial"/>
          <w:lang w:val="en-ZA"/>
        </w:rPr>
        <w:t xml:space="preserve">at all material times the capital amounts were not disputed by the </w:t>
      </w:r>
      <w:r w:rsidRPr="00EA0E14">
        <w:rPr>
          <w:rFonts w:ascii="Arial" w:hAnsi="Arial" w:cs="Arial"/>
          <w:lang w:val="en-ZA"/>
        </w:rPr>
        <w:t>Government.</w:t>
      </w:r>
    </w:p>
    <w:p w14:paraId="79D28656" w14:textId="7EC6C9AC" w:rsidR="00101980" w:rsidRPr="00AD5F0F" w:rsidRDefault="00101980" w:rsidP="001E2498">
      <w:pPr>
        <w:pStyle w:val="NormalWeb"/>
        <w:spacing w:before="0" w:beforeAutospacing="0" w:after="0" w:afterAutospacing="0" w:line="480" w:lineRule="auto"/>
        <w:jc w:val="both"/>
        <w:rPr>
          <w:rFonts w:ascii="Arial" w:hAnsi="Arial" w:cs="Arial"/>
          <w:b/>
          <w:lang w:val="en-ZA"/>
        </w:rPr>
      </w:pPr>
    </w:p>
    <w:p w14:paraId="0CC5F191" w14:textId="20FB12E1" w:rsidR="00AD5F0F" w:rsidRPr="00EA0E14" w:rsidRDefault="00101980" w:rsidP="001E2498">
      <w:pPr>
        <w:pStyle w:val="NormalWeb"/>
        <w:numPr>
          <w:ilvl w:val="0"/>
          <w:numId w:val="8"/>
        </w:numPr>
        <w:spacing w:before="0" w:beforeAutospacing="0" w:after="0" w:afterAutospacing="0" w:line="480" w:lineRule="auto"/>
        <w:ind w:left="0" w:firstLine="0"/>
        <w:jc w:val="both"/>
        <w:rPr>
          <w:rFonts w:ascii="Arial" w:hAnsi="Arial" w:cs="Arial"/>
          <w:b/>
          <w:lang w:val="en-ZA"/>
        </w:rPr>
      </w:pPr>
      <w:r>
        <w:rPr>
          <w:rFonts w:ascii="Arial" w:hAnsi="Arial" w:cs="Arial"/>
          <w:lang w:val="en-ZA"/>
        </w:rPr>
        <w:t>The manner in which the parties pleaded th</w:t>
      </w:r>
      <w:r w:rsidR="009F7F48">
        <w:rPr>
          <w:rFonts w:ascii="Arial" w:hAnsi="Arial" w:cs="Arial"/>
          <w:lang w:val="en-ZA"/>
        </w:rPr>
        <w:t>e stated case was</w:t>
      </w:r>
      <w:r>
        <w:rPr>
          <w:rFonts w:ascii="Arial" w:hAnsi="Arial" w:cs="Arial"/>
          <w:lang w:val="en-ZA"/>
        </w:rPr>
        <w:t>, as will now become apparent, in no small measure responsible for the confusion that crept in in the manner that the matter was adjudicated.</w:t>
      </w:r>
    </w:p>
    <w:p w14:paraId="44DBB465" w14:textId="77777777" w:rsidR="00F4025B" w:rsidRDefault="00F4025B" w:rsidP="001E2498">
      <w:pPr>
        <w:spacing w:after="0" w:line="480" w:lineRule="auto"/>
        <w:rPr>
          <w:rFonts w:ascii="Arial" w:hAnsi="Arial" w:cs="Arial"/>
          <w:b/>
          <w:sz w:val="24"/>
          <w:szCs w:val="24"/>
          <w:lang w:val="en-ZA"/>
        </w:rPr>
      </w:pPr>
    </w:p>
    <w:p w14:paraId="1C787BCB" w14:textId="5E8E1858" w:rsidR="00101980" w:rsidRPr="000C3615" w:rsidRDefault="00602017" w:rsidP="000732F4">
      <w:pPr>
        <w:pStyle w:val="NormalWeb"/>
        <w:spacing w:before="0" w:beforeAutospacing="0" w:after="0" w:afterAutospacing="0" w:line="480" w:lineRule="auto"/>
        <w:jc w:val="both"/>
        <w:rPr>
          <w:rFonts w:ascii="Arial" w:eastAsia="Calibri" w:hAnsi="Arial" w:cs="Arial"/>
          <w:bCs/>
          <w:u w:val="single"/>
        </w:rPr>
      </w:pPr>
      <w:r>
        <w:rPr>
          <w:rFonts w:ascii="Arial" w:eastAsia="Calibri" w:hAnsi="Arial" w:cs="Arial"/>
          <w:bCs/>
          <w:u w:val="single"/>
        </w:rPr>
        <w:t xml:space="preserve">Proper approach to </w:t>
      </w:r>
      <w:r w:rsidR="000732F4">
        <w:rPr>
          <w:rFonts w:ascii="Arial" w:eastAsia="Calibri" w:hAnsi="Arial" w:cs="Arial"/>
          <w:bCs/>
          <w:u w:val="single"/>
        </w:rPr>
        <w:t>r</w:t>
      </w:r>
      <w:r w:rsidR="00101980" w:rsidRPr="000C3615">
        <w:rPr>
          <w:rFonts w:ascii="Arial" w:eastAsia="Calibri" w:hAnsi="Arial" w:cs="Arial"/>
          <w:bCs/>
          <w:u w:val="single"/>
        </w:rPr>
        <w:t>ule 63</w:t>
      </w:r>
    </w:p>
    <w:p w14:paraId="78461F9D" w14:textId="33CA32C2" w:rsidR="00321151" w:rsidRDefault="003C5348" w:rsidP="00321151">
      <w:pPr>
        <w:pStyle w:val="NormalWeb"/>
        <w:numPr>
          <w:ilvl w:val="0"/>
          <w:numId w:val="8"/>
        </w:numPr>
        <w:spacing w:before="0" w:beforeAutospacing="0" w:after="0" w:afterAutospacing="0"/>
        <w:ind w:left="0" w:firstLine="0"/>
        <w:jc w:val="both"/>
        <w:rPr>
          <w:rFonts w:ascii="Arial" w:eastAsia="Calibri" w:hAnsi="Arial" w:cs="Arial"/>
          <w:bCs/>
        </w:rPr>
      </w:pPr>
      <w:r>
        <w:rPr>
          <w:rFonts w:ascii="Arial" w:eastAsia="Calibri" w:hAnsi="Arial" w:cs="Arial"/>
          <w:bCs/>
        </w:rPr>
        <w:t xml:space="preserve">In relevant part, </w:t>
      </w:r>
      <w:r w:rsidR="000732F4">
        <w:rPr>
          <w:rFonts w:ascii="Arial" w:eastAsia="Calibri" w:hAnsi="Arial" w:cs="Arial"/>
          <w:bCs/>
        </w:rPr>
        <w:t>r</w:t>
      </w:r>
      <w:r w:rsidR="00F2295D" w:rsidRPr="00F2295D">
        <w:rPr>
          <w:rFonts w:ascii="Arial" w:eastAsia="Calibri" w:hAnsi="Arial" w:cs="Arial"/>
          <w:bCs/>
        </w:rPr>
        <w:t xml:space="preserve">ule 63 provides: </w:t>
      </w:r>
    </w:p>
    <w:p w14:paraId="5BDDFFEA" w14:textId="77777777" w:rsidR="00321151" w:rsidRPr="00321151" w:rsidRDefault="00321151" w:rsidP="00321151">
      <w:pPr>
        <w:pStyle w:val="NormalWeb"/>
        <w:spacing w:before="0" w:beforeAutospacing="0" w:after="0" w:afterAutospacing="0" w:line="480" w:lineRule="auto"/>
        <w:jc w:val="both"/>
        <w:rPr>
          <w:rFonts w:ascii="Arial" w:eastAsia="Calibri" w:hAnsi="Arial" w:cs="Arial"/>
          <w:bCs/>
        </w:rPr>
      </w:pPr>
    </w:p>
    <w:p w14:paraId="2DB8E054" w14:textId="77777777" w:rsidR="00F2295D" w:rsidRPr="00826796" w:rsidRDefault="00F2295D" w:rsidP="00321151">
      <w:pPr>
        <w:spacing w:after="0" w:line="240" w:lineRule="auto"/>
        <w:ind w:firstLine="720"/>
        <w:jc w:val="both"/>
        <w:rPr>
          <w:rFonts w:ascii="Arial" w:eastAsia="Calibri" w:hAnsi="Arial" w:cs="Arial"/>
          <w:b/>
          <w:bCs/>
          <w:lang w:val="en-GB" w:eastAsia="en-GB"/>
        </w:rPr>
      </w:pPr>
      <w:r w:rsidRPr="003D437D">
        <w:rPr>
          <w:rFonts w:ascii="Arial" w:eastAsia="Calibri" w:hAnsi="Arial" w:cs="Arial"/>
          <w:bCs/>
          <w:lang w:val="en-GB" w:eastAsia="en-GB"/>
        </w:rPr>
        <w:t>‘</w:t>
      </w:r>
      <w:r w:rsidRPr="00826796">
        <w:rPr>
          <w:rFonts w:ascii="Arial" w:eastAsia="Calibri" w:hAnsi="Arial" w:cs="Arial"/>
          <w:b/>
          <w:bCs/>
          <w:lang w:val="en-GB" w:eastAsia="en-GB"/>
        </w:rPr>
        <w:t>Special case and adjudication upon points of law and facts</w:t>
      </w:r>
    </w:p>
    <w:p w14:paraId="2882B9CE" w14:textId="77777777" w:rsidR="00F2295D" w:rsidRPr="001E2498" w:rsidRDefault="00F2295D" w:rsidP="00B76E9E">
      <w:pPr>
        <w:spacing w:before="100" w:beforeAutospacing="1" w:after="100" w:afterAutospacing="1" w:line="360" w:lineRule="auto"/>
        <w:ind w:left="720"/>
        <w:jc w:val="both"/>
        <w:rPr>
          <w:rFonts w:ascii="Arial" w:eastAsia="Calibri" w:hAnsi="Arial" w:cs="Arial"/>
          <w:lang w:val="en-GB" w:eastAsia="en-GB"/>
        </w:rPr>
      </w:pPr>
      <w:r w:rsidRPr="001E2498">
        <w:rPr>
          <w:rFonts w:ascii="Arial" w:eastAsia="Calibri" w:hAnsi="Arial" w:cs="Arial"/>
          <w:bCs/>
          <w:lang w:val="en-GB" w:eastAsia="en-GB"/>
        </w:rPr>
        <w:t>63.</w:t>
      </w:r>
      <w:r w:rsidRPr="001E2498">
        <w:rPr>
          <w:rFonts w:ascii="Arial" w:eastAsia="Calibri" w:hAnsi="Arial" w:cs="Arial"/>
          <w:b/>
          <w:bCs/>
          <w:lang w:val="en-GB" w:eastAsia="en-GB"/>
        </w:rPr>
        <w:t xml:space="preserve"> </w:t>
      </w:r>
      <w:r w:rsidRPr="001E2498">
        <w:rPr>
          <w:rFonts w:ascii="Arial" w:eastAsia="Calibri" w:hAnsi="Arial" w:cs="Arial"/>
          <w:lang w:val="en-GB" w:eastAsia="en-GB"/>
        </w:rPr>
        <w:t xml:space="preserve">(1) The parties to a dispute may, after institution of proceedings, agree on a written statement of facts in the form of a special case for adjudication by the managing judge. </w:t>
      </w:r>
    </w:p>
    <w:p w14:paraId="3A1ECBA9" w14:textId="77777777" w:rsidR="00F2295D" w:rsidRPr="001E2498" w:rsidRDefault="00F2295D" w:rsidP="00B76E9E">
      <w:pPr>
        <w:spacing w:before="100" w:beforeAutospacing="1" w:after="100" w:afterAutospacing="1" w:line="360" w:lineRule="auto"/>
        <w:ind w:left="720"/>
        <w:jc w:val="both"/>
        <w:rPr>
          <w:rFonts w:ascii="Arial" w:eastAsia="Calibri" w:hAnsi="Arial" w:cs="Arial"/>
          <w:lang w:val="en-GB" w:eastAsia="en-GB"/>
        </w:rPr>
      </w:pPr>
      <w:r w:rsidRPr="001E2498">
        <w:rPr>
          <w:rFonts w:ascii="Arial" w:eastAsia="Calibri" w:hAnsi="Arial" w:cs="Arial"/>
          <w:lang w:val="en-GB" w:eastAsia="en-GB"/>
        </w:rPr>
        <w:lastRenderedPageBreak/>
        <w:t xml:space="preserve">(2) The statement referred to in subrule (1) must set out the facts the parties agree on and the questions of law in dispute between the parties and their individual contentions and the statement must be - </w:t>
      </w:r>
    </w:p>
    <w:p w14:paraId="4A77D23C" w14:textId="77777777" w:rsidR="00F2295D" w:rsidRPr="001E2498" w:rsidRDefault="00F2295D" w:rsidP="00C22A68">
      <w:pPr>
        <w:spacing w:before="100" w:beforeAutospacing="1" w:after="100" w:afterAutospacing="1" w:line="360" w:lineRule="auto"/>
        <w:ind w:left="1440"/>
        <w:jc w:val="both"/>
        <w:rPr>
          <w:rFonts w:ascii="Arial" w:eastAsia="Calibri" w:hAnsi="Arial" w:cs="Arial"/>
          <w:lang w:val="en-GB" w:eastAsia="en-GB"/>
        </w:rPr>
      </w:pPr>
      <w:r w:rsidRPr="001E2498">
        <w:rPr>
          <w:rFonts w:ascii="Arial" w:eastAsia="Calibri" w:hAnsi="Arial" w:cs="Arial"/>
          <w:lang w:val="en-GB" w:eastAsia="en-GB"/>
        </w:rPr>
        <w:t xml:space="preserve">(a) divided into consecutively numbered paragraphs and accompanied by copies of documents necessary to enable the managing judge to decide on the questions; and </w:t>
      </w:r>
    </w:p>
    <w:p w14:paraId="71C91858" w14:textId="77777777" w:rsidR="00F2295D" w:rsidRPr="001E2498" w:rsidRDefault="00F2295D" w:rsidP="00C22A68">
      <w:pPr>
        <w:spacing w:before="100" w:beforeAutospacing="1" w:after="100" w:afterAutospacing="1" w:line="360" w:lineRule="auto"/>
        <w:ind w:left="1440"/>
        <w:jc w:val="both"/>
        <w:rPr>
          <w:rFonts w:ascii="Arial" w:eastAsia="Calibri" w:hAnsi="Arial" w:cs="Arial"/>
          <w:lang w:val="en-GB" w:eastAsia="en-GB"/>
        </w:rPr>
      </w:pPr>
      <w:r w:rsidRPr="001E2498">
        <w:rPr>
          <w:rFonts w:ascii="Arial" w:eastAsia="Calibri" w:hAnsi="Arial" w:cs="Arial"/>
          <w:lang w:val="en-GB" w:eastAsia="en-GB"/>
        </w:rPr>
        <w:t xml:space="preserve">(b) signed by each party’s legal practitioner or where a party sues or defends personally by such party and the signed documents must be annexed to the statement. </w:t>
      </w:r>
    </w:p>
    <w:p w14:paraId="4AB7CBEC" w14:textId="77777777" w:rsidR="00F2295D" w:rsidRPr="001E2498" w:rsidRDefault="00F2295D" w:rsidP="00B76E9E">
      <w:pPr>
        <w:spacing w:before="100" w:beforeAutospacing="1" w:after="100" w:afterAutospacing="1" w:line="360" w:lineRule="auto"/>
        <w:ind w:firstLine="720"/>
        <w:jc w:val="both"/>
        <w:rPr>
          <w:rFonts w:ascii="Arial" w:eastAsia="Calibri" w:hAnsi="Arial" w:cs="Arial"/>
          <w:lang w:val="en-GB" w:eastAsia="en-GB"/>
        </w:rPr>
      </w:pPr>
      <w:r w:rsidRPr="001E2498">
        <w:rPr>
          <w:rFonts w:ascii="Arial" w:eastAsia="Calibri" w:hAnsi="Arial" w:cs="Arial"/>
          <w:lang w:val="en-GB" w:eastAsia="en-GB"/>
        </w:rPr>
        <w:t xml:space="preserve">(3) The managing judge must set down a special case for hearing. </w:t>
      </w:r>
    </w:p>
    <w:p w14:paraId="08170291" w14:textId="515F115D" w:rsidR="00F2295D" w:rsidRPr="001E2498" w:rsidRDefault="00B05B2E" w:rsidP="00B76E9E">
      <w:pPr>
        <w:spacing w:before="100" w:beforeAutospacing="1" w:after="100" w:afterAutospacing="1" w:line="360" w:lineRule="auto"/>
        <w:ind w:firstLine="720"/>
        <w:jc w:val="both"/>
        <w:rPr>
          <w:rFonts w:ascii="Arial" w:eastAsia="Calibri" w:hAnsi="Arial" w:cs="Arial"/>
          <w:lang w:val="en-GB" w:eastAsia="en-GB"/>
        </w:rPr>
      </w:pPr>
      <w:r w:rsidRPr="001E2498">
        <w:rPr>
          <w:rFonts w:ascii="Arial" w:eastAsia="Calibri" w:hAnsi="Arial" w:cs="Arial"/>
          <w:lang w:val="en-GB" w:eastAsia="en-GB"/>
        </w:rPr>
        <w:t>.</w:t>
      </w:r>
      <w:r w:rsidR="008063D3">
        <w:rPr>
          <w:rFonts w:ascii="Arial" w:eastAsia="Calibri" w:hAnsi="Arial" w:cs="Arial"/>
          <w:lang w:val="en-GB" w:eastAsia="en-GB"/>
        </w:rPr>
        <w:t xml:space="preserve"> </w:t>
      </w:r>
      <w:r w:rsidRPr="001E2498">
        <w:rPr>
          <w:rFonts w:ascii="Arial" w:eastAsia="Calibri" w:hAnsi="Arial" w:cs="Arial"/>
          <w:lang w:val="en-GB" w:eastAsia="en-GB"/>
        </w:rPr>
        <w:t>. .</w:t>
      </w:r>
    </w:p>
    <w:p w14:paraId="75CA2261" w14:textId="77777777" w:rsidR="00F2295D" w:rsidRPr="001E2498" w:rsidRDefault="00F2295D" w:rsidP="00B76E9E">
      <w:pPr>
        <w:spacing w:before="100" w:beforeAutospacing="1" w:after="100" w:afterAutospacing="1" w:line="360" w:lineRule="auto"/>
        <w:ind w:left="720"/>
        <w:jc w:val="both"/>
        <w:rPr>
          <w:rFonts w:ascii="Arial" w:eastAsia="Calibri" w:hAnsi="Arial" w:cs="Arial"/>
          <w:lang w:val="en-GB" w:eastAsia="en-GB"/>
        </w:rPr>
      </w:pPr>
      <w:r w:rsidRPr="001E2498">
        <w:rPr>
          <w:rFonts w:ascii="Arial" w:eastAsia="Calibri" w:hAnsi="Arial" w:cs="Arial"/>
          <w:lang w:val="en-GB" w:eastAsia="en-GB"/>
        </w:rPr>
        <w:t xml:space="preserve">(5) At the hearing of a special case the managing judge and the parties may refer to the entire contents of the documents referred to in subrule (2) and the managing judge may draw any inference of fact or of law from the facts and documents as if proved at a trial. </w:t>
      </w:r>
    </w:p>
    <w:p w14:paraId="6695DBCC" w14:textId="77777777" w:rsidR="00F2295D" w:rsidRPr="001E2498" w:rsidRDefault="00B05B2E" w:rsidP="00B76E9E">
      <w:pPr>
        <w:spacing w:before="100" w:beforeAutospacing="1" w:after="100" w:afterAutospacing="1" w:line="360" w:lineRule="auto"/>
        <w:ind w:firstLine="720"/>
        <w:jc w:val="both"/>
        <w:rPr>
          <w:rFonts w:ascii="Arial" w:eastAsia="Calibri" w:hAnsi="Arial" w:cs="Arial"/>
          <w:lang w:val="en-GB" w:eastAsia="en-GB"/>
        </w:rPr>
      </w:pPr>
      <w:r w:rsidRPr="001E2498">
        <w:rPr>
          <w:rFonts w:ascii="Arial" w:eastAsia="Calibri" w:hAnsi="Arial" w:cs="Arial"/>
          <w:lang w:val="en-GB" w:eastAsia="en-GB"/>
        </w:rPr>
        <w:t xml:space="preserve">. . . </w:t>
      </w:r>
    </w:p>
    <w:p w14:paraId="1E1E04FE" w14:textId="2541B620" w:rsidR="00F2295D" w:rsidRPr="001E2498" w:rsidRDefault="00F2295D" w:rsidP="00B76E9E">
      <w:pPr>
        <w:spacing w:before="100" w:beforeAutospacing="1" w:after="100" w:afterAutospacing="1" w:line="360" w:lineRule="auto"/>
        <w:ind w:left="720"/>
        <w:jc w:val="both"/>
        <w:rPr>
          <w:rFonts w:ascii="Times New Roman" w:eastAsia="Calibri" w:hAnsi="Times New Roman" w:cs="Times New Roman"/>
          <w:lang w:val="en-GB" w:eastAsia="en-GB"/>
        </w:rPr>
      </w:pPr>
      <w:r w:rsidRPr="001E2498">
        <w:rPr>
          <w:rFonts w:ascii="Arial" w:eastAsia="Calibri" w:hAnsi="Arial" w:cs="Arial"/>
          <w:lang w:val="en-GB" w:eastAsia="en-GB"/>
        </w:rPr>
        <w:t>(9) If the question in dispute is one of law and the parties are agreed on the facts, the facts may be admitted and recorded at the trial and the managing judge may give judg</w:t>
      </w:r>
      <w:r w:rsidR="00397AAB">
        <w:rPr>
          <w:rFonts w:ascii="Arial" w:eastAsia="Calibri" w:hAnsi="Arial" w:cs="Arial"/>
          <w:lang w:val="en-GB" w:eastAsia="en-GB"/>
        </w:rPr>
        <w:t>ment without hearing evidence.’</w:t>
      </w:r>
    </w:p>
    <w:p w14:paraId="00B23CA0" w14:textId="77777777" w:rsidR="00F2295D" w:rsidRPr="00F2295D" w:rsidRDefault="00F2295D" w:rsidP="00F2295D">
      <w:pPr>
        <w:spacing w:after="0" w:line="480" w:lineRule="auto"/>
        <w:jc w:val="both"/>
        <w:rPr>
          <w:rFonts w:ascii="Arial" w:eastAsia="Calibri" w:hAnsi="Arial" w:cs="Arial"/>
          <w:sz w:val="24"/>
          <w:lang w:val="en-ZA"/>
        </w:rPr>
      </w:pPr>
    </w:p>
    <w:p w14:paraId="50CC6A04" w14:textId="72D412F5" w:rsidR="00F2295D" w:rsidRPr="00F2295D" w:rsidRDefault="00F2295D" w:rsidP="00B05B2E">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B05B2E">
        <w:rPr>
          <w:rFonts w:ascii="Arial" w:eastAsia="Calibri" w:hAnsi="Arial" w:cs="Arial"/>
          <w:bCs/>
        </w:rPr>
        <w:t>The</w:t>
      </w:r>
      <w:r w:rsidRPr="00F2295D">
        <w:rPr>
          <w:rFonts w:ascii="Arial" w:eastAsia="Calibri" w:hAnsi="Arial" w:cs="Arial"/>
          <w:lang w:val="en-ZA"/>
        </w:rPr>
        <w:t xml:space="preserve"> proper approach to a stated case </w:t>
      </w:r>
      <w:r w:rsidR="003C5348">
        <w:rPr>
          <w:rFonts w:ascii="Arial" w:eastAsia="Calibri" w:hAnsi="Arial" w:cs="Arial"/>
          <w:lang w:val="en-ZA"/>
        </w:rPr>
        <w:t xml:space="preserve">under </w:t>
      </w:r>
      <w:r w:rsidR="002F16DE">
        <w:rPr>
          <w:rFonts w:ascii="Arial" w:eastAsia="Calibri" w:hAnsi="Arial" w:cs="Arial"/>
          <w:lang w:val="en-ZA"/>
        </w:rPr>
        <w:t>r</w:t>
      </w:r>
      <w:r w:rsidR="00101980">
        <w:rPr>
          <w:rFonts w:ascii="Arial" w:eastAsia="Calibri" w:hAnsi="Arial" w:cs="Arial"/>
          <w:lang w:val="en-ZA"/>
        </w:rPr>
        <w:t xml:space="preserve">ule 63 </w:t>
      </w:r>
      <w:r w:rsidRPr="00F2295D">
        <w:rPr>
          <w:rFonts w:ascii="Arial" w:eastAsia="Calibri" w:hAnsi="Arial" w:cs="Arial"/>
          <w:lang w:val="en-ZA"/>
        </w:rPr>
        <w:t xml:space="preserve">has been explained in two judgments of </w:t>
      </w:r>
      <w:r w:rsidR="00750E66">
        <w:rPr>
          <w:rFonts w:ascii="Arial" w:eastAsia="Calibri" w:hAnsi="Arial" w:cs="Arial"/>
          <w:lang w:val="en-ZA"/>
        </w:rPr>
        <w:t>this Court</w:t>
      </w:r>
      <w:r w:rsidRPr="00F2295D">
        <w:rPr>
          <w:rFonts w:ascii="Arial" w:eastAsia="Calibri" w:hAnsi="Arial" w:cs="Arial"/>
          <w:lang w:val="en-ZA"/>
        </w:rPr>
        <w:t>.</w:t>
      </w:r>
      <w:r w:rsidRPr="00F2295D">
        <w:rPr>
          <w:rFonts w:ascii="Arial" w:eastAsia="Calibri" w:hAnsi="Arial" w:cs="Arial"/>
          <w:vertAlign w:val="superscript"/>
          <w:lang w:val="en-ZA"/>
        </w:rPr>
        <w:footnoteReference w:id="1"/>
      </w:r>
      <w:r w:rsidRPr="00F2295D">
        <w:rPr>
          <w:rFonts w:ascii="Arial" w:eastAsia="Calibri" w:hAnsi="Arial" w:cs="Arial"/>
          <w:lang w:val="en-ZA"/>
        </w:rPr>
        <w:t xml:space="preserve"> The</w:t>
      </w:r>
      <w:r w:rsidR="00101980">
        <w:rPr>
          <w:rFonts w:ascii="Arial" w:eastAsia="Calibri" w:hAnsi="Arial" w:cs="Arial"/>
          <w:lang w:val="en-ZA"/>
        </w:rPr>
        <w:t xml:space="preserve">se </w:t>
      </w:r>
      <w:r w:rsidRPr="00F2295D">
        <w:rPr>
          <w:rFonts w:ascii="Arial" w:eastAsia="Calibri" w:hAnsi="Arial" w:cs="Arial"/>
          <w:lang w:val="en-ZA"/>
        </w:rPr>
        <w:t xml:space="preserve">cases emphasise the importance of </w:t>
      </w:r>
      <w:r w:rsidR="0049288E">
        <w:rPr>
          <w:rFonts w:ascii="Arial" w:eastAsia="Calibri" w:hAnsi="Arial" w:cs="Arial"/>
          <w:lang w:val="en-ZA"/>
        </w:rPr>
        <w:t xml:space="preserve">precision and </w:t>
      </w:r>
      <w:r w:rsidRPr="00F2295D">
        <w:rPr>
          <w:rFonts w:ascii="Arial" w:eastAsia="Calibri" w:hAnsi="Arial" w:cs="Arial"/>
          <w:lang w:val="en-ZA"/>
        </w:rPr>
        <w:t>clarity in the formulation of a stated</w:t>
      </w:r>
      <w:r w:rsidR="0014696D">
        <w:rPr>
          <w:rFonts w:ascii="Arial" w:eastAsia="Calibri" w:hAnsi="Arial" w:cs="Arial"/>
          <w:lang w:val="en-ZA"/>
        </w:rPr>
        <w:t xml:space="preserve"> case</w:t>
      </w:r>
      <w:r w:rsidR="00101980">
        <w:rPr>
          <w:rFonts w:ascii="Arial" w:eastAsia="Calibri" w:hAnsi="Arial" w:cs="Arial"/>
          <w:lang w:val="en-ZA"/>
        </w:rPr>
        <w:t xml:space="preserve">. </w:t>
      </w:r>
      <w:r w:rsidRPr="00F2295D">
        <w:rPr>
          <w:rFonts w:ascii="Arial" w:eastAsia="Calibri" w:hAnsi="Arial" w:cs="Arial"/>
          <w:lang w:val="en-ZA"/>
        </w:rPr>
        <w:t xml:space="preserve">It is important in crafting </w:t>
      </w:r>
      <w:r w:rsidR="00101980">
        <w:rPr>
          <w:rFonts w:ascii="Arial" w:eastAsia="Calibri" w:hAnsi="Arial" w:cs="Arial"/>
          <w:lang w:val="en-ZA"/>
        </w:rPr>
        <w:t xml:space="preserve">such </w:t>
      </w:r>
      <w:r w:rsidRPr="00F2295D">
        <w:rPr>
          <w:rFonts w:ascii="Arial" w:eastAsia="Calibri" w:hAnsi="Arial" w:cs="Arial"/>
          <w:lang w:val="en-ZA"/>
        </w:rPr>
        <w:t xml:space="preserve">case that the trial judge is not left to guess what the facts are which have been agreed upon by the </w:t>
      </w:r>
      <w:r w:rsidRPr="00F2295D">
        <w:rPr>
          <w:rFonts w:ascii="Arial" w:eastAsia="Calibri" w:hAnsi="Arial" w:cs="Arial"/>
          <w:lang w:val="en-ZA"/>
        </w:rPr>
        <w:lastRenderedPageBreak/>
        <w:t>parties</w:t>
      </w:r>
      <w:r w:rsidR="00101980">
        <w:rPr>
          <w:rFonts w:ascii="Arial" w:eastAsia="Calibri" w:hAnsi="Arial" w:cs="Arial"/>
          <w:lang w:val="en-ZA"/>
        </w:rPr>
        <w:t>.</w:t>
      </w:r>
      <w:r w:rsidRPr="00F2295D">
        <w:rPr>
          <w:rFonts w:ascii="Arial" w:eastAsia="Calibri" w:hAnsi="Arial" w:cs="Arial"/>
          <w:lang w:val="en-ZA"/>
        </w:rPr>
        <w:t xml:space="preserve"> </w:t>
      </w:r>
      <w:r w:rsidR="00101980">
        <w:rPr>
          <w:rFonts w:ascii="Arial" w:eastAsia="Calibri" w:hAnsi="Arial" w:cs="Arial"/>
          <w:lang w:val="en-ZA"/>
        </w:rPr>
        <w:t>T</w:t>
      </w:r>
      <w:r w:rsidRPr="00F2295D">
        <w:rPr>
          <w:rFonts w:ascii="Arial" w:eastAsia="Calibri" w:hAnsi="Arial" w:cs="Arial"/>
          <w:lang w:val="en-ZA"/>
        </w:rPr>
        <w:t xml:space="preserve">he purpose of the rule is to place the court in the position to decide a clearly defined question of law on the basis of agreed facts. </w:t>
      </w:r>
    </w:p>
    <w:p w14:paraId="4D0BF585" w14:textId="77777777" w:rsidR="00F2295D" w:rsidRPr="00F2295D" w:rsidRDefault="00F2295D" w:rsidP="00F2295D">
      <w:pPr>
        <w:spacing w:after="0" w:line="480" w:lineRule="auto"/>
        <w:jc w:val="both"/>
        <w:rPr>
          <w:rFonts w:ascii="Arial" w:eastAsia="Calibri" w:hAnsi="Arial" w:cs="Arial"/>
          <w:sz w:val="24"/>
          <w:lang w:val="en-ZA"/>
        </w:rPr>
      </w:pPr>
    </w:p>
    <w:p w14:paraId="485BE300" w14:textId="486A0610" w:rsidR="00A54CF0" w:rsidRDefault="00F2295D" w:rsidP="00B05B2E">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F2295D">
        <w:rPr>
          <w:rFonts w:ascii="Arial" w:eastAsia="Calibri" w:hAnsi="Arial" w:cs="Arial"/>
          <w:lang w:val="en-ZA"/>
        </w:rPr>
        <w:t>Th</w:t>
      </w:r>
      <w:r w:rsidR="00101980">
        <w:rPr>
          <w:rFonts w:ascii="Arial" w:eastAsia="Calibri" w:hAnsi="Arial" w:cs="Arial"/>
          <w:lang w:val="en-ZA"/>
        </w:rPr>
        <w:t xml:space="preserve">at </w:t>
      </w:r>
      <w:r w:rsidRPr="00F2295D">
        <w:rPr>
          <w:rFonts w:ascii="Arial" w:eastAsia="Calibri" w:hAnsi="Arial" w:cs="Arial"/>
          <w:lang w:val="en-ZA"/>
        </w:rPr>
        <w:t xml:space="preserve">purpose is defeated if what the court has to do is to </w:t>
      </w:r>
      <w:r w:rsidR="00F741E1">
        <w:rPr>
          <w:rFonts w:ascii="Arial" w:eastAsia="Calibri" w:hAnsi="Arial" w:cs="Arial"/>
          <w:lang w:val="en-ZA"/>
        </w:rPr>
        <w:t xml:space="preserve">itself </w:t>
      </w:r>
      <w:r w:rsidRPr="00F2295D">
        <w:rPr>
          <w:rFonts w:ascii="Arial" w:eastAsia="Calibri" w:hAnsi="Arial" w:cs="Arial"/>
          <w:lang w:val="en-ZA"/>
        </w:rPr>
        <w:t xml:space="preserve">first determine </w:t>
      </w:r>
      <w:r w:rsidR="00F741E1">
        <w:rPr>
          <w:rFonts w:ascii="Arial" w:eastAsia="Calibri" w:hAnsi="Arial" w:cs="Arial"/>
          <w:lang w:val="en-ZA"/>
        </w:rPr>
        <w:t xml:space="preserve">the </w:t>
      </w:r>
      <w:r w:rsidRPr="00F2295D">
        <w:rPr>
          <w:rFonts w:ascii="Arial" w:eastAsia="Calibri" w:hAnsi="Arial" w:cs="Arial"/>
          <w:lang w:val="en-ZA"/>
        </w:rPr>
        <w:t xml:space="preserve">relevant facts to be able to decide the parties’ chosen question(s) of law. It is perfectly permissible for a court in </w:t>
      </w:r>
      <w:r w:rsidR="00101980">
        <w:rPr>
          <w:rFonts w:ascii="Arial" w:eastAsia="Calibri" w:hAnsi="Arial" w:cs="Arial"/>
          <w:lang w:val="en-ZA"/>
        </w:rPr>
        <w:t xml:space="preserve">a </w:t>
      </w:r>
      <w:r w:rsidRPr="00F2295D">
        <w:rPr>
          <w:rFonts w:ascii="Arial" w:eastAsia="Calibri" w:hAnsi="Arial" w:cs="Arial"/>
          <w:lang w:val="en-ZA"/>
        </w:rPr>
        <w:t>stated case to draw inferences from agreed facts. What is not allowed is for the court to make primary findings of fact which the parties had not agreed upon in the stated case</w:t>
      </w:r>
      <w:r w:rsidR="00C466E6">
        <w:rPr>
          <w:rFonts w:ascii="Arial" w:eastAsia="Calibri" w:hAnsi="Arial" w:cs="Arial"/>
          <w:lang w:val="en-ZA"/>
        </w:rPr>
        <w:t xml:space="preserve"> –</w:t>
      </w:r>
      <w:r w:rsidRPr="00F2295D">
        <w:rPr>
          <w:rFonts w:ascii="Arial" w:eastAsia="Calibri" w:hAnsi="Arial" w:cs="Arial"/>
          <w:lang w:val="en-ZA"/>
        </w:rPr>
        <w:t xml:space="preserve"> </w:t>
      </w:r>
      <w:r w:rsidR="008E638D">
        <w:rPr>
          <w:rFonts w:ascii="Arial" w:eastAsia="Calibri" w:hAnsi="Arial" w:cs="Arial"/>
          <w:lang w:val="en-ZA"/>
        </w:rPr>
        <w:t xml:space="preserve">which includes </w:t>
      </w:r>
      <w:r w:rsidRPr="00F2295D">
        <w:rPr>
          <w:rFonts w:ascii="Arial" w:eastAsia="Calibri" w:hAnsi="Arial" w:cs="Arial"/>
          <w:lang w:val="en-ZA"/>
        </w:rPr>
        <w:t xml:space="preserve">the documents </w:t>
      </w:r>
      <w:r w:rsidR="008E638D">
        <w:rPr>
          <w:rFonts w:ascii="Arial" w:eastAsia="Calibri" w:hAnsi="Arial" w:cs="Arial"/>
          <w:lang w:val="en-ZA"/>
        </w:rPr>
        <w:t>‘</w:t>
      </w:r>
      <w:r w:rsidRPr="00F2295D">
        <w:rPr>
          <w:rFonts w:ascii="Arial" w:eastAsia="Calibri" w:hAnsi="Arial" w:cs="Arial"/>
          <w:lang w:val="en-ZA"/>
        </w:rPr>
        <w:t>accompanying</w:t>
      </w:r>
      <w:r w:rsidR="008E638D">
        <w:rPr>
          <w:rFonts w:ascii="Arial" w:eastAsia="Calibri" w:hAnsi="Arial" w:cs="Arial"/>
          <w:lang w:val="en-ZA"/>
        </w:rPr>
        <w:t>’</w:t>
      </w:r>
      <w:r w:rsidRPr="00F2295D">
        <w:rPr>
          <w:rFonts w:ascii="Arial" w:eastAsia="Calibri" w:hAnsi="Arial" w:cs="Arial"/>
          <w:lang w:val="en-ZA"/>
        </w:rPr>
        <w:t xml:space="preserve"> it. </w:t>
      </w:r>
      <w:r w:rsidR="00101980">
        <w:rPr>
          <w:rFonts w:ascii="Arial" w:eastAsia="Calibri" w:hAnsi="Arial" w:cs="Arial"/>
          <w:lang w:val="en-ZA"/>
        </w:rPr>
        <w:t xml:space="preserve">It is </w:t>
      </w:r>
      <w:r w:rsidR="0094192E">
        <w:rPr>
          <w:rFonts w:ascii="Arial" w:eastAsia="Calibri" w:hAnsi="Arial" w:cs="Arial"/>
          <w:lang w:val="en-ZA"/>
        </w:rPr>
        <w:t xml:space="preserve">tolerably </w:t>
      </w:r>
      <w:r w:rsidR="00101980">
        <w:rPr>
          <w:rFonts w:ascii="Arial" w:eastAsia="Calibri" w:hAnsi="Arial" w:cs="Arial"/>
          <w:lang w:val="en-ZA"/>
        </w:rPr>
        <w:t xml:space="preserve">clear </w:t>
      </w:r>
      <w:r w:rsidRPr="00F2295D">
        <w:rPr>
          <w:rFonts w:ascii="Arial" w:eastAsia="Calibri" w:hAnsi="Arial" w:cs="Arial"/>
          <w:lang w:val="en-ZA"/>
        </w:rPr>
        <w:t xml:space="preserve">from subrule (5), read with subrule (2), </w:t>
      </w:r>
      <w:r w:rsidR="00101980">
        <w:rPr>
          <w:rFonts w:ascii="Arial" w:eastAsia="Calibri" w:hAnsi="Arial" w:cs="Arial"/>
          <w:lang w:val="en-ZA"/>
        </w:rPr>
        <w:t xml:space="preserve">that </w:t>
      </w:r>
      <w:r w:rsidRPr="00F2295D">
        <w:rPr>
          <w:rFonts w:ascii="Arial" w:eastAsia="Calibri" w:hAnsi="Arial" w:cs="Arial"/>
          <w:lang w:val="en-ZA"/>
        </w:rPr>
        <w:t>if reliance is to be placed on factual material contained in documents ex</w:t>
      </w:r>
      <w:r w:rsidR="00BF66C3">
        <w:rPr>
          <w:rFonts w:ascii="Arial" w:eastAsia="Calibri" w:hAnsi="Arial" w:cs="Arial"/>
          <w:lang w:val="en-ZA"/>
        </w:rPr>
        <w:t xml:space="preserve">traneous to the stated case, those documents </w:t>
      </w:r>
      <w:r w:rsidRPr="00F2295D">
        <w:rPr>
          <w:rFonts w:ascii="Arial" w:eastAsia="Calibri" w:hAnsi="Arial" w:cs="Arial"/>
          <w:lang w:val="en-ZA"/>
        </w:rPr>
        <w:t xml:space="preserve">must ‘accompany’ the stated case. </w:t>
      </w:r>
      <w:r w:rsidR="00101980">
        <w:rPr>
          <w:rFonts w:ascii="Arial" w:eastAsia="Calibri" w:hAnsi="Arial" w:cs="Arial"/>
          <w:lang w:val="en-ZA"/>
        </w:rPr>
        <w:t>That includes any part of the pleadings. The court cannot assume that every aspect of the pleadings</w:t>
      </w:r>
      <w:r w:rsidR="00455D12">
        <w:rPr>
          <w:rFonts w:ascii="Arial" w:eastAsia="Calibri" w:hAnsi="Arial" w:cs="Arial"/>
          <w:lang w:val="en-ZA"/>
        </w:rPr>
        <w:t xml:space="preserve"> is, as a matter of course and </w:t>
      </w:r>
      <w:r w:rsidR="00A54CF0">
        <w:rPr>
          <w:rFonts w:ascii="Arial" w:eastAsia="Calibri" w:hAnsi="Arial" w:cs="Arial"/>
          <w:lang w:val="en-ZA"/>
        </w:rPr>
        <w:t xml:space="preserve">without more, part </w:t>
      </w:r>
      <w:r w:rsidR="00101980">
        <w:rPr>
          <w:rFonts w:ascii="Arial" w:eastAsia="Calibri" w:hAnsi="Arial" w:cs="Arial"/>
          <w:lang w:val="en-ZA"/>
        </w:rPr>
        <w:t xml:space="preserve">of </w:t>
      </w:r>
      <w:r w:rsidR="0094192E">
        <w:rPr>
          <w:rFonts w:ascii="Arial" w:eastAsia="Calibri" w:hAnsi="Arial" w:cs="Arial"/>
          <w:lang w:val="en-ZA"/>
        </w:rPr>
        <w:t xml:space="preserve">the </w:t>
      </w:r>
      <w:r w:rsidR="00A54CF0">
        <w:rPr>
          <w:rFonts w:ascii="Arial" w:eastAsia="Calibri" w:hAnsi="Arial" w:cs="Arial"/>
          <w:lang w:val="en-ZA"/>
        </w:rPr>
        <w:t xml:space="preserve">stated case. </w:t>
      </w:r>
      <w:r w:rsidR="00DD5B05">
        <w:rPr>
          <w:rFonts w:ascii="Arial" w:eastAsia="Calibri" w:hAnsi="Arial" w:cs="Arial"/>
          <w:lang w:val="en-ZA"/>
        </w:rPr>
        <w:t xml:space="preserve">It is </w:t>
      </w:r>
      <w:r w:rsidR="0014696D">
        <w:rPr>
          <w:rFonts w:ascii="Arial" w:eastAsia="Calibri" w:hAnsi="Arial" w:cs="Arial"/>
          <w:lang w:val="en-ZA"/>
        </w:rPr>
        <w:t xml:space="preserve">of course </w:t>
      </w:r>
      <w:r w:rsidR="00DD5B05">
        <w:rPr>
          <w:rFonts w:ascii="Arial" w:eastAsia="Calibri" w:hAnsi="Arial" w:cs="Arial"/>
          <w:lang w:val="en-ZA"/>
        </w:rPr>
        <w:t xml:space="preserve">open </w:t>
      </w:r>
      <w:r w:rsidR="0094192E">
        <w:rPr>
          <w:rFonts w:ascii="Arial" w:eastAsia="Calibri" w:hAnsi="Arial" w:cs="Arial"/>
          <w:lang w:val="en-ZA"/>
        </w:rPr>
        <w:t xml:space="preserve">for the </w:t>
      </w:r>
      <w:r w:rsidR="00DD5B05">
        <w:rPr>
          <w:rFonts w:ascii="Arial" w:eastAsia="Calibri" w:hAnsi="Arial" w:cs="Arial"/>
          <w:lang w:val="en-ZA"/>
        </w:rPr>
        <w:t>parties to</w:t>
      </w:r>
      <w:r w:rsidR="0014696D">
        <w:rPr>
          <w:rFonts w:ascii="Arial" w:eastAsia="Calibri" w:hAnsi="Arial" w:cs="Arial"/>
          <w:lang w:val="en-ZA"/>
        </w:rPr>
        <w:t>,</w:t>
      </w:r>
      <w:r w:rsidR="00DD5B05">
        <w:rPr>
          <w:rFonts w:ascii="Arial" w:eastAsia="Calibri" w:hAnsi="Arial" w:cs="Arial"/>
          <w:lang w:val="en-ZA"/>
        </w:rPr>
        <w:t xml:space="preserve"> by reference</w:t>
      </w:r>
      <w:r w:rsidR="0014696D">
        <w:rPr>
          <w:rFonts w:ascii="Arial" w:eastAsia="Calibri" w:hAnsi="Arial" w:cs="Arial"/>
          <w:lang w:val="en-ZA"/>
        </w:rPr>
        <w:t>,</w:t>
      </w:r>
      <w:r w:rsidR="00DD5B05">
        <w:rPr>
          <w:rFonts w:ascii="Arial" w:eastAsia="Calibri" w:hAnsi="Arial" w:cs="Arial"/>
          <w:lang w:val="en-ZA"/>
        </w:rPr>
        <w:t xml:space="preserve"> incorporate i</w:t>
      </w:r>
      <w:r w:rsidR="00F2045E">
        <w:rPr>
          <w:rFonts w:ascii="Arial" w:eastAsia="Calibri" w:hAnsi="Arial" w:cs="Arial"/>
          <w:lang w:val="en-ZA"/>
        </w:rPr>
        <w:t xml:space="preserve">nto the stated case any fact </w:t>
      </w:r>
      <w:r w:rsidR="00B248D7">
        <w:rPr>
          <w:rFonts w:ascii="Arial" w:eastAsia="Calibri" w:hAnsi="Arial" w:cs="Arial"/>
          <w:lang w:val="en-ZA"/>
        </w:rPr>
        <w:t>appearing in a pleading.</w:t>
      </w:r>
    </w:p>
    <w:p w14:paraId="58EFCF1D" w14:textId="77777777" w:rsidR="00A54CF0" w:rsidRDefault="00A54CF0" w:rsidP="00A54CF0">
      <w:pPr>
        <w:pStyle w:val="NormalWeb"/>
        <w:spacing w:before="0" w:beforeAutospacing="0" w:after="0" w:afterAutospacing="0" w:line="480" w:lineRule="auto"/>
        <w:jc w:val="both"/>
        <w:rPr>
          <w:rFonts w:ascii="Arial" w:eastAsia="Calibri" w:hAnsi="Arial" w:cs="Arial"/>
          <w:lang w:val="en-ZA"/>
        </w:rPr>
      </w:pPr>
    </w:p>
    <w:p w14:paraId="5ED6BAFE" w14:textId="64D2FDFE" w:rsidR="00F2295D" w:rsidRPr="00F2295D" w:rsidRDefault="0094192E" w:rsidP="00B05B2E">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Pr>
          <w:rFonts w:ascii="Arial" w:eastAsia="Calibri" w:hAnsi="Arial" w:cs="Arial"/>
          <w:lang w:val="en-ZA"/>
        </w:rPr>
        <w:t>But u</w:t>
      </w:r>
      <w:r w:rsidR="00F2295D" w:rsidRPr="00F2295D">
        <w:rPr>
          <w:rFonts w:ascii="Arial" w:eastAsia="Calibri" w:hAnsi="Arial" w:cs="Arial"/>
          <w:lang w:val="en-ZA"/>
        </w:rPr>
        <w:t>n</w:t>
      </w:r>
      <w:r>
        <w:rPr>
          <w:rFonts w:ascii="Arial" w:eastAsia="Calibri" w:hAnsi="Arial" w:cs="Arial"/>
          <w:lang w:val="en-ZA"/>
        </w:rPr>
        <w:t xml:space="preserve">less there </w:t>
      </w:r>
      <w:r w:rsidR="00C60D60">
        <w:rPr>
          <w:rFonts w:ascii="Arial" w:eastAsia="Calibri" w:hAnsi="Arial" w:cs="Arial"/>
          <w:lang w:val="en-ZA"/>
        </w:rPr>
        <w:t xml:space="preserve">is </w:t>
      </w:r>
      <w:r>
        <w:rPr>
          <w:rFonts w:ascii="Arial" w:eastAsia="Calibri" w:hAnsi="Arial" w:cs="Arial"/>
          <w:lang w:val="en-ZA"/>
        </w:rPr>
        <w:t xml:space="preserve">compliance with </w:t>
      </w:r>
      <w:r w:rsidR="00DD2F53">
        <w:rPr>
          <w:rFonts w:ascii="Arial" w:eastAsia="Calibri" w:hAnsi="Arial" w:cs="Arial"/>
          <w:lang w:val="en-ZA"/>
        </w:rPr>
        <w:t>r</w:t>
      </w:r>
      <w:r w:rsidR="00F2295D" w:rsidRPr="00F2295D">
        <w:rPr>
          <w:rFonts w:ascii="Arial" w:eastAsia="Calibri" w:hAnsi="Arial" w:cs="Arial"/>
          <w:lang w:val="en-ZA"/>
        </w:rPr>
        <w:t xml:space="preserve">ule 63(2)(a), it is not open </w:t>
      </w:r>
      <w:r w:rsidR="0049288E">
        <w:rPr>
          <w:rFonts w:ascii="Arial" w:eastAsia="Calibri" w:hAnsi="Arial" w:cs="Arial"/>
          <w:lang w:val="en-ZA"/>
        </w:rPr>
        <w:t xml:space="preserve">to </w:t>
      </w:r>
      <w:r w:rsidR="00F2295D" w:rsidRPr="00F2295D">
        <w:rPr>
          <w:rFonts w:ascii="Arial" w:eastAsia="Calibri" w:hAnsi="Arial" w:cs="Arial"/>
          <w:lang w:val="en-ZA"/>
        </w:rPr>
        <w:t xml:space="preserve">the court to traverse outside the stated case </w:t>
      </w:r>
      <w:r>
        <w:rPr>
          <w:rFonts w:ascii="Arial" w:eastAsia="Calibri" w:hAnsi="Arial" w:cs="Arial"/>
          <w:lang w:val="en-ZA"/>
        </w:rPr>
        <w:t xml:space="preserve">and rely on </w:t>
      </w:r>
      <w:r w:rsidR="00F2295D" w:rsidRPr="00F2295D">
        <w:rPr>
          <w:rFonts w:ascii="Arial" w:eastAsia="Calibri" w:hAnsi="Arial" w:cs="Arial"/>
          <w:lang w:val="en-ZA"/>
        </w:rPr>
        <w:t xml:space="preserve">some other document in order to draw inferences necessary for determining the question(s) of law. </w:t>
      </w:r>
    </w:p>
    <w:p w14:paraId="6ED08DA5" w14:textId="77777777" w:rsidR="00F2295D" w:rsidRPr="00F2295D" w:rsidRDefault="00F2295D" w:rsidP="00F2295D">
      <w:pPr>
        <w:spacing w:after="0" w:line="480" w:lineRule="auto"/>
        <w:jc w:val="both"/>
        <w:rPr>
          <w:rFonts w:ascii="Arial" w:eastAsia="Calibri" w:hAnsi="Arial" w:cs="Arial"/>
          <w:sz w:val="24"/>
          <w:lang w:val="en-ZA"/>
        </w:rPr>
      </w:pPr>
    </w:p>
    <w:p w14:paraId="3A27330F" w14:textId="04B14EA2" w:rsidR="00F2295D" w:rsidRPr="00ED1610" w:rsidRDefault="00915B3C" w:rsidP="00F2295D">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Pr>
          <w:rFonts w:ascii="Arial" w:eastAsia="Calibri" w:hAnsi="Arial" w:cs="Arial"/>
          <w:lang w:val="en-ZA"/>
        </w:rPr>
        <w:t>A</w:t>
      </w:r>
      <w:r w:rsidR="00F2295D" w:rsidRPr="00F2295D">
        <w:rPr>
          <w:rFonts w:ascii="Arial" w:eastAsia="Calibri" w:hAnsi="Arial" w:cs="Arial"/>
          <w:lang w:val="en-ZA"/>
        </w:rPr>
        <w:t xml:space="preserve">s </w:t>
      </w:r>
      <w:r w:rsidR="00750E66">
        <w:rPr>
          <w:rFonts w:ascii="Arial" w:eastAsia="Calibri" w:hAnsi="Arial" w:cs="Arial"/>
          <w:lang w:val="en-ZA"/>
        </w:rPr>
        <w:t>this Court</w:t>
      </w:r>
      <w:r w:rsidR="00F2295D" w:rsidRPr="00F2295D">
        <w:rPr>
          <w:rFonts w:ascii="Arial" w:eastAsia="Calibri" w:hAnsi="Arial" w:cs="Arial"/>
          <w:lang w:val="en-ZA"/>
        </w:rPr>
        <w:t xml:space="preserve"> said in </w:t>
      </w:r>
      <w:r w:rsidR="00F2295D" w:rsidRPr="00F2295D">
        <w:rPr>
          <w:rFonts w:ascii="Arial" w:eastAsia="Calibri" w:hAnsi="Arial" w:cs="Arial"/>
          <w:i/>
          <w:lang w:val="en-ZA"/>
        </w:rPr>
        <w:t>Mbambus</w:t>
      </w:r>
      <w:r w:rsidR="00F2295D" w:rsidRPr="00F2295D">
        <w:rPr>
          <w:rFonts w:ascii="Arial" w:eastAsia="Calibri" w:hAnsi="Arial" w:cs="Arial"/>
          <w:lang w:val="en-ZA"/>
        </w:rPr>
        <w:t xml:space="preserve"> (at para 16) ‘A court can only deal with a stated case where the facts are agreed upon and the court is asked to make a determination of the inferences or the law to be drawn from those facts’. In </w:t>
      </w:r>
      <w:r w:rsidR="00F2295D" w:rsidRPr="00AE5811">
        <w:rPr>
          <w:rFonts w:ascii="Arial" w:eastAsia="Calibri" w:hAnsi="Arial" w:cs="Arial"/>
          <w:i/>
          <w:lang w:val="en-ZA"/>
        </w:rPr>
        <w:t>Mbambus</w:t>
      </w:r>
      <w:r w:rsidR="00F2295D" w:rsidRPr="00F2295D">
        <w:rPr>
          <w:rFonts w:ascii="Arial" w:eastAsia="Calibri" w:hAnsi="Arial" w:cs="Arial"/>
          <w:lang w:val="en-ZA"/>
        </w:rPr>
        <w:t xml:space="preserve">, the matter was remitted to the High Court because </w:t>
      </w:r>
      <w:r w:rsidR="00853C66">
        <w:rPr>
          <w:rFonts w:ascii="Arial" w:eastAsia="Calibri" w:hAnsi="Arial" w:cs="Arial"/>
          <w:lang w:val="en-ZA"/>
        </w:rPr>
        <w:t>on appeal</w:t>
      </w:r>
      <w:r w:rsidR="00767DBD">
        <w:rPr>
          <w:rFonts w:ascii="Arial" w:eastAsia="Calibri" w:hAnsi="Arial" w:cs="Arial"/>
          <w:lang w:val="en-ZA"/>
        </w:rPr>
        <w:t>,</w:t>
      </w:r>
      <w:r w:rsidR="00853C66">
        <w:rPr>
          <w:rFonts w:ascii="Arial" w:eastAsia="Calibri" w:hAnsi="Arial" w:cs="Arial"/>
          <w:lang w:val="en-ZA"/>
        </w:rPr>
        <w:t xml:space="preserve"> </w:t>
      </w:r>
      <w:r w:rsidR="00750E66">
        <w:rPr>
          <w:rFonts w:ascii="Arial" w:eastAsia="Calibri" w:hAnsi="Arial" w:cs="Arial"/>
          <w:lang w:val="en-ZA"/>
        </w:rPr>
        <w:t>this Court</w:t>
      </w:r>
      <w:r w:rsidR="00F2295D" w:rsidRPr="00F2295D">
        <w:rPr>
          <w:rFonts w:ascii="Arial" w:eastAsia="Calibri" w:hAnsi="Arial" w:cs="Arial"/>
          <w:lang w:val="en-ZA"/>
        </w:rPr>
        <w:t xml:space="preserve"> was satisfied that the stated case did not meet the specific</w:t>
      </w:r>
      <w:r w:rsidR="0094192E">
        <w:rPr>
          <w:rFonts w:ascii="Arial" w:eastAsia="Calibri" w:hAnsi="Arial" w:cs="Arial"/>
          <w:lang w:val="en-ZA"/>
        </w:rPr>
        <w:t xml:space="preserve">ity and clarity required under </w:t>
      </w:r>
      <w:r w:rsidR="00F07CB4">
        <w:rPr>
          <w:rFonts w:ascii="Arial" w:eastAsia="Calibri" w:hAnsi="Arial" w:cs="Arial"/>
          <w:lang w:val="en-ZA"/>
        </w:rPr>
        <w:t>r</w:t>
      </w:r>
      <w:r w:rsidR="00F2295D" w:rsidRPr="00F2295D">
        <w:rPr>
          <w:rFonts w:ascii="Arial" w:eastAsia="Calibri" w:hAnsi="Arial" w:cs="Arial"/>
          <w:lang w:val="en-ZA"/>
        </w:rPr>
        <w:t>ule 63.</w:t>
      </w:r>
    </w:p>
    <w:p w14:paraId="0CDE9F9E" w14:textId="37248811" w:rsidR="00F2295D" w:rsidRPr="00F2295D" w:rsidRDefault="00C60D60" w:rsidP="00B05B2E">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Pr>
          <w:rFonts w:ascii="Arial" w:eastAsia="Calibri" w:hAnsi="Arial" w:cs="Arial"/>
          <w:lang w:val="en-ZA"/>
        </w:rPr>
        <w:lastRenderedPageBreak/>
        <w:t xml:space="preserve">The procedure contemplated in subrule </w:t>
      </w:r>
      <w:r w:rsidR="00F2295D" w:rsidRPr="00F2295D">
        <w:rPr>
          <w:rFonts w:ascii="Arial" w:eastAsia="Calibri" w:hAnsi="Arial" w:cs="Arial"/>
          <w:lang w:val="en-ZA"/>
        </w:rPr>
        <w:t xml:space="preserve">(1) </w:t>
      </w:r>
      <w:r>
        <w:rPr>
          <w:rFonts w:ascii="Arial" w:eastAsia="Calibri" w:hAnsi="Arial" w:cs="Arial"/>
          <w:lang w:val="en-ZA"/>
        </w:rPr>
        <w:t xml:space="preserve">of </w:t>
      </w:r>
      <w:r w:rsidR="006269F6">
        <w:rPr>
          <w:rFonts w:ascii="Arial" w:eastAsia="Calibri" w:hAnsi="Arial" w:cs="Arial"/>
          <w:lang w:val="en-ZA"/>
        </w:rPr>
        <w:t>r</w:t>
      </w:r>
      <w:r>
        <w:rPr>
          <w:rFonts w:ascii="Arial" w:eastAsia="Calibri" w:hAnsi="Arial" w:cs="Arial"/>
          <w:lang w:val="en-ZA"/>
        </w:rPr>
        <w:t xml:space="preserve">ule 63 </w:t>
      </w:r>
      <w:r w:rsidR="00F2295D" w:rsidRPr="00F2295D">
        <w:rPr>
          <w:rFonts w:ascii="Arial" w:eastAsia="Calibri" w:hAnsi="Arial" w:cs="Arial"/>
          <w:lang w:val="en-ZA"/>
        </w:rPr>
        <w:t>is different from that envisaged in subrule</w:t>
      </w:r>
      <w:r w:rsidR="0094192E">
        <w:rPr>
          <w:rFonts w:ascii="Arial" w:eastAsia="Calibri" w:hAnsi="Arial" w:cs="Arial"/>
          <w:lang w:val="en-ZA"/>
        </w:rPr>
        <w:t xml:space="preserve"> (9)</w:t>
      </w:r>
      <w:r w:rsidR="00F2295D" w:rsidRPr="00F2295D">
        <w:rPr>
          <w:rFonts w:ascii="Arial" w:eastAsia="Calibri" w:hAnsi="Arial" w:cs="Arial"/>
          <w:lang w:val="en-ZA"/>
        </w:rPr>
        <w:t xml:space="preserve">. The latter </w:t>
      </w:r>
      <w:r w:rsidR="00907C53">
        <w:rPr>
          <w:rFonts w:ascii="Arial" w:eastAsia="Calibri" w:hAnsi="Arial" w:cs="Arial"/>
          <w:lang w:val="en-ZA"/>
        </w:rPr>
        <w:t>sub</w:t>
      </w:r>
      <w:r w:rsidR="00F2295D" w:rsidRPr="00F2295D">
        <w:rPr>
          <w:rFonts w:ascii="Arial" w:eastAsia="Calibri" w:hAnsi="Arial" w:cs="Arial"/>
          <w:lang w:val="en-ZA"/>
        </w:rPr>
        <w:t xml:space="preserve">rule envisages a formal admission and recording of facts on the basis of which the court gives judgment on a disputed legal question. </w:t>
      </w:r>
      <w:r w:rsidR="00A841E7">
        <w:rPr>
          <w:rFonts w:ascii="Arial" w:eastAsia="Calibri" w:hAnsi="Arial" w:cs="Arial"/>
          <w:lang w:val="en-ZA"/>
        </w:rPr>
        <w:t xml:space="preserve">The common denominator between the two subrules is that both </w:t>
      </w:r>
      <w:r w:rsidR="000F0907">
        <w:rPr>
          <w:rFonts w:ascii="Arial" w:eastAsia="Calibri" w:hAnsi="Arial" w:cs="Arial"/>
          <w:lang w:val="en-ZA"/>
        </w:rPr>
        <w:t xml:space="preserve">eschew the hearing of oral evidence. </w:t>
      </w:r>
      <w:r w:rsidR="0049288E">
        <w:rPr>
          <w:rFonts w:ascii="Arial" w:eastAsia="Calibri" w:hAnsi="Arial" w:cs="Arial"/>
          <w:lang w:val="en-ZA"/>
        </w:rPr>
        <w:t>But u</w:t>
      </w:r>
      <w:r w:rsidR="00F2295D" w:rsidRPr="00F2295D">
        <w:rPr>
          <w:rFonts w:ascii="Arial" w:eastAsia="Calibri" w:hAnsi="Arial" w:cs="Arial"/>
          <w:lang w:val="en-ZA"/>
        </w:rPr>
        <w:t xml:space="preserve">nder </w:t>
      </w:r>
      <w:r w:rsidR="00907C53">
        <w:rPr>
          <w:rFonts w:ascii="Arial" w:eastAsia="Calibri" w:hAnsi="Arial" w:cs="Arial"/>
          <w:lang w:val="en-ZA"/>
        </w:rPr>
        <w:t>sub</w:t>
      </w:r>
      <w:r w:rsidR="00F2295D" w:rsidRPr="00F2295D">
        <w:rPr>
          <w:rFonts w:ascii="Arial" w:eastAsia="Calibri" w:hAnsi="Arial" w:cs="Arial"/>
          <w:lang w:val="en-ZA"/>
        </w:rPr>
        <w:t>rule (1), the parties prepare a written agreement of facts which does not necessarily involve admissions</w:t>
      </w:r>
      <w:r w:rsidR="009024A0">
        <w:rPr>
          <w:rFonts w:ascii="Arial" w:eastAsia="Calibri" w:hAnsi="Arial" w:cs="Arial"/>
          <w:lang w:val="en-ZA"/>
        </w:rPr>
        <w:t xml:space="preserve"> as does subrule (9)</w:t>
      </w:r>
      <w:r w:rsidR="00F2295D" w:rsidRPr="00F2295D">
        <w:rPr>
          <w:rFonts w:ascii="Arial" w:eastAsia="Calibri" w:hAnsi="Arial" w:cs="Arial"/>
          <w:lang w:val="en-ZA"/>
        </w:rPr>
        <w:t xml:space="preserve">. </w:t>
      </w:r>
      <w:r w:rsidR="00B03C5F">
        <w:rPr>
          <w:rFonts w:ascii="Arial" w:eastAsia="Calibri" w:hAnsi="Arial" w:cs="Arial"/>
          <w:lang w:val="en-ZA"/>
        </w:rPr>
        <w:t xml:space="preserve">The </w:t>
      </w:r>
      <w:r w:rsidR="00F2295D" w:rsidRPr="00F2295D">
        <w:rPr>
          <w:rFonts w:ascii="Arial" w:eastAsia="Calibri" w:hAnsi="Arial" w:cs="Arial"/>
          <w:lang w:val="en-ZA"/>
        </w:rPr>
        <w:t>important po</w:t>
      </w:r>
      <w:r w:rsidR="00773779">
        <w:rPr>
          <w:rFonts w:ascii="Arial" w:eastAsia="Calibri" w:hAnsi="Arial" w:cs="Arial"/>
          <w:lang w:val="en-ZA"/>
        </w:rPr>
        <w:t>int to be made though</w:t>
      </w:r>
      <w:r w:rsidR="00636F23">
        <w:rPr>
          <w:rFonts w:ascii="Arial" w:eastAsia="Calibri" w:hAnsi="Arial" w:cs="Arial"/>
          <w:lang w:val="en-ZA"/>
        </w:rPr>
        <w:t xml:space="preserve"> is that </w:t>
      </w:r>
      <w:r w:rsidR="00F2295D" w:rsidRPr="00F2295D">
        <w:rPr>
          <w:rFonts w:ascii="Arial" w:eastAsia="Calibri" w:hAnsi="Arial" w:cs="Arial"/>
          <w:lang w:val="en-ZA"/>
        </w:rPr>
        <w:t xml:space="preserve">the parties </w:t>
      </w:r>
      <w:r w:rsidR="00636F23">
        <w:rPr>
          <w:rFonts w:ascii="Arial" w:eastAsia="Calibri" w:hAnsi="Arial" w:cs="Arial"/>
          <w:lang w:val="en-ZA"/>
        </w:rPr>
        <w:t xml:space="preserve">must </w:t>
      </w:r>
      <w:r w:rsidR="00F2295D" w:rsidRPr="00F2295D">
        <w:rPr>
          <w:rFonts w:ascii="Arial" w:eastAsia="Calibri" w:hAnsi="Arial" w:cs="Arial"/>
          <w:lang w:val="en-ZA"/>
        </w:rPr>
        <w:t xml:space="preserve">apply </w:t>
      </w:r>
      <w:r w:rsidR="003D2827">
        <w:rPr>
          <w:rFonts w:ascii="Arial" w:eastAsia="Calibri" w:hAnsi="Arial" w:cs="Arial"/>
          <w:lang w:val="en-ZA"/>
        </w:rPr>
        <w:t>their minds</w:t>
      </w:r>
      <w:r w:rsidR="001126D7">
        <w:rPr>
          <w:rFonts w:ascii="Arial" w:eastAsia="Calibri" w:hAnsi="Arial" w:cs="Arial"/>
          <w:lang w:val="en-ZA"/>
        </w:rPr>
        <w:t xml:space="preserve"> to</w:t>
      </w:r>
      <w:r w:rsidR="00907C53">
        <w:rPr>
          <w:rFonts w:ascii="Arial" w:eastAsia="Calibri" w:hAnsi="Arial" w:cs="Arial"/>
          <w:lang w:val="en-ZA"/>
        </w:rPr>
        <w:t xml:space="preserve"> which </w:t>
      </w:r>
      <w:r w:rsidR="002D64E0">
        <w:rPr>
          <w:rFonts w:ascii="Arial" w:eastAsia="Calibri" w:hAnsi="Arial" w:cs="Arial"/>
          <w:lang w:val="en-ZA"/>
        </w:rPr>
        <w:t xml:space="preserve">subrule of </w:t>
      </w:r>
      <w:r w:rsidR="002F1DA4">
        <w:rPr>
          <w:rFonts w:ascii="Arial" w:eastAsia="Calibri" w:hAnsi="Arial" w:cs="Arial"/>
          <w:lang w:val="en-ZA"/>
        </w:rPr>
        <w:t>r</w:t>
      </w:r>
      <w:r w:rsidR="00F2295D" w:rsidRPr="00F2295D">
        <w:rPr>
          <w:rFonts w:ascii="Arial" w:eastAsia="Calibri" w:hAnsi="Arial" w:cs="Arial"/>
          <w:lang w:val="en-ZA"/>
        </w:rPr>
        <w:t xml:space="preserve">ule 63 they are invoking and specify that in the </w:t>
      </w:r>
      <w:r w:rsidR="002D64E0">
        <w:rPr>
          <w:rFonts w:ascii="Arial" w:eastAsia="Calibri" w:hAnsi="Arial" w:cs="Arial"/>
          <w:lang w:val="en-ZA"/>
        </w:rPr>
        <w:t xml:space="preserve">stated case </w:t>
      </w:r>
      <w:r w:rsidR="00F2295D" w:rsidRPr="00F2295D">
        <w:rPr>
          <w:rFonts w:ascii="Arial" w:eastAsia="Calibri" w:hAnsi="Arial" w:cs="Arial"/>
          <w:lang w:val="en-ZA"/>
        </w:rPr>
        <w:t xml:space="preserve">to be </w:t>
      </w:r>
      <w:r w:rsidR="002D64E0">
        <w:rPr>
          <w:rFonts w:ascii="Arial" w:eastAsia="Calibri" w:hAnsi="Arial" w:cs="Arial"/>
          <w:lang w:val="en-ZA"/>
        </w:rPr>
        <w:t xml:space="preserve">presented </w:t>
      </w:r>
      <w:r w:rsidR="00F2295D" w:rsidRPr="00F2295D">
        <w:rPr>
          <w:rFonts w:ascii="Arial" w:eastAsia="Calibri" w:hAnsi="Arial" w:cs="Arial"/>
          <w:lang w:val="en-ZA"/>
        </w:rPr>
        <w:t xml:space="preserve">for the </w:t>
      </w:r>
      <w:r w:rsidR="002D64E0">
        <w:rPr>
          <w:rFonts w:ascii="Arial" w:eastAsia="Calibri" w:hAnsi="Arial" w:cs="Arial"/>
          <w:lang w:val="en-ZA"/>
        </w:rPr>
        <w:t xml:space="preserve">managing judge’s </w:t>
      </w:r>
      <w:r w:rsidR="00636F23">
        <w:rPr>
          <w:rFonts w:ascii="Arial" w:eastAsia="Calibri" w:hAnsi="Arial" w:cs="Arial"/>
          <w:lang w:val="en-ZA"/>
        </w:rPr>
        <w:t>approval.</w:t>
      </w:r>
    </w:p>
    <w:p w14:paraId="539E29B8" w14:textId="77777777" w:rsidR="00F2295D" w:rsidRPr="00F2295D" w:rsidRDefault="00F2295D" w:rsidP="00F2295D">
      <w:pPr>
        <w:spacing w:after="0" w:line="480" w:lineRule="auto"/>
        <w:jc w:val="both"/>
        <w:rPr>
          <w:rFonts w:ascii="Arial" w:eastAsia="Calibri" w:hAnsi="Arial" w:cs="Arial"/>
          <w:sz w:val="24"/>
          <w:lang w:val="en-ZA"/>
        </w:rPr>
      </w:pPr>
    </w:p>
    <w:p w14:paraId="7B0F5B38" w14:textId="0D9252B8" w:rsidR="00F2295D" w:rsidRDefault="00975DFD" w:rsidP="00F2295D">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Pr>
          <w:rFonts w:ascii="Arial" w:eastAsia="Calibri" w:hAnsi="Arial" w:cs="Arial"/>
          <w:lang w:val="en-ZA"/>
        </w:rPr>
        <w:t>P</w:t>
      </w:r>
      <w:r w:rsidR="00F44913">
        <w:rPr>
          <w:rFonts w:ascii="Arial" w:eastAsia="Calibri" w:hAnsi="Arial" w:cs="Arial"/>
          <w:lang w:val="en-ZA"/>
        </w:rPr>
        <w:t>ara</w:t>
      </w:r>
      <w:r>
        <w:rPr>
          <w:rFonts w:ascii="Arial" w:eastAsia="Calibri" w:hAnsi="Arial" w:cs="Arial"/>
          <w:lang w:val="en-ZA"/>
        </w:rPr>
        <w:t>graph</w:t>
      </w:r>
      <w:r w:rsidR="00F44913">
        <w:rPr>
          <w:rFonts w:ascii="Arial" w:eastAsia="Calibri" w:hAnsi="Arial" w:cs="Arial"/>
          <w:lang w:val="en-ZA"/>
        </w:rPr>
        <w:t>s [4] – [8]</w:t>
      </w:r>
      <w:r w:rsidR="00C915A1">
        <w:rPr>
          <w:rFonts w:ascii="Arial" w:eastAsia="Calibri" w:hAnsi="Arial" w:cs="Arial"/>
          <w:lang w:val="en-ZA"/>
        </w:rPr>
        <w:t xml:space="preserve"> above</w:t>
      </w:r>
      <w:r w:rsidR="003D2827">
        <w:rPr>
          <w:rFonts w:ascii="Arial" w:eastAsia="Calibri" w:hAnsi="Arial" w:cs="Arial"/>
          <w:lang w:val="en-ZA"/>
        </w:rPr>
        <w:t>,</w:t>
      </w:r>
      <w:r w:rsidR="00F44913">
        <w:rPr>
          <w:rFonts w:ascii="Arial" w:eastAsia="Calibri" w:hAnsi="Arial" w:cs="Arial"/>
          <w:lang w:val="en-ZA"/>
        </w:rPr>
        <w:t xml:space="preserve"> </w:t>
      </w:r>
      <w:r w:rsidR="00636F23">
        <w:rPr>
          <w:rFonts w:ascii="Arial" w:eastAsia="Calibri" w:hAnsi="Arial" w:cs="Arial"/>
          <w:lang w:val="en-ZA"/>
        </w:rPr>
        <w:t xml:space="preserve">I set out in detail the content of the stated case incorporating the </w:t>
      </w:r>
      <w:r w:rsidR="00F402CF">
        <w:rPr>
          <w:rFonts w:ascii="Arial" w:eastAsia="Calibri" w:hAnsi="Arial" w:cs="Arial"/>
          <w:lang w:val="en-ZA"/>
        </w:rPr>
        <w:t>five</w:t>
      </w:r>
      <w:r w:rsidR="00636F23">
        <w:rPr>
          <w:rFonts w:ascii="Arial" w:eastAsia="Calibri" w:hAnsi="Arial" w:cs="Arial"/>
          <w:lang w:val="en-ZA"/>
        </w:rPr>
        <w:t xml:space="preserve"> cases which were </w:t>
      </w:r>
      <w:r w:rsidR="003D2827">
        <w:rPr>
          <w:rFonts w:ascii="Arial" w:eastAsia="Calibri" w:hAnsi="Arial" w:cs="Arial"/>
          <w:lang w:val="en-ZA"/>
        </w:rPr>
        <w:t>‘</w:t>
      </w:r>
      <w:r w:rsidR="00636F23">
        <w:rPr>
          <w:rFonts w:ascii="Arial" w:eastAsia="Calibri" w:hAnsi="Arial" w:cs="Arial"/>
          <w:lang w:val="en-ZA"/>
        </w:rPr>
        <w:t>consolidated</w:t>
      </w:r>
      <w:r w:rsidR="003D2827">
        <w:rPr>
          <w:rFonts w:ascii="Arial" w:eastAsia="Calibri" w:hAnsi="Arial" w:cs="Arial"/>
          <w:lang w:val="en-ZA"/>
        </w:rPr>
        <w:t>’</w:t>
      </w:r>
      <w:r w:rsidR="00636F23">
        <w:rPr>
          <w:rFonts w:ascii="Arial" w:eastAsia="Calibri" w:hAnsi="Arial" w:cs="Arial"/>
          <w:lang w:val="en-ZA"/>
        </w:rPr>
        <w:t xml:space="preserve"> for the purpose of the court </w:t>
      </w:r>
      <w:r w:rsidR="00636F23" w:rsidRPr="00800B6B">
        <w:rPr>
          <w:rFonts w:ascii="Arial" w:eastAsia="Calibri" w:hAnsi="Arial" w:cs="Arial"/>
          <w:i/>
          <w:lang w:val="en-ZA"/>
        </w:rPr>
        <w:t>a</w:t>
      </w:r>
      <w:r w:rsidR="00636F23">
        <w:rPr>
          <w:rFonts w:ascii="Arial" w:eastAsia="Calibri" w:hAnsi="Arial" w:cs="Arial"/>
          <w:lang w:val="en-ZA"/>
        </w:rPr>
        <w:t xml:space="preserve"> </w:t>
      </w:r>
      <w:r w:rsidR="00636F23" w:rsidRPr="00800B6B">
        <w:rPr>
          <w:rFonts w:ascii="Arial" w:eastAsia="Calibri" w:hAnsi="Arial" w:cs="Arial"/>
          <w:i/>
          <w:lang w:val="en-ZA"/>
        </w:rPr>
        <w:t>quo</w:t>
      </w:r>
      <w:r w:rsidR="00636F23">
        <w:rPr>
          <w:rFonts w:ascii="Arial" w:eastAsia="Calibri" w:hAnsi="Arial" w:cs="Arial"/>
          <w:lang w:val="en-ZA"/>
        </w:rPr>
        <w:t>’</w:t>
      </w:r>
      <w:r w:rsidR="00636F23" w:rsidRPr="00EF709C">
        <w:rPr>
          <w:rFonts w:ascii="Arial" w:eastAsia="Calibri" w:hAnsi="Arial" w:cs="Arial"/>
          <w:i/>
          <w:lang w:val="en-ZA"/>
        </w:rPr>
        <w:t>s</w:t>
      </w:r>
      <w:r w:rsidR="00636F23">
        <w:rPr>
          <w:rFonts w:ascii="Arial" w:eastAsia="Calibri" w:hAnsi="Arial" w:cs="Arial"/>
          <w:lang w:val="en-ZA"/>
        </w:rPr>
        <w:t xml:space="preserve"> determination. </w:t>
      </w:r>
      <w:r w:rsidR="00715B18">
        <w:rPr>
          <w:rFonts w:ascii="Arial" w:eastAsia="Calibri" w:hAnsi="Arial" w:cs="Arial"/>
          <w:lang w:val="en-ZA"/>
        </w:rPr>
        <w:t>Suffice it to say</w:t>
      </w:r>
      <w:r w:rsidR="00EF709C">
        <w:rPr>
          <w:rFonts w:ascii="Arial" w:eastAsia="Calibri" w:hAnsi="Arial" w:cs="Arial"/>
          <w:lang w:val="en-ZA"/>
        </w:rPr>
        <w:t>,</w:t>
      </w:r>
      <w:r w:rsidR="00715B18">
        <w:rPr>
          <w:rFonts w:ascii="Arial" w:eastAsia="Calibri" w:hAnsi="Arial" w:cs="Arial"/>
          <w:lang w:val="en-ZA"/>
        </w:rPr>
        <w:t xml:space="preserve"> </w:t>
      </w:r>
      <w:r w:rsidR="00F44913">
        <w:rPr>
          <w:rFonts w:ascii="Arial" w:eastAsia="Calibri" w:hAnsi="Arial" w:cs="Arial"/>
          <w:lang w:val="en-ZA"/>
        </w:rPr>
        <w:t xml:space="preserve">the stated case </w:t>
      </w:r>
      <w:r w:rsidR="00F2295D" w:rsidRPr="00F2295D">
        <w:rPr>
          <w:rFonts w:ascii="Arial" w:eastAsia="Calibri" w:hAnsi="Arial" w:cs="Arial"/>
          <w:lang w:val="en-ZA"/>
        </w:rPr>
        <w:t xml:space="preserve">does not </w:t>
      </w:r>
      <w:r w:rsidR="00F44913">
        <w:rPr>
          <w:rFonts w:ascii="Arial" w:eastAsia="Calibri" w:hAnsi="Arial" w:cs="Arial"/>
          <w:lang w:val="en-ZA"/>
        </w:rPr>
        <w:t xml:space="preserve">specify under which subrule of </w:t>
      </w:r>
      <w:r w:rsidR="00800B6B">
        <w:rPr>
          <w:rFonts w:ascii="Arial" w:eastAsia="Calibri" w:hAnsi="Arial" w:cs="Arial"/>
          <w:lang w:val="en-ZA"/>
        </w:rPr>
        <w:t>r</w:t>
      </w:r>
      <w:r w:rsidR="00F2295D" w:rsidRPr="00F2295D">
        <w:rPr>
          <w:rFonts w:ascii="Arial" w:eastAsia="Calibri" w:hAnsi="Arial" w:cs="Arial"/>
          <w:lang w:val="en-ZA"/>
        </w:rPr>
        <w:t xml:space="preserve">ule 63 the parties were proceeding. </w:t>
      </w:r>
      <w:r w:rsidR="003D2827">
        <w:rPr>
          <w:rFonts w:ascii="Arial" w:eastAsia="Calibri" w:hAnsi="Arial" w:cs="Arial"/>
          <w:lang w:val="en-ZA"/>
        </w:rPr>
        <w:t xml:space="preserve">Yet, in </w:t>
      </w:r>
      <w:r w:rsidR="009F3EFF">
        <w:rPr>
          <w:rFonts w:ascii="Arial" w:eastAsia="Calibri" w:hAnsi="Arial" w:cs="Arial"/>
          <w:lang w:val="en-ZA"/>
        </w:rPr>
        <w:t>its</w:t>
      </w:r>
      <w:r w:rsidR="00F2295D" w:rsidRPr="00F2295D">
        <w:rPr>
          <w:rFonts w:ascii="Arial" w:eastAsia="Calibri" w:hAnsi="Arial" w:cs="Arial"/>
          <w:lang w:val="en-ZA"/>
        </w:rPr>
        <w:t xml:space="preserve"> written reasons the court </w:t>
      </w:r>
      <w:r w:rsidR="00F2295D" w:rsidRPr="007957DF">
        <w:rPr>
          <w:rFonts w:ascii="Arial" w:eastAsia="Calibri" w:hAnsi="Arial" w:cs="Arial"/>
          <w:i/>
          <w:lang w:val="en-ZA"/>
        </w:rPr>
        <w:t>a quo</w:t>
      </w:r>
      <w:r w:rsidR="00F2295D" w:rsidRPr="00F2295D">
        <w:rPr>
          <w:rFonts w:ascii="Arial" w:eastAsia="Calibri" w:hAnsi="Arial" w:cs="Arial"/>
          <w:lang w:val="en-ZA"/>
        </w:rPr>
        <w:t xml:space="preserve"> state</w:t>
      </w:r>
      <w:r w:rsidR="00A75FC0">
        <w:rPr>
          <w:rFonts w:ascii="Arial" w:eastAsia="Calibri" w:hAnsi="Arial" w:cs="Arial"/>
          <w:lang w:val="en-ZA"/>
        </w:rPr>
        <w:t>s</w:t>
      </w:r>
      <w:r w:rsidR="00F2295D" w:rsidRPr="00F2295D">
        <w:rPr>
          <w:rFonts w:ascii="Arial" w:eastAsia="Calibri" w:hAnsi="Arial" w:cs="Arial"/>
          <w:lang w:val="en-ZA"/>
        </w:rPr>
        <w:t xml:space="preserve"> that they were proceeding under subrule (9).  Assuming it was under that subrule, the state</w:t>
      </w:r>
      <w:r w:rsidR="00143F7D">
        <w:rPr>
          <w:rFonts w:ascii="Arial" w:eastAsia="Calibri" w:hAnsi="Arial" w:cs="Arial"/>
          <w:lang w:val="en-ZA"/>
        </w:rPr>
        <w:t xml:space="preserve">d case </w:t>
      </w:r>
      <w:r w:rsidR="00511302">
        <w:rPr>
          <w:rFonts w:ascii="Arial" w:eastAsia="Calibri" w:hAnsi="Arial" w:cs="Arial"/>
          <w:lang w:val="en-ZA"/>
        </w:rPr>
        <w:t xml:space="preserve">contains no </w:t>
      </w:r>
      <w:r w:rsidR="00F2295D" w:rsidRPr="00F2295D">
        <w:rPr>
          <w:rFonts w:ascii="Arial" w:eastAsia="Calibri" w:hAnsi="Arial" w:cs="Arial"/>
          <w:lang w:val="en-ZA"/>
        </w:rPr>
        <w:t xml:space="preserve">memorial of ‘admitted’ facts. </w:t>
      </w:r>
      <w:r w:rsidR="00511302">
        <w:rPr>
          <w:rFonts w:ascii="Arial" w:eastAsia="Calibri" w:hAnsi="Arial" w:cs="Arial"/>
          <w:lang w:val="en-ZA"/>
        </w:rPr>
        <w:t>On the contrary, a</w:t>
      </w:r>
      <w:r w:rsidR="00F2295D" w:rsidRPr="00F2295D">
        <w:rPr>
          <w:rFonts w:ascii="Arial" w:eastAsia="Calibri" w:hAnsi="Arial" w:cs="Arial"/>
          <w:lang w:val="en-ZA"/>
        </w:rPr>
        <w:t xml:space="preserve">ssuming that it </w:t>
      </w:r>
      <w:r w:rsidR="00511302">
        <w:rPr>
          <w:rFonts w:ascii="Arial" w:eastAsia="Calibri" w:hAnsi="Arial" w:cs="Arial"/>
          <w:lang w:val="en-ZA"/>
        </w:rPr>
        <w:t xml:space="preserve">was in terms of </w:t>
      </w:r>
      <w:r w:rsidR="00F2295D" w:rsidRPr="00F2295D">
        <w:rPr>
          <w:rFonts w:ascii="Arial" w:eastAsia="Calibri" w:hAnsi="Arial" w:cs="Arial"/>
          <w:lang w:val="en-ZA"/>
        </w:rPr>
        <w:t xml:space="preserve">subrule (1), nowhere does </w:t>
      </w:r>
      <w:r w:rsidR="00237CE9">
        <w:rPr>
          <w:rFonts w:ascii="Arial" w:eastAsia="Calibri" w:hAnsi="Arial" w:cs="Arial"/>
          <w:lang w:val="en-ZA"/>
        </w:rPr>
        <w:t>it</w:t>
      </w:r>
      <w:r w:rsidR="00F2295D" w:rsidRPr="00F2295D">
        <w:rPr>
          <w:rFonts w:ascii="Arial" w:eastAsia="Calibri" w:hAnsi="Arial" w:cs="Arial"/>
          <w:lang w:val="en-ZA"/>
        </w:rPr>
        <w:t xml:space="preserve"> ‘set out the facts the parties agree on’ nor does it </w:t>
      </w:r>
      <w:r w:rsidR="006D4660">
        <w:rPr>
          <w:rFonts w:ascii="Arial" w:eastAsia="Calibri" w:hAnsi="Arial" w:cs="Arial"/>
          <w:lang w:val="en-ZA"/>
        </w:rPr>
        <w:t xml:space="preserve">specify </w:t>
      </w:r>
      <w:r w:rsidR="00F2295D" w:rsidRPr="00F2295D">
        <w:rPr>
          <w:rFonts w:ascii="Arial" w:eastAsia="Calibri" w:hAnsi="Arial" w:cs="Arial"/>
          <w:lang w:val="en-ZA"/>
        </w:rPr>
        <w:t xml:space="preserve">‘copies of documents necessary to enable the managing judge to decide on the questions’. </w:t>
      </w:r>
      <w:r w:rsidR="004B6109">
        <w:rPr>
          <w:rFonts w:ascii="Arial" w:eastAsia="Calibri" w:hAnsi="Arial" w:cs="Arial"/>
          <w:lang w:val="en-ZA"/>
        </w:rPr>
        <w:t>In fact</w:t>
      </w:r>
      <w:r w:rsidR="00BA240A">
        <w:rPr>
          <w:rFonts w:ascii="Arial" w:eastAsia="Calibri" w:hAnsi="Arial" w:cs="Arial"/>
          <w:lang w:val="en-ZA"/>
        </w:rPr>
        <w:t>,</w:t>
      </w:r>
      <w:r w:rsidR="004B6109">
        <w:rPr>
          <w:rFonts w:ascii="Arial" w:eastAsia="Calibri" w:hAnsi="Arial" w:cs="Arial"/>
          <w:lang w:val="en-ZA"/>
        </w:rPr>
        <w:t xml:space="preserve"> the only documents that are specifically incorporated </w:t>
      </w:r>
      <w:r w:rsidR="00D56FA0">
        <w:rPr>
          <w:rFonts w:ascii="Arial" w:eastAsia="Calibri" w:hAnsi="Arial" w:cs="Arial"/>
          <w:lang w:val="en-ZA"/>
        </w:rPr>
        <w:t xml:space="preserve">by reference in the stated case </w:t>
      </w:r>
      <w:r w:rsidR="004B6109">
        <w:rPr>
          <w:rFonts w:ascii="Arial" w:eastAsia="Calibri" w:hAnsi="Arial" w:cs="Arial"/>
          <w:lang w:val="en-ZA"/>
        </w:rPr>
        <w:t>are annexures</w:t>
      </w:r>
      <w:r w:rsidR="00C915A1">
        <w:rPr>
          <w:rFonts w:ascii="Arial" w:eastAsia="Calibri" w:hAnsi="Arial" w:cs="Arial"/>
          <w:lang w:val="en-ZA"/>
        </w:rPr>
        <w:t xml:space="preserve"> (‘A’-‘E’)</w:t>
      </w:r>
      <w:r w:rsidR="004B6109">
        <w:rPr>
          <w:rFonts w:ascii="Arial" w:eastAsia="Calibri" w:hAnsi="Arial" w:cs="Arial"/>
          <w:lang w:val="en-ZA"/>
        </w:rPr>
        <w:t xml:space="preserve"> reflecting </w:t>
      </w:r>
      <w:r w:rsidR="001D7044">
        <w:rPr>
          <w:rFonts w:ascii="Arial" w:eastAsia="Calibri" w:hAnsi="Arial" w:cs="Arial"/>
          <w:lang w:val="en-ZA"/>
        </w:rPr>
        <w:t xml:space="preserve">payments already made in respect of the </w:t>
      </w:r>
      <w:r w:rsidR="00EC5E76">
        <w:rPr>
          <w:rFonts w:ascii="Arial" w:eastAsia="Calibri" w:hAnsi="Arial" w:cs="Arial"/>
          <w:lang w:val="en-ZA"/>
        </w:rPr>
        <w:t>claim</w:t>
      </w:r>
      <w:r w:rsidR="00800B6B">
        <w:rPr>
          <w:rFonts w:ascii="Arial" w:eastAsia="Calibri" w:hAnsi="Arial" w:cs="Arial"/>
          <w:lang w:val="en-ZA"/>
        </w:rPr>
        <w:t>ed</w:t>
      </w:r>
      <w:r w:rsidR="00EC5E76">
        <w:rPr>
          <w:rFonts w:ascii="Arial" w:eastAsia="Calibri" w:hAnsi="Arial" w:cs="Arial"/>
          <w:lang w:val="en-ZA"/>
        </w:rPr>
        <w:t xml:space="preserve"> amounts </w:t>
      </w:r>
      <w:r w:rsidR="001D7044">
        <w:rPr>
          <w:rFonts w:ascii="Arial" w:eastAsia="Calibri" w:hAnsi="Arial" w:cs="Arial"/>
          <w:lang w:val="en-ZA"/>
        </w:rPr>
        <w:t xml:space="preserve">under the </w:t>
      </w:r>
      <w:r w:rsidR="00F402CF">
        <w:rPr>
          <w:rFonts w:ascii="Arial" w:eastAsia="Calibri" w:hAnsi="Arial" w:cs="Arial"/>
          <w:lang w:val="en-ZA"/>
        </w:rPr>
        <w:t>five</w:t>
      </w:r>
      <w:r w:rsidR="001D7044">
        <w:rPr>
          <w:rFonts w:ascii="Arial" w:eastAsia="Calibri" w:hAnsi="Arial" w:cs="Arial"/>
          <w:lang w:val="en-ZA"/>
        </w:rPr>
        <w:t xml:space="preserve"> cases. </w:t>
      </w:r>
      <w:r w:rsidR="00C915A1">
        <w:rPr>
          <w:rFonts w:ascii="Arial" w:eastAsia="Calibri" w:hAnsi="Arial" w:cs="Arial"/>
          <w:lang w:val="en-ZA"/>
        </w:rPr>
        <w:t>Only t</w:t>
      </w:r>
      <w:r w:rsidR="001D7044">
        <w:rPr>
          <w:rFonts w:ascii="Arial" w:eastAsia="Calibri" w:hAnsi="Arial" w:cs="Arial"/>
          <w:lang w:val="en-ZA"/>
        </w:rPr>
        <w:t xml:space="preserve">hose annexures are </w:t>
      </w:r>
      <w:r w:rsidR="00C915A1">
        <w:rPr>
          <w:rFonts w:ascii="Arial" w:eastAsia="Calibri" w:hAnsi="Arial" w:cs="Arial"/>
          <w:lang w:val="en-ZA"/>
        </w:rPr>
        <w:t xml:space="preserve">therefore </w:t>
      </w:r>
      <w:r w:rsidR="00BA240A">
        <w:rPr>
          <w:rFonts w:ascii="Arial" w:eastAsia="Calibri" w:hAnsi="Arial" w:cs="Arial"/>
          <w:lang w:val="en-ZA"/>
        </w:rPr>
        <w:t>part of the stated case as contemplated in subrule (2).</w:t>
      </w:r>
    </w:p>
    <w:p w14:paraId="5B7F28D7" w14:textId="77777777" w:rsidR="00A30451" w:rsidRDefault="00A30451" w:rsidP="00A30451">
      <w:pPr>
        <w:pStyle w:val="ListParagraph"/>
        <w:rPr>
          <w:rFonts w:ascii="Arial" w:eastAsia="Calibri" w:hAnsi="Arial" w:cs="Arial"/>
          <w:lang w:val="en-ZA"/>
        </w:rPr>
      </w:pPr>
    </w:p>
    <w:p w14:paraId="172B5EDE" w14:textId="7267AFEB" w:rsidR="00F2295D" w:rsidRPr="00F2295D" w:rsidRDefault="00712363" w:rsidP="00615B72">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Pr>
          <w:rFonts w:ascii="Arial" w:eastAsia="Calibri" w:hAnsi="Arial" w:cs="Arial"/>
          <w:lang w:val="en-ZA"/>
        </w:rPr>
        <w:lastRenderedPageBreak/>
        <w:t>S</w:t>
      </w:r>
      <w:r w:rsidR="00F2295D" w:rsidRPr="00F2295D">
        <w:rPr>
          <w:rFonts w:ascii="Arial" w:eastAsia="Calibri" w:hAnsi="Arial" w:cs="Arial"/>
          <w:lang w:val="en-ZA"/>
        </w:rPr>
        <w:t>ubrule (5) states:</w:t>
      </w:r>
    </w:p>
    <w:p w14:paraId="75E3374C" w14:textId="77777777" w:rsidR="00F2295D" w:rsidRPr="00F2295D" w:rsidRDefault="00F2295D" w:rsidP="00F2295D">
      <w:pPr>
        <w:spacing w:after="0" w:line="360" w:lineRule="auto"/>
        <w:jc w:val="both"/>
        <w:rPr>
          <w:rFonts w:ascii="Arial" w:eastAsia="Calibri" w:hAnsi="Arial" w:cs="Arial"/>
          <w:sz w:val="24"/>
          <w:lang w:val="en-ZA"/>
        </w:rPr>
      </w:pPr>
    </w:p>
    <w:p w14:paraId="28CD57D8" w14:textId="77777777" w:rsidR="00F2295D" w:rsidRPr="00F2295D" w:rsidRDefault="00F2295D" w:rsidP="00615B72">
      <w:pPr>
        <w:spacing w:after="0" w:line="360" w:lineRule="auto"/>
        <w:ind w:left="720"/>
        <w:jc w:val="both"/>
        <w:rPr>
          <w:rFonts w:ascii="Arial" w:eastAsia="Calibri" w:hAnsi="Arial" w:cs="Arial"/>
          <w:lang w:val="en-ZA"/>
        </w:rPr>
      </w:pPr>
      <w:r w:rsidRPr="00F2295D">
        <w:rPr>
          <w:rFonts w:ascii="Arial" w:eastAsia="Calibri" w:hAnsi="Arial" w:cs="Arial"/>
          <w:lang w:val="en-ZA"/>
        </w:rPr>
        <w:t>‘At the hearing of a special case the managing judge and the parties may refer to the entire contents of the documents referred to in subrule (2) and the managing judge may draw any inference of fact or of law from the facts and documents as if proved at a trial.’</w:t>
      </w:r>
    </w:p>
    <w:p w14:paraId="68AFCF69" w14:textId="77777777" w:rsidR="00F2295D" w:rsidRPr="00F2295D" w:rsidRDefault="00F2295D" w:rsidP="0014099F">
      <w:pPr>
        <w:spacing w:after="0" w:line="480" w:lineRule="auto"/>
        <w:ind w:left="720"/>
        <w:jc w:val="both"/>
        <w:rPr>
          <w:rFonts w:ascii="Arial" w:eastAsia="Calibri" w:hAnsi="Arial" w:cs="Arial"/>
          <w:lang w:val="en-ZA"/>
        </w:rPr>
      </w:pPr>
    </w:p>
    <w:p w14:paraId="613D0214" w14:textId="417C1C62" w:rsidR="00F2295D" w:rsidRPr="00712363" w:rsidRDefault="00F2295D" w:rsidP="0014099F">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712363">
        <w:rPr>
          <w:rFonts w:ascii="Arial" w:eastAsia="Calibri" w:hAnsi="Arial" w:cs="Arial"/>
          <w:lang w:val="en-ZA"/>
        </w:rPr>
        <w:t xml:space="preserve">Given the non-compliance with the rule, I have sympathy for the learned judge </w:t>
      </w:r>
      <w:r w:rsidRPr="00712363">
        <w:rPr>
          <w:rFonts w:ascii="Arial" w:eastAsia="Calibri" w:hAnsi="Arial" w:cs="Arial"/>
          <w:i/>
          <w:lang w:val="en-ZA"/>
        </w:rPr>
        <w:t xml:space="preserve">a quo </w:t>
      </w:r>
      <w:r w:rsidRPr="00712363">
        <w:rPr>
          <w:rFonts w:ascii="Arial" w:eastAsia="Calibri" w:hAnsi="Arial" w:cs="Arial"/>
          <w:lang w:val="en-ZA"/>
        </w:rPr>
        <w:t xml:space="preserve">in seeking succour from the pleadings to determine the questions of law that he was asked to determine. </w:t>
      </w:r>
      <w:r w:rsidR="0049101F" w:rsidRPr="00712363">
        <w:rPr>
          <w:rFonts w:ascii="Arial" w:eastAsia="Calibri" w:hAnsi="Arial" w:cs="Arial"/>
          <w:lang w:val="en-ZA"/>
        </w:rPr>
        <w:t xml:space="preserve">That is the only inference one can draw from the conclusion arrived at by the learned judge </w:t>
      </w:r>
      <w:r w:rsidR="00712363" w:rsidRPr="00712363">
        <w:rPr>
          <w:rFonts w:ascii="Arial" w:eastAsia="Calibri" w:hAnsi="Arial" w:cs="Arial"/>
          <w:lang w:val="en-ZA"/>
        </w:rPr>
        <w:t>that until 21 November 2019</w:t>
      </w:r>
      <w:r w:rsidR="008C0BEB">
        <w:rPr>
          <w:rFonts w:ascii="Arial" w:eastAsia="Calibri" w:hAnsi="Arial" w:cs="Arial"/>
          <w:lang w:val="en-ZA"/>
        </w:rPr>
        <w:t>,</w:t>
      </w:r>
      <w:r w:rsidR="00712363" w:rsidRPr="00712363">
        <w:rPr>
          <w:rFonts w:ascii="Arial" w:eastAsia="Calibri" w:hAnsi="Arial" w:cs="Arial"/>
          <w:lang w:val="en-ZA"/>
        </w:rPr>
        <w:t xml:space="preserve"> the Government had dispute</w:t>
      </w:r>
      <w:r w:rsidR="00D56FA0">
        <w:rPr>
          <w:rFonts w:ascii="Arial" w:eastAsia="Calibri" w:hAnsi="Arial" w:cs="Arial"/>
          <w:lang w:val="en-ZA"/>
        </w:rPr>
        <w:t>d indebtedness to the appellant</w:t>
      </w:r>
      <w:r w:rsidR="00712363" w:rsidRPr="00712363">
        <w:rPr>
          <w:rFonts w:ascii="Arial" w:eastAsia="Calibri" w:hAnsi="Arial" w:cs="Arial"/>
          <w:lang w:val="en-ZA"/>
        </w:rPr>
        <w:t xml:space="preserve">. </w:t>
      </w:r>
      <w:r w:rsidR="001E3C53">
        <w:rPr>
          <w:rFonts w:ascii="Arial" w:eastAsia="Calibri" w:hAnsi="Arial" w:cs="Arial"/>
          <w:lang w:val="en-ZA"/>
        </w:rPr>
        <w:t xml:space="preserve">That finding is not reconcilable with </w:t>
      </w:r>
      <w:r w:rsidR="00712363">
        <w:rPr>
          <w:rFonts w:ascii="Arial" w:eastAsia="Calibri" w:hAnsi="Arial" w:cs="Arial"/>
          <w:lang w:val="en-ZA"/>
        </w:rPr>
        <w:t xml:space="preserve">the </w:t>
      </w:r>
      <w:r w:rsidRPr="00712363">
        <w:rPr>
          <w:rFonts w:ascii="Arial" w:eastAsia="Calibri" w:hAnsi="Arial" w:cs="Arial"/>
          <w:lang w:val="en-ZA"/>
        </w:rPr>
        <w:t xml:space="preserve">fact </w:t>
      </w:r>
      <w:r w:rsidR="00C915A1">
        <w:rPr>
          <w:rFonts w:ascii="Arial" w:eastAsia="Calibri" w:hAnsi="Arial" w:cs="Arial"/>
          <w:lang w:val="en-ZA"/>
        </w:rPr>
        <w:t xml:space="preserve">that the </w:t>
      </w:r>
      <w:r w:rsidR="001E3C53">
        <w:rPr>
          <w:rFonts w:ascii="Arial" w:eastAsia="Calibri" w:hAnsi="Arial" w:cs="Arial"/>
          <w:lang w:val="en-ZA"/>
        </w:rPr>
        <w:t xml:space="preserve">Government </w:t>
      </w:r>
      <w:r w:rsidR="00C915A1">
        <w:rPr>
          <w:rFonts w:ascii="Arial" w:eastAsia="Calibri" w:hAnsi="Arial" w:cs="Arial"/>
          <w:lang w:val="en-ZA"/>
        </w:rPr>
        <w:t xml:space="preserve">did not </w:t>
      </w:r>
      <w:r w:rsidRPr="00712363">
        <w:rPr>
          <w:rFonts w:ascii="Arial" w:eastAsia="Calibri" w:hAnsi="Arial" w:cs="Arial"/>
          <w:lang w:val="en-ZA"/>
        </w:rPr>
        <w:t>dispu</w:t>
      </w:r>
      <w:r w:rsidR="00C915A1">
        <w:rPr>
          <w:rFonts w:ascii="Arial" w:eastAsia="Calibri" w:hAnsi="Arial" w:cs="Arial"/>
          <w:lang w:val="en-ZA"/>
        </w:rPr>
        <w:t>te</w:t>
      </w:r>
      <w:r w:rsidRPr="00712363">
        <w:rPr>
          <w:rFonts w:ascii="Arial" w:eastAsia="Calibri" w:hAnsi="Arial" w:cs="Arial"/>
          <w:lang w:val="en-ZA"/>
        </w:rPr>
        <w:t xml:space="preserve"> the claim</w:t>
      </w:r>
      <w:r w:rsidR="00C915A1">
        <w:rPr>
          <w:rFonts w:ascii="Arial" w:eastAsia="Calibri" w:hAnsi="Arial" w:cs="Arial"/>
          <w:lang w:val="en-ZA"/>
        </w:rPr>
        <w:t xml:space="preserve">ed amounts </w:t>
      </w:r>
      <w:r w:rsidRPr="00712363">
        <w:rPr>
          <w:rFonts w:ascii="Arial" w:eastAsia="Calibri" w:hAnsi="Arial" w:cs="Arial"/>
          <w:lang w:val="en-ZA"/>
        </w:rPr>
        <w:t xml:space="preserve">in the stated case; nor is there any reference in the stated case </w:t>
      </w:r>
      <w:r w:rsidR="00EF6B2B">
        <w:rPr>
          <w:rFonts w:ascii="Arial" w:eastAsia="Calibri" w:hAnsi="Arial" w:cs="Arial"/>
          <w:lang w:val="en-ZA"/>
        </w:rPr>
        <w:t xml:space="preserve">that </w:t>
      </w:r>
      <w:r w:rsidR="00C915A1">
        <w:rPr>
          <w:rFonts w:ascii="Arial" w:eastAsia="Calibri" w:hAnsi="Arial" w:cs="Arial"/>
          <w:lang w:val="en-ZA"/>
        </w:rPr>
        <w:t xml:space="preserve">the court </w:t>
      </w:r>
      <w:r w:rsidR="00EF6B2B">
        <w:rPr>
          <w:rFonts w:ascii="Arial" w:eastAsia="Calibri" w:hAnsi="Arial" w:cs="Arial"/>
          <w:lang w:val="en-ZA"/>
        </w:rPr>
        <w:t xml:space="preserve">had </w:t>
      </w:r>
      <w:r w:rsidR="00C915A1">
        <w:rPr>
          <w:rFonts w:ascii="Arial" w:eastAsia="Calibri" w:hAnsi="Arial" w:cs="Arial"/>
          <w:lang w:val="en-ZA"/>
        </w:rPr>
        <w:t xml:space="preserve">to determine </w:t>
      </w:r>
      <w:r w:rsidRPr="00712363">
        <w:rPr>
          <w:rFonts w:ascii="Arial" w:eastAsia="Calibri" w:hAnsi="Arial" w:cs="Arial"/>
          <w:lang w:val="en-ZA"/>
        </w:rPr>
        <w:t>whether or not the amounts claimed were liquidated or unliquidated</w:t>
      </w:r>
      <w:r w:rsidR="00C915A1">
        <w:rPr>
          <w:rFonts w:ascii="Arial" w:eastAsia="Calibri" w:hAnsi="Arial" w:cs="Arial"/>
          <w:lang w:val="en-ZA"/>
        </w:rPr>
        <w:t>.</w:t>
      </w:r>
      <w:r w:rsidRPr="00712363">
        <w:rPr>
          <w:rFonts w:ascii="Arial" w:eastAsia="Calibri" w:hAnsi="Arial" w:cs="Arial"/>
          <w:lang w:val="en-ZA"/>
        </w:rPr>
        <w:t xml:space="preserve"> </w:t>
      </w:r>
      <w:r w:rsidR="00712363">
        <w:rPr>
          <w:rFonts w:ascii="Arial" w:eastAsia="Calibri" w:hAnsi="Arial" w:cs="Arial"/>
          <w:lang w:val="en-ZA"/>
        </w:rPr>
        <w:t xml:space="preserve">In its reasons </w:t>
      </w:r>
      <w:r w:rsidR="000C3615" w:rsidRPr="00712363">
        <w:rPr>
          <w:rFonts w:ascii="Arial" w:eastAsia="Calibri" w:hAnsi="Arial" w:cs="Arial"/>
          <w:lang w:val="en-ZA"/>
        </w:rPr>
        <w:t>t</w:t>
      </w:r>
      <w:r w:rsidRPr="00712363">
        <w:rPr>
          <w:rFonts w:ascii="Arial" w:eastAsia="Calibri" w:hAnsi="Arial" w:cs="Arial"/>
          <w:lang w:val="en-ZA"/>
        </w:rPr>
        <w:t xml:space="preserve">he court </w:t>
      </w:r>
      <w:r w:rsidR="005D4EE0" w:rsidRPr="00712363">
        <w:rPr>
          <w:rFonts w:ascii="Arial" w:eastAsia="Calibri" w:hAnsi="Arial" w:cs="Arial"/>
          <w:lang w:val="en-ZA"/>
        </w:rPr>
        <w:t xml:space="preserve">below </w:t>
      </w:r>
      <w:r w:rsidRPr="00712363">
        <w:rPr>
          <w:rFonts w:ascii="Arial" w:eastAsia="Calibri" w:hAnsi="Arial" w:cs="Arial"/>
          <w:lang w:val="en-ZA"/>
        </w:rPr>
        <w:t xml:space="preserve">equates the date of summons with the date on which the </w:t>
      </w:r>
      <w:r w:rsidR="005D4EE0" w:rsidRPr="00712363">
        <w:rPr>
          <w:rFonts w:ascii="Arial" w:eastAsia="Calibri" w:hAnsi="Arial" w:cs="Arial"/>
          <w:lang w:val="en-ZA"/>
        </w:rPr>
        <w:t xml:space="preserve">Government </w:t>
      </w:r>
      <w:r w:rsidRPr="00712363">
        <w:rPr>
          <w:rFonts w:ascii="Arial" w:eastAsia="Calibri" w:hAnsi="Arial" w:cs="Arial"/>
          <w:lang w:val="en-ZA"/>
        </w:rPr>
        <w:t xml:space="preserve">admitted </w:t>
      </w:r>
      <w:r w:rsidR="00C915A1">
        <w:rPr>
          <w:rFonts w:ascii="Arial" w:eastAsia="Calibri" w:hAnsi="Arial" w:cs="Arial"/>
          <w:lang w:val="en-ZA"/>
        </w:rPr>
        <w:t>liability</w:t>
      </w:r>
      <w:r w:rsidRPr="00712363">
        <w:rPr>
          <w:rFonts w:ascii="Arial" w:eastAsia="Calibri" w:hAnsi="Arial" w:cs="Arial"/>
          <w:lang w:val="en-ZA"/>
        </w:rPr>
        <w:t xml:space="preserve">, yet, there is no such fact recorded in the stated case. To do that, clearly, the court </w:t>
      </w:r>
      <w:r w:rsidRPr="00A2436F">
        <w:rPr>
          <w:rFonts w:ascii="Arial" w:eastAsia="Calibri" w:hAnsi="Arial" w:cs="Arial"/>
          <w:i/>
          <w:lang w:val="en-ZA"/>
        </w:rPr>
        <w:t>a quo</w:t>
      </w:r>
      <w:r w:rsidRPr="00712363">
        <w:rPr>
          <w:rFonts w:ascii="Arial" w:eastAsia="Calibri" w:hAnsi="Arial" w:cs="Arial"/>
          <w:lang w:val="en-ZA"/>
        </w:rPr>
        <w:t xml:space="preserve"> had to traverse outside the stated case.</w:t>
      </w:r>
      <w:r w:rsidR="009C3CB0">
        <w:rPr>
          <w:rFonts w:ascii="Arial" w:eastAsia="Calibri" w:hAnsi="Arial" w:cs="Arial"/>
          <w:lang w:val="en-ZA"/>
        </w:rPr>
        <w:t xml:space="preserve"> </w:t>
      </w:r>
    </w:p>
    <w:p w14:paraId="7C85B2DF" w14:textId="77777777" w:rsidR="00F2295D" w:rsidRPr="00F2295D" w:rsidRDefault="00F2295D" w:rsidP="00F2295D">
      <w:pPr>
        <w:spacing w:after="0" w:line="480" w:lineRule="auto"/>
        <w:jc w:val="both"/>
        <w:rPr>
          <w:rFonts w:ascii="Arial" w:eastAsia="Calibri" w:hAnsi="Arial" w:cs="Arial"/>
          <w:sz w:val="24"/>
          <w:lang w:val="en-ZA"/>
        </w:rPr>
      </w:pPr>
    </w:p>
    <w:p w14:paraId="07EF245C" w14:textId="5CD5423C" w:rsidR="005D4EE0" w:rsidRDefault="00F2295D" w:rsidP="00615B72">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F2295D">
        <w:rPr>
          <w:rFonts w:ascii="Arial" w:eastAsia="Calibri" w:hAnsi="Arial" w:cs="Arial"/>
          <w:lang w:val="en-ZA"/>
        </w:rPr>
        <w:t xml:space="preserve">Both counsel recognised during oral argument that the </w:t>
      </w:r>
      <w:r w:rsidR="00712363">
        <w:rPr>
          <w:rFonts w:ascii="Arial" w:eastAsia="Calibri" w:hAnsi="Arial" w:cs="Arial"/>
          <w:lang w:val="en-ZA"/>
        </w:rPr>
        <w:t xml:space="preserve">managing judge </w:t>
      </w:r>
      <w:r w:rsidRPr="00F2295D">
        <w:rPr>
          <w:rFonts w:ascii="Arial" w:eastAsia="Calibri" w:hAnsi="Arial" w:cs="Arial"/>
          <w:lang w:val="en-ZA"/>
        </w:rPr>
        <w:t>was saddled with a stated case which was less than perfect. Therefore, u</w:t>
      </w:r>
      <w:r w:rsidR="00276C7E">
        <w:rPr>
          <w:rFonts w:ascii="Arial" w:eastAsia="Calibri" w:hAnsi="Arial" w:cs="Arial"/>
          <w:lang w:val="en-ZA"/>
        </w:rPr>
        <w:t xml:space="preserve">nless we are able to determine </w:t>
      </w:r>
      <w:r w:rsidRPr="00F2295D">
        <w:rPr>
          <w:rFonts w:ascii="Arial" w:eastAsia="Calibri" w:hAnsi="Arial" w:cs="Arial"/>
          <w:lang w:val="en-ZA"/>
        </w:rPr>
        <w:t xml:space="preserve">the selected question of law on </w:t>
      </w:r>
      <w:r w:rsidR="00E87AA0">
        <w:rPr>
          <w:rFonts w:ascii="Arial" w:eastAsia="Calibri" w:hAnsi="Arial" w:cs="Arial"/>
          <w:lang w:val="en-ZA"/>
        </w:rPr>
        <w:t xml:space="preserve">facts and inferences that are </w:t>
      </w:r>
      <w:r w:rsidRPr="00F2295D">
        <w:rPr>
          <w:rFonts w:ascii="Arial" w:eastAsia="Calibri" w:hAnsi="Arial" w:cs="Arial"/>
          <w:lang w:val="en-ZA"/>
        </w:rPr>
        <w:t xml:space="preserve">common cause </w:t>
      </w:r>
      <w:r w:rsidR="00894F79">
        <w:rPr>
          <w:rFonts w:ascii="Arial" w:eastAsia="Calibri" w:hAnsi="Arial" w:cs="Arial"/>
          <w:lang w:val="en-ZA"/>
        </w:rPr>
        <w:t xml:space="preserve">on the face of </w:t>
      </w:r>
      <w:r w:rsidR="009C3CB0">
        <w:rPr>
          <w:rFonts w:ascii="Arial" w:eastAsia="Calibri" w:hAnsi="Arial" w:cs="Arial"/>
          <w:lang w:val="en-ZA"/>
        </w:rPr>
        <w:t>the stated case (which includes</w:t>
      </w:r>
      <w:r w:rsidRPr="00F2295D">
        <w:rPr>
          <w:rFonts w:ascii="Arial" w:eastAsia="Calibri" w:hAnsi="Arial" w:cs="Arial"/>
          <w:lang w:val="en-ZA"/>
        </w:rPr>
        <w:t xml:space="preserve"> the annexures) the appropriate course would be to remit it to the High Court as was done in </w:t>
      </w:r>
      <w:r w:rsidRPr="006E0BAF">
        <w:rPr>
          <w:rFonts w:ascii="Arial" w:eastAsia="Calibri" w:hAnsi="Arial" w:cs="Arial"/>
          <w:i/>
          <w:lang w:val="en-ZA"/>
        </w:rPr>
        <w:t>Mbambus</w:t>
      </w:r>
      <w:r w:rsidRPr="00F2295D">
        <w:rPr>
          <w:rFonts w:ascii="Arial" w:eastAsia="Calibri" w:hAnsi="Arial" w:cs="Arial"/>
          <w:lang w:val="en-ZA"/>
        </w:rPr>
        <w:t xml:space="preserve">. </w:t>
      </w:r>
    </w:p>
    <w:p w14:paraId="095C38E6" w14:textId="77777777" w:rsidR="005D4EE0" w:rsidRDefault="005D4EE0" w:rsidP="005D4EE0">
      <w:pPr>
        <w:pStyle w:val="NormalWeb"/>
        <w:spacing w:before="0" w:beforeAutospacing="0" w:after="0" w:afterAutospacing="0" w:line="480" w:lineRule="auto"/>
        <w:jc w:val="both"/>
        <w:rPr>
          <w:rFonts w:ascii="Arial" w:eastAsia="Calibri" w:hAnsi="Arial" w:cs="Arial"/>
          <w:lang w:val="en-ZA"/>
        </w:rPr>
      </w:pPr>
    </w:p>
    <w:p w14:paraId="302C0DA6" w14:textId="3EF2ADEF" w:rsidR="00F2295D" w:rsidRPr="00F2295D" w:rsidRDefault="00F2295D" w:rsidP="00615B72">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F2295D">
        <w:rPr>
          <w:rFonts w:ascii="Arial" w:eastAsia="Calibri" w:hAnsi="Arial" w:cs="Arial"/>
          <w:lang w:val="en-ZA"/>
        </w:rPr>
        <w:lastRenderedPageBreak/>
        <w:t xml:space="preserve">Mr </w:t>
      </w:r>
      <w:r w:rsidR="004F50FC">
        <w:rPr>
          <w:rFonts w:ascii="Arial" w:eastAsia="Calibri" w:hAnsi="Arial" w:cs="Arial"/>
          <w:lang w:val="en-ZA"/>
        </w:rPr>
        <w:t>Ravenscroft-</w:t>
      </w:r>
      <w:r w:rsidRPr="00F2295D">
        <w:rPr>
          <w:rFonts w:ascii="Arial" w:eastAsia="Calibri" w:hAnsi="Arial" w:cs="Arial"/>
          <w:lang w:val="en-ZA"/>
        </w:rPr>
        <w:t>Jones for the appellant urged us not to follow that course because, he submit</w:t>
      </w:r>
      <w:r w:rsidR="005D4EE0">
        <w:rPr>
          <w:rFonts w:ascii="Arial" w:eastAsia="Calibri" w:hAnsi="Arial" w:cs="Arial"/>
          <w:lang w:val="en-ZA"/>
        </w:rPr>
        <w:t xml:space="preserve">ted, the </w:t>
      </w:r>
      <w:r w:rsidR="009C3CB0">
        <w:rPr>
          <w:rFonts w:ascii="Arial" w:eastAsia="Calibri" w:hAnsi="Arial" w:cs="Arial"/>
          <w:lang w:val="en-ZA"/>
        </w:rPr>
        <w:t xml:space="preserve">remaining </w:t>
      </w:r>
      <w:r w:rsidR="005D4EE0">
        <w:rPr>
          <w:rFonts w:ascii="Arial" w:eastAsia="Calibri" w:hAnsi="Arial" w:cs="Arial"/>
          <w:lang w:val="en-ZA"/>
        </w:rPr>
        <w:t>question</w:t>
      </w:r>
      <w:r w:rsidRPr="00F2295D">
        <w:rPr>
          <w:rFonts w:ascii="Arial" w:eastAsia="Calibri" w:hAnsi="Arial" w:cs="Arial"/>
          <w:lang w:val="en-ZA"/>
        </w:rPr>
        <w:t xml:space="preserve"> of law is susceptible of determination on common cause facts apparent on the stated case from which inferences can be drawn, which are: the fact of the indebtedness, the amounts owed</w:t>
      </w:r>
      <w:r w:rsidR="009713CB">
        <w:rPr>
          <w:rFonts w:ascii="Arial" w:eastAsia="Calibri" w:hAnsi="Arial" w:cs="Arial"/>
          <w:lang w:val="en-ZA"/>
        </w:rPr>
        <w:t>;</w:t>
      </w:r>
      <w:r w:rsidRPr="00F2295D">
        <w:rPr>
          <w:rFonts w:ascii="Arial" w:eastAsia="Calibri" w:hAnsi="Arial" w:cs="Arial"/>
          <w:lang w:val="en-ZA"/>
        </w:rPr>
        <w:t xml:space="preserve"> that a letter of demand was made on 10 July 2019 and that summons</w:t>
      </w:r>
      <w:r w:rsidR="00862CAC">
        <w:rPr>
          <w:rFonts w:ascii="Arial" w:eastAsia="Calibri" w:hAnsi="Arial" w:cs="Arial"/>
          <w:lang w:val="en-ZA"/>
        </w:rPr>
        <w:t>es</w:t>
      </w:r>
      <w:r w:rsidRPr="00F2295D">
        <w:rPr>
          <w:rFonts w:ascii="Arial" w:eastAsia="Calibri" w:hAnsi="Arial" w:cs="Arial"/>
          <w:lang w:val="en-ZA"/>
        </w:rPr>
        <w:t xml:space="preserve"> w</w:t>
      </w:r>
      <w:r w:rsidR="00862CAC">
        <w:rPr>
          <w:rFonts w:ascii="Arial" w:eastAsia="Calibri" w:hAnsi="Arial" w:cs="Arial"/>
          <w:lang w:val="en-ZA"/>
        </w:rPr>
        <w:t xml:space="preserve">ere </w:t>
      </w:r>
      <w:r w:rsidRPr="00F2295D">
        <w:rPr>
          <w:rFonts w:ascii="Arial" w:eastAsia="Calibri" w:hAnsi="Arial" w:cs="Arial"/>
          <w:lang w:val="en-ZA"/>
        </w:rPr>
        <w:t>issued on 21 November 2019.</w:t>
      </w:r>
    </w:p>
    <w:p w14:paraId="7C5AE9C2" w14:textId="77777777" w:rsidR="005B2F98" w:rsidRPr="00F2295D" w:rsidRDefault="005B2F98" w:rsidP="00F2295D">
      <w:pPr>
        <w:spacing w:after="0" w:line="480" w:lineRule="auto"/>
        <w:jc w:val="both"/>
        <w:rPr>
          <w:rFonts w:ascii="Arial" w:eastAsia="Calibri" w:hAnsi="Arial" w:cs="Arial"/>
          <w:sz w:val="24"/>
          <w:lang w:val="en-ZA"/>
        </w:rPr>
      </w:pPr>
    </w:p>
    <w:p w14:paraId="1961C8D8" w14:textId="6860F0D9" w:rsidR="00F2295D" w:rsidRDefault="00F2295D" w:rsidP="004730DF">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F2295D">
        <w:rPr>
          <w:rFonts w:ascii="Arial" w:eastAsia="Calibri" w:hAnsi="Arial" w:cs="Arial"/>
          <w:lang w:val="en-ZA"/>
        </w:rPr>
        <w:t xml:space="preserve">As </w:t>
      </w:r>
      <w:r w:rsidR="00750E66">
        <w:rPr>
          <w:rFonts w:ascii="Arial" w:eastAsia="Calibri" w:hAnsi="Arial" w:cs="Arial"/>
          <w:lang w:val="en-ZA"/>
        </w:rPr>
        <w:t>this Court</w:t>
      </w:r>
      <w:r w:rsidRPr="00F2295D">
        <w:rPr>
          <w:rFonts w:ascii="Arial" w:eastAsia="Calibri" w:hAnsi="Arial" w:cs="Arial"/>
          <w:lang w:val="en-ZA"/>
        </w:rPr>
        <w:t xml:space="preserve"> said in </w:t>
      </w:r>
      <w:r w:rsidRPr="000C25E6">
        <w:rPr>
          <w:rFonts w:ascii="Arial" w:eastAsia="Calibri" w:hAnsi="Arial" w:cs="Arial"/>
          <w:i/>
          <w:lang w:val="en-ZA"/>
        </w:rPr>
        <w:t>Paschke</w:t>
      </w:r>
      <w:r w:rsidR="00431F39">
        <w:rPr>
          <w:rFonts w:ascii="Arial" w:eastAsia="Calibri" w:hAnsi="Arial" w:cs="Arial"/>
          <w:lang w:val="en-ZA"/>
        </w:rPr>
        <w:t xml:space="preserve"> about an </w:t>
      </w:r>
      <w:r w:rsidR="000C25E6">
        <w:rPr>
          <w:rFonts w:ascii="Arial" w:eastAsia="Calibri" w:hAnsi="Arial" w:cs="Arial"/>
          <w:lang w:val="en-ZA"/>
        </w:rPr>
        <w:t>imperfect</w:t>
      </w:r>
      <w:r w:rsidR="00431F39">
        <w:rPr>
          <w:rFonts w:ascii="Arial" w:eastAsia="Calibri" w:hAnsi="Arial" w:cs="Arial"/>
          <w:lang w:val="en-ZA"/>
        </w:rPr>
        <w:t xml:space="preserve"> stated case</w:t>
      </w:r>
      <w:r w:rsidR="004B56F7">
        <w:rPr>
          <w:rFonts w:ascii="Arial" w:eastAsia="Calibri" w:hAnsi="Arial" w:cs="Arial"/>
          <w:lang w:val="en-ZA"/>
        </w:rPr>
        <w:t>.</w:t>
      </w:r>
      <w:r w:rsidR="001B73F9">
        <w:rPr>
          <w:rStyle w:val="FootnoteReference"/>
          <w:rFonts w:ascii="Arial" w:eastAsia="Calibri" w:hAnsi="Arial" w:cs="Arial"/>
          <w:lang w:val="en-ZA"/>
        </w:rPr>
        <w:footnoteReference w:id="2"/>
      </w:r>
    </w:p>
    <w:p w14:paraId="10DA09FF" w14:textId="77777777" w:rsidR="00A5733C" w:rsidRPr="00A66172" w:rsidRDefault="00A5733C" w:rsidP="00A5733C">
      <w:pPr>
        <w:pStyle w:val="NormalWeb"/>
        <w:spacing w:before="0" w:beforeAutospacing="0" w:after="0" w:afterAutospacing="0" w:line="480" w:lineRule="auto"/>
        <w:jc w:val="both"/>
        <w:rPr>
          <w:rFonts w:ascii="Arial" w:eastAsia="Calibri" w:hAnsi="Arial" w:cs="Arial"/>
          <w:lang w:val="en-ZA"/>
        </w:rPr>
      </w:pPr>
    </w:p>
    <w:p w14:paraId="045E69BE" w14:textId="2E9BCAD8" w:rsidR="00A66172" w:rsidRPr="00F2295D" w:rsidRDefault="006F513F" w:rsidP="00356756">
      <w:pPr>
        <w:spacing w:after="0" w:line="360" w:lineRule="auto"/>
        <w:ind w:left="720"/>
        <w:jc w:val="both"/>
        <w:rPr>
          <w:rFonts w:ascii="Arial" w:eastAsia="Calibri" w:hAnsi="Arial" w:cs="Arial"/>
          <w:sz w:val="24"/>
          <w:lang w:val="en-ZA"/>
        </w:rPr>
      </w:pPr>
      <w:r>
        <w:rPr>
          <w:rFonts w:ascii="Arial" w:eastAsia="Calibri" w:hAnsi="Arial" w:cs="Arial"/>
          <w:sz w:val="24"/>
          <w:lang w:val="en-ZA"/>
        </w:rPr>
        <w:t>‘</w:t>
      </w:r>
      <w:r w:rsidR="00A66172" w:rsidRPr="006F513F">
        <w:rPr>
          <w:rFonts w:ascii="Arial" w:eastAsia="Calibri" w:hAnsi="Arial" w:cs="Arial"/>
          <w:lang w:val="en-ZA"/>
        </w:rPr>
        <w:t>Nevertheless, where a court of first instance has permitted use of the rule 33(1) procedure and decided an issue on a stated case, even where the appellate court has reservations as to whether the procedure should have been followed, appellate courts have generally determined the appeal on the merits.</w:t>
      </w:r>
      <w:r w:rsidRPr="006F513F">
        <w:rPr>
          <w:rFonts w:ascii="Arial" w:eastAsia="Calibri" w:hAnsi="Arial" w:cs="Arial"/>
          <w:lang w:val="en-ZA"/>
        </w:rPr>
        <w:t>’</w:t>
      </w:r>
      <w:r w:rsidR="008D7D37" w:rsidRPr="006F513F">
        <w:rPr>
          <w:rStyle w:val="FootnoteReference"/>
          <w:rFonts w:ascii="Arial" w:eastAsia="Calibri" w:hAnsi="Arial" w:cs="Arial"/>
          <w:lang w:val="en-ZA"/>
        </w:rPr>
        <w:footnoteReference w:id="3"/>
      </w:r>
    </w:p>
    <w:p w14:paraId="350B461C" w14:textId="77777777" w:rsidR="00F2295D" w:rsidRPr="00F2295D" w:rsidRDefault="00F2295D" w:rsidP="005B2F98">
      <w:pPr>
        <w:spacing w:after="0" w:line="480" w:lineRule="auto"/>
        <w:jc w:val="both"/>
        <w:rPr>
          <w:rFonts w:ascii="Arial" w:eastAsia="Calibri" w:hAnsi="Arial" w:cs="Arial"/>
          <w:color w:val="FF0000"/>
          <w:sz w:val="24"/>
          <w:lang w:val="en-ZA"/>
        </w:rPr>
      </w:pPr>
    </w:p>
    <w:p w14:paraId="046CF1C6" w14:textId="312C897D" w:rsidR="00797DF7" w:rsidRPr="00797DF7" w:rsidRDefault="00F2295D" w:rsidP="005D483B">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8D3C24">
        <w:rPr>
          <w:rFonts w:ascii="Arial" w:eastAsia="Calibri" w:hAnsi="Arial" w:cs="Arial"/>
          <w:lang w:val="en-ZA"/>
        </w:rPr>
        <w:t xml:space="preserve">An important concession made by Mr Ncube </w:t>
      </w:r>
      <w:r w:rsidR="000333D5" w:rsidRPr="008D3C24">
        <w:rPr>
          <w:rFonts w:ascii="Arial" w:eastAsia="Calibri" w:hAnsi="Arial" w:cs="Arial"/>
          <w:lang w:val="en-ZA"/>
        </w:rPr>
        <w:t xml:space="preserve">for the Government </w:t>
      </w:r>
      <w:r w:rsidR="00882AAB" w:rsidRPr="008D3C24">
        <w:rPr>
          <w:rFonts w:ascii="Arial" w:eastAsia="Calibri" w:hAnsi="Arial" w:cs="Arial"/>
          <w:lang w:val="en-ZA"/>
        </w:rPr>
        <w:t xml:space="preserve">in </w:t>
      </w:r>
      <w:r w:rsidR="000333D5" w:rsidRPr="008D3C24">
        <w:rPr>
          <w:rFonts w:ascii="Arial" w:eastAsia="Calibri" w:hAnsi="Arial" w:cs="Arial"/>
          <w:lang w:val="en-ZA"/>
        </w:rPr>
        <w:t xml:space="preserve">oral </w:t>
      </w:r>
      <w:r w:rsidRPr="008D3C24">
        <w:rPr>
          <w:rFonts w:ascii="Arial" w:eastAsia="Calibri" w:hAnsi="Arial" w:cs="Arial"/>
          <w:lang w:val="en-ZA"/>
        </w:rPr>
        <w:t xml:space="preserve">argument on appeal greatly ameliorates the difficulties posed by the stated case. Both in </w:t>
      </w:r>
      <w:r w:rsidR="00862CAC">
        <w:rPr>
          <w:rFonts w:ascii="Arial" w:eastAsia="Calibri" w:hAnsi="Arial" w:cs="Arial"/>
          <w:lang w:val="en-ZA"/>
        </w:rPr>
        <w:t>his</w:t>
      </w:r>
      <w:r w:rsidRPr="008D3C24">
        <w:rPr>
          <w:rFonts w:ascii="Arial" w:eastAsia="Calibri" w:hAnsi="Arial" w:cs="Arial"/>
          <w:lang w:val="en-ZA"/>
        </w:rPr>
        <w:t xml:space="preserve"> heads of argument and oral argument on appeal</w:t>
      </w:r>
      <w:r w:rsidR="005D4EE0" w:rsidRPr="008D3C24">
        <w:rPr>
          <w:rFonts w:ascii="Arial" w:eastAsia="Calibri" w:hAnsi="Arial" w:cs="Arial"/>
          <w:lang w:val="en-ZA"/>
        </w:rPr>
        <w:t>,</w:t>
      </w:r>
      <w:r w:rsidRPr="008D3C24">
        <w:rPr>
          <w:rFonts w:ascii="Arial" w:eastAsia="Calibri" w:hAnsi="Arial" w:cs="Arial"/>
          <w:lang w:val="en-ZA"/>
        </w:rPr>
        <w:t xml:space="preserve"> </w:t>
      </w:r>
      <w:r w:rsidR="005D4EE0" w:rsidRPr="008D3C24">
        <w:rPr>
          <w:rFonts w:ascii="Arial" w:eastAsia="Calibri" w:hAnsi="Arial" w:cs="Arial"/>
          <w:lang w:val="en-ZA"/>
        </w:rPr>
        <w:t xml:space="preserve">Mr Ncube </w:t>
      </w:r>
      <w:r w:rsidRPr="008D3C24">
        <w:rPr>
          <w:rFonts w:ascii="Arial" w:eastAsia="Calibri" w:hAnsi="Arial" w:cs="Arial"/>
          <w:lang w:val="en-ZA"/>
        </w:rPr>
        <w:t xml:space="preserve">placed on record that the delay in </w:t>
      </w:r>
      <w:r w:rsidR="00D0533B" w:rsidRPr="008D3C24">
        <w:rPr>
          <w:rFonts w:ascii="Arial" w:eastAsia="Calibri" w:hAnsi="Arial" w:cs="Arial"/>
          <w:lang w:val="en-ZA"/>
        </w:rPr>
        <w:t xml:space="preserve">the </w:t>
      </w:r>
      <w:r w:rsidRPr="008D3C24">
        <w:rPr>
          <w:rFonts w:ascii="Arial" w:eastAsia="Calibri" w:hAnsi="Arial" w:cs="Arial"/>
          <w:lang w:val="en-ZA"/>
        </w:rPr>
        <w:t xml:space="preserve">payment of the amounts owed </w:t>
      </w:r>
      <w:r w:rsidR="00D715B4" w:rsidRPr="008D3C24">
        <w:rPr>
          <w:rFonts w:ascii="Arial" w:eastAsia="Calibri" w:hAnsi="Arial" w:cs="Arial"/>
          <w:lang w:val="en-ZA"/>
        </w:rPr>
        <w:t>to the appell</w:t>
      </w:r>
      <w:r w:rsidR="00797DF7">
        <w:rPr>
          <w:rFonts w:ascii="Arial" w:eastAsia="Calibri" w:hAnsi="Arial" w:cs="Arial"/>
          <w:lang w:val="en-ZA"/>
        </w:rPr>
        <w:t>ant</w:t>
      </w:r>
      <w:r w:rsidR="00D715B4" w:rsidRPr="008D3C24">
        <w:rPr>
          <w:rFonts w:ascii="Arial" w:eastAsia="Calibri" w:hAnsi="Arial" w:cs="Arial"/>
          <w:lang w:val="en-ZA"/>
        </w:rPr>
        <w:t xml:space="preserve"> </w:t>
      </w:r>
      <w:r w:rsidRPr="008D3C24">
        <w:rPr>
          <w:rFonts w:ascii="Arial" w:eastAsia="Calibri" w:hAnsi="Arial" w:cs="Arial"/>
          <w:lang w:val="en-ZA"/>
        </w:rPr>
        <w:t>was due to the interruption in government</w:t>
      </w:r>
      <w:r w:rsidR="004914DE">
        <w:rPr>
          <w:rFonts w:ascii="Arial" w:eastAsia="Calibri" w:hAnsi="Arial" w:cs="Arial"/>
          <w:lang w:val="en-ZA"/>
        </w:rPr>
        <w:t xml:space="preserve"> operations caused by the Covid-</w:t>
      </w:r>
      <w:r w:rsidRPr="008D3C24">
        <w:rPr>
          <w:rFonts w:ascii="Arial" w:eastAsia="Calibri" w:hAnsi="Arial" w:cs="Arial"/>
          <w:lang w:val="en-ZA"/>
        </w:rPr>
        <w:t>19 pandemic</w:t>
      </w:r>
      <w:r w:rsidR="00797DF7">
        <w:rPr>
          <w:rFonts w:ascii="Arial" w:eastAsia="Calibri" w:hAnsi="Arial" w:cs="Arial"/>
          <w:lang w:val="en-ZA"/>
        </w:rPr>
        <w:t xml:space="preserve"> – </w:t>
      </w:r>
      <w:r w:rsidR="00B55CA0">
        <w:rPr>
          <w:rFonts w:ascii="Arial" w:eastAsia="Calibri" w:hAnsi="Arial" w:cs="Arial"/>
          <w:lang w:val="en-ZA"/>
        </w:rPr>
        <w:t xml:space="preserve">in other words, </w:t>
      </w:r>
      <w:r w:rsidR="00797DF7">
        <w:rPr>
          <w:rFonts w:ascii="Arial" w:eastAsia="Calibri" w:hAnsi="Arial" w:cs="Arial"/>
          <w:lang w:val="en-ZA"/>
        </w:rPr>
        <w:t>not that they were disputed</w:t>
      </w:r>
      <w:r w:rsidRPr="008D3C24">
        <w:rPr>
          <w:rFonts w:ascii="Arial" w:eastAsia="Calibri" w:hAnsi="Arial" w:cs="Arial"/>
          <w:lang w:val="en-ZA"/>
        </w:rPr>
        <w:t xml:space="preserve">. In </w:t>
      </w:r>
      <w:r w:rsidR="00D715B4" w:rsidRPr="008D3C24">
        <w:rPr>
          <w:rFonts w:ascii="Arial" w:eastAsia="Calibri" w:hAnsi="Arial" w:cs="Arial"/>
          <w:lang w:val="en-ZA"/>
        </w:rPr>
        <w:t>his</w:t>
      </w:r>
      <w:r w:rsidRPr="008D3C24">
        <w:rPr>
          <w:rFonts w:ascii="Arial" w:eastAsia="Calibri" w:hAnsi="Arial" w:cs="Arial"/>
          <w:lang w:val="en-ZA"/>
        </w:rPr>
        <w:t xml:space="preserve"> written submission</w:t>
      </w:r>
      <w:r w:rsidR="00D715B4" w:rsidRPr="008D3C24">
        <w:rPr>
          <w:rFonts w:ascii="Arial" w:eastAsia="Calibri" w:hAnsi="Arial" w:cs="Arial"/>
          <w:lang w:val="en-ZA"/>
        </w:rPr>
        <w:t>s</w:t>
      </w:r>
      <w:r w:rsidRPr="008D3C24">
        <w:rPr>
          <w:rFonts w:ascii="Arial" w:eastAsia="Calibri" w:hAnsi="Arial" w:cs="Arial"/>
          <w:lang w:val="en-ZA"/>
        </w:rPr>
        <w:t xml:space="preserve"> </w:t>
      </w:r>
      <w:r w:rsidR="000D22BB" w:rsidRPr="008D3C24">
        <w:rPr>
          <w:rFonts w:ascii="Arial" w:eastAsia="Calibri" w:hAnsi="Arial" w:cs="Arial"/>
          <w:lang w:val="en-ZA"/>
        </w:rPr>
        <w:t>Mr Ncube also</w:t>
      </w:r>
      <w:r w:rsidR="00D715B4" w:rsidRPr="008D3C24">
        <w:rPr>
          <w:rFonts w:ascii="Arial" w:eastAsia="Calibri" w:hAnsi="Arial" w:cs="Arial"/>
          <w:lang w:val="en-ZA"/>
        </w:rPr>
        <w:t>,</w:t>
      </w:r>
      <w:r w:rsidR="000D22BB" w:rsidRPr="008D3C24">
        <w:rPr>
          <w:rFonts w:ascii="Arial" w:eastAsia="Calibri" w:hAnsi="Arial" w:cs="Arial"/>
          <w:lang w:val="en-ZA"/>
        </w:rPr>
        <w:t xml:space="preserve"> by reference to </w:t>
      </w:r>
      <w:r w:rsidRPr="008D3C24">
        <w:rPr>
          <w:rFonts w:ascii="Arial" w:eastAsia="Calibri" w:hAnsi="Arial" w:cs="Arial"/>
          <w:lang w:val="en-ZA"/>
        </w:rPr>
        <w:t xml:space="preserve">the plea filed of record, </w:t>
      </w:r>
      <w:r w:rsidR="00D715B4" w:rsidRPr="008D3C24">
        <w:rPr>
          <w:rFonts w:ascii="Arial" w:eastAsia="Calibri" w:hAnsi="Arial" w:cs="Arial"/>
          <w:lang w:val="en-ZA"/>
        </w:rPr>
        <w:t xml:space="preserve">stated </w:t>
      </w:r>
      <w:r w:rsidR="000D22BB" w:rsidRPr="008D3C24">
        <w:rPr>
          <w:rFonts w:ascii="Arial" w:eastAsia="Calibri" w:hAnsi="Arial" w:cs="Arial"/>
          <w:lang w:val="en-ZA"/>
        </w:rPr>
        <w:t xml:space="preserve">that </w:t>
      </w:r>
      <w:r w:rsidRPr="008D3C24">
        <w:rPr>
          <w:rFonts w:ascii="Arial" w:eastAsia="Calibri" w:hAnsi="Arial" w:cs="Arial"/>
          <w:lang w:val="en-ZA"/>
        </w:rPr>
        <w:t>‘the respondents disputed the interest amounts</w:t>
      </w:r>
      <w:r w:rsidR="005D4EE0" w:rsidRPr="008D3C24">
        <w:rPr>
          <w:rFonts w:ascii="Arial" w:eastAsia="Calibri" w:hAnsi="Arial" w:cs="Arial"/>
          <w:lang w:val="en-ZA"/>
        </w:rPr>
        <w:t>’</w:t>
      </w:r>
      <w:r w:rsidRPr="008D3C24">
        <w:rPr>
          <w:rFonts w:ascii="Arial" w:eastAsia="Calibri" w:hAnsi="Arial" w:cs="Arial"/>
          <w:lang w:val="en-ZA"/>
        </w:rPr>
        <w:t xml:space="preserve">. </w:t>
      </w:r>
      <w:r w:rsidR="000D22BB" w:rsidRPr="008D3C24">
        <w:rPr>
          <w:rFonts w:ascii="Arial" w:eastAsia="Calibri" w:hAnsi="Arial" w:cs="Arial"/>
          <w:lang w:val="en-ZA"/>
        </w:rPr>
        <w:t xml:space="preserve">Now, the inescapable inference to be drawn from stating that interest payments were disputed, alongside the statement that payments were delayed by </w:t>
      </w:r>
      <w:r w:rsidR="000D22BB" w:rsidRPr="008D3C24">
        <w:rPr>
          <w:rFonts w:ascii="Arial" w:eastAsia="Calibri" w:hAnsi="Arial" w:cs="Arial"/>
          <w:lang w:val="en-ZA"/>
        </w:rPr>
        <w:lastRenderedPageBreak/>
        <w:t>Covid</w:t>
      </w:r>
      <w:r w:rsidR="00A16994">
        <w:rPr>
          <w:rFonts w:ascii="Arial" w:eastAsia="Calibri" w:hAnsi="Arial" w:cs="Arial"/>
          <w:lang w:val="en-ZA"/>
        </w:rPr>
        <w:t>-19</w:t>
      </w:r>
      <w:r w:rsidR="000D22BB" w:rsidRPr="008D3C24">
        <w:rPr>
          <w:rFonts w:ascii="Arial" w:eastAsia="Calibri" w:hAnsi="Arial" w:cs="Arial"/>
          <w:lang w:val="en-ZA"/>
        </w:rPr>
        <w:t>, is a concession that the capital amounts were n</w:t>
      </w:r>
      <w:r w:rsidR="00862CAC">
        <w:rPr>
          <w:rFonts w:ascii="Arial" w:eastAsia="Calibri" w:hAnsi="Arial" w:cs="Arial"/>
          <w:lang w:val="en-ZA"/>
        </w:rPr>
        <w:t xml:space="preserve">ot </w:t>
      </w:r>
      <w:r w:rsidR="000D22BB" w:rsidRPr="008D3C24">
        <w:rPr>
          <w:rFonts w:ascii="Arial" w:eastAsia="Calibri" w:hAnsi="Arial" w:cs="Arial"/>
          <w:lang w:val="en-ZA"/>
        </w:rPr>
        <w:t xml:space="preserve">in dispute. That is to be considered together with the fact </w:t>
      </w:r>
      <w:r w:rsidR="00797DF7">
        <w:rPr>
          <w:rFonts w:ascii="Arial" w:eastAsia="Calibri" w:hAnsi="Arial" w:cs="Arial"/>
          <w:lang w:val="en-ZA"/>
        </w:rPr>
        <w:t xml:space="preserve">that </w:t>
      </w:r>
      <w:r w:rsidR="000D22BB" w:rsidRPr="008D3C24">
        <w:rPr>
          <w:rFonts w:ascii="Arial" w:eastAsia="Calibri" w:hAnsi="Arial"/>
          <w:lang w:val="en-ZA"/>
        </w:rPr>
        <w:t xml:space="preserve">the Government does not </w:t>
      </w:r>
      <w:r w:rsidR="00797DF7">
        <w:rPr>
          <w:rFonts w:ascii="Arial" w:eastAsia="Calibri" w:hAnsi="Arial"/>
          <w:lang w:val="en-ZA"/>
        </w:rPr>
        <w:t xml:space="preserve">in the </w:t>
      </w:r>
      <w:r w:rsidR="00F402CF">
        <w:rPr>
          <w:rFonts w:ascii="Arial" w:eastAsia="Calibri" w:hAnsi="Arial"/>
          <w:lang w:val="en-ZA"/>
        </w:rPr>
        <w:t>stated</w:t>
      </w:r>
      <w:r w:rsidR="00797DF7">
        <w:rPr>
          <w:rFonts w:ascii="Arial" w:eastAsia="Calibri" w:hAnsi="Arial"/>
          <w:lang w:val="en-ZA"/>
        </w:rPr>
        <w:t xml:space="preserve"> case </w:t>
      </w:r>
      <w:r w:rsidR="000D22BB" w:rsidRPr="008D3C24">
        <w:rPr>
          <w:rFonts w:ascii="Arial" w:eastAsia="Calibri" w:hAnsi="Arial"/>
          <w:lang w:val="en-ZA"/>
        </w:rPr>
        <w:t xml:space="preserve">deny </w:t>
      </w:r>
      <w:r w:rsidR="00797DF7">
        <w:rPr>
          <w:rFonts w:ascii="Arial" w:eastAsia="Calibri" w:hAnsi="Arial"/>
          <w:lang w:val="en-ZA"/>
        </w:rPr>
        <w:t xml:space="preserve">that the claimed amounts are due and owing. </w:t>
      </w:r>
    </w:p>
    <w:p w14:paraId="7B58D4B5" w14:textId="77777777" w:rsidR="00797DF7" w:rsidRPr="00797DF7" w:rsidRDefault="00797DF7" w:rsidP="00797DF7">
      <w:pPr>
        <w:pStyle w:val="NormalWeb"/>
        <w:spacing w:before="0" w:beforeAutospacing="0" w:after="0" w:afterAutospacing="0" w:line="480" w:lineRule="auto"/>
        <w:jc w:val="both"/>
        <w:rPr>
          <w:rFonts w:ascii="Arial" w:eastAsia="Calibri" w:hAnsi="Arial" w:cs="Arial"/>
          <w:lang w:val="en-ZA"/>
        </w:rPr>
      </w:pPr>
    </w:p>
    <w:p w14:paraId="2C9EF041" w14:textId="64D475BD" w:rsidR="005B1F35" w:rsidRPr="00FC50F5" w:rsidRDefault="000D22BB" w:rsidP="005D483B">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8D3C24">
        <w:rPr>
          <w:rFonts w:ascii="Arial" w:eastAsia="Calibri" w:hAnsi="Arial"/>
          <w:lang w:val="en-ZA"/>
        </w:rPr>
        <w:t xml:space="preserve">On the contrary, the annexures to the stated case show that the Government made partial payments after being invoiced. </w:t>
      </w:r>
      <w:r w:rsidR="00D715B4" w:rsidRPr="008D3C24">
        <w:rPr>
          <w:rFonts w:ascii="Arial" w:eastAsia="Calibri" w:hAnsi="Arial"/>
          <w:lang w:val="en-ZA"/>
        </w:rPr>
        <w:t xml:space="preserve">Partial </w:t>
      </w:r>
      <w:r w:rsidRPr="008D3C24">
        <w:rPr>
          <w:rFonts w:ascii="Arial" w:eastAsia="Calibri" w:hAnsi="Arial"/>
          <w:lang w:val="en-ZA"/>
        </w:rPr>
        <w:t>pay</w:t>
      </w:r>
      <w:r w:rsidR="00D715B4" w:rsidRPr="008D3C24">
        <w:rPr>
          <w:rFonts w:ascii="Arial" w:eastAsia="Calibri" w:hAnsi="Arial"/>
          <w:lang w:val="en-ZA"/>
        </w:rPr>
        <w:t>ment</w:t>
      </w:r>
      <w:r w:rsidRPr="008D3C24">
        <w:rPr>
          <w:rFonts w:ascii="Arial" w:eastAsia="Calibri" w:hAnsi="Arial"/>
          <w:lang w:val="en-ZA"/>
        </w:rPr>
        <w:t xml:space="preserve"> </w:t>
      </w:r>
      <w:r w:rsidR="005B2F98">
        <w:rPr>
          <w:rFonts w:ascii="Arial" w:eastAsia="Calibri" w:hAnsi="Arial"/>
          <w:lang w:val="en-ZA"/>
        </w:rPr>
        <w:t>–</w:t>
      </w:r>
      <w:r w:rsidR="00D715B4" w:rsidRPr="008D3C24">
        <w:rPr>
          <w:rFonts w:ascii="Arial" w:eastAsia="Calibri" w:hAnsi="Arial"/>
          <w:lang w:val="en-ZA"/>
        </w:rPr>
        <w:t xml:space="preserve"> </w:t>
      </w:r>
      <w:r w:rsidRPr="008D3C24">
        <w:rPr>
          <w:rFonts w:ascii="Arial" w:eastAsia="Calibri" w:hAnsi="Arial"/>
          <w:lang w:val="en-ZA"/>
        </w:rPr>
        <w:t xml:space="preserve">which </w:t>
      </w:r>
      <w:r w:rsidR="00797DF7">
        <w:rPr>
          <w:rFonts w:ascii="Arial" w:eastAsia="Calibri" w:hAnsi="Arial"/>
          <w:lang w:val="en-ZA"/>
        </w:rPr>
        <w:t xml:space="preserve">in some cases </w:t>
      </w:r>
      <w:r w:rsidRPr="008D3C24">
        <w:rPr>
          <w:rFonts w:ascii="Arial" w:eastAsia="Calibri" w:hAnsi="Arial"/>
          <w:lang w:val="en-ZA"/>
        </w:rPr>
        <w:t xml:space="preserve">predate service of summons </w:t>
      </w:r>
      <w:r w:rsidR="005B2F98">
        <w:rPr>
          <w:rFonts w:ascii="Arial" w:eastAsia="Calibri" w:hAnsi="Arial"/>
          <w:lang w:val="en-ZA"/>
        </w:rPr>
        <w:t>–</w:t>
      </w:r>
      <w:r w:rsidR="00D715B4" w:rsidRPr="008D3C24">
        <w:rPr>
          <w:rFonts w:ascii="Arial" w:eastAsia="Calibri" w:hAnsi="Arial"/>
          <w:lang w:val="en-ZA"/>
        </w:rPr>
        <w:t xml:space="preserve"> </w:t>
      </w:r>
      <w:r w:rsidRPr="008D3C24">
        <w:rPr>
          <w:rFonts w:ascii="Arial" w:eastAsia="Calibri" w:hAnsi="Arial"/>
          <w:lang w:val="en-ZA"/>
        </w:rPr>
        <w:t>constitutes admission of liability contrary to the court’s finding otherwise.</w:t>
      </w:r>
      <w:r w:rsidR="002234F7">
        <w:rPr>
          <w:rFonts w:ascii="Arial" w:eastAsia="Calibri" w:hAnsi="Arial"/>
          <w:lang w:val="en-ZA"/>
        </w:rPr>
        <w:t xml:space="preserve"> Once liability wa</w:t>
      </w:r>
      <w:r w:rsidR="00D715B4" w:rsidRPr="008D3C24">
        <w:rPr>
          <w:rFonts w:ascii="Arial" w:eastAsia="Calibri" w:hAnsi="Arial"/>
          <w:lang w:val="en-ZA"/>
        </w:rPr>
        <w:t>s admitted the amounts claimed became liquidated.</w:t>
      </w:r>
      <w:r w:rsidR="0063193A" w:rsidRPr="008D3C24">
        <w:rPr>
          <w:rFonts w:ascii="Arial" w:eastAsia="Calibri" w:hAnsi="Arial"/>
          <w:lang w:val="en-ZA"/>
        </w:rPr>
        <w:t xml:space="preserve"> </w:t>
      </w:r>
      <w:r w:rsidR="008D3C24" w:rsidRPr="008D3C24">
        <w:rPr>
          <w:rFonts w:ascii="Arial" w:eastAsia="Calibri" w:hAnsi="Arial"/>
          <w:lang w:val="en-ZA"/>
        </w:rPr>
        <w:t xml:space="preserve">For example, Annexure </w:t>
      </w:r>
      <w:r w:rsidR="00797DF7">
        <w:rPr>
          <w:rFonts w:ascii="Arial" w:eastAsia="Calibri" w:hAnsi="Arial"/>
          <w:lang w:val="en-ZA"/>
        </w:rPr>
        <w:t>‘</w:t>
      </w:r>
      <w:r w:rsidR="008D3C24" w:rsidRPr="008D3C24">
        <w:rPr>
          <w:rFonts w:ascii="Arial" w:eastAsia="Calibri" w:hAnsi="Arial"/>
          <w:lang w:val="en-ZA"/>
        </w:rPr>
        <w:t>A</w:t>
      </w:r>
      <w:r w:rsidR="00797DF7">
        <w:rPr>
          <w:rFonts w:ascii="Arial" w:eastAsia="Calibri" w:hAnsi="Arial"/>
          <w:lang w:val="en-ZA"/>
        </w:rPr>
        <w:t>’</w:t>
      </w:r>
      <w:r w:rsidR="008D3C24" w:rsidRPr="008D3C24">
        <w:rPr>
          <w:rFonts w:ascii="Arial" w:eastAsia="Calibri" w:hAnsi="Arial"/>
          <w:lang w:val="en-ZA"/>
        </w:rPr>
        <w:t xml:space="preserve"> shows payments made by the Government on </w:t>
      </w:r>
      <w:r w:rsidR="00862CAC" w:rsidRPr="008D3C24">
        <w:rPr>
          <w:rFonts w:ascii="Arial" w:eastAsia="Calibri" w:hAnsi="Arial"/>
          <w:lang w:val="en-ZA"/>
        </w:rPr>
        <w:t xml:space="preserve">10 August 2019 </w:t>
      </w:r>
      <w:r w:rsidR="00862CAC">
        <w:rPr>
          <w:rFonts w:ascii="Arial" w:eastAsia="Calibri" w:hAnsi="Arial"/>
          <w:lang w:val="en-ZA"/>
        </w:rPr>
        <w:t xml:space="preserve">and </w:t>
      </w:r>
      <w:r w:rsidR="008D3C24" w:rsidRPr="008D3C24">
        <w:rPr>
          <w:rFonts w:ascii="Arial" w:eastAsia="Calibri" w:hAnsi="Arial"/>
          <w:lang w:val="en-ZA"/>
        </w:rPr>
        <w:t>25 September 2019 which is prior to the date of 21 November 2019 identified by the co</w:t>
      </w:r>
      <w:r w:rsidR="008D3C24">
        <w:rPr>
          <w:rFonts w:ascii="Arial" w:eastAsia="Calibri" w:hAnsi="Arial"/>
          <w:lang w:val="en-ZA"/>
        </w:rPr>
        <w:t xml:space="preserve">urt </w:t>
      </w:r>
      <w:r w:rsidR="008D3C24" w:rsidRPr="000F765F">
        <w:rPr>
          <w:rFonts w:ascii="Arial" w:eastAsia="Calibri" w:hAnsi="Arial"/>
          <w:i/>
          <w:lang w:val="en-ZA"/>
        </w:rPr>
        <w:t>a quo</w:t>
      </w:r>
      <w:r w:rsidR="008D3C24">
        <w:rPr>
          <w:rFonts w:ascii="Arial" w:eastAsia="Calibri" w:hAnsi="Arial"/>
          <w:lang w:val="en-ZA"/>
        </w:rPr>
        <w:t xml:space="preserve"> as the critical date.</w:t>
      </w:r>
      <w:r w:rsidR="00797DF7">
        <w:rPr>
          <w:rFonts w:ascii="Arial" w:eastAsia="Calibri" w:hAnsi="Arial"/>
          <w:lang w:val="en-ZA"/>
        </w:rPr>
        <w:t xml:space="preserve"> Similarly, Annexure ‘C’ which relates to case </w:t>
      </w:r>
      <w:r w:rsidR="00285F5C">
        <w:rPr>
          <w:rFonts w:ascii="Arial" w:eastAsia="Calibri" w:hAnsi="Arial"/>
          <w:lang w:val="en-ZA"/>
        </w:rPr>
        <w:t>no</w:t>
      </w:r>
      <w:r w:rsidR="00797DF7">
        <w:rPr>
          <w:rFonts w:ascii="Arial" w:eastAsia="Calibri" w:hAnsi="Arial"/>
          <w:lang w:val="en-ZA"/>
        </w:rPr>
        <w:t xml:space="preserve">.: 2019/05160 under which the court </w:t>
      </w:r>
      <w:r w:rsidR="00797DF7" w:rsidRPr="00851F21">
        <w:rPr>
          <w:rFonts w:ascii="Arial" w:eastAsia="Calibri" w:hAnsi="Arial"/>
          <w:i/>
          <w:lang w:val="en-ZA"/>
        </w:rPr>
        <w:t>a quo</w:t>
      </w:r>
      <w:r w:rsidR="00797DF7">
        <w:rPr>
          <w:rFonts w:ascii="Arial" w:eastAsia="Calibri" w:hAnsi="Arial"/>
          <w:lang w:val="en-ZA"/>
        </w:rPr>
        <w:t xml:space="preserve"> issued </w:t>
      </w:r>
      <w:r w:rsidR="00C276D4">
        <w:rPr>
          <w:rFonts w:ascii="Arial" w:eastAsia="Calibri" w:hAnsi="Arial"/>
          <w:lang w:val="en-ZA"/>
        </w:rPr>
        <w:t>the order o</w:t>
      </w:r>
      <w:r w:rsidR="00862CAC">
        <w:rPr>
          <w:rFonts w:ascii="Arial" w:eastAsia="Calibri" w:hAnsi="Arial"/>
          <w:lang w:val="en-ZA"/>
        </w:rPr>
        <w:t>f</w:t>
      </w:r>
      <w:r w:rsidR="00C276D4">
        <w:rPr>
          <w:rFonts w:ascii="Arial" w:eastAsia="Calibri" w:hAnsi="Arial"/>
          <w:lang w:val="en-ZA"/>
        </w:rPr>
        <w:t xml:space="preserve"> 19 March 2021</w:t>
      </w:r>
      <w:r w:rsidR="00862CAC">
        <w:rPr>
          <w:rFonts w:ascii="Arial" w:eastAsia="Calibri" w:hAnsi="Arial"/>
          <w:lang w:val="en-ZA"/>
        </w:rPr>
        <w:t>,</w:t>
      </w:r>
      <w:r w:rsidR="00C276D4">
        <w:rPr>
          <w:rFonts w:ascii="Arial" w:eastAsia="Calibri" w:hAnsi="Arial"/>
          <w:lang w:val="en-ZA"/>
        </w:rPr>
        <w:t xml:space="preserve"> includes payments made on 25 November 2016 and 10 September 2019. </w:t>
      </w:r>
    </w:p>
    <w:p w14:paraId="430766FD" w14:textId="77777777" w:rsidR="00FC50F5" w:rsidRDefault="00FC50F5" w:rsidP="00A80CD5">
      <w:pPr>
        <w:pStyle w:val="NormalWeb"/>
        <w:spacing w:before="0" w:beforeAutospacing="0" w:after="0" w:afterAutospacing="0" w:line="480" w:lineRule="auto"/>
        <w:jc w:val="both"/>
        <w:rPr>
          <w:rFonts w:ascii="Arial" w:eastAsia="Calibri" w:hAnsi="Arial" w:cs="Arial"/>
          <w:lang w:val="en-ZA"/>
        </w:rPr>
      </w:pPr>
    </w:p>
    <w:p w14:paraId="0E06C790" w14:textId="1A8BC15C" w:rsidR="00FC50F5" w:rsidRDefault="00FC50F5" w:rsidP="00FC50F5">
      <w:pPr>
        <w:pStyle w:val="NormalWeb"/>
        <w:numPr>
          <w:ilvl w:val="0"/>
          <w:numId w:val="8"/>
        </w:numPr>
        <w:spacing w:before="0" w:beforeAutospacing="0" w:after="0" w:afterAutospacing="0" w:line="480" w:lineRule="auto"/>
        <w:ind w:left="0" w:firstLine="0"/>
        <w:jc w:val="both"/>
        <w:rPr>
          <w:rFonts w:ascii="Arial" w:eastAsia="Calibri" w:hAnsi="Arial"/>
          <w:lang w:val="en-ZA"/>
        </w:rPr>
      </w:pPr>
      <w:r w:rsidRPr="00272CE1">
        <w:rPr>
          <w:rFonts w:ascii="Arial" w:eastAsia="Calibri" w:hAnsi="Arial"/>
          <w:lang w:val="en-ZA"/>
        </w:rPr>
        <w:t xml:space="preserve">In the light of the above, the High Court’s finding that the Government’s indebtedness to the appellant was unliquidated until 21 November 2019 is irreconcilable with the </w:t>
      </w:r>
      <w:r>
        <w:rPr>
          <w:rFonts w:ascii="Arial" w:eastAsia="Calibri" w:hAnsi="Arial"/>
          <w:lang w:val="en-ZA"/>
        </w:rPr>
        <w:t xml:space="preserve">facts that are </w:t>
      </w:r>
      <w:r w:rsidRPr="00272CE1">
        <w:rPr>
          <w:rFonts w:ascii="Arial" w:eastAsia="Calibri" w:hAnsi="Arial"/>
          <w:lang w:val="en-ZA"/>
        </w:rPr>
        <w:t xml:space="preserve">common cause </w:t>
      </w:r>
      <w:r w:rsidRPr="00285F5C">
        <w:rPr>
          <w:rFonts w:ascii="Arial" w:eastAsia="Calibri" w:hAnsi="Arial"/>
          <w:i/>
          <w:lang w:val="en-ZA"/>
        </w:rPr>
        <w:t>ex facie</w:t>
      </w:r>
      <w:r>
        <w:rPr>
          <w:rFonts w:ascii="Arial" w:eastAsia="Calibri" w:hAnsi="Arial"/>
          <w:lang w:val="en-ZA"/>
        </w:rPr>
        <w:t xml:space="preserve"> the stated case. </w:t>
      </w:r>
    </w:p>
    <w:p w14:paraId="35229603" w14:textId="77777777" w:rsidR="00FC50F5" w:rsidRDefault="00FC50F5" w:rsidP="00FC50F5">
      <w:pPr>
        <w:pStyle w:val="NormalWeb"/>
        <w:spacing w:before="0" w:beforeAutospacing="0" w:after="0" w:afterAutospacing="0" w:line="480" w:lineRule="auto"/>
        <w:jc w:val="both"/>
        <w:rPr>
          <w:rFonts w:ascii="Arial" w:eastAsia="Calibri" w:hAnsi="Arial"/>
          <w:lang w:val="en-ZA"/>
        </w:rPr>
      </w:pPr>
    </w:p>
    <w:p w14:paraId="0C8D80D5" w14:textId="45B5C062" w:rsidR="00F2295D" w:rsidRPr="00F2295D" w:rsidRDefault="00F2295D" w:rsidP="00802EA4">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F2295D">
        <w:rPr>
          <w:rFonts w:ascii="Arial" w:eastAsia="Calibri" w:hAnsi="Arial"/>
          <w:lang w:val="en-ZA"/>
        </w:rPr>
        <w:t xml:space="preserve">It </w:t>
      </w:r>
      <w:r w:rsidR="00C4523A">
        <w:rPr>
          <w:rFonts w:ascii="Arial" w:eastAsia="Calibri" w:hAnsi="Arial"/>
          <w:lang w:val="en-ZA"/>
        </w:rPr>
        <w:t>must therefore be accepted, as argued by Mr</w:t>
      </w:r>
      <w:r w:rsidR="00A851A8" w:rsidRPr="00A851A8">
        <w:t xml:space="preserve"> </w:t>
      </w:r>
      <w:r w:rsidR="00126DEA">
        <w:rPr>
          <w:rFonts w:ascii="Arial" w:eastAsia="Calibri" w:hAnsi="Arial"/>
          <w:lang w:val="en-ZA"/>
        </w:rPr>
        <w:t>Ravenscroft-</w:t>
      </w:r>
      <w:r w:rsidR="00A851A8" w:rsidRPr="00A851A8">
        <w:rPr>
          <w:rFonts w:ascii="Arial" w:eastAsia="Calibri" w:hAnsi="Arial"/>
          <w:lang w:val="en-ZA"/>
        </w:rPr>
        <w:t>Jones</w:t>
      </w:r>
      <w:r w:rsidR="00C4523A">
        <w:rPr>
          <w:rFonts w:ascii="Arial" w:eastAsia="Calibri" w:hAnsi="Arial"/>
          <w:lang w:val="en-ZA"/>
        </w:rPr>
        <w:t xml:space="preserve">, </w:t>
      </w:r>
      <w:r w:rsidRPr="00F2295D">
        <w:rPr>
          <w:rFonts w:ascii="Arial" w:eastAsia="Calibri" w:hAnsi="Arial"/>
          <w:lang w:val="en-ZA"/>
        </w:rPr>
        <w:t>that the amounts recorded</w:t>
      </w:r>
      <w:r w:rsidR="00C4523A">
        <w:rPr>
          <w:rFonts w:ascii="Arial" w:eastAsia="Calibri" w:hAnsi="Arial"/>
          <w:lang w:val="en-ZA"/>
        </w:rPr>
        <w:t xml:space="preserve"> </w:t>
      </w:r>
      <w:r w:rsidR="005D1E51">
        <w:rPr>
          <w:rFonts w:ascii="Arial" w:eastAsia="Calibri" w:hAnsi="Arial"/>
          <w:lang w:val="en-ZA"/>
        </w:rPr>
        <w:t>in</w:t>
      </w:r>
      <w:r w:rsidR="008D3C24">
        <w:rPr>
          <w:rFonts w:ascii="Arial" w:eastAsia="Calibri" w:hAnsi="Arial"/>
          <w:lang w:val="en-ZA"/>
        </w:rPr>
        <w:t xml:space="preserve"> the </w:t>
      </w:r>
      <w:r w:rsidR="00F402CF">
        <w:rPr>
          <w:rFonts w:ascii="Arial" w:eastAsia="Calibri" w:hAnsi="Arial"/>
          <w:lang w:val="en-ZA"/>
        </w:rPr>
        <w:t>stated</w:t>
      </w:r>
      <w:r w:rsidR="008D3C24">
        <w:rPr>
          <w:rFonts w:ascii="Arial" w:eastAsia="Calibri" w:hAnsi="Arial"/>
          <w:lang w:val="en-ZA"/>
        </w:rPr>
        <w:t xml:space="preserve"> case were liquidated and </w:t>
      </w:r>
      <w:r w:rsidR="00F341D0">
        <w:rPr>
          <w:rFonts w:ascii="Arial" w:eastAsia="Calibri" w:hAnsi="Arial"/>
          <w:lang w:val="en-ZA"/>
        </w:rPr>
        <w:t xml:space="preserve">were </w:t>
      </w:r>
      <w:r w:rsidR="008D3C24">
        <w:rPr>
          <w:rFonts w:ascii="Arial" w:eastAsia="Calibri" w:hAnsi="Arial"/>
          <w:lang w:val="en-ZA"/>
        </w:rPr>
        <w:t>due</w:t>
      </w:r>
      <w:r w:rsidR="00F341D0">
        <w:rPr>
          <w:rFonts w:ascii="Arial" w:eastAsia="Calibri" w:hAnsi="Arial"/>
          <w:lang w:val="en-ZA"/>
        </w:rPr>
        <w:t xml:space="preserve"> and payable on demand</w:t>
      </w:r>
      <w:r w:rsidR="008D3C24">
        <w:rPr>
          <w:rFonts w:ascii="Arial" w:eastAsia="Calibri" w:hAnsi="Arial"/>
          <w:lang w:val="en-ZA"/>
        </w:rPr>
        <w:t xml:space="preserve">. </w:t>
      </w:r>
      <w:r w:rsidR="00FC50F5" w:rsidRPr="00272CE1">
        <w:rPr>
          <w:rFonts w:ascii="Arial" w:eastAsia="Calibri" w:hAnsi="Arial"/>
          <w:lang w:val="en-ZA"/>
        </w:rPr>
        <w:t xml:space="preserve">This was, as I already stated, an improperly drafted stated case and if the judge </w:t>
      </w:r>
      <w:r w:rsidR="004C2B90" w:rsidRPr="004C2B90">
        <w:rPr>
          <w:rFonts w:ascii="Arial" w:eastAsia="Calibri" w:hAnsi="Arial"/>
          <w:i/>
          <w:lang w:val="en-ZA"/>
        </w:rPr>
        <w:t>a quo</w:t>
      </w:r>
      <w:r w:rsidR="004C2B90">
        <w:rPr>
          <w:rFonts w:ascii="Arial" w:eastAsia="Calibri" w:hAnsi="Arial"/>
          <w:lang w:val="en-ZA"/>
        </w:rPr>
        <w:t xml:space="preserve"> had doubts</w:t>
      </w:r>
      <w:r w:rsidR="00FC50F5" w:rsidRPr="00272CE1">
        <w:rPr>
          <w:rFonts w:ascii="Arial" w:eastAsia="Calibri" w:hAnsi="Arial"/>
          <w:lang w:val="en-ZA"/>
        </w:rPr>
        <w:t xml:space="preserve"> whether the amounts were</w:t>
      </w:r>
      <w:r w:rsidR="004C2B90">
        <w:rPr>
          <w:rFonts w:ascii="Arial" w:eastAsia="Calibri" w:hAnsi="Arial"/>
          <w:lang w:val="en-ZA"/>
        </w:rPr>
        <w:t xml:space="preserve"> liquidated, </w:t>
      </w:r>
      <w:r w:rsidR="00FC50F5" w:rsidRPr="00272CE1">
        <w:rPr>
          <w:rFonts w:ascii="Arial" w:eastAsia="Calibri" w:hAnsi="Arial"/>
          <w:lang w:val="en-ZA"/>
        </w:rPr>
        <w:t xml:space="preserve">he should have either refused to hear the matter on </w:t>
      </w:r>
      <w:r w:rsidR="00285F5C">
        <w:rPr>
          <w:rFonts w:ascii="Arial" w:eastAsia="Calibri" w:hAnsi="Arial"/>
          <w:lang w:val="en-ZA"/>
        </w:rPr>
        <w:t xml:space="preserve">a </w:t>
      </w:r>
      <w:r w:rsidR="00FC50F5" w:rsidRPr="00272CE1">
        <w:rPr>
          <w:rFonts w:ascii="Arial" w:eastAsia="Calibri" w:hAnsi="Arial"/>
          <w:lang w:val="en-ZA"/>
        </w:rPr>
        <w:t>stated case basis or sought clarification from the parties.</w:t>
      </w:r>
    </w:p>
    <w:p w14:paraId="2B942AFF" w14:textId="77777777" w:rsidR="00F2295D" w:rsidRPr="00F2295D" w:rsidRDefault="00F2295D" w:rsidP="00F2295D">
      <w:pPr>
        <w:spacing w:after="0" w:line="480" w:lineRule="auto"/>
        <w:jc w:val="both"/>
        <w:rPr>
          <w:rFonts w:ascii="Arial" w:eastAsia="Calibri" w:hAnsi="Arial" w:cs="Times New Roman"/>
          <w:sz w:val="24"/>
          <w:lang w:val="en-ZA"/>
        </w:rPr>
      </w:pPr>
    </w:p>
    <w:p w14:paraId="6E423447" w14:textId="68A23894" w:rsidR="00F2295D" w:rsidRPr="004023A4" w:rsidRDefault="00E54D4F" w:rsidP="00F2295D">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Pr>
          <w:rFonts w:ascii="Arial" w:eastAsia="Calibri" w:hAnsi="Arial"/>
          <w:lang w:val="en-ZA"/>
        </w:rPr>
        <w:lastRenderedPageBreak/>
        <w:t>It follows that the</w:t>
      </w:r>
      <w:r w:rsidR="00F2295D" w:rsidRPr="00F2295D">
        <w:rPr>
          <w:rFonts w:ascii="Arial" w:eastAsia="Calibri" w:hAnsi="Arial"/>
          <w:lang w:val="en-ZA"/>
        </w:rPr>
        <w:t xml:space="preserve"> only issue between the parties as at the date of the stated case was whether the claimed amounts attracted interest, if so</w:t>
      </w:r>
      <w:r w:rsidR="00285F5C">
        <w:rPr>
          <w:rFonts w:ascii="Arial" w:eastAsia="Calibri" w:hAnsi="Arial"/>
          <w:lang w:val="en-ZA"/>
        </w:rPr>
        <w:t>,</w:t>
      </w:r>
      <w:r w:rsidR="00F2295D" w:rsidRPr="00F2295D">
        <w:rPr>
          <w:rFonts w:ascii="Arial" w:eastAsia="Calibri" w:hAnsi="Arial"/>
          <w:lang w:val="en-ZA"/>
        </w:rPr>
        <w:t xml:space="preserve"> from what date and the rate of interest. </w:t>
      </w:r>
      <w:r w:rsidR="007940E1">
        <w:rPr>
          <w:rFonts w:ascii="Arial" w:eastAsia="Calibri" w:hAnsi="Arial"/>
          <w:lang w:val="en-ZA"/>
        </w:rPr>
        <w:t xml:space="preserve">As I have already demonstrated, </w:t>
      </w:r>
      <w:r w:rsidR="00F2295D" w:rsidRPr="00F2295D">
        <w:rPr>
          <w:rFonts w:ascii="Arial" w:eastAsia="Calibri" w:hAnsi="Arial"/>
          <w:lang w:val="en-ZA"/>
        </w:rPr>
        <w:t xml:space="preserve">it became apparent </w:t>
      </w:r>
      <w:r w:rsidR="007940E1">
        <w:rPr>
          <w:rFonts w:ascii="Arial" w:eastAsia="Calibri" w:hAnsi="Arial"/>
          <w:lang w:val="en-ZA"/>
        </w:rPr>
        <w:t xml:space="preserve">on appeal </w:t>
      </w:r>
      <w:r w:rsidR="00F2295D" w:rsidRPr="00F2295D">
        <w:rPr>
          <w:rFonts w:ascii="Arial" w:eastAsia="Calibri" w:hAnsi="Arial"/>
          <w:lang w:val="en-ZA"/>
        </w:rPr>
        <w:t>that the only live controversy between the parties is the date from which interest is due.</w:t>
      </w:r>
      <w:r w:rsidR="00CC1F71">
        <w:rPr>
          <w:rFonts w:ascii="Arial" w:eastAsia="Calibri" w:hAnsi="Arial"/>
          <w:lang w:val="en-ZA"/>
        </w:rPr>
        <w:t xml:space="preserve"> That re</w:t>
      </w:r>
      <w:r w:rsidR="00411C2C">
        <w:rPr>
          <w:rFonts w:ascii="Arial" w:eastAsia="Calibri" w:hAnsi="Arial"/>
          <w:lang w:val="en-ZA"/>
        </w:rPr>
        <w:t xml:space="preserve">lates to para 1.2 of the court </w:t>
      </w:r>
      <w:r w:rsidR="00411C2C" w:rsidRPr="00411C2C">
        <w:rPr>
          <w:rFonts w:ascii="Arial" w:eastAsia="Calibri" w:hAnsi="Arial"/>
          <w:i/>
          <w:lang w:val="en-ZA"/>
        </w:rPr>
        <w:t>a quo</w:t>
      </w:r>
      <w:r w:rsidR="00411C2C">
        <w:rPr>
          <w:rFonts w:ascii="Arial" w:eastAsia="Calibri" w:hAnsi="Arial"/>
          <w:lang w:val="en-ZA"/>
        </w:rPr>
        <w:t>’s</w:t>
      </w:r>
      <w:r w:rsidR="00CC1F71">
        <w:rPr>
          <w:rFonts w:ascii="Arial" w:eastAsia="Calibri" w:hAnsi="Arial"/>
          <w:lang w:val="en-ZA"/>
        </w:rPr>
        <w:t xml:space="preserve"> order quoted at para [9] above.</w:t>
      </w:r>
      <w:r w:rsidR="00F2295D" w:rsidRPr="00F2295D">
        <w:rPr>
          <w:rFonts w:ascii="Arial" w:eastAsia="Calibri" w:hAnsi="Arial"/>
          <w:lang w:val="en-ZA"/>
        </w:rPr>
        <w:t xml:space="preserve"> </w:t>
      </w:r>
    </w:p>
    <w:p w14:paraId="2D098065" w14:textId="77777777" w:rsidR="00272CE1" w:rsidRPr="00272CE1" w:rsidRDefault="00272CE1" w:rsidP="00272CE1">
      <w:pPr>
        <w:pStyle w:val="NormalWeb"/>
        <w:spacing w:before="0" w:beforeAutospacing="0" w:after="0" w:afterAutospacing="0" w:line="480" w:lineRule="auto"/>
        <w:jc w:val="both"/>
        <w:rPr>
          <w:rFonts w:ascii="Arial" w:eastAsia="Calibri" w:hAnsi="Arial"/>
          <w:lang w:val="en-ZA"/>
        </w:rPr>
      </w:pPr>
    </w:p>
    <w:p w14:paraId="24D8F3F6" w14:textId="06FF3FDE" w:rsidR="00653783" w:rsidRDefault="00FC50F5" w:rsidP="00653783">
      <w:pPr>
        <w:pStyle w:val="NormalWeb"/>
        <w:numPr>
          <w:ilvl w:val="0"/>
          <w:numId w:val="8"/>
        </w:numPr>
        <w:spacing w:before="0" w:beforeAutospacing="0" w:after="0" w:afterAutospacing="0" w:line="480" w:lineRule="auto"/>
        <w:ind w:left="0" w:firstLine="0"/>
        <w:jc w:val="both"/>
        <w:rPr>
          <w:rFonts w:ascii="Arial" w:eastAsia="Calibri" w:hAnsi="Arial"/>
          <w:lang w:val="en-ZA"/>
        </w:rPr>
      </w:pPr>
      <w:r>
        <w:rPr>
          <w:rFonts w:ascii="Arial" w:eastAsia="Calibri" w:hAnsi="Arial"/>
          <w:lang w:val="en-ZA"/>
        </w:rPr>
        <w:t xml:space="preserve">Since the </w:t>
      </w:r>
      <w:r w:rsidR="00F2295D" w:rsidRPr="00F2295D">
        <w:rPr>
          <w:rFonts w:ascii="Arial" w:eastAsia="Calibri" w:hAnsi="Arial"/>
          <w:lang w:val="en-ZA"/>
        </w:rPr>
        <w:t>finding by the learned judge that the indebtedness was unliquidated prior to 21 November 2019 is a m</w:t>
      </w:r>
      <w:r w:rsidR="0016460E">
        <w:rPr>
          <w:rFonts w:ascii="Arial" w:eastAsia="Calibri" w:hAnsi="Arial"/>
          <w:lang w:val="en-ZA"/>
        </w:rPr>
        <w:t>isdirection</w:t>
      </w:r>
      <w:r>
        <w:rPr>
          <w:rFonts w:ascii="Arial" w:eastAsia="Calibri" w:hAnsi="Arial"/>
          <w:lang w:val="en-ZA"/>
        </w:rPr>
        <w:t>, t</w:t>
      </w:r>
      <w:r w:rsidR="0016460E">
        <w:rPr>
          <w:rFonts w:ascii="Arial" w:eastAsia="Calibri" w:hAnsi="Arial"/>
          <w:lang w:val="en-ZA"/>
        </w:rPr>
        <w:t>he relevant legal question</w:t>
      </w:r>
      <w:r w:rsidR="00F2295D" w:rsidRPr="00F2295D">
        <w:rPr>
          <w:rFonts w:ascii="Arial" w:eastAsia="Calibri" w:hAnsi="Arial"/>
          <w:lang w:val="en-ZA"/>
        </w:rPr>
        <w:t xml:space="preserve"> the court </w:t>
      </w:r>
      <w:r w:rsidR="00F2295D" w:rsidRPr="00F2295D">
        <w:rPr>
          <w:rFonts w:ascii="Arial" w:eastAsia="Calibri" w:hAnsi="Arial"/>
          <w:i/>
          <w:lang w:val="en-ZA"/>
        </w:rPr>
        <w:t>a quo</w:t>
      </w:r>
      <w:r w:rsidR="00F2295D" w:rsidRPr="00F2295D">
        <w:rPr>
          <w:rFonts w:ascii="Arial" w:eastAsia="Calibri" w:hAnsi="Arial"/>
          <w:lang w:val="en-ZA"/>
        </w:rPr>
        <w:t xml:space="preserve"> was asked to answer ought therefore to have been determined on the basis </w:t>
      </w:r>
      <w:r w:rsidR="0016460E">
        <w:rPr>
          <w:rFonts w:ascii="Arial" w:eastAsia="Calibri" w:hAnsi="Arial"/>
          <w:lang w:val="en-ZA"/>
        </w:rPr>
        <w:t xml:space="preserve">that the indebtedness related to </w:t>
      </w:r>
      <w:r w:rsidR="00F2295D" w:rsidRPr="00F2295D">
        <w:rPr>
          <w:rFonts w:ascii="Arial" w:eastAsia="Calibri" w:hAnsi="Arial"/>
          <w:lang w:val="en-ZA"/>
        </w:rPr>
        <w:t>liquidated amounts</w:t>
      </w:r>
      <w:r w:rsidR="0016460E">
        <w:rPr>
          <w:rFonts w:ascii="Arial" w:eastAsia="Calibri" w:hAnsi="Arial"/>
          <w:lang w:val="en-ZA"/>
        </w:rPr>
        <w:t>.</w:t>
      </w:r>
      <w:r w:rsidR="00F2295D" w:rsidRPr="00F2295D">
        <w:rPr>
          <w:rFonts w:ascii="Arial" w:eastAsia="Calibri" w:hAnsi="Arial"/>
          <w:lang w:val="en-ZA"/>
        </w:rPr>
        <w:t xml:space="preserve"> </w:t>
      </w:r>
    </w:p>
    <w:p w14:paraId="0941E671" w14:textId="77777777" w:rsidR="00653783" w:rsidRPr="00653783" w:rsidRDefault="00653783" w:rsidP="00653783">
      <w:pPr>
        <w:pStyle w:val="NormalWeb"/>
        <w:spacing w:before="0" w:beforeAutospacing="0" w:after="0" w:afterAutospacing="0" w:line="480" w:lineRule="auto"/>
        <w:jc w:val="both"/>
        <w:rPr>
          <w:rFonts w:ascii="Arial" w:eastAsia="Calibri" w:hAnsi="Arial"/>
          <w:lang w:val="en-ZA"/>
        </w:rPr>
      </w:pPr>
    </w:p>
    <w:p w14:paraId="16FED5B1" w14:textId="77777777" w:rsidR="00F2295D" w:rsidRPr="00653229" w:rsidRDefault="00F2295D" w:rsidP="00653783">
      <w:pPr>
        <w:spacing w:after="0" w:line="480" w:lineRule="auto"/>
        <w:jc w:val="both"/>
        <w:rPr>
          <w:rFonts w:ascii="Arial" w:eastAsia="Calibri" w:hAnsi="Arial" w:cs="Times New Roman"/>
          <w:sz w:val="24"/>
          <w:u w:val="single"/>
          <w:lang w:val="en-ZA"/>
        </w:rPr>
      </w:pPr>
      <w:r w:rsidRPr="00F2295D">
        <w:rPr>
          <w:rFonts w:ascii="Arial" w:eastAsia="Calibri" w:hAnsi="Arial" w:cs="Times New Roman"/>
          <w:sz w:val="24"/>
          <w:u w:val="single"/>
          <w:lang w:val="en-ZA"/>
        </w:rPr>
        <w:t>The law on interest</w:t>
      </w:r>
    </w:p>
    <w:p w14:paraId="495893BC" w14:textId="2D884B90" w:rsidR="00F2295D" w:rsidRPr="00F2295D" w:rsidRDefault="00F2295D" w:rsidP="00F4314E">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sidRPr="00F2295D">
        <w:rPr>
          <w:rFonts w:ascii="Arial" w:eastAsia="Calibri" w:hAnsi="Arial" w:cs="Arial"/>
          <w:lang w:val="en-ZA"/>
        </w:rPr>
        <w:t>A debtor is in</w:t>
      </w:r>
      <w:r w:rsidRPr="00F2295D">
        <w:rPr>
          <w:rFonts w:ascii="Arial" w:eastAsia="Calibri" w:hAnsi="Arial" w:cs="Arial"/>
          <w:i/>
          <w:lang w:val="en-ZA"/>
        </w:rPr>
        <w:t xml:space="preserve"> mora</w:t>
      </w:r>
      <w:r w:rsidRPr="00F2295D">
        <w:rPr>
          <w:rFonts w:ascii="Arial" w:eastAsia="Calibri" w:hAnsi="Arial" w:cs="Arial"/>
          <w:lang w:val="en-ZA"/>
        </w:rPr>
        <w:t xml:space="preserve"> in respect of a particular obligation when</w:t>
      </w:r>
      <w:r w:rsidR="002013D7">
        <w:rPr>
          <w:rFonts w:ascii="Arial" w:eastAsia="Calibri" w:hAnsi="Arial" w:cs="Arial"/>
          <w:lang w:val="en-ZA"/>
        </w:rPr>
        <w:t xml:space="preserve"> –</w:t>
      </w:r>
      <w:r w:rsidRPr="00F2295D">
        <w:rPr>
          <w:rFonts w:ascii="Arial" w:eastAsia="Calibri" w:hAnsi="Arial" w:cs="Arial"/>
          <w:lang w:val="en-ZA"/>
        </w:rPr>
        <w:t xml:space="preserve"> </w:t>
      </w:r>
      <w:r w:rsidRPr="00F2295D">
        <w:rPr>
          <w:rFonts w:ascii="Arial" w:eastAsia="Calibri" w:hAnsi="Arial" w:cs="Arial"/>
          <w:vertAlign w:val="superscript"/>
          <w:lang w:val="en-ZA"/>
        </w:rPr>
        <w:footnoteReference w:id="4"/>
      </w:r>
    </w:p>
    <w:p w14:paraId="6628621F" w14:textId="77777777" w:rsidR="00F2295D" w:rsidRPr="00F2295D" w:rsidRDefault="00F2295D" w:rsidP="00F2295D">
      <w:pPr>
        <w:spacing w:after="0" w:line="240" w:lineRule="auto"/>
        <w:rPr>
          <w:rFonts w:ascii="Arial" w:eastAsia="Calibri" w:hAnsi="Arial" w:cs="Arial"/>
          <w:sz w:val="24"/>
          <w:szCs w:val="24"/>
          <w:lang w:val="en-ZA"/>
        </w:rPr>
      </w:pPr>
    </w:p>
    <w:p w14:paraId="36491C66" w14:textId="77777777" w:rsidR="00F2295D" w:rsidRPr="00AB392B" w:rsidRDefault="00AB392B" w:rsidP="00C53AD2">
      <w:pPr>
        <w:spacing w:after="0" w:line="360" w:lineRule="auto"/>
        <w:ind w:left="1440" w:hanging="720"/>
        <w:contextualSpacing/>
        <w:jc w:val="both"/>
        <w:rPr>
          <w:rFonts w:ascii="Arial" w:eastAsia="Calibri" w:hAnsi="Arial" w:cs="Arial"/>
          <w:lang w:val="en-ZA"/>
        </w:rPr>
      </w:pPr>
      <w:r w:rsidRPr="00AB392B">
        <w:rPr>
          <w:rFonts w:ascii="Arial" w:eastAsia="Calibri" w:hAnsi="Arial" w:cs="Arial"/>
          <w:lang w:val="en-ZA"/>
        </w:rPr>
        <w:t>‘(i)</w:t>
      </w:r>
      <w:r w:rsidRPr="00AB392B">
        <w:rPr>
          <w:rFonts w:ascii="Arial" w:eastAsia="Calibri" w:hAnsi="Arial" w:cs="Arial"/>
          <w:lang w:val="en-ZA"/>
        </w:rPr>
        <w:tab/>
      </w:r>
      <w:r w:rsidR="00F2295D" w:rsidRPr="00AB392B">
        <w:rPr>
          <w:rFonts w:ascii="Arial" w:eastAsia="Calibri" w:hAnsi="Arial" w:cs="Arial"/>
          <w:lang w:val="en-ZA"/>
        </w:rPr>
        <w:t>the obligation is enforceable against it and it has no defence to any action intended to enforce the obligation;</w:t>
      </w:r>
    </w:p>
    <w:p w14:paraId="2DD3466E" w14:textId="77777777" w:rsidR="00F2295D" w:rsidRPr="00AB392B" w:rsidRDefault="00F2295D" w:rsidP="00C53AD2">
      <w:pPr>
        <w:numPr>
          <w:ilvl w:val="0"/>
          <w:numId w:val="5"/>
        </w:numPr>
        <w:spacing w:after="0" w:line="360" w:lineRule="auto"/>
        <w:contextualSpacing/>
        <w:jc w:val="both"/>
        <w:rPr>
          <w:rFonts w:ascii="Arial" w:eastAsia="Calibri" w:hAnsi="Arial" w:cs="Arial"/>
          <w:lang w:val="en-ZA"/>
        </w:rPr>
      </w:pPr>
      <w:r w:rsidRPr="00AB392B">
        <w:rPr>
          <w:rFonts w:ascii="Arial" w:eastAsia="Calibri" w:hAnsi="Arial" w:cs="Arial"/>
          <w:lang w:val="en-ZA"/>
        </w:rPr>
        <w:t xml:space="preserve">the performance is due; and </w:t>
      </w:r>
    </w:p>
    <w:p w14:paraId="1D41A77B" w14:textId="77777777" w:rsidR="00F2295D" w:rsidRPr="00AB392B" w:rsidRDefault="00F2295D" w:rsidP="00C53AD2">
      <w:pPr>
        <w:numPr>
          <w:ilvl w:val="0"/>
          <w:numId w:val="5"/>
        </w:numPr>
        <w:spacing w:after="0" w:line="360" w:lineRule="auto"/>
        <w:contextualSpacing/>
        <w:jc w:val="both"/>
        <w:rPr>
          <w:rFonts w:ascii="Arial" w:eastAsia="Calibri" w:hAnsi="Arial" w:cs="Arial"/>
          <w:lang w:val="en-ZA"/>
        </w:rPr>
      </w:pPr>
      <w:r w:rsidRPr="00AB392B">
        <w:rPr>
          <w:rFonts w:ascii="Arial" w:eastAsia="Calibri" w:hAnsi="Arial" w:cs="Arial"/>
          <w:lang w:val="en-ZA"/>
        </w:rPr>
        <w:t>the debtor is or is deemed to be aware of the nature of the performance required of it and that performance is due. It is not necessary to prove that the debtor’s default is wilful or negligent.</w:t>
      </w:r>
      <w:r w:rsidR="00AB392B">
        <w:rPr>
          <w:rFonts w:ascii="Arial" w:eastAsia="Calibri" w:hAnsi="Arial" w:cs="Arial"/>
          <w:lang w:val="en-ZA"/>
        </w:rPr>
        <w:t>’</w:t>
      </w:r>
    </w:p>
    <w:p w14:paraId="7AC2D207" w14:textId="77777777" w:rsidR="00D114A7" w:rsidRPr="00F2295D" w:rsidRDefault="00D114A7" w:rsidP="00D114A7">
      <w:pPr>
        <w:spacing w:after="0" w:line="480" w:lineRule="auto"/>
        <w:ind w:left="1080"/>
        <w:contextualSpacing/>
        <w:rPr>
          <w:rFonts w:ascii="Arial" w:eastAsia="Calibri" w:hAnsi="Arial" w:cs="Arial"/>
          <w:sz w:val="24"/>
          <w:szCs w:val="24"/>
          <w:lang w:val="en-ZA"/>
        </w:rPr>
      </w:pPr>
    </w:p>
    <w:p w14:paraId="1F00472A" w14:textId="681E1333" w:rsidR="00F2295D" w:rsidRPr="00F2295D" w:rsidRDefault="00F2295D" w:rsidP="008B5EF7">
      <w:pPr>
        <w:pStyle w:val="NormalWeb"/>
        <w:numPr>
          <w:ilvl w:val="0"/>
          <w:numId w:val="8"/>
        </w:numPr>
        <w:spacing w:before="0" w:beforeAutospacing="0" w:after="0" w:afterAutospacing="0" w:line="480" w:lineRule="auto"/>
        <w:ind w:left="0" w:firstLine="0"/>
        <w:jc w:val="both"/>
        <w:rPr>
          <w:rFonts w:ascii="Arial" w:eastAsia="Calibri" w:hAnsi="Arial"/>
          <w:lang w:val="en-ZA"/>
        </w:rPr>
      </w:pPr>
      <w:r w:rsidRPr="00F2295D">
        <w:rPr>
          <w:rFonts w:ascii="Arial" w:eastAsia="Calibri" w:hAnsi="Arial"/>
          <w:lang w:val="en-ZA"/>
        </w:rPr>
        <w:t>When the contract does not fix a time for performance</w:t>
      </w:r>
      <w:r w:rsidR="008A38DC">
        <w:rPr>
          <w:rFonts w:ascii="Arial" w:eastAsia="Calibri" w:hAnsi="Arial"/>
          <w:lang w:val="en-ZA"/>
        </w:rPr>
        <w:t>,</w:t>
      </w:r>
      <w:r w:rsidRPr="00F2295D">
        <w:rPr>
          <w:rFonts w:ascii="Arial" w:eastAsia="Calibri" w:hAnsi="Arial"/>
          <w:lang w:val="en-ZA"/>
        </w:rPr>
        <w:t xml:space="preserve"> demand by the creditor is necessary in order to place the debtor in </w:t>
      </w:r>
      <w:r w:rsidRPr="00CC1F71">
        <w:rPr>
          <w:rFonts w:ascii="Arial" w:eastAsia="Calibri" w:hAnsi="Arial"/>
          <w:i/>
          <w:lang w:val="en-ZA"/>
        </w:rPr>
        <w:t>mora</w:t>
      </w:r>
      <w:r w:rsidRPr="00F2295D">
        <w:rPr>
          <w:rFonts w:ascii="Arial" w:eastAsia="Calibri" w:hAnsi="Arial"/>
          <w:lang w:val="en-ZA"/>
        </w:rPr>
        <w:t>.</w:t>
      </w:r>
      <w:r w:rsidRPr="00F2295D">
        <w:rPr>
          <w:rFonts w:ascii="Arial" w:eastAsia="Calibri" w:hAnsi="Arial"/>
          <w:vertAlign w:val="superscript"/>
          <w:lang w:val="en-ZA"/>
        </w:rPr>
        <w:footnoteReference w:id="5"/>
      </w:r>
      <w:r w:rsidR="00100E5C">
        <w:rPr>
          <w:rFonts w:ascii="Arial" w:eastAsia="Calibri" w:hAnsi="Arial"/>
          <w:lang w:val="en-ZA"/>
        </w:rPr>
        <w:t xml:space="preserve"> The </w:t>
      </w:r>
      <w:r w:rsidR="00A8205A">
        <w:rPr>
          <w:rFonts w:ascii="Arial" w:eastAsia="Calibri" w:hAnsi="Arial"/>
          <w:lang w:val="en-ZA"/>
        </w:rPr>
        <w:t xml:space="preserve">irrelevance of wilfulness or negligence </w:t>
      </w:r>
      <w:r w:rsidR="005D1F0C">
        <w:rPr>
          <w:rFonts w:ascii="Arial" w:eastAsia="Calibri" w:hAnsi="Arial"/>
          <w:lang w:val="en-ZA"/>
        </w:rPr>
        <w:t xml:space="preserve">to the question </w:t>
      </w:r>
      <w:r w:rsidR="00A8205A">
        <w:rPr>
          <w:rFonts w:ascii="Arial" w:eastAsia="Calibri" w:hAnsi="Arial"/>
          <w:lang w:val="en-ZA"/>
        </w:rPr>
        <w:t xml:space="preserve">whether or not a debtor is in </w:t>
      </w:r>
      <w:r w:rsidR="00A8205A" w:rsidRPr="00A80CD5">
        <w:rPr>
          <w:rFonts w:ascii="Arial" w:eastAsia="Calibri" w:hAnsi="Arial"/>
          <w:i/>
          <w:lang w:val="en-ZA"/>
        </w:rPr>
        <w:t>mora</w:t>
      </w:r>
      <w:r w:rsidR="00A8205A">
        <w:rPr>
          <w:rFonts w:ascii="Arial" w:eastAsia="Calibri" w:hAnsi="Arial"/>
          <w:lang w:val="en-ZA"/>
        </w:rPr>
        <w:t xml:space="preserve"> is important because of </w:t>
      </w:r>
      <w:r w:rsidR="00A8205A">
        <w:rPr>
          <w:rFonts w:ascii="Arial" w:eastAsia="Calibri" w:hAnsi="Arial"/>
          <w:lang w:val="en-ZA"/>
        </w:rPr>
        <w:lastRenderedPageBreak/>
        <w:t>the concession made on behalf of the Government that the default in payment was due to th</w:t>
      </w:r>
      <w:r w:rsidR="000D2672">
        <w:rPr>
          <w:rFonts w:ascii="Arial" w:eastAsia="Calibri" w:hAnsi="Arial"/>
          <w:lang w:val="en-ZA"/>
        </w:rPr>
        <w:t>e interruptions caused by Covid-</w:t>
      </w:r>
      <w:r w:rsidR="00A8205A">
        <w:rPr>
          <w:rFonts w:ascii="Arial" w:eastAsia="Calibri" w:hAnsi="Arial"/>
          <w:lang w:val="en-ZA"/>
        </w:rPr>
        <w:t>19.</w:t>
      </w:r>
    </w:p>
    <w:p w14:paraId="68B6CA08" w14:textId="77777777" w:rsidR="00F2295D" w:rsidRPr="00F2295D" w:rsidRDefault="00F2295D" w:rsidP="00F2295D">
      <w:pPr>
        <w:spacing w:after="0" w:line="480" w:lineRule="auto"/>
        <w:jc w:val="both"/>
        <w:rPr>
          <w:rFonts w:ascii="Arial" w:eastAsia="Calibri" w:hAnsi="Arial" w:cs="Times New Roman"/>
          <w:sz w:val="24"/>
          <w:lang w:val="en-ZA"/>
        </w:rPr>
      </w:pPr>
    </w:p>
    <w:p w14:paraId="68A6650B" w14:textId="4FC42004" w:rsidR="00D114A7" w:rsidRDefault="00346A64" w:rsidP="00D114A7">
      <w:pPr>
        <w:pStyle w:val="NormalWeb"/>
        <w:numPr>
          <w:ilvl w:val="0"/>
          <w:numId w:val="8"/>
        </w:numPr>
        <w:spacing w:before="0" w:beforeAutospacing="0" w:after="0" w:afterAutospacing="0" w:line="480" w:lineRule="auto"/>
        <w:ind w:left="0" w:firstLine="0"/>
        <w:jc w:val="both"/>
        <w:rPr>
          <w:rFonts w:ascii="Arial" w:eastAsia="Calibri" w:hAnsi="Arial"/>
          <w:lang w:val="en-ZA"/>
        </w:rPr>
      </w:pPr>
      <w:r>
        <w:rPr>
          <w:rFonts w:ascii="Arial" w:eastAsia="Calibri" w:hAnsi="Arial"/>
          <w:lang w:val="en-ZA"/>
        </w:rPr>
        <w:t xml:space="preserve">It must follow that </w:t>
      </w:r>
      <w:r w:rsidR="00F2295D" w:rsidRPr="00F2295D">
        <w:rPr>
          <w:rFonts w:ascii="Arial" w:eastAsia="Calibri" w:hAnsi="Arial"/>
          <w:lang w:val="en-ZA"/>
        </w:rPr>
        <w:t>with the letter of demand</w:t>
      </w:r>
      <w:r>
        <w:rPr>
          <w:rFonts w:ascii="Arial" w:eastAsia="Calibri" w:hAnsi="Arial"/>
          <w:lang w:val="en-ZA"/>
        </w:rPr>
        <w:t xml:space="preserve"> on 10 July 2019 in respect of all amo</w:t>
      </w:r>
      <w:r w:rsidR="00F050FF">
        <w:rPr>
          <w:rFonts w:ascii="Arial" w:eastAsia="Calibri" w:hAnsi="Arial"/>
          <w:lang w:val="en-ZA"/>
        </w:rPr>
        <w:t xml:space="preserve">unts claimed under the </w:t>
      </w:r>
      <w:r w:rsidR="00F402CF">
        <w:rPr>
          <w:rFonts w:ascii="Arial" w:eastAsia="Calibri" w:hAnsi="Arial"/>
          <w:lang w:val="en-ZA"/>
        </w:rPr>
        <w:t>five</w:t>
      </w:r>
      <w:r w:rsidR="00F050FF">
        <w:rPr>
          <w:rFonts w:ascii="Arial" w:eastAsia="Calibri" w:hAnsi="Arial"/>
          <w:lang w:val="en-ZA"/>
        </w:rPr>
        <w:t xml:space="preserve"> cases, </w:t>
      </w:r>
      <w:r w:rsidR="00F2295D" w:rsidRPr="00F2295D">
        <w:rPr>
          <w:rFonts w:ascii="Arial" w:eastAsia="Calibri" w:hAnsi="Arial"/>
          <w:lang w:val="en-ZA"/>
        </w:rPr>
        <w:t>the Government was placed in</w:t>
      </w:r>
      <w:r w:rsidR="00F2295D" w:rsidRPr="00520227">
        <w:rPr>
          <w:rFonts w:ascii="Arial" w:eastAsia="Calibri" w:hAnsi="Arial"/>
          <w:i/>
          <w:lang w:val="en-ZA"/>
        </w:rPr>
        <w:t xml:space="preserve"> mora</w:t>
      </w:r>
      <w:r w:rsidR="00F2295D" w:rsidRPr="00F2295D">
        <w:rPr>
          <w:rFonts w:ascii="Arial" w:eastAsia="Calibri" w:hAnsi="Arial"/>
          <w:lang w:val="en-ZA"/>
        </w:rPr>
        <w:t xml:space="preserve"> </w:t>
      </w:r>
      <w:r w:rsidR="00F77490">
        <w:rPr>
          <w:rFonts w:ascii="Arial" w:eastAsia="Calibri" w:hAnsi="Arial"/>
          <w:lang w:val="en-ZA"/>
        </w:rPr>
        <w:t>as of that date. And as</w:t>
      </w:r>
      <w:r w:rsidR="00F2295D" w:rsidRPr="00F2295D">
        <w:rPr>
          <w:rFonts w:ascii="Arial" w:eastAsia="Calibri" w:hAnsi="Arial"/>
          <w:lang w:val="en-ZA"/>
        </w:rPr>
        <w:t xml:space="preserve"> the learned judge </w:t>
      </w:r>
      <w:r w:rsidR="00F2295D" w:rsidRPr="00F2295D">
        <w:rPr>
          <w:rFonts w:ascii="Arial" w:eastAsia="Calibri" w:hAnsi="Arial"/>
          <w:i/>
          <w:lang w:val="en-ZA"/>
        </w:rPr>
        <w:t>a quo</w:t>
      </w:r>
      <w:r w:rsidR="00F2295D" w:rsidRPr="00F2295D">
        <w:rPr>
          <w:rFonts w:ascii="Arial" w:eastAsia="Calibri" w:hAnsi="Arial"/>
          <w:lang w:val="en-ZA"/>
        </w:rPr>
        <w:t xml:space="preserve"> correctly states (at para 19) of </w:t>
      </w:r>
      <w:r w:rsidR="00F77490">
        <w:rPr>
          <w:rFonts w:ascii="Arial" w:eastAsia="Calibri" w:hAnsi="Arial"/>
          <w:lang w:val="en-ZA"/>
        </w:rPr>
        <w:t>his reasons</w:t>
      </w:r>
      <w:r w:rsidR="00F2295D" w:rsidRPr="00F2295D">
        <w:rPr>
          <w:rFonts w:ascii="Arial" w:eastAsia="Calibri" w:hAnsi="Arial"/>
          <w:lang w:val="en-ZA"/>
        </w:rPr>
        <w:t>:</w:t>
      </w:r>
    </w:p>
    <w:p w14:paraId="793DCDE4" w14:textId="77777777" w:rsidR="005C17E6" w:rsidRPr="00F050FF" w:rsidRDefault="005C17E6" w:rsidP="005C17E6">
      <w:pPr>
        <w:pStyle w:val="NormalWeb"/>
        <w:spacing w:before="0" w:beforeAutospacing="0" w:after="0" w:afterAutospacing="0" w:line="480" w:lineRule="auto"/>
        <w:jc w:val="both"/>
        <w:rPr>
          <w:rFonts w:ascii="Arial" w:eastAsia="Calibri" w:hAnsi="Arial"/>
          <w:lang w:val="en-ZA"/>
        </w:rPr>
      </w:pPr>
    </w:p>
    <w:p w14:paraId="027AA655" w14:textId="47F1C621" w:rsidR="00534B34" w:rsidRDefault="00D114A7" w:rsidP="00DB5ABB">
      <w:pPr>
        <w:spacing w:after="0" w:line="360" w:lineRule="auto"/>
        <w:ind w:left="720"/>
        <w:jc w:val="both"/>
        <w:rPr>
          <w:rFonts w:ascii="Arial" w:eastAsia="Calibri" w:hAnsi="Arial" w:cs="Times New Roman"/>
          <w:lang w:val="en-ZA"/>
        </w:rPr>
      </w:pPr>
      <w:r w:rsidRPr="00D114A7">
        <w:rPr>
          <w:rFonts w:ascii="Arial" w:eastAsia="Calibri" w:hAnsi="Arial" w:cs="Times New Roman"/>
          <w:lang w:val="en-ZA"/>
        </w:rPr>
        <w:t>‘</w:t>
      </w:r>
      <w:r w:rsidR="00F2295D" w:rsidRPr="00D114A7">
        <w:rPr>
          <w:rFonts w:ascii="Arial" w:eastAsia="Calibri" w:hAnsi="Arial" w:cs="Times New Roman"/>
          <w:lang w:val="en-ZA"/>
        </w:rPr>
        <w:t>The</w:t>
      </w:r>
      <w:r w:rsidR="00463FB0">
        <w:rPr>
          <w:rFonts w:ascii="Arial" w:eastAsia="Calibri" w:hAnsi="Arial" w:cs="Times New Roman"/>
          <w:lang w:val="en-ZA"/>
        </w:rPr>
        <w:t xml:space="preserve"> creditor is entitled to claim . . . </w:t>
      </w:r>
      <w:r w:rsidR="00C869CD" w:rsidRPr="00D114A7">
        <w:rPr>
          <w:rFonts w:ascii="Arial" w:eastAsia="Calibri" w:hAnsi="Arial" w:cs="Times New Roman"/>
          <w:lang w:val="en-ZA"/>
        </w:rPr>
        <w:t>interest even</w:t>
      </w:r>
      <w:r w:rsidR="00F2295D" w:rsidRPr="00D114A7">
        <w:rPr>
          <w:rFonts w:ascii="Arial" w:eastAsia="Calibri" w:hAnsi="Arial" w:cs="Times New Roman"/>
          <w:lang w:val="en-ZA"/>
        </w:rPr>
        <w:t xml:space="preserve"> without a specific contractual provision to pay interest. Mora interest constitutes compensation for loss resulting from a breach of contract and is not governed nor dependent on an agreement. Mora interest is a common law right, meaning that it automatically applies to contracts unless it</w:t>
      </w:r>
      <w:r w:rsidR="00ED0B5B">
        <w:rPr>
          <w:rFonts w:ascii="Arial" w:eastAsia="Calibri" w:hAnsi="Arial" w:cs="Times New Roman"/>
          <w:lang w:val="en-ZA"/>
        </w:rPr>
        <w:t xml:space="preserve"> is expressly, plainly and unam</w:t>
      </w:r>
      <w:r w:rsidR="00F2295D" w:rsidRPr="00D114A7">
        <w:rPr>
          <w:rFonts w:ascii="Arial" w:eastAsia="Calibri" w:hAnsi="Arial" w:cs="Times New Roman"/>
          <w:lang w:val="en-ZA"/>
        </w:rPr>
        <w:t>biguo</w:t>
      </w:r>
      <w:r w:rsidR="00541D5C">
        <w:rPr>
          <w:rFonts w:ascii="Arial" w:eastAsia="Calibri" w:hAnsi="Arial" w:cs="Times New Roman"/>
          <w:lang w:val="en-ZA"/>
        </w:rPr>
        <w:t>u</w:t>
      </w:r>
      <w:r w:rsidR="00F2295D" w:rsidRPr="00D114A7">
        <w:rPr>
          <w:rFonts w:ascii="Arial" w:eastAsia="Calibri" w:hAnsi="Arial" w:cs="Times New Roman"/>
          <w:lang w:val="en-ZA"/>
        </w:rPr>
        <w:t xml:space="preserve">sly excluded by agreement between the parties.’ </w:t>
      </w:r>
    </w:p>
    <w:p w14:paraId="7671BF77" w14:textId="77777777" w:rsidR="00DB5ABB" w:rsidRPr="00770A4C" w:rsidRDefault="00DB5ABB" w:rsidP="00DB5ABB">
      <w:pPr>
        <w:spacing w:after="0" w:line="480" w:lineRule="auto"/>
        <w:ind w:left="720"/>
        <w:jc w:val="both"/>
        <w:rPr>
          <w:rFonts w:ascii="Arial" w:eastAsia="Calibri" w:hAnsi="Arial" w:cs="Times New Roman"/>
          <w:lang w:val="en-ZA"/>
        </w:rPr>
      </w:pPr>
    </w:p>
    <w:p w14:paraId="78BD02A8" w14:textId="5E550D9B" w:rsidR="00F2295D" w:rsidRDefault="00534B34" w:rsidP="00F050FF">
      <w:pPr>
        <w:pStyle w:val="NormalWeb"/>
        <w:numPr>
          <w:ilvl w:val="0"/>
          <w:numId w:val="8"/>
        </w:numPr>
        <w:spacing w:before="0" w:beforeAutospacing="0" w:after="0" w:afterAutospacing="0" w:line="480" w:lineRule="auto"/>
        <w:ind w:left="0" w:firstLine="0"/>
        <w:jc w:val="both"/>
        <w:rPr>
          <w:rFonts w:ascii="Arial" w:eastAsia="Calibri" w:hAnsi="Arial"/>
          <w:lang w:val="en-ZA"/>
        </w:rPr>
      </w:pPr>
      <w:r w:rsidRPr="00534B34">
        <w:rPr>
          <w:rFonts w:ascii="Arial" w:eastAsia="Calibri" w:hAnsi="Arial"/>
          <w:lang w:val="en-ZA"/>
        </w:rPr>
        <w:t>I can hardly improve on this accurate statement of the law.</w:t>
      </w:r>
    </w:p>
    <w:p w14:paraId="34C02A88" w14:textId="77777777" w:rsidR="00534B34" w:rsidRPr="00534B34" w:rsidRDefault="00534B34" w:rsidP="00F2295D">
      <w:pPr>
        <w:spacing w:after="0" w:line="480" w:lineRule="auto"/>
        <w:jc w:val="both"/>
        <w:rPr>
          <w:rFonts w:ascii="Arial" w:eastAsia="Calibri" w:hAnsi="Arial" w:cs="Times New Roman"/>
          <w:sz w:val="24"/>
          <w:szCs w:val="24"/>
          <w:lang w:val="en-ZA"/>
        </w:rPr>
      </w:pPr>
    </w:p>
    <w:p w14:paraId="061BD3AE" w14:textId="0A7FDC64" w:rsidR="00F2295D" w:rsidRDefault="00ED0B5B" w:rsidP="00A954C0">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Pr>
          <w:rFonts w:ascii="Arial" w:eastAsia="Calibri" w:hAnsi="Arial"/>
          <w:lang w:val="en-ZA"/>
        </w:rPr>
        <w:t>I</w:t>
      </w:r>
      <w:r w:rsidR="00534B34">
        <w:rPr>
          <w:rFonts w:ascii="Arial" w:eastAsia="Calibri" w:hAnsi="Arial"/>
          <w:lang w:val="en-ZA"/>
        </w:rPr>
        <w:t>n</w:t>
      </w:r>
      <w:r>
        <w:rPr>
          <w:rFonts w:ascii="Arial" w:eastAsia="Calibri" w:hAnsi="Arial"/>
          <w:lang w:val="en-ZA"/>
        </w:rPr>
        <w:t xml:space="preserve"> addition, </w:t>
      </w:r>
      <w:r w:rsidR="00541D5C">
        <w:rPr>
          <w:rFonts w:ascii="Arial" w:eastAsia="Calibri" w:hAnsi="Arial"/>
          <w:lang w:val="en-ZA"/>
        </w:rPr>
        <w:t xml:space="preserve">under the common law, </w:t>
      </w:r>
      <w:r w:rsidR="00F2295D" w:rsidRPr="00F2295D">
        <w:rPr>
          <w:rFonts w:ascii="Arial" w:eastAsia="Calibri" w:hAnsi="Arial"/>
          <w:lang w:val="en-ZA"/>
        </w:rPr>
        <w:t>where the amount claimed is liquidated, interest thereon is payable either on the date of agreement or the date of demand, whichever is later (</w:t>
      </w:r>
      <w:r w:rsidR="00F2295D" w:rsidRPr="00F2295D">
        <w:rPr>
          <w:rFonts w:ascii="Arial" w:eastAsia="Calibri" w:hAnsi="Arial" w:cs="Arial"/>
          <w:i/>
          <w:lang w:val="en-ZA"/>
        </w:rPr>
        <w:t>West Rand Estates Ltd v</w:t>
      </w:r>
      <w:r w:rsidR="00DE6002">
        <w:rPr>
          <w:rFonts w:ascii="Arial" w:eastAsia="Calibri" w:hAnsi="Arial" w:cs="Arial"/>
          <w:i/>
          <w:lang w:val="en-ZA"/>
        </w:rPr>
        <w:t xml:space="preserve"> New Zealand Insurance Co L</w:t>
      </w:r>
      <w:r w:rsidR="00F2295D" w:rsidRPr="00F2295D">
        <w:rPr>
          <w:rFonts w:ascii="Arial" w:eastAsia="Calibri" w:hAnsi="Arial" w:cs="Arial"/>
          <w:i/>
          <w:lang w:val="en-ZA"/>
        </w:rPr>
        <w:t>td</w:t>
      </w:r>
      <w:r w:rsidR="00F2295D" w:rsidRPr="00F2295D">
        <w:rPr>
          <w:rFonts w:ascii="Arial" w:eastAsia="Calibri" w:hAnsi="Arial" w:cs="Arial"/>
          <w:lang w:val="en-ZA"/>
        </w:rPr>
        <w:t xml:space="preserve"> 1926 AD 173 at 195-6; </w:t>
      </w:r>
      <w:r w:rsidR="00F2295D" w:rsidRPr="00014B87">
        <w:rPr>
          <w:rFonts w:ascii="Arial" w:eastAsia="Calibri" w:hAnsi="Arial" w:cs="Arial"/>
          <w:i/>
          <w:lang w:val="en-ZA"/>
        </w:rPr>
        <w:t>Union Government v Jackson</w:t>
      </w:r>
      <w:r w:rsidR="00F2295D" w:rsidRPr="00F2295D">
        <w:rPr>
          <w:rFonts w:ascii="Arial" w:eastAsia="Calibri" w:hAnsi="Arial" w:cs="Arial"/>
          <w:lang w:val="en-ZA"/>
        </w:rPr>
        <w:t xml:space="preserve"> 1956 (2) SA 398 (A) 412E and </w:t>
      </w:r>
      <w:r w:rsidR="00F2295D" w:rsidRPr="00014B87">
        <w:rPr>
          <w:rFonts w:ascii="Arial" w:eastAsia="Calibri" w:hAnsi="Arial" w:cs="Arial"/>
          <w:i/>
          <w:lang w:val="en-ZA"/>
        </w:rPr>
        <w:t xml:space="preserve">Probert v Baker </w:t>
      </w:r>
      <w:r w:rsidR="00F2295D" w:rsidRPr="00F2295D">
        <w:rPr>
          <w:rFonts w:ascii="Arial" w:eastAsia="Calibri" w:hAnsi="Arial" w:cs="Arial"/>
          <w:lang w:val="en-ZA"/>
        </w:rPr>
        <w:t xml:space="preserve">1983 (3) SA 229 (D) </w:t>
      </w:r>
      <w:r w:rsidR="00DE6002">
        <w:rPr>
          <w:rFonts w:ascii="Arial" w:eastAsia="Calibri" w:hAnsi="Arial" w:cs="Arial"/>
          <w:lang w:val="en-ZA"/>
        </w:rPr>
        <w:t xml:space="preserve">at </w:t>
      </w:r>
      <w:r w:rsidR="00F2295D" w:rsidRPr="00F2295D">
        <w:rPr>
          <w:rFonts w:ascii="Arial" w:eastAsia="Calibri" w:hAnsi="Arial" w:cs="Arial"/>
          <w:lang w:val="en-ZA"/>
        </w:rPr>
        <w:t>236H-237B</w:t>
      </w:r>
      <w:r w:rsidR="00DE6002">
        <w:rPr>
          <w:rFonts w:ascii="Arial" w:eastAsia="Calibri" w:hAnsi="Arial" w:cs="Arial"/>
          <w:lang w:val="en-ZA"/>
        </w:rPr>
        <w:t>)</w:t>
      </w:r>
      <w:r w:rsidR="00F2295D" w:rsidRPr="00F2295D">
        <w:rPr>
          <w:rFonts w:ascii="Arial" w:eastAsia="Calibri" w:hAnsi="Arial" w:cs="Arial"/>
          <w:lang w:val="en-ZA"/>
        </w:rPr>
        <w:t xml:space="preserve"> confi</w:t>
      </w:r>
      <w:r w:rsidR="00014B87">
        <w:rPr>
          <w:rFonts w:ascii="Arial" w:eastAsia="Calibri" w:hAnsi="Arial" w:cs="Arial"/>
          <w:lang w:val="en-ZA"/>
        </w:rPr>
        <w:t xml:space="preserve">rmed on appeal on other grounds. </w:t>
      </w:r>
      <w:r w:rsidR="00246944">
        <w:rPr>
          <w:rFonts w:ascii="Arial" w:eastAsia="Calibri" w:hAnsi="Arial" w:cs="Arial"/>
          <w:lang w:val="en-ZA"/>
        </w:rPr>
        <w:t>It is common cause that in the present case there was no agreement on interest.</w:t>
      </w:r>
    </w:p>
    <w:p w14:paraId="2485151D" w14:textId="77777777" w:rsidR="00541D5C" w:rsidRDefault="00541D5C" w:rsidP="00541D5C">
      <w:pPr>
        <w:pStyle w:val="NormalWeb"/>
        <w:spacing w:before="0" w:beforeAutospacing="0" w:after="0" w:afterAutospacing="0" w:line="480" w:lineRule="auto"/>
        <w:jc w:val="both"/>
        <w:rPr>
          <w:rFonts w:ascii="Arial" w:eastAsia="Calibri" w:hAnsi="Arial" w:cs="Arial"/>
          <w:lang w:val="en-ZA"/>
        </w:rPr>
      </w:pPr>
    </w:p>
    <w:p w14:paraId="4CB6C8A1" w14:textId="66374DB3" w:rsidR="00541D5C" w:rsidRDefault="00541D5C" w:rsidP="00B045F6">
      <w:pPr>
        <w:pStyle w:val="NormalWeb"/>
        <w:numPr>
          <w:ilvl w:val="0"/>
          <w:numId w:val="8"/>
        </w:numPr>
        <w:spacing w:before="0" w:beforeAutospacing="0" w:after="0" w:afterAutospacing="0" w:line="480" w:lineRule="auto"/>
        <w:ind w:left="0" w:firstLine="0"/>
        <w:jc w:val="both"/>
        <w:rPr>
          <w:rFonts w:ascii="Arial" w:eastAsia="Calibri" w:hAnsi="Arial"/>
          <w:lang w:val="en-ZA"/>
        </w:rPr>
      </w:pPr>
      <w:r>
        <w:rPr>
          <w:rFonts w:ascii="Arial" w:eastAsia="Calibri" w:hAnsi="Arial"/>
          <w:lang w:val="en-ZA"/>
        </w:rPr>
        <w:t xml:space="preserve">In his supplementary </w:t>
      </w:r>
      <w:r w:rsidRPr="00A23B17">
        <w:rPr>
          <w:rFonts w:ascii="Arial" w:eastAsia="Calibri" w:hAnsi="Arial"/>
          <w:lang w:val="en-ZA"/>
        </w:rPr>
        <w:t>heads</w:t>
      </w:r>
      <w:r>
        <w:rPr>
          <w:rFonts w:ascii="Arial" w:eastAsia="Calibri" w:hAnsi="Arial"/>
          <w:lang w:val="en-ZA"/>
        </w:rPr>
        <w:t xml:space="preserve"> of argument</w:t>
      </w:r>
      <w:r w:rsidR="00246944">
        <w:rPr>
          <w:rFonts w:ascii="Arial" w:eastAsia="Calibri" w:hAnsi="Arial"/>
          <w:lang w:val="en-ZA"/>
        </w:rPr>
        <w:t>,</w:t>
      </w:r>
      <w:r>
        <w:rPr>
          <w:rFonts w:ascii="Arial" w:eastAsia="Calibri" w:hAnsi="Arial"/>
          <w:lang w:val="en-ZA"/>
        </w:rPr>
        <w:t xml:space="preserve"> Mr </w:t>
      </w:r>
      <w:r w:rsidR="00B03887">
        <w:rPr>
          <w:rFonts w:ascii="Arial" w:eastAsia="Calibri" w:hAnsi="Arial"/>
          <w:lang w:val="en-ZA"/>
        </w:rPr>
        <w:t>Ravenscroft-</w:t>
      </w:r>
      <w:r w:rsidR="00B045F6" w:rsidRPr="00B045F6">
        <w:rPr>
          <w:rFonts w:ascii="Arial" w:eastAsia="Calibri" w:hAnsi="Arial"/>
          <w:lang w:val="en-ZA"/>
        </w:rPr>
        <w:t xml:space="preserve">Jones </w:t>
      </w:r>
      <w:r>
        <w:rPr>
          <w:rFonts w:ascii="Arial" w:eastAsia="Calibri" w:hAnsi="Arial"/>
          <w:lang w:val="en-ZA"/>
        </w:rPr>
        <w:t xml:space="preserve">submitted that should the appeal succeed, the court </w:t>
      </w:r>
      <w:r w:rsidRPr="005D085C">
        <w:rPr>
          <w:rFonts w:ascii="Arial" w:eastAsia="Calibri" w:hAnsi="Arial"/>
          <w:i/>
          <w:lang w:val="en-ZA"/>
        </w:rPr>
        <w:t>a quo</w:t>
      </w:r>
      <w:r>
        <w:rPr>
          <w:rFonts w:ascii="Arial" w:eastAsia="Calibri" w:hAnsi="Arial"/>
          <w:lang w:val="en-ZA"/>
        </w:rPr>
        <w:t xml:space="preserve">’s order </w:t>
      </w:r>
      <w:r w:rsidR="002B690D">
        <w:rPr>
          <w:rFonts w:ascii="Arial" w:eastAsia="Calibri" w:hAnsi="Arial"/>
          <w:lang w:val="en-ZA"/>
        </w:rPr>
        <w:t xml:space="preserve">shown at para [9] above should </w:t>
      </w:r>
      <w:r>
        <w:rPr>
          <w:rFonts w:ascii="Arial" w:eastAsia="Calibri" w:hAnsi="Arial"/>
          <w:lang w:val="en-ZA"/>
        </w:rPr>
        <w:t xml:space="preserve">be varied </w:t>
      </w:r>
      <w:r w:rsidR="002B690D">
        <w:rPr>
          <w:rFonts w:ascii="Arial" w:eastAsia="Calibri" w:hAnsi="Arial"/>
          <w:lang w:val="en-ZA"/>
        </w:rPr>
        <w:t>only in respect of para 1.2 therein</w:t>
      </w:r>
      <w:r w:rsidR="00F848E7">
        <w:rPr>
          <w:rFonts w:ascii="Arial" w:eastAsia="Calibri" w:hAnsi="Arial"/>
          <w:lang w:val="en-ZA"/>
        </w:rPr>
        <w:t>,</w:t>
      </w:r>
      <w:r w:rsidR="002B690D">
        <w:rPr>
          <w:rFonts w:ascii="Arial" w:eastAsia="Calibri" w:hAnsi="Arial"/>
          <w:lang w:val="en-ZA"/>
        </w:rPr>
        <w:t xml:space="preserve"> </w:t>
      </w:r>
      <w:r w:rsidR="00051B1C">
        <w:rPr>
          <w:rFonts w:ascii="Arial" w:eastAsia="Calibri" w:hAnsi="Arial"/>
          <w:lang w:val="en-ZA"/>
        </w:rPr>
        <w:t xml:space="preserve">such </w:t>
      </w:r>
      <w:r>
        <w:rPr>
          <w:rFonts w:ascii="Arial" w:eastAsia="Calibri" w:hAnsi="Arial"/>
          <w:lang w:val="en-ZA"/>
        </w:rPr>
        <w:t xml:space="preserve">that interest is payable from date of </w:t>
      </w:r>
      <w:r>
        <w:rPr>
          <w:rFonts w:ascii="Arial" w:eastAsia="Calibri" w:hAnsi="Arial"/>
          <w:lang w:val="en-ZA"/>
        </w:rPr>
        <w:lastRenderedPageBreak/>
        <w:t>each invoice</w:t>
      </w:r>
      <w:r w:rsidR="00CA32FF">
        <w:rPr>
          <w:rFonts w:ascii="Arial" w:eastAsia="Calibri" w:hAnsi="Arial"/>
          <w:lang w:val="en-ZA"/>
        </w:rPr>
        <w:t>,</w:t>
      </w:r>
      <w:r>
        <w:rPr>
          <w:rFonts w:ascii="Arial" w:eastAsia="Calibri" w:hAnsi="Arial"/>
          <w:lang w:val="en-ZA"/>
        </w:rPr>
        <w:t xml:space="preserve"> alternatively from date of demand</w:t>
      </w:r>
      <w:r w:rsidR="00266F5B">
        <w:rPr>
          <w:rFonts w:ascii="Arial" w:eastAsia="Calibri" w:hAnsi="Arial"/>
          <w:lang w:val="en-ZA"/>
        </w:rPr>
        <w:t>,</w:t>
      </w:r>
      <w:r>
        <w:rPr>
          <w:rFonts w:ascii="Arial" w:eastAsia="Calibri" w:hAnsi="Arial"/>
          <w:lang w:val="en-ZA"/>
        </w:rPr>
        <w:t xml:space="preserve"> being</w:t>
      </w:r>
      <w:r w:rsidR="00266F5B">
        <w:rPr>
          <w:rFonts w:ascii="Arial" w:eastAsia="Calibri" w:hAnsi="Arial"/>
          <w:lang w:val="en-ZA"/>
        </w:rPr>
        <w:t xml:space="preserve"> </w:t>
      </w:r>
      <w:r>
        <w:rPr>
          <w:rFonts w:ascii="Arial" w:eastAsia="Calibri" w:hAnsi="Arial"/>
          <w:lang w:val="en-ZA"/>
        </w:rPr>
        <w:t>10 July 2019.</w:t>
      </w:r>
      <w:r w:rsidR="00F848E7">
        <w:rPr>
          <w:rFonts w:ascii="Arial" w:eastAsia="Calibri" w:hAnsi="Arial"/>
          <w:lang w:val="en-ZA"/>
        </w:rPr>
        <w:t xml:space="preserve"> In </w:t>
      </w:r>
      <w:r w:rsidR="00CA32FF">
        <w:rPr>
          <w:rFonts w:ascii="Arial" w:eastAsia="Calibri" w:hAnsi="Arial"/>
          <w:lang w:val="en-ZA"/>
        </w:rPr>
        <w:t>light of the conclusion to which I have come, the interest payable should run from the date of demand.</w:t>
      </w:r>
    </w:p>
    <w:p w14:paraId="1B3BA4E1" w14:textId="77777777" w:rsidR="00541D5C" w:rsidRPr="00A23B17" w:rsidRDefault="00541D5C" w:rsidP="00541D5C">
      <w:pPr>
        <w:pStyle w:val="NormalWeb"/>
        <w:spacing w:before="0" w:beforeAutospacing="0" w:after="0" w:afterAutospacing="0" w:line="480" w:lineRule="auto"/>
        <w:jc w:val="both"/>
        <w:rPr>
          <w:rFonts w:ascii="Arial" w:eastAsia="Calibri" w:hAnsi="Arial"/>
          <w:lang w:val="en-ZA"/>
        </w:rPr>
      </w:pPr>
    </w:p>
    <w:p w14:paraId="6E479F4A" w14:textId="13BDB5E2" w:rsidR="00541D5C" w:rsidRDefault="005D1F0C" w:rsidP="00480CE2">
      <w:pPr>
        <w:pStyle w:val="NormalWeb"/>
        <w:numPr>
          <w:ilvl w:val="0"/>
          <w:numId w:val="8"/>
        </w:numPr>
        <w:spacing w:before="0" w:beforeAutospacing="0" w:after="0" w:afterAutospacing="0" w:line="480" w:lineRule="auto"/>
        <w:ind w:left="0" w:firstLine="0"/>
        <w:jc w:val="both"/>
        <w:rPr>
          <w:rFonts w:ascii="Arial" w:eastAsia="Calibri" w:hAnsi="Arial"/>
          <w:lang w:val="en-ZA"/>
        </w:rPr>
      </w:pPr>
      <w:r>
        <w:rPr>
          <w:rFonts w:ascii="Arial" w:eastAsia="Calibri" w:hAnsi="Arial"/>
          <w:lang w:val="en-ZA"/>
        </w:rPr>
        <w:t xml:space="preserve">For all of the above reasons, </w:t>
      </w:r>
      <w:r w:rsidR="00CA32FF" w:rsidRPr="00075A9B">
        <w:rPr>
          <w:rFonts w:ascii="Arial" w:eastAsia="Calibri" w:hAnsi="Arial"/>
          <w:lang w:val="en-ZA"/>
        </w:rPr>
        <w:t>t</w:t>
      </w:r>
      <w:r w:rsidR="00541D5C" w:rsidRPr="00075A9B">
        <w:rPr>
          <w:rFonts w:ascii="Arial" w:eastAsia="Calibri" w:hAnsi="Arial"/>
          <w:lang w:val="en-ZA"/>
        </w:rPr>
        <w:t xml:space="preserve">he correct answer in law then which the court </w:t>
      </w:r>
      <w:r w:rsidR="00541D5C" w:rsidRPr="00075A9B">
        <w:rPr>
          <w:rFonts w:ascii="Arial" w:eastAsia="Calibri" w:hAnsi="Arial"/>
          <w:i/>
          <w:lang w:val="en-ZA"/>
        </w:rPr>
        <w:t>a quo</w:t>
      </w:r>
      <w:r w:rsidR="00541D5C" w:rsidRPr="00075A9B">
        <w:rPr>
          <w:rFonts w:ascii="Arial" w:eastAsia="Calibri" w:hAnsi="Arial"/>
          <w:lang w:val="en-ZA"/>
        </w:rPr>
        <w:t xml:space="preserve"> should have given is that the Government became liable to pay interest on the outstanding amounts </w:t>
      </w:r>
      <w:r w:rsidR="00246944">
        <w:rPr>
          <w:rFonts w:ascii="Arial" w:eastAsia="Calibri" w:hAnsi="Arial"/>
          <w:lang w:val="en-ZA"/>
        </w:rPr>
        <w:t xml:space="preserve">in the </w:t>
      </w:r>
      <w:r w:rsidR="00F402CF">
        <w:rPr>
          <w:rFonts w:ascii="Arial" w:eastAsia="Calibri" w:hAnsi="Arial"/>
          <w:lang w:val="en-ZA"/>
        </w:rPr>
        <w:t>five</w:t>
      </w:r>
      <w:r w:rsidR="00246944">
        <w:rPr>
          <w:rFonts w:ascii="Arial" w:eastAsia="Calibri" w:hAnsi="Arial"/>
          <w:lang w:val="en-ZA"/>
        </w:rPr>
        <w:t xml:space="preserve"> cases listed in the stated case </w:t>
      </w:r>
      <w:r w:rsidR="00075A9B" w:rsidRPr="00075A9B">
        <w:rPr>
          <w:rFonts w:ascii="Arial" w:eastAsia="Calibri" w:hAnsi="Arial"/>
          <w:lang w:val="en-ZA"/>
        </w:rPr>
        <w:t xml:space="preserve">from the date of demand. </w:t>
      </w:r>
    </w:p>
    <w:p w14:paraId="1F11C8A2" w14:textId="77777777" w:rsidR="00AD0D47" w:rsidRDefault="00AD0D47" w:rsidP="00AD0D47">
      <w:pPr>
        <w:pStyle w:val="NormalWeb"/>
        <w:spacing w:before="0" w:beforeAutospacing="0" w:after="0" w:afterAutospacing="0" w:line="480" w:lineRule="auto"/>
        <w:jc w:val="both"/>
        <w:rPr>
          <w:rFonts w:ascii="Arial" w:eastAsia="Calibri" w:hAnsi="Arial"/>
          <w:lang w:val="en-ZA"/>
        </w:rPr>
      </w:pPr>
    </w:p>
    <w:p w14:paraId="1097428D" w14:textId="72ACAD22" w:rsidR="00F82E1F" w:rsidRPr="00DE59D9" w:rsidRDefault="00E02B60" w:rsidP="00F82E1F">
      <w:pPr>
        <w:pStyle w:val="NormalWeb"/>
        <w:numPr>
          <w:ilvl w:val="0"/>
          <w:numId w:val="8"/>
        </w:numPr>
        <w:spacing w:before="0" w:beforeAutospacing="0" w:after="0" w:afterAutospacing="0" w:line="480" w:lineRule="auto"/>
        <w:ind w:left="0" w:firstLine="0"/>
        <w:jc w:val="both"/>
        <w:rPr>
          <w:rFonts w:ascii="Arial" w:eastAsia="Calibri" w:hAnsi="Arial" w:cs="Arial"/>
          <w:lang w:val="en-ZA"/>
        </w:rPr>
      </w:pPr>
      <w:r>
        <w:rPr>
          <w:rFonts w:ascii="Arial" w:eastAsia="Calibri" w:hAnsi="Arial"/>
          <w:lang w:val="en-ZA"/>
        </w:rPr>
        <w:t>For the avoidance of doubt</w:t>
      </w:r>
      <w:r w:rsidR="00266F5B">
        <w:rPr>
          <w:rFonts w:ascii="Arial" w:eastAsia="Calibri" w:hAnsi="Arial"/>
          <w:lang w:val="en-ZA"/>
        </w:rPr>
        <w:t>,</w:t>
      </w:r>
      <w:r w:rsidR="00246944">
        <w:rPr>
          <w:rFonts w:ascii="Arial" w:eastAsia="Calibri" w:hAnsi="Arial"/>
          <w:lang w:val="en-ZA"/>
        </w:rPr>
        <w:t xml:space="preserve"> in view of the discrepancy between the case references </w:t>
      </w:r>
      <w:r>
        <w:rPr>
          <w:rFonts w:ascii="Arial" w:eastAsia="Calibri" w:hAnsi="Arial"/>
          <w:lang w:val="en-ZA"/>
        </w:rPr>
        <w:t xml:space="preserve">under which the order and the reasons were given, the parties had accepted at para 29 of the </w:t>
      </w:r>
      <w:r w:rsidR="00F402CF">
        <w:rPr>
          <w:rFonts w:ascii="Arial" w:eastAsia="Calibri" w:hAnsi="Arial"/>
          <w:lang w:val="en-ZA"/>
        </w:rPr>
        <w:t>stated</w:t>
      </w:r>
      <w:r>
        <w:rPr>
          <w:rFonts w:ascii="Arial" w:eastAsia="Calibri" w:hAnsi="Arial"/>
          <w:lang w:val="en-ZA"/>
        </w:rPr>
        <w:t xml:space="preserve"> case that the court’s decision would resolve all </w:t>
      </w:r>
      <w:r w:rsidR="00F402CF">
        <w:rPr>
          <w:rFonts w:ascii="Arial" w:eastAsia="Calibri" w:hAnsi="Arial"/>
          <w:lang w:val="en-ZA"/>
        </w:rPr>
        <w:t>five</w:t>
      </w:r>
      <w:r>
        <w:rPr>
          <w:rFonts w:ascii="Arial" w:eastAsia="Calibri" w:hAnsi="Arial"/>
          <w:lang w:val="en-ZA"/>
        </w:rPr>
        <w:t xml:space="preserve"> cases. That much was confirmed on appeal.</w:t>
      </w:r>
    </w:p>
    <w:p w14:paraId="1583DFAA" w14:textId="77777777" w:rsidR="00DE59D9" w:rsidRPr="001E4286" w:rsidRDefault="00DE59D9" w:rsidP="00DE59D9">
      <w:pPr>
        <w:pStyle w:val="NormalWeb"/>
        <w:spacing w:before="0" w:beforeAutospacing="0" w:after="0" w:afterAutospacing="0" w:line="480" w:lineRule="auto"/>
        <w:jc w:val="both"/>
        <w:rPr>
          <w:rFonts w:ascii="Arial" w:eastAsia="Calibri" w:hAnsi="Arial" w:cs="Arial"/>
          <w:lang w:val="en-ZA"/>
        </w:rPr>
      </w:pPr>
    </w:p>
    <w:p w14:paraId="7F743142" w14:textId="7AFF3251" w:rsidR="00A0194B" w:rsidRDefault="00A0194B" w:rsidP="00A0194B">
      <w:pPr>
        <w:spacing w:after="0" w:line="480" w:lineRule="auto"/>
        <w:rPr>
          <w:rFonts w:ascii="Arial" w:hAnsi="Arial" w:cs="Arial"/>
          <w:sz w:val="24"/>
          <w:szCs w:val="24"/>
          <w:u w:val="single"/>
          <w:lang w:val="en-ZA"/>
        </w:rPr>
      </w:pPr>
      <w:r>
        <w:rPr>
          <w:rFonts w:ascii="Arial" w:hAnsi="Arial" w:cs="Arial"/>
          <w:sz w:val="24"/>
          <w:szCs w:val="24"/>
          <w:u w:val="single"/>
          <w:lang w:val="en-ZA"/>
        </w:rPr>
        <w:t>Cond</w:t>
      </w:r>
      <w:r w:rsidR="00937FB3">
        <w:rPr>
          <w:rFonts w:ascii="Arial" w:hAnsi="Arial" w:cs="Arial"/>
          <w:sz w:val="24"/>
          <w:szCs w:val="24"/>
          <w:u w:val="single"/>
          <w:lang w:val="en-ZA"/>
        </w:rPr>
        <w:t>onation a</w:t>
      </w:r>
      <w:r>
        <w:rPr>
          <w:rFonts w:ascii="Arial" w:hAnsi="Arial" w:cs="Arial"/>
          <w:sz w:val="24"/>
          <w:szCs w:val="24"/>
          <w:u w:val="single"/>
          <w:lang w:val="en-ZA"/>
        </w:rPr>
        <w:t>pplication</w:t>
      </w:r>
    </w:p>
    <w:p w14:paraId="41480799" w14:textId="751FAC57" w:rsidR="00A0194B" w:rsidRDefault="00E2159D" w:rsidP="00B12432">
      <w:pPr>
        <w:pStyle w:val="NormalWeb"/>
        <w:numPr>
          <w:ilvl w:val="0"/>
          <w:numId w:val="8"/>
        </w:numPr>
        <w:spacing w:before="0" w:beforeAutospacing="0" w:after="0" w:afterAutospacing="0" w:line="480" w:lineRule="auto"/>
        <w:ind w:left="0" w:firstLine="0"/>
        <w:jc w:val="both"/>
        <w:rPr>
          <w:rFonts w:ascii="Arial" w:hAnsi="Arial" w:cs="Arial"/>
          <w:lang w:val="en-ZA"/>
        </w:rPr>
      </w:pPr>
      <w:r w:rsidRPr="00E2159D">
        <w:rPr>
          <w:rFonts w:ascii="Arial" w:hAnsi="Arial" w:cs="Arial"/>
          <w:lang w:val="en-ZA"/>
        </w:rPr>
        <w:t xml:space="preserve">The condonation application is not opposed. </w:t>
      </w:r>
      <w:r w:rsidR="00520755" w:rsidRPr="00E2159D">
        <w:rPr>
          <w:rFonts w:ascii="Arial" w:hAnsi="Arial" w:cs="Arial"/>
          <w:lang w:val="en-ZA"/>
        </w:rPr>
        <w:t xml:space="preserve">The appellant’s legal practioner of record, </w:t>
      </w:r>
      <w:r w:rsidR="00A0194B" w:rsidRPr="00E2159D">
        <w:rPr>
          <w:rFonts w:ascii="Arial" w:hAnsi="Arial" w:cs="Arial"/>
          <w:lang w:val="en-ZA"/>
        </w:rPr>
        <w:t>Ms Vermeulen</w:t>
      </w:r>
      <w:r w:rsidR="00520755" w:rsidRPr="00E2159D">
        <w:rPr>
          <w:rFonts w:ascii="Arial" w:hAnsi="Arial" w:cs="Arial"/>
          <w:lang w:val="en-ZA"/>
        </w:rPr>
        <w:t>,</w:t>
      </w:r>
      <w:r w:rsidR="00A0194B" w:rsidRPr="00E2159D">
        <w:rPr>
          <w:rFonts w:ascii="Arial" w:hAnsi="Arial" w:cs="Arial"/>
          <w:lang w:val="en-ZA"/>
        </w:rPr>
        <w:t xml:space="preserve"> deposed to an affidavit in support of the condonation application to explain the </w:t>
      </w:r>
      <w:r w:rsidR="00EB3EE4" w:rsidRPr="00E2159D">
        <w:rPr>
          <w:rFonts w:ascii="Arial" w:hAnsi="Arial" w:cs="Arial"/>
          <w:lang w:val="en-ZA"/>
        </w:rPr>
        <w:t xml:space="preserve">non-compliance with </w:t>
      </w:r>
      <w:r w:rsidR="00A0194B" w:rsidRPr="00E2159D">
        <w:rPr>
          <w:rFonts w:ascii="Arial" w:hAnsi="Arial" w:cs="Arial"/>
          <w:lang w:val="en-ZA"/>
        </w:rPr>
        <w:t xml:space="preserve">rules </w:t>
      </w:r>
      <w:r w:rsidR="00B31AD8">
        <w:rPr>
          <w:rFonts w:ascii="Arial" w:hAnsi="Arial" w:cs="Arial"/>
          <w:lang w:val="en-ZA"/>
        </w:rPr>
        <w:t xml:space="preserve">of </w:t>
      </w:r>
      <w:r w:rsidR="00750E66">
        <w:rPr>
          <w:rFonts w:ascii="Arial" w:hAnsi="Arial" w:cs="Arial"/>
          <w:lang w:val="en-ZA"/>
        </w:rPr>
        <w:t>this Court</w:t>
      </w:r>
      <w:r w:rsidR="00884893">
        <w:rPr>
          <w:rFonts w:ascii="Arial" w:hAnsi="Arial" w:cs="Arial"/>
          <w:lang w:val="en-ZA"/>
        </w:rPr>
        <w:t>.</w:t>
      </w:r>
    </w:p>
    <w:p w14:paraId="2D3EF31C" w14:textId="77777777" w:rsidR="00E2159D" w:rsidRPr="00E2159D" w:rsidRDefault="00E2159D" w:rsidP="00E2159D">
      <w:pPr>
        <w:pStyle w:val="NormalWeb"/>
        <w:spacing w:before="0" w:beforeAutospacing="0" w:after="0" w:afterAutospacing="0" w:line="480" w:lineRule="auto"/>
        <w:jc w:val="both"/>
        <w:rPr>
          <w:rFonts w:ascii="Arial" w:hAnsi="Arial" w:cs="Arial"/>
          <w:lang w:val="en-ZA"/>
        </w:rPr>
      </w:pPr>
    </w:p>
    <w:p w14:paraId="0358435D" w14:textId="7668C621" w:rsidR="00A0194B" w:rsidRPr="00B9020C" w:rsidRDefault="00EB3EE4" w:rsidP="00BF7472">
      <w:pPr>
        <w:pStyle w:val="NormalWeb"/>
        <w:numPr>
          <w:ilvl w:val="0"/>
          <w:numId w:val="8"/>
        </w:numPr>
        <w:spacing w:before="0" w:beforeAutospacing="0" w:after="0" w:afterAutospacing="0" w:line="480" w:lineRule="auto"/>
        <w:ind w:left="0" w:firstLine="0"/>
        <w:jc w:val="both"/>
        <w:rPr>
          <w:rFonts w:ascii="Arial" w:hAnsi="Arial" w:cs="Arial"/>
          <w:u w:val="single"/>
          <w:lang w:val="en-ZA"/>
        </w:rPr>
      </w:pPr>
      <w:r>
        <w:rPr>
          <w:rFonts w:ascii="Arial" w:hAnsi="Arial" w:cs="Arial"/>
          <w:lang w:val="en-ZA"/>
        </w:rPr>
        <w:t xml:space="preserve">The deponent states </w:t>
      </w:r>
      <w:r w:rsidR="00A0194B" w:rsidRPr="00B9020C">
        <w:rPr>
          <w:rFonts w:ascii="Arial" w:hAnsi="Arial" w:cs="Arial"/>
          <w:lang w:val="en-ZA"/>
        </w:rPr>
        <w:t xml:space="preserve">that </w:t>
      </w:r>
      <w:r w:rsidR="002E1EE7">
        <w:rPr>
          <w:rFonts w:ascii="Arial" w:hAnsi="Arial" w:cs="Arial"/>
          <w:lang w:val="en-ZA"/>
        </w:rPr>
        <w:t xml:space="preserve">she lodged </w:t>
      </w:r>
      <w:r w:rsidR="00A0194B">
        <w:rPr>
          <w:rFonts w:ascii="Arial" w:hAnsi="Arial" w:cs="Arial"/>
          <w:lang w:val="en-ZA"/>
        </w:rPr>
        <w:t>the</w:t>
      </w:r>
      <w:r w:rsidR="002E1EE7">
        <w:rPr>
          <w:rFonts w:ascii="Arial" w:hAnsi="Arial" w:cs="Arial"/>
          <w:lang w:val="en-ZA"/>
        </w:rPr>
        <w:t xml:space="preserve"> </w:t>
      </w:r>
      <w:r w:rsidR="00A0194B" w:rsidRPr="00B9020C">
        <w:rPr>
          <w:rFonts w:ascii="Arial" w:hAnsi="Arial" w:cs="Arial"/>
          <w:lang w:val="en-ZA"/>
        </w:rPr>
        <w:t xml:space="preserve">notice of appeal on 22 April 2021 without having sight of the </w:t>
      </w:r>
      <w:r w:rsidR="002E1EE7">
        <w:rPr>
          <w:rFonts w:ascii="Arial" w:hAnsi="Arial" w:cs="Arial"/>
          <w:lang w:val="en-ZA"/>
        </w:rPr>
        <w:t xml:space="preserve">court </w:t>
      </w:r>
      <w:r w:rsidR="002E1EE7" w:rsidRPr="00084C3E">
        <w:rPr>
          <w:rFonts w:ascii="Arial" w:hAnsi="Arial" w:cs="Arial"/>
          <w:i/>
          <w:lang w:val="en-ZA"/>
        </w:rPr>
        <w:t>a quo</w:t>
      </w:r>
      <w:r w:rsidR="002E1EE7">
        <w:rPr>
          <w:rFonts w:ascii="Arial" w:hAnsi="Arial" w:cs="Arial"/>
          <w:lang w:val="en-ZA"/>
        </w:rPr>
        <w:t xml:space="preserve">’s </w:t>
      </w:r>
      <w:r w:rsidR="00A0194B" w:rsidRPr="00B9020C">
        <w:rPr>
          <w:rFonts w:ascii="Arial" w:hAnsi="Arial" w:cs="Arial"/>
          <w:lang w:val="en-ZA"/>
        </w:rPr>
        <w:t xml:space="preserve">reasons </w:t>
      </w:r>
      <w:r w:rsidR="002E1EE7">
        <w:rPr>
          <w:rFonts w:ascii="Arial" w:hAnsi="Arial" w:cs="Arial"/>
          <w:lang w:val="en-ZA"/>
        </w:rPr>
        <w:t xml:space="preserve">for its order. </w:t>
      </w:r>
      <w:r w:rsidR="00A0194B" w:rsidRPr="00B9020C">
        <w:rPr>
          <w:rFonts w:ascii="Arial" w:hAnsi="Arial" w:cs="Arial"/>
          <w:lang w:val="en-ZA"/>
        </w:rPr>
        <w:t>She</w:t>
      </w:r>
      <w:r w:rsidR="002E1EE7">
        <w:rPr>
          <w:rFonts w:ascii="Arial" w:hAnsi="Arial" w:cs="Arial"/>
          <w:lang w:val="en-ZA"/>
        </w:rPr>
        <w:t xml:space="preserve"> then erroneously </w:t>
      </w:r>
      <w:r w:rsidR="00A0194B" w:rsidRPr="00B9020C">
        <w:rPr>
          <w:rFonts w:ascii="Arial" w:hAnsi="Arial" w:cs="Arial"/>
          <w:lang w:val="en-ZA"/>
        </w:rPr>
        <w:t>diar</w:t>
      </w:r>
      <w:r w:rsidR="00A0194B">
        <w:rPr>
          <w:rFonts w:ascii="Arial" w:hAnsi="Arial" w:cs="Arial"/>
          <w:lang w:val="en-ZA"/>
        </w:rPr>
        <w:t>ised the filing of the record for</w:t>
      </w:r>
      <w:r w:rsidR="00AB671E">
        <w:rPr>
          <w:rFonts w:ascii="Arial" w:hAnsi="Arial" w:cs="Arial"/>
          <w:lang w:val="en-ZA"/>
        </w:rPr>
        <w:t xml:space="preserve"> 19 July 2021 – </w:t>
      </w:r>
      <w:r w:rsidR="00A0194B" w:rsidRPr="00B9020C">
        <w:rPr>
          <w:rFonts w:ascii="Arial" w:hAnsi="Arial" w:cs="Arial"/>
          <w:lang w:val="en-ZA"/>
        </w:rPr>
        <w:t xml:space="preserve">when it should have been 19 June 2021 </w:t>
      </w:r>
      <w:r w:rsidR="002E1EE7">
        <w:rPr>
          <w:rFonts w:ascii="Arial" w:hAnsi="Arial" w:cs="Arial"/>
          <w:lang w:val="en-ZA"/>
        </w:rPr>
        <w:t xml:space="preserve">alleging that </w:t>
      </w:r>
      <w:r w:rsidR="00A0194B" w:rsidRPr="00B9020C">
        <w:rPr>
          <w:rFonts w:ascii="Arial" w:hAnsi="Arial" w:cs="Arial"/>
          <w:lang w:val="en-ZA"/>
        </w:rPr>
        <w:t>occurred because she mistakenly co</w:t>
      </w:r>
      <w:r w:rsidR="002E1EE7">
        <w:rPr>
          <w:rFonts w:ascii="Arial" w:hAnsi="Arial" w:cs="Arial"/>
          <w:lang w:val="en-ZA"/>
        </w:rPr>
        <w:t xml:space="preserve">mputed the </w:t>
      </w:r>
      <w:r w:rsidR="002E1EE7" w:rsidRPr="00AD1271">
        <w:rPr>
          <w:rFonts w:ascii="Arial" w:hAnsi="Arial" w:cs="Arial"/>
          <w:i/>
          <w:lang w:val="en-ZA"/>
        </w:rPr>
        <w:t>dies</w:t>
      </w:r>
      <w:r w:rsidR="002E1EE7">
        <w:rPr>
          <w:rFonts w:ascii="Arial" w:hAnsi="Arial" w:cs="Arial"/>
          <w:lang w:val="en-ZA"/>
        </w:rPr>
        <w:t xml:space="preserve"> </w:t>
      </w:r>
      <w:r w:rsidR="00A0194B" w:rsidRPr="00B9020C">
        <w:rPr>
          <w:rFonts w:ascii="Arial" w:hAnsi="Arial" w:cs="Arial"/>
          <w:lang w:val="en-ZA"/>
        </w:rPr>
        <w:t>from</w:t>
      </w:r>
      <w:r w:rsidR="00A0194B">
        <w:rPr>
          <w:rFonts w:ascii="Arial" w:hAnsi="Arial" w:cs="Arial"/>
          <w:lang w:val="en-ZA"/>
        </w:rPr>
        <w:t xml:space="preserve"> the</w:t>
      </w:r>
      <w:r w:rsidR="00A0194B" w:rsidRPr="00B9020C">
        <w:rPr>
          <w:rFonts w:ascii="Arial" w:hAnsi="Arial" w:cs="Arial"/>
          <w:lang w:val="en-ZA"/>
        </w:rPr>
        <w:t xml:space="preserve"> date of filing the notice of appeal instead of the date of the order</w:t>
      </w:r>
      <w:r w:rsidR="00A0194B">
        <w:rPr>
          <w:rFonts w:ascii="Arial" w:hAnsi="Arial" w:cs="Arial"/>
          <w:lang w:val="en-ZA"/>
        </w:rPr>
        <w:t xml:space="preserve">. </w:t>
      </w:r>
    </w:p>
    <w:p w14:paraId="6C1D04E6" w14:textId="77777777" w:rsidR="00A0194B" w:rsidRDefault="00A0194B" w:rsidP="00A0194B">
      <w:pPr>
        <w:spacing w:after="0" w:line="480" w:lineRule="auto"/>
        <w:rPr>
          <w:rFonts w:ascii="Arial" w:hAnsi="Arial" w:cs="Arial"/>
          <w:sz w:val="24"/>
          <w:szCs w:val="24"/>
          <w:u w:val="single"/>
          <w:lang w:val="en-ZA"/>
        </w:rPr>
      </w:pPr>
    </w:p>
    <w:p w14:paraId="3051DBA6" w14:textId="1876C32B" w:rsidR="00A0194B" w:rsidRPr="00131A8F" w:rsidRDefault="000F352B" w:rsidP="00002264">
      <w:pPr>
        <w:pStyle w:val="NormalWeb"/>
        <w:numPr>
          <w:ilvl w:val="0"/>
          <w:numId w:val="8"/>
        </w:numPr>
        <w:spacing w:before="0" w:beforeAutospacing="0" w:after="0" w:afterAutospacing="0" w:line="480" w:lineRule="auto"/>
        <w:ind w:left="0" w:firstLine="0"/>
        <w:jc w:val="both"/>
        <w:rPr>
          <w:rFonts w:ascii="Arial" w:hAnsi="Arial" w:cs="Arial"/>
          <w:lang w:val="en-ZA"/>
        </w:rPr>
      </w:pPr>
      <w:r>
        <w:rPr>
          <w:rFonts w:ascii="Arial" w:hAnsi="Arial" w:cs="Arial"/>
          <w:lang w:val="en-ZA"/>
        </w:rPr>
        <w:lastRenderedPageBreak/>
        <w:t>As regards</w:t>
      </w:r>
      <w:r w:rsidR="00257D00">
        <w:rPr>
          <w:rFonts w:ascii="Arial" w:hAnsi="Arial" w:cs="Arial"/>
          <w:lang w:val="en-ZA"/>
        </w:rPr>
        <w:t xml:space="preserve"> security, Ms </w:t>
      </w:r>
      <w:r w:rsidR="00144205">
        <w:rPr>
          <w:rFonts w:ascii="Arial" w:hAnsi="Arial" w:cs="Arial"/>
          <w:lang w:val="en-ZA"/>
        </w:rPr>
        <w:t xml:space="preserve">Vermeulen states that her opposite number gave feedback on the amount of security </w:t>
      </w:r>
      <w:r w:rsidR="00A0194B">
        <w:rPr>
          <w:rFonts w:ascii="Arial" w:hAnsi="Arial" w:cs="Arial"/>
          <w:lang w:val="en-ZA"/>
        </w:rPr>
        <w:t>on</w:t>
      </w:r>
      <w:r w:rsidR="00E2159D">
        <w:rPr>
          <w:rFonts w:ascii="Arial" w:hAnsi="Arial" w:cs="Arial"/>
          <w:lang w:val="en-ZA"/>
        </w:rPr>
        <w:t>ly on</w:t>
      </w:r>
      <w:r w:rsidR="00A0194B">
        <w:rPr>
          <w:rFonts w:ascii="Arial" w:hAnsi="Arial" w:cs="Arial"/>
          <w:lang w:val="en-ZA"/>
        </w:rPr>
        <w:t xml:space="preserve"> 13 July 2021</w:t>
      </w:r>
      <w:r w:rsidR="00144205">
        <w:rPr>
          <w:rFonts w:ascii="Arial" w:hAnsi="Arial" w:cs="Arial"/>
          <w:lang w:val="en-ZA"/>
        </w:rPr>
        <w:t xml:space="preserve"> and that it was her </w:t>
      </w:r>
      <w:r w:rsidR="00A0194B">
        <w:rPr>
          <w:rFonts w:ascii="Arial" w:hAnsi="Arial" w:cs="Arial"/>
          <w:lang w:val="en-ZA"/>
        </w:rPr>
        <w:t xml:space="preserve">intention to </w:t>
      </w:r>
      <w:r w:rsidR="006170BC">
        <w:rPr>
          <w:rFonts w:ascii="Arial" w:hAnsi="Arial" w:cs="Arial"/>
          <w:lang w:val="en-ZA"/>
        </w:rPr>
        <w:t>file the</w:t>
      </w:r>
      <w:r w:rsidR="00A0194B">
        <w:rPr>
          <w:rFonts w:ascii="Arial" w:hAnsi="Arial" w:cs="Arial"/>
          <w:lang w:val="en-ZA"/>
        </w:rPr>
        <w:t xml:space="preserve"> security and the record on the same day</w:t>
      </w:r>
      <w:r w:rsidR="00144205">
        <w:rPr>
          <w:rFonts w:ascii="Arial" w:hAnsi="Arial" w:cs="Arial"/>
          <w:lang w:val="en-ZA"/>
        </w:rPr>
        <w:t xml:space="preserve">. The record was however </w:t>
      </w:r>
      <w:r w:rsidR="00A0194B">
        <w:rPr>
          <w:rFonts w:ascii="Arial" w:hAnsi="Arial" w:cs="Arial"/>
          <w:lang w:val="en-ZA"/>
        </w:rPr>
        <w:t xml:space="preserve">filed without her knowledge on 19 July 2021 and she filed the bond of security on 20 July </w:t>
      </w:r>
      <w:r w:rsidR="00E2159D">
        <w:rPr>
          <w:rFonts w:ascii="Arial" w:hAnsi="Arial" w:cs="Arial"/>
          <w:lang w:val="en-ZA"/>
        </w:rPr>
        <w:t>20</w:t>
      </w:r>
      <w:r w:rsidR="00E16369">
        <w:rPr>
          <w:rFonts w:ascii="Arial" w:hAnsi="Arial" w:cs="Arial"/>
          <w:lang w:val="en-ZA"/>
        </w:rPr>
        <w:t>2</w:t>
      </w:r>
      <w:r w:rsidR="00E2159D">
        <w:rPr>
          <w:rFonts w:ascii="Arial" w:hAnsi="Arial" w:cs="Arial"/>
          <w:lang w:val="en-ZA"/>
        </w:rPr>
        <w:t xml:space="preserve">1 – a mere day after the record was lodged. The </w:t>
      </w:r>
      <w:r w:rsidR="00733517" w:rsidRPr="00404777">
        <w:rPr>
          <w:rFonts w:ascii="Arial" w:hAnsi="Arial" w:cs="Arial"/>
          <w:i/>
          <w:lang w:val="en-ZA"/>
        </w:rPr>
        <w:t>bona fides</w:t>
      </w:r>
      <w:r w:rsidR="00733517">
        <w:rPr>
          <w:rFonts w:ascii="Arial" w:hAnsi="Arial" w:cs="Arial"/>
          <w:lang w:val="en-ZA"/>
        </w:rPr>
        <w:t xml:space="preserve"> of the explanation has not been placed in dispute and must therefore be accepted.</w:t>
      </w:r>
    </w:p>
    <w:p w14:paraId="4F643EF4" w14:textId="77777777" w:rsidR="00A0194B" w:rsidRDefault="00A0194B" w:rsidP="00A0194B">
      <w:pPr>
        <w:spacing w:after="0" w:line="240" w:lineRule="auto"/>
        <w:rPr>
          <w:rFonts w:ascii="Arial" w:hAnsi="Arial" w:cs="Arial"/>
          <w:sz w:val="24"/>
          <w:szCs w:val="24"/>
          <w:u w:val="single"/>
          <w:lang w:val="en-ZA"/>
        </w:rPr>
      </w:pPr>
    </w:p>
    <w:p w14:paraId="53CFF3B3" w14:textId="63C98B5F" w:rsidR="00A0194B" w:rsidRPr="00A06B6C" w:rsidRDefault="00A0194B" w:rsidP="00C65018">
      <w:pPr>
        <w:pStyle w:val="NormalWeb"/>
        <w:numPr>
          <w:ilvl w:val="0"/>
          <w:numId w:val="8"/>
        </w:numPr>
        <w:spacing w:before="0" w:beforeAutospacing="0" w:after="0" w:afterAutospacing="0" w:line="480" w:lineRule="auto"/>
        <w:ind w:left="0" w:firstLine="0"/>
        <w:jc w:val="both"/>
        <w:rPr>
          <w:rFonts w:ascii="Arial" w:hAnsi="Arial" w:cs="Arial"/>
          <w:u w:val="single"/>
          <w:lang w:val="en-ZA"/>
        </w:rPr>
      </w:pPr>
      <w:r w:rsidRPr="00C611CB">
        <w:rPr>
          <w:rFonts w:ascii="Arial" w:hAnsi="Arial" w:cs="Arial"/>
          <w:lang w:val="en-ZA"/>
        </w:rPr>
        <w:t>I am satisfied that the reasons fo</w:t>
      </w:r>
      <w:r w:rsidR="00B442B5">
        <w:rPr>
          <w:rFonts w:ascii="Arial" w:hAnsi="Arial" w:cs="Arial"/>
          <w:lang w:val="en-ZA"/>
        </w:rPr>
        <w:t>r t</w:t>
      </w:r>
      <w:r w:rsidR="00EB0E5C">
        <w:rPr>
          <w:rFonts w:ascii="Arial" w:hAnsi="Arial" w:cs="Arial"/>
          <w:lang w:val="en-ZA"/>
        </w:rPr>
        <w:t>he delay are satisfactory,</w:t>
      </w:r>
      <w:r w:rsidRPr="00C611CB">
        <w:rPr>
          <w:rFonts w:ascii="Arial" w:hAnsi="Arial" w:cs="Arial"/>
          <w:lang w:val="en-ZA"/>
        </w:rPr>
        <w:t xml:space="preserve"> that every period of delay has been satisfactorily e</w:t>
      </w:r>
      <w:r w:rsidR="00733517">
        <w:rPr>
          <w:rFonts w:ascii="Arial" w:hAnsi="Arial" w:cs="Arial"/>
          <w:lang w:val="en-ZA"/>
        </w:rPr>
        <w:t>xplained and that the appellant</w:t>
      </w:r>
      <w:r w:rsidRPr="00C611CB">
        <w:rPr>
          <w:rFonts w:ascii="Arial" w:hAnsi="Arial" w:cs="Arial"/>
          <w:lang w:val="en-ZA"/>
        </w:rPr>
        <w:t xml:space="preserve"> h</w:t>
      </w:r>
      <w:r w:rsidR="00733517">
        <w:rPr>
          <w:rFonts w:ascii="Arial" w:hAnsi="Arial" w:cs="Arial"/>
          <w:lang w:val="en-ZA"/>
        </w:rPr>
        <w:t xml:space="preserve">as </w:t>
      </w:r>
      <w:r w:rsidRPr="00C611CB">
        <w:rPr>
          <w:rFonts w:ascii="Arial" w:hAnsi="Arial" w:cs="Arial"/>
          <w:lang w:val="en-ZA"/>
        </w:rPr>
        <w:t>good prospects of success on appeal</w:t>
      </w:r>
      <w:r w:rsidR="006170BC">
        <w:rPr>
          <w:rFonts w:ascii="Arial" w:hAnsi="Arial" w:cs="Arial"/>
          <w:lang w:val="en-ZA"/>
        </w:rPr>
        <w:t xml:space="preserve"> as shown in the body of the judgment</w:t>
      </w:r>
      <w:r w:rsidRPr="00C611CB">
        <w:rPr>
          <w:rFonts w:ascii="Arial" w:hAnsi="Arial" w:cs="Arial"/>
          <w:lang w:val="en-ZA"/>
        </w:rPr>
        <w:t xml:space="preserve">. </w:t>
      </w:r>
    </w:p>
    <w:p w14:paraId="70A366FB" w14:textId="77777777" w:rsidR="00C26460" w:rsidRPr="0050223B" w:rsidRDefault="00C26460" w:rsidP="00C26460">
      <w:pPr>
        <w:pStyle w:val="NormalWeb"/>
        <w:spacing w:before="0" w:beforeAutospacing="0" w:after="0" w:afterAutospacing="0" w:line="480" w:lineRule="auto"/>
        <w:jc w:val="both"/>
        <w:rPr>
          <w:rFonts w:ascii="Arial" w:eastAsia="Calibri" w:hAnsi="Arial"/>
          <w:lang w:val="en-ZA"/>
        </w:rPr>
      </w:pPr>
    </w:p>
    <w:p w14:paraId="47B29B5A" w14:textId="77777777" w:rsidR="00F2295D" w:rsidRPr="00F2295D" w:rsidRDefault="00F2295D" w:rsidP="000B20D8">
      <w:pPr>
        <w:spacing w:after="0" w:line="480" w:lineRule="auto"/>
        <w:jc w:val="both"/>
        <w:rPr>
          <w:rFonts w:ascii="Arial" w:eastAsia="Calibri" w:hAnsi="Arial" w:cs="Times New Roman"/>
          <w:sz w:val="24"/>
          <w:u w:val="single"/>
          <w:lang w:val="en-ZA"/>
        </w:rPr>
      </w:pPr>
      <w:r w:rsidRPr="00F2295D">
        <w:rPr>
          <w:rFonts w:ascii="Arial" w:eastAsia="Calibri" w:hAnsi="Arial" w:cs="Times New Roman"/>
          <w:sz w:val="24"/>
          <w:u w:val="single"/>
          <w:lang w:val="en-ZA"/>
        </w:rPr>
        <w:t>Costs</w:t>
      </w:r>
    </w:p>
    <w:p w14:paraId="2A633BF5" w14:textId="70BA23EC" w:rsidR="00F2295D" w:rsidRDefault="00F2295D" w:rsidP="000B20D8">
      <w:pPr>
        <w:pStyle w:val="NormalWeb"/>
        <w:numPr>
          <w:ilvl w:val="0"/>
          <w:numId w:val="8"/>
        </w:numPr>
        <w:spacing w:before="0" w:beforeAutospacing="0" w:after="0" w:afterAutospacing="0" w:line="480" w:lineRule="auto"/>
        <w:ind w:left="0" w:firstLine="0"/>
        <w:jc w:val="both"/>
        <w:rPr>
          <w:rFonts w:ascii="Arial" w:eastAsia="Calibri" w:hAnsi="Arial"/>
          <w:lang w:val="en-ZA"/>
        </w:rPr>
      </w:pPr>
      <w:r w:rsidRPr="00F2295D">
        <w:rPr>
          <w:rFonts w:ascii="Arial" w:eastAsia="Calibri" w:hAnsi="Arial"/>
          <w:lang w:val="en-ZA"/>
        </w:rPr>
        <w:t>Costs must follow the result.</w:t>
      </w:r>
    </w:p>
    <w:p w14:paraId="255B1845" w14:textId="77777777" w:rsidR="00243DEC" w:rsidRPr="002E79ED" w:rsidRDefault="00243DEC" w:rsidP="000B20D8">
      <w:pPr>
        <w:pStyle w:val="NormalWeb"/>
        <w:spacing w:before="0" w:beforeAutospacing="0" w:after="0" w:afterAutospacing="0" w:line="480" w:lineRule="auto"/>
        <w:ind w:firstLine="720"/>
        <w:jc w:val="both"/>
        <w:rPr>
          <w:rFonts w:ascii="Arial" w:eastAsia="Calibri" w:hAnsi="Arial"/>
          <w:lang w:val="en-ZA"/>
        </w:rPr>
      </w:pPr>
    </w:p>
    <w:p w14:paraId="3BFFFE32" w14:textId="77777777" w:rsidR="00F2295D" w:rsidRDefault="00F2295D" w:rsidP="000B20D8">
      <w:pPr>
        <w:spacing w:after="0" w:line="480" w:lineRule="auto"/>
        <w:jc w:val="both"/>
        <w:rPr>
          <w:rFonts w:ascii="Arial" w:eastAsia="Calibri" w:hAnsi="Arial" w:cs="Times New Roman"/>
          <w:sz w:val="24"/>
          <w:u w:val="single"/>
          <w:lang w:val="en-ZA"/>
        </w:rPr>
      </w:pPr>
      <w:r w:rsidRPr="00F2295D">
        <w:rPr>
          <w:rFonts w:ascii="Arial" w:eastAsia="Calibri" w:hAnsi="Arial" w:cs="Times New Roman"/>
          <w:sz w:val="24"/>
          <w:u w:val="single"/>
          <w:lang w:val="en-ZA"/>
        </w:rPr>
        <w:t>Order</w:t>
      </w:r>
    </w:p>
    <w:p w14:paraId="66C795FC" w14:textId="7110BF48" w:rsidR="0001644A" w:rsidRPr="00570BDA" w:rsidRDefault="0001644A" w:rsidP="000A7727">
      <w:pPr>
        <w:pStyle w:val="NormalWeb"/>
        <w:numPr>
          <w:ilvl w:val="0"/>
          <w:numId w:val="8"/>
        </w:numPr>
        <w:spacing w:before="0" w:beforeAutospacing="0" w:after="0" w:afterAutospacing="0" w:line="480" w:lineRule="auto"/>
        <w:ind w:left="0" w:firstLine="0"/>
        <w:jc w:val="both"/>
        <w:rPr>
          <w:rFonts w:ascii="Arial" w:eastAsia="Calibri" w:hAnsi="Arial"/>
          <w:lang w:val="en-ZA"/>
        </w:rPr>
      </w:pPr>
      <w:r w:rsidRPr="00570BDA">
        <w:rPr>
          <w:rFonts w:ascii="Arial" w:eastAsia="Calibri" w:hAnsi="Arial"/>
          <w:lang w:val="en-ZA"/>
        </w:rPr>
        <w:t>In the result the following order is made:</w:t>
      </w:r>
    </w:p>
    <w:p w14:paraId="11D1CBE0" w14:textId="77777777" w:rsidR="0001644A" w:rsidRPr="00570BDA" w:rsidRDefault="0001644A" w:rsidP="0001644A">
      <w:pPr>
        <w:pStyle w:val="NormalWeb"/>
        <w:spacing w:before="0" w:beforeAutospacing="0" w:after="0" w:afterAutospacing="0" w:line="480" w:lineRule="auto"/>
        <w:jc w:val="both"/>
        <w:rPr>
          <w:rFonts w:ascii="Arial" w:eastAsia="Calibri" w:hAnsi="Arial"/>
          <w:u w:val="single"/>
          <w:lang w:val="en-ZA"/>
        </w:rPr>
      </w:pPr>
    </w:p>
    <w:p w14:paraId="3887165C" w14:textId="77777777" w:rsidR="00F2295D" w:rsidRPr="00570BDA" w:rsidRDefault="00F2295D" w:rsidP="00780FD3">
      <w:pPr>
        <w:pStyle w:val="ListParagraph"/>
        <w:numPr>
          <w:ilvl w:val="0"/>
          <w:numId w:val="11"/>
        </w:numPr>
        <w:spacing w:after="0" w:line="480" w:lineRule="auto"/>
        <w:jc w:val="both"/>
        <w:rPr>
          <w:rFonts w:ascii="Arial" w:eastAsia="Calibri" w:hAnsi="Arial" w:cs="Times New Roman"/>
          <w:sz w:val="24"/>
          <w:szCs w:val="24"/>
          <w:lang w:val="en-ZA"/>
        </w:rPr>
      </w:pPr>
      <w:r w:rsidRPr="00570BDA">
        <w:rPr>
          <w:rFonts w:ascii="Arial" w:eastAsia="Calibri" w:hAnsi="Arial" w:cs="Times New Roman"/>
          <w:sz w:val="24"/>
          <w:szCs w:val="24"/>
          <w:lang w:val="en-ZA"/>
        </w:rPr>
        <w:t>The application for condonation is granted and the appeal is reinstated.</w:t>
      </w:r>
    </w:p>
    <w:p w14:paraId="233B01D3" w14:textId="77777777" w:rsidR="00780FD3" w:rsidRPr="00570BDA" w:rsidRDefault="00780FD3" w:rsidP="00780FD3">
      <w:pPr>
        <w:pStyle w:val="ListParagraph"/>
        <w:spacing w:after="0" w:line="480" w:lineRule="auto"/>
        <w:jc w:val="both"/>
        <w:rPr>
          <w:rFonts w:ascii="Arial" w:eastAsia="Calibri" w:hAnsi="Arial" w:cs="Times New Roman"/>
          <w:sz w:val="24"/>
          <w:szCs w:val="24"/>
          <w:lang w:val="en-ZA"/>
        </w:rPr>
      </w:pPr>
    </w:p>
    <w:p w14:paraId="7DF78D42" w14:textId="36D2B287" w:rsidR="001E32AB" w:rsidRPr="00570BDA" w:rsidRDefault="001E32AB" w:rsidP="00780FD3">
      <w:pPr>
        <w:pStyle w:val="ListParagraph"/>
        <w:numPr>
          <w:ilvl w:val="0"/>
          <w:numId w:val="11"/>
        </w:numPr>
        <w:spacing w:after="0" w:line="480" w:lineRule="auto"/>
        <w:jc w:val="both"/>
        <w:rPr>
          <w:rFonts w:ascii="Arial" w:eastAsia="Calibri" w:hAnsi="Arial" w:cs="Times New Roman"/>
          <w:sz w:val="24"/>
          <w:szCs w:val="24"/>
          <w:lang w:val="en-ZA"/>
        </w:rPr>
      </w:pPr>
      <w:r w:rsidRPr="00570BDA">
        <w:rPr>
          <w:rFonts w:ascii="Arial" w:eastAsia="Calibri" w:hAnsi="Arial" w:cs="Times New Roman"/>
          <w:sz w:val="24"/>
          <w:szCs w:val="24"/>
          <w:lang w:val="en-ZA"/>
        </w:rPr>
        <w:t>The appeal succeeds and para 1.2 of the order of the High Court is set aside and replaced with the following:</w:t>
      </w:r>
    </w:p>
    <w:p w14:paraId="29C1C469" w14:textId="77777777" w:rsidR="00780FD3" w:rsidRPr="00570BDA" w:rsidRDefault="00780FD3" w:rsidP="00780FD3">
      <w:pPr>
        <w:spacing w:after="0" w:line="480" w:lineRule="auto"/>
        <w:jc w:val="both"/>
        <w:rPr>
          <w:rFonts w:ascii="Arial" w:eastAsia="Calibri" w:hAnsi="Arial" w:cs="Times New Roman"/>
          <w:sz w:val="24"/>
          <w:szCs w:val="24"/>
          <w:lang w:val="en-ZA"/>
        </w:rPr>
      </w:pPr>
    </w:p>
    <w:p w14:paraId="2C080BAA" w14:textId="63854D6E" w:rsidR="00F2295D" w:rsidRDefault="001E32AB" w:rsidP="000B20D8">
      <w:pPr>
        <w:spacing w:after="0" w:line="480" w:lineRule="auto"/>
        <w:ind w:left="1440" w:hanging="360"/>
        <w:contextualSpacing/>
        <w:jc w:val="both"/>
        <w:rPr>
          <w:rFonts w:ascii="Arial" w:hAnsi="Arial" w:cs="Arial"/>
          <w:sz w:val="24"/>
          <w:szCs w:val="24"/>
          <w:lang w:val="en-ZA"/>
        </w:rPr>
      </w:pPr>
      <w:r w:rsidRPr="00570BDA">
        <w:rPr>
          <w:rFonts w:ascii="Arial" w:eastAsia="Calibri" w:hAnsi="Arial" w:cs="Times New Roman"/>
          <w:sz w:val="24"/>
          <w:szCs w:val="24"/>
          <w:lang w:val="en-ZA"/>
        </w:rPr>
        <w:lastRenderedPageBreak/>
        <w:t>‘</w:t>
      </w:r>
      <w:r w:rsidR="00780FD3" w:rsidRPr="00570BDA">
        <w:rPr>
          <w:rFonts w:ascii="Arial" w:eastAsia="Calibri" w:hAnsi="Arial" w:cs="Times New Roman"/>
          <w:sz w:val="24"/>
          <w:szCs w:val="24"/>
          <w:lang w:val="en-ZA"/>
        </w:rPr>
        <w:t>1.2.</w:t>
      </w:r>
      <w:r w:rsidR="00780FD3" w:rsidRPr="00570BDA">
        <w:rPr>
          <w:rFonts w:ascii="Arial" w:eastAsia="Calibri" w:hAnsi="Arial" w:cs="Times New Roman"/>
          <w:sz w:val="24"/>
          <w:szCs w:val="24"/>
          <w:lang w:val="en-ZA"/>
        </w:rPr>
        <w:tab/>
      </w:r>
      <w:r w:rsidRPr="00570BDA">
        <w:rPr>
          <w:rFonts w:ascii="Arial" w:hAnsi="Arial" w:cs="Arial"/>
          <w:sz w:val="24"/>
          <w:szCs w:val="24"/>
          <w:lang w:val="en-ZA"/>
        </w:rPr>
        <w:t xml:space="preserve">The interest that must be paid in </w:t>
      </w:r>
      <w:r w:rsidRPr="00570BDA">
        <w:rPr>
          <w:rFonts w:ascii="Arial" w:eastAsia="Calibri" w:hAnsi="Arial" w:cs="Times New Roman"/>
          <w:sz w:val="24"/>
          <w:szCs w:val="24"/>
          <w:lang w:val="en-ZA"/>
        </w:rPr>
        <w:t>HC-MD-CIV-ACT-CON-</w:t>
      </w:r>
      <w:r w:rsidR="00D441F4" w:rsidRPr="00570BDA">
        <w:rPr>
          <w:rFonts w:ascii="Arial" w:hAnsi="Arial" w:cs="Arial"/>
          <w:sz w:val="24"/>
          <w:szCs w:val="24"/>
          <w:lang w:val="en-ZA"/>
        </w:rPr>
        <w:t xml:space="preserve">2019/05158; 2019/05157; 2019/05160; 2019/05130; 2019/05163 </w:t>
      </w:r>
      <w:r w:rsidRPr="00570BDA">
        <w:rPr>
          <w:rFonts w:ascii="Arial" w:hAnsi="Arial" w:cs="Arial"/>
          <w:sz w:val="24"/>
          <w:szCs w:val="24"/>
          <w:lang w:val="en-ZA"/>
        </w:rPr>
        <w:t>is payable from the date of demand, being 10 July 2019’.</w:t>
      </w:r>
    </w:p>
    <w:p w14:paraId="0BF85FBD" w14:textId="77777777" w:rsidR="000B20D8" w:rsidRPr="00570BDA" w:rsidRDefault="000B20D8" w:rsidP="000B20D8">
      <w:pPr>
        <w:spacing w:after="0" w:line="480" w:lineRule="auto"/>
        <w:ind w:left="1440" w:hanging="360"/>
        <w:contextualSpacing/>
        <w:jc w:val="both"/>
        <w:rPr>
          <w:rFonts w:ascii="Arial" w:eastAsia="Calibri" w:hAnsi="Arial" w:cs="Times New Roman"/>
          <w:sz w:val="24"/>
          <w:szCs w:val="24"/>
          <w:lang w:val="en-ZA"/>
        </w:rPr>
      </w:pPr>
    </w:p>
    <w:p w14:paraId="4BB43872" w14:textId="5588BE8B" w:rsidR="00F2295D" w:rsidRPr="00570BDA" w:rsidRDefault="00F2295D" w:rsidP="000B20D8">
      <w:pPr>
        <w:pStyle w:val="ListParagraph"/>
        <w:numPr>
          <w:ilvl w:val="0"/>
          <w:numId w:val="11"/>
        </w:numPr>
        <w:spacing w:after="0" w:line="480" w:lineRule="auto"/>
        <w:jc w:val="both"/>
        <w:rPr>
          <w:rFonts w:ascii="Arial" w:eastAsia="Calibri" w:hAnsi="Arial" w:cs="Times New Roman"/>
          <w:sz w:val="24"/>
          <w:szCs w:val="24"/>
          <w:lang w:val="en-ZA"/>
        </w:rPr>
      </w:pPr>
      <w:r w:rsidRPr="00570BDA">
        <w:rPr>
          <w:rFonts w:ascii="Arial" w:eastAsia="Calibri" w:hAnsi="Arial" w:cs="Times New Roman"/>
          <w:sz w:val="24"/>
          <w:szCs w:val="24"/>
          <w:lang w:val="en-ZA"/>
        </w:rPr>
        <w:t>The respondent</w:t>
      </w:r>
      <w:r w:rsidR="001E32AB" w:rsidRPr="00570BDA">
        <w:rPr>
          <w:rFonts w:ascii="Arial" w:eastAsia="Calibri" w:hAnsi="Arial" w:cs="Times New Roman"/>
          <w:sz w:val="24"/>
          <w:szCs w:val="24"/>
          <w:lang w:val="en-ZA"/>
        </w:rPr>
        <w:t>s</w:t>
      </w:r>
      <w:r w:rsidRPr="00570BDA">
        <w:rPr>
          <w:rFonts w:ascii="Arial" w:eastAsia="Calibri" w:hAnsi="Arial" w:cs="Times New Roman"/>
          <w:sz w:val="24"/>
          <w:szCs w:val="24"/>
          <w:lang w:val="en-ZA"/>
        </w:rPr>
        <w:t xml:space="preserve"> shall pay the appellant</w:t>
      </w:r>
      <w:r w:rsidR="005D1F0C" w:rsidRPr="00570BDA">
        <w:rPr>
          <w:rFonts w:ascii="Arial" w:eastAsia="Calibri" w:hAnsi="Arial" w:cs="Times New Roman"/>
          <w:sz w:val="24"/>
          <w:szCs w:val="24"/>
          <w:lang w:val="en-ZA"/>
        </w:rPr>
        <w:t>’</w:t>
      </w:r>
      <w:r w:rsidRPr="00570BDA">
        <w:rPr>
          <w:rFonts w:ascii="Arial" w:eastAsia="Calibri" w:hAnsi="Arial" w:cs="Times New Roman"/>
          <w:sz w:val="24"/>
          <w:szCs w:val="24"/>
          <w:lang w:val="en-ZA"/>
        </w:rPr>
        <w:t>s co</w:t>
      </w:r>
      <w:r w:rsidR="001E32AB" w:rsidRPr="00570BDA">
        <w:rPr>
          <w:rFonts w:ascii="Arial" w:eastAsia="Calibri" w:hAnsi="Arial" w:cs="Times New Roman"/>
          <w:sz w:val="24"/>
          <w:szCs w:val="24"/>
          <w:lang w:val="en-ZA"/>
        </w:rPr>
        <w:t>sts on appeal, jointly and severally, the one paying the other to be absolved, to include</w:t>
      </w:r>
      <w:r w:rsidRPr="00570BDA">
        <w:rPr>
          <w:rFonts w:ascii="Arial" w:eastAsia="Calibri" w:hAnsi="Arial" w:cs="Times New Roman"/>
          <w:sz w:val="24"/>
          <w:szCs w:val="24"/>
          <w:lang w:val="en-ZA"/>
        </w:rPr>
        <w:t xml:space="preserve"> costs of one instructing legal practitioner and on</w:t>
      </w:r>
      <w:r w:rsidR="001E32AB" w:rsidRPr="00570BDA">
        <w:rPr>
          <w:rFonts w:ascii="Arial" w:eastAsia="Calibri" w:hAnsi="Arial" w:cs="Times New Roman"/>
          <w:sz w:val="24"/>
          <w:szCs w:val="24"/>
          <w:lang w:val="en-ZA"/>
        </w:rPr>
        <w:t>e instructed legal practitioner</w:t>
      </w:r>
      <w:r w:rsidRPr="00570BDA">
        <w:rPr>
          <w:rFonts w:ascii="Arial" w:eastAsia="Calibri" w:hAnsi="Arial" w:cs="Times New Roman"/>
          <w:sz w:val="24"/>
          <w:szCs w:val="24"/>
          <w:lang w:val="en-ZA"/>
        </w:rPr>
        <w:t>.</w:t>
      </w:r>
    </w:p>
    <w:p w14:paraId="5BE65663" w14:textId="77777777" w:rsidR="00F4025B" w:rsidRPr="00F96AD3" w:rsidRDefault="00F4025B" w:rsidP="00F96AD3">
      <w:pPr>
        <w:spacing w:after="0" w:line="240" w:lineRule="auto"/>
        <w:rPr>
          <w:rFonts w:ascii="Arial" w:hAnsi="Arial" w:cs="Arial"/>
          <w:b/>
          <w:sz w:val="24"/>
          <w:szCs w:val="24"/>
          <w:lang w:val="en-ZA"/>
        </w:rPr>
      </w:pPr>
    </w:p>
    <w:p w14:paraId="29899274" w14:textId="635DF9BD" w:rsidR="00F4025B" w:rsidRDefault="00F4025B" w:rsidP="00355777">
      <w:pPr>
        <w:spacing w:after="0" w:line="240" w:lineRule="auto"/>
        <w:rPr>
          <w:rFonts w:ascii="Arial" w:hAnsi="Arial" w:cs="Arial"/>
          <w:b/>
          <w:noProof/>
          <w:sz w:val="24"/>
          <w:szCs w:val="24"/>
          <w:lang w:val="en-ZA" w:eastAsia="en-ZA"/>
        </w:rPr>
      </w:pPr>
    </w:p>
    <w:p w14:paraId="2742A9D1" w14:textId="77777777" w:rsidR="00ED35FC" w:rsidRDefault="00ED35FC" w:rsidP="00355777">
      <w:pPr>
        <w:spacing w:after="0" w:line="240" w:lineRule="auto"/>
        <w:rPr>
          <w:rFonts w:ascii="Arial" w:hAnsi="Arial" w:cs="Arial"/>
          <w:b/>
          <w:noProof/>
          <w:sz w:val="24"/>
          <w:szCs w:val="24"/>
          <w:lang w:val="en-ZA" w:eastAsia="en-ZA"/>
        </w:rPr>
      </w:pPr>
    </w:p>
    <w:p w14:paraId="333D299C" w14:textId="77777777" w:rsidR="00ED35FC" w:rsidRDefault="00ED35FC" w:rsidP="00355777">
      <w:pPr>
        <w:spacing w:after="0" w:line="240" w:lineRule="auto"/>
        <w:rPr>
          <w:rFonts w:ascii="Arial" w:hAnsi="Arial" w:cs="Arial"/>
          <w:b/>
          <w:noProof/>
          <w:sz w:val="24"/>
          <w:szCs w:val="24"/>
          <w:lang w:val="en-ZA" w:eastAsia="en-ZA"/>
        </w:rPr>
      </w:pPr>
    </w:p>
    <w:p w14:paraId="4C720A28" w14:textId="77777777" w:rsidR="00ED35FC" w:rsidRDefault="00ED35FC" w:rsidP="00355777">
      <w:pPr>
        <w:spacing w:after="0" w:line="240" w:lineRule="auto"/>
        <w:rPr>
          <w:rFonts w:ascii="Arial" w:hAnsi="Arial" w:cs="Arial"/>
          <w:b/>
          <w:noProof/>
          <w:sz w:val="24"/>
          <w:szCs w:val="24"/>
          <w:lang w:val="en-ZA" w:eastAsia="en-ZA"/>
        </w:rPr>
      </w:pPr>
    </w:p>
    <w:p w14:paraId="4DFC7B1E" w14:textId="77777777" w:rsidR="00ED35FC" w:rsidRPr="00F96AD3" w:rsidRDefault="00ED35FC" w:rsidP="00355777">
      <w:pPr>
        <w:spacing w:after="0" w:line="240" w:lineRule="auto"/>
        <w:rPr>
          <w:rFonts w:ascii="Arial" w:hAnsi="Arial" w:cs="Arial"/>
          <w:b/>
          <w:sz w:val="24"/>
          <w:szCs w:val="24"/>
          <w:lang w:val="en-ZA"/>
        </w:rPr>
      </w:pPr>
    </w:p>
    <w:p w14:paraId="0AE64094" w14:textId="3BF277FB" w:rsidR="008B4FF5" w:rsidRPr="00F96AD3" w:rsidRDefault="008B4FF5" w:rsidP="00355777">
      <w:pPr>
        <w:tabs>
          <w:tab w:val="left" w:pos="3119"/>
        </w:tabs>
        <w:spacing w:after="0" w:line="240" w:lineRule="auto"/>
        <w:rPr>
          <w:rFonts w:ascii="Arial" w:hAnsi="Arial" w:cs="Arial"/>
          <w:b/>
          <w:sz w:val="24"/>
          <w:szCs w:val="24"/>
          <w:lang w:val="en-ZA"/>
        </w:rPr>
      </w:pPr>
      <w:r w:rsidRPr="00F96AD3">
        <w:rPr>
          <w:rFonts w:ascii="Arial" w:hAnsi="Arial" w:cs="Arial"/>
          <w:b/>
          <w:sz w:val="24"/>
          <w:szCs w:val="24"/>
          <w:lang w:val="en-ZA"/>
        </w:rPr>
        <w:t>__________________</w:t>
      </w:r>
      <w:r w:rsidR="00355777">
        <w:rPr>
          <w:rFonts w:ascii="Arial" w:hAnsi="Arial" w:cs="Arial"/>
          <w:b/>
          <w:sz w:val="24"/>
          <w:szCs w:val="24"/>
          <w:lang w:val="en-ZA"/>
        </w:rPr>
        <w:t>_____</w:t>
      </w:r>
    </w:p>
    <w:p w14:paraId="3E48279C" w14:textId="77777777" w:rsidR="008B4FF5" w:rsidRPr="00F96AD3" w:rsidRDefault="008B4FF5" w:rsidP="00F96AD3">
      <w:pPr>
        <w:spacing w:after="0" w:line="240" w:lineRule="auto"/>
        <w:rPr>
          <w:rFonts w:ascii="Arial" w:hAnsi="Arial" w:cs="Arial"/>
          <w:b/>
          <w:sz w:val="24"/>
          <w:szCs w:val="24"/>
          <w:lang w:val="en-ZA"/>
        </w:rPr>
      </w:pPr>
      <w:r w:rsidRPr="00F96AD3">
        <w:rPr>
          <w:rFonts w:ascii="Arial" w:hAnsi="Arial" w:cs="Arial"/>
          <w:b/>
          <w:sz w:val="24"/>
          <w:szCs w:val="24"/>
          <w:lang w:val="en-ZA"/>
        </w:rPr>
        <w:t>DAMASEB DCJ</w:t>
      </w:r>
    </w:p>
    <w:p w14:paraId="4DFEF332" w14:textId="77777777" w:rsidR="008B4FF5" w:rsidRPr="00F96AD3" w:rsidRDefault="008B4FF5" w:rsidP="00F96AD3">
      <w:pPr>
        <w:spacing w:after="0" w:line="240" w:lineRule="auto"/>
        <w:rPr>
          <w:rFonts w:ascii="Arial" w:hAnsi="Arial" w:cs="Arial"/>
          <w:b/>
          <w:sz w:val="24"/>
          <w:szCs w:val="24"/>
          <w:lang w:val="en-ZA"/>
        </w:rPr>
      </w:pPr>
    </w:p>
    <w:p w14:paraId="48C4A66C" w14:textId="77777777" w:rsidR="008B4FF5" w:rsidRPr="00F96AD3" w:rsidRDefault="008B4FF5" w:rsidP="00F96AD3">
      <w:pPr>
        <w:spacing w:after="0" w:line="240" w:lineRule="auto"/>
        <w:rPr>
          <w:rFonts w:ascii="Arial" w:hAnsi="Arial" w:cs="Arial"/>
          <w:b/>
          <w:sz w:val="24"/>
          <w:szCs w:val="24"/>
          <w:lang w:val="en-ZA"/>
        </w:rPr>
      </w:pPr>
    </w:p>
    <w:p w14:paraId="3B314E3C" w14:textId="77777777" w:rsidR="008B4FF5" w:rsidRPr="00F96AD3" w:rsidRDefault="008B4FF5" w:rsidP="00F96AD3">
      <w:pPr>
        <w:spacing w:after="0" w:line="240" w:lineRule="auto"/>
        <w:rPr>
          <w:rFonts w:ascii="Arial" w:hAnsi="Arial" w:cs="Arial"/>
          <w:b/>
          <w:sz w:val="24"/>
          <w:szCs w:val="24"/>
          <w:lang w:val="en-ZA"/>
        </w:rPr>
      </w:pPr>
    </w:p>
    <w:p w14:paraId="6D9314D5" w14:textId="77777777" w:rsidR="008B4FF5" w:rsidRPr="00F96AD3" w:rsidRDefault="008B4FF5" w:rsidP="00F96AD3">
      <w:pPr>
        <w:spacing w:after="0" w:line="240" w:lineRule="auto"/>
        <w:rPr>
          <w:rFonts w:ascii="Arial" w:hAnsi="Arial" w:cs="Arial"/>
          <w:b/>
          <w:sz w:val="24"/>
          <w:szCs w:val="24"/>
          <w:lang w:val="en-ZA"/>
        </w:rPr>
      </w:pPr>
    </w:p>
    <w:p w14:paraId="62E7C882" w14:textId="77777777" w:rsidR="00AA2DAF" w:rsidRPr="00F96AD3" w:rsidRDefault="00AA2DAF" w:rsidP="00F96AD3">
      <w:pPr>
        <w:spacing w:after="0" w:line="240" w:lineRule="auto"/>
        <w:rPr>
          <w:rFonts w:ascii="Arial" w:hAnsi="Arial" w:cs="Arial"/>
          <w:b/>
          <w:sz w:val="24"/>
          <w:szCs w:val="24"/>
          <w:lang w:val="en-ZA"/>
        </w:rPr>
      </w:pPr>
    </w:p>
    <w:p w14:paraId="2DA6CF1F" w14:textId="5FF1A97B" w:rsidR="008B4FF5" w:rsidRPr="00F96AD3" w:rsidRDefault="008B4FF5" w:rsidP="00F96AD3">
      <w:pPr>
        <w:spacing w:after="0" w:line="240" w:lineRule="auto"/>
        <w:rPr>
          <w:rFonts w:ascii="Arial" w:hAnsi="Arial" w:cs="Arial"/>
          <w:b/>
          <w:sz w:val="24"/>
          <w:szCs w:val="24"/>
          <w:lang w:val="en-ZA"/>
        </w:rPr>
      </w:pPr>
      <w:r w:rsidRPr="00F96AD3">
        <w:rPr>
          <w:rFonts w:ascii="Arial" w:hAnsi="Arial" w:cs="Arial"/>
          <w:b/>
          <w:sz w:val="24"/>
          <w:szCs w:val="24"/>
          <w:lang w:val="en-ZA"/>
        </w:rPr>
        <w:t>__________________</w:t>
      </w:r>
      <w:r w:rsidR="00355777">
        <w:rPr>
          <w:rFonts w:ascii="Arial" w:hAnsi="Arial" w:cs="Arial"/>
          <w:b/>
          <w:sz w:val="24"/>
          <w:szCs w:val="24"/>
          <w:lang w:val="en-ZA"/>
        </w:rPr>
        <w:t>_____</w:t>
      </w:r>
    </w:p>
    <w:p w14:paraId="7364A489" w14:textId="77777777" w:rsidR="008B4FF5" w:rsidRPr="00F96AD3" w:rsidRDefault="008B4FF5" w:rsidP="00F96AD3">
      <w:pPr>
        <w:autoSpaceDE w:val="0"/>
        <w:autoSpaceDN w:val="0"/>
        <w:adjustRightInd w:val="0"/>
        <w:spacing w:after="0" w:line="240" w:lineRule="auto"/>
        <w:rPr>
          <w:rFonts w:ascii="Arial" w:eastAsia="Times New Roman" w:hAnsi="Arial" w:cs="Arial"/>
          <w:b/>
          <w:sz w:val="24"/>
          <w:szCs w:val="24"/>
          <w:lang w:val="en-GB"/>
        </w:rPr>
      </w:pPr>
      <w:r w:rsidRPr="00F96AD3">
        <w:rPr>
          <w:rFonts w:ascii="Arial" w:eastAsia="Times New Roman" w:hAnsi="Arial" w:cs="Arial"/>
          <w:b/>
          <w:sz w:val="24"/>
          <w:szCs w:val="24"/>
          <w:lang w:val="en-GB"/>
        </w:rPr>
        <w:t>PRINSLOO AJA</w:t>
      </w:r>
    </w:p>
    <w:p w14:paraId="77091886" w14:textId="77777777" w:rsidR="008B4FF5" w:rsidRPr="00F96AD3" w:rsidRDefault="008B4FF5" w:rsidP="00F96AD3">
      <w:pPr>
        <w:autoSpaceDE w:val="0"/>
        <w:autoSpaceDN w:val="0"/>
        <w:adjustRightInd w:val="0"/>
        <w:spacing w:after="0" w:line="240" w:lineRule="auto"/>
        <w:rPr>
          <w:rFonts w:ascii="Arial" w:eastAsia="Times New Roman" w:hAnsi="Arial" w:cs="Arial"/>
          <w:b/>
          <w:sz w:val="24"/>
          <w:szCs w:val="24"/>
          <w:lang w:val="en-GB"/>
        </w:rPr>
      </w:pPr>
    </w:p>
    <w:p w14:paraId="32FEB727" w14:textId="77777777" w:rsidR="008B4FF5" w:rsidRPr="00F96AD3" w:rsidRDefault="008B4FF5" w:rsidP="00F96AD3">
      <w:pPr>
        <w:autoSpaceDE w:val="0"/>
        <w:autoSpaceDN w:val="0"/>
        <w:adjustRightInd w:val="0"/>
        <w:spacing w:after="0" w:line="240" w:lineRule="auto"/>
        <w:rPr>
          <w:rFonts w:ascii="Arial" w:eastAsia="Times New Roman" w:hAnsi="Arial" w:cs="Arial"/>
          <w:b/>
          <w:sz w:val="24"/>
          <w:szCs w:val="24"/>
          <w:lang w:val="en-GB"/>
        </w:rPr>
      </w:pPr>
    </w:p>
    <w:p w14:paraId="4C3F4C90" w14:textId="77777777" w:rsidR="009825FB" w:rsidRPr="00F96AD3" w:rsidRDefault="009825FB" w:rsidP="00F96AD3">
      <w:pPr>
        <w:autoSpaceDE w:val="0"/>
        <w:autoSpaceDN w:val="0"/>
        <w:adjustRightInd w:val="0"/>
        <w:spacing w:after="0" w:line="240" w:lineRule="auto"/>
        <w:rPr>
          <w:rFonts w:ascii="Arial" w:eastAsia="Times New Roman" w:hAnsi="Arial" w:cs="Arial"/>
          <w:b/>
          <w:sz w:val="24"/>
          <w:szCs w:val="24"/>
          <w:lang w:val="en-GB"/>
        </w:rPr>
      </w:pPr>
    </w:p>
    <w:p w14:paraId="33690030" w14:textId="77777777" w:rsidR="009825FB" w:rsidRPr="00F96AD3" w:rsidRDefault="009825FB" w:rsidP="00F96AD3">
      <w:pPr>
        <w:autoSpaceDE w:val="0"/>
        <w:autoSpaceDN w:val="0"/>
        <w:adjustRightInd w:val="0"/>
        <w:spacing w:after="0" w:line="240" w:lineRule="auto"/>
        <w:rPr>
          <w:rFonts w:ascii="Arial" w:eastAsia="Times New Roman" w:hAnsi="Arial" w:cs="Arial"/>
          <w:b/>
          <w:sz w:val="24"/>
          <w:szCs w:val="24"/>
          <w:lang w:val="en-GB"/>
        </w:rPr>
      </w:pPr>
    </w:p>
    <w:p w14:paraId="5E38FD0A" w14:textId="77777777" w:rsidR="009825FB" w:rsidRPr="00F96AD3" w:rsidRDefault="009825FB" w:rsidP="00F96AD3">
      <w:pPr>
        <w:autoSpaceDE w:val="0"/>
        <w:autoSpaceDN w:val="0"/>
        <w:adjustRightInd w:val="0"/>
        <w:spacing w:after="0" w:line="240" w:lineRule="auto"/>
        <w:rPr>
          <w:rFonts w:ascii="Arial" w:eastAsia="Times New Roman" w:hAnsi="Arial" w:cs="Arial"/>
          <w:b/>
          <w:sz w:val="24"/>
          <w:szCs w:val="24"/>
          <w:lang w:val="en-GB"/>
        </w:rPr>
      </w:pPr>
    </w:p>
    <w:p w14:paraId="70C5315A" w14:textId="77777777" w:rsidR="008B4FF5" w:rsidRPr="00F96AD3" w:rsidRDefault="008B4FF5" w:rsidP="00F96AD3">
      <w:pPr>
        <w:spacing w:after="0" w:line="240" w:lineRule="auto"/>
        <w:rPr>
          <w:rFonts w:ascii="Arial" w:hAnsi="Arial" w:cs="Arial"/>
          <w:b/>
          <w:sz w:val="24"/>
          <w:szCs w:val="24"/>
          <w:lang w:val="en-ZA"/>
        </w:rPr>
      </w:pPr>
      <w:r w:rsidRPr="00F96AD3">
        <w:rPr>
          <w:rFonts w:ascii="Arial" w:hAnsi="Arial" w:cs="Arial"/>
          <w:b/>
          <w:sz w:val="24"/>
          <w:szCs w:val="24"/>
          <w:lang w:val="en-ZA"/>
        </w:rPr>
        <w:t>_______________________</w:t>
      </w:r>
    </w:p>
    <w:p w14:paraId="58032FE5" w14:textId="77777777" w:rsidR="008B4FF5" w:rsidRPr="00F96AD3" w:rsidRDefault="008B4FF5" w:rsidP="00F96AD3">
      <w:pPr>
        <w:spacing w:after="0" w:line="240" w:lineRule="auto"/>
        <w:rPr>
          <w:rFonts w:ascii="Arial" w:hAnsi="Arial" w:cs="Arial"/>
          <w:b/>
          <w:sz w:val="24"/>
          <w:szCs w:val="24"/>
          <w:lang w:val="en-ZA"/>
        </w:rPr>
      </w:pPr>
      <w:r w:rsidRPr="00F96AD3">
        <w:rPr>
          <w:rFonts w:ascii="Arial" w:hAnsi="Arial" w:cs="Arial"/>
          <w:b/>
          <w:sz w:val="24"/>
          <w:szCs w:val="24"/>
          <w:lang w:val="en-ZA"/>
        </w:rPr>
        <w:t>SCHIMMING-CHASE AJA</w:t>
      </w:r>
    </w:p>
    <w:p w14:paraId="0D515B1B" w14:textId="77777777" w:rsidR="008B4FF5" w:rsidRPr="008B4FF5" w:rsidRDefault="008B4FF5" w:rsidP="008B4FF5">
      <w:pPr>
        <w:autoSpaceDE w:val="0"/>
        <w:autoSpaceDN w:val="0"/>
        <w:adjustRightInd w:val="0"/>
        <w:spacing w:after="0" w:line="480" w:lineRule="auto"/>
        <w:jc w:val="both"/>
        <w:rPr>
          <w:rFonts w:ascii="Arial" w:eastAsia="Times New Roman" w:hAnsi="Arial" w:cs="Arial"/>
          <w:sz w:val="24"/>
          <w:szCs w:val="24"/>
          <w:lang w:val="en-GB"/>
        </w:rPr>
      </w:pPr>
    </w:p>
    <w:p w14:paraId="0520D867" w14:textId="77777777" w:rsidR="008B4FF5" w:rsidRPr="008B4FF5" w:rsidRDefault="008B4FF5" w:rsidP="008B4FF5">
      <w:pPr>
        <w:autoSpaceDE w:val="0"/>
        <w:autoSpaceDN w:val="0"/>
        <w:adjustRightInd w:val="0"/>
        <w:spacing w:after="0" w:line="480" w:lineRule="auto"/>
        <w:jc w:val="both"/>
        <w:rPr>
          <w:rFonts w:ascii="Arial" w:eastAsia="Times New Roman" w:hAnsi="Arial" w:cs="Arial"/>
          <w:sz w:val="24"/>
          <w:szCs w:val="24"/>
          <w:lang w:val="en-GB"/>
        </w:rPr>
      </w:pPr>
    </w:p>
    <w:p w14:paraId="581AA6BB" w14:textId="77777777" w:rsidR="008B4FF5" w:rsidRPr="008B4FF5" w:rsidRDefault="008B4FF5" w:rsidP="008B4FF5">
      <w:pPr>
        <w:autoSpaceDE w:val="0"/>
        <w:autoSpaceDN w:val="0"/>
        <w:adjustRightInd w:val="0"/>
        <w:spacing w:after="0" w:line="480" w:lineRule="auto"/>
        <w:jc w:val="both"/>
        <w:rPr>
          <w:rFonts w:ascii="Arial" w:eastAsia="Times New Roman" w:hAnsi="Arial" w:cs="Arial"/>
          <w:sz w:val="24"/>
          <w:szCs w:val="24"/>
          <w:lang w:val="en-GB"/>
        </w:rPr>
      </w:pPr>
    </w:p>
    <w:p w14:paraId="117B406F" w14:textId="77777777" w:rsidR="008B4FF5" w:rsidRPr="008B4FF5" w:rsidRDefault="008B4FF5" w:rsidP="008B4FF5">
      <w:pPr>
        <w:autoSpaceDE w:val="0"/>
        <w:autoSpaceDN w:val="0"/>
        <w:adjustRightInd w:val="0"/>
        <w:spacing w:after="0" w:line="480" w:lineRule="auto"/>
        <w:jc w:val="both"/>
        <w:rPr>
          <w:rFonts w:ascii="Arial" w:eastAsia="Times New Roman" w:hAnsi="Arial" w:cs="Arial"/>
          <w:sz w:val="24"/>
          <w:szCs w:val="24"/>
          <w:lang w:val="en-GB"/>
        </w:rPr>
      </w:pPr>
    </w:p>
    <w:p w14:paraId="40639666" w14:textId="77777777" w:rsidR="008B4FF5" w:rsidRPr="008B4FF5" w:rsidRDefault="008B4FF5" w:rsidP="008B4FF5">
      <w:pPr>
        <w:autoSpaceDE w:val="0"/>
        <w:autoSpaceDN w:val="0"/>
        <w:adjustRightInd w:val="0"/>
        <w:spacing w:after="0" w:line="480" w:lineRule="auto"/>
        <w:jc w:val="both"/>
        <w:rPr>
          <w:rFonts w:ascii="Arial" w:eastAsia="Times New Roman" w:hAnsi="Arial" w:cs="Arial"/>
          <w:sz w:val="24"/>
          <w:szCs w:val="24"/>
          <w:lang w:val="en-GB"/>
        </w:rPr>
      </w:pPr>
    </w:p>
    <w:p w14:paraId="478DAA1C" w14:textId="77777777" w:rsidR="008B4FF5" w:rsidRDefault="008B4FF5" w:rsidP="008B4FF5">
      <w:pPr>
        <w:autoSpaceDE w:val="0"/>
        <w:autoSpaceDN w:val="0"/>
        <w:adjustRightInd w:val="0"/>
        <w:spacing w:after="0" w:line="480" w:lineRule="auto"/>
        <w:jc w:val="both"/>
        <w:rPr>
          <w:rFonts w:ascii="Arial" w:eastAsia="Times New Roman" w:hAnsi="Arial" w:cs="Arial"/>
          <w:sz w:val="24"/>
          <w:szCs w:val="24"/>
          <w:lang w:val="en-GB"/>
        </w:rPr>
      </w:pPr>
    </w:p>
    <w:p w14:paraId="1380D23B" w14:textId="77777777" w:rsidR="008B4FF5" w:rsidRPr="008B4FF5" w:rsidRDefault="008B4FF5" w:rsidP="008B4FF5">
      <w:pPr>
        <w:autoSpaceDE w:val="0"/>
        <w:autoSpaceDN w:val="0"/>
        <w:adjustRightInd w:val="0"/>
        <w:spacing w:after="0" w:line="480" w:lineRule="auto"/>
        <w:jc w:val="both"/>
        <w:rPr>
          <w:rFonts w:ascii="Arial" w:eastAsia="Times New Roman" w:hAnsi="Arial" w:cs="Arial"/>
          <w:sz w:val="24"/>
          <w:szCs w:val="24"/>
          <w:lang w:val="en-GB"/>
        </w:rPr>
      </w:pPr>
      <w:r w:rsidRPr="008B4FF5">
        <w:rPr>
          <w:rFonts w:ascii="Arial" w:eastAsia="Times New Roman" w:hAnsi="Arial" w:cs="Arial"/>
          <w:sz w:val="24"/>
          <w:szCs w:val="24"/>
          <w:lang w:val="en-GB"/>
        </w:rPr>
        <w:lastRenderedPageBreak/>
        <w:t>APPEARANCES</w:t>
      </w:r>
    </w:p>
    <w:p w14:paraId="500DD103" w14:textId="77777777" w:rsidR="008B4FF5" w:rsidRPr="008B4FF5" w:rsidRDefault="008B4FF5" w:rsidP="008B4FF5">
      <w:pPr>
        <w:autoSpaceDE w:val="0"/>
        <w:autoSpaceDN w:val="0"/>
        <w:adjustRightInd w:val="0"/>
        <w:spacing w:after="0" w:line="480" w:lineRule="auto"/>
        <w:jc w:val="both"/>
        <w:rPr>
          <w:rFonts w:ascii="Arial" w:eastAsia="Times New Roman"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8B4FF5" w:rsidRPr="008B4FF5" w14:paraId="7153219B" w14:textId="77777777" w:rsidTr="00314079">
        <w:tc>
          <w:tcPr>
            <w:tcW w:w="4555" w:type="dxa"/>
          </w:tcPr>
          <w:p w14:paraId="3D18470B" w14:textId="77777777" w:rsidR="008B4FF5" w:rsidRPr="008B4FF5" w:rsidRDefault="008B4FF5" w:rsidP="008B4FF5">
            <w:pPr>
              <w:autoSpaceDE w:val="0"/>
              <w:autoSpaceDN w:val="0"/>
              <w:adjustRightInd w:val="0"/>
              <w:spacing w:line="480" w:lineRule="auto"/>
              <w:ind w:left="-108"/>
              <w:jc w:val="both"/>
              <w:rPr>
                <w:rFonts w:ascii="Arial" w:eastAsia="Times New Roman" w:hAnsi="Arial" w:cs="Arial"/>
                <w:sz w:val="24"/>
                <w:szCs w:val="24"/>
                <w:lang w:val="en-GB"/>
              </w:rPr>
            </w:pPr>
            <w:r w:rsidRPr="008B4FF5">
              <w:rPr>
                <w:rFonts w:ascii="Arial" w:eastAsia="Times New Roman" w:hAnsi="Arial" w:cs="Arial"/>
                <w:sz w:val="24"/>
                <w:szCs w:val="24"/>
                <w:lang w:val="en-GB"/>
              </w:rPr>
              <w:t>APPELLANT:</w:t>
            </w:r>
          </w:p>
        </w:tc>
        <w:tc>
          <w:tcPr>
            <w:tcW w:w="4556" w:type="dxa"/>
          </w:tcPr>
          <w:p w14:paraId="676A3A80" w14:textId="7F9D58BA" w:rsidR="008B4FF5" w:rsidRPr="008B4FF5" w:rsidRDefault="004D2352" w:rsidP="008B4FF5">
            <w:pPr>
              <w:autoSpaceDE w:val="0"/>
              <w:autoSpaceDN w:val="0"/>
              <w:adjustRightInd w:val="0"/>
              <w:spacing w:line="480" w:lineRule="auto"/>
              <w:ind w:left="-108"/>
              <w:rPr>
                <w:rFonts w:ascii="Arial" w:eastAsia="Times New Roman" w:hAnsi="Arial" w:cs="Arial"/>
                <w:sz w:val="24"/>
                <w:szCs w:val="24"/>
                <w:lang w:val="en-GB"/>
              </w:rPr>
            </w:pPr>
            <w:r>
              <w:rPr>
                <w:rFonts w:ascii="Arial" w:eastAsia="Times New Roman" w:hAnsi="Arial" w:cs="Arial"/>
                <w:sz w:val="24"/>
                <w:szCs w:val="24"/>
              </w:rPr>
              <w:t xml:space="preserve">JP </w:t>
            </w:r>
            <w:r w:rsidR="00B03887">
              <w:rPr>
                <w:rFonts w:ascii="Arial" w:eastAsia="Times New Roman" w:hAnsi="Arial" w:cs="Arial"/>
                <w:sz w:val="24"/>
                <w:szCs w:val="24"/>
              </w:rPr>
              <w:t xml:space="preserve">Ravenscroft-Jones </w:t>
            </w:r>
          </w:p>
        </w:tc>
      </w:tr>
      <w:tr w:rsidR="008B4FF5" w:rsidRPr="008B4FF5" w14:paraId="0302FAD8" w14:textId="77777777" w:rsidTr="00314079">
        <w:tc>
          <w:tcPr>
            <w:tcW w:w="4555" w:type="dxa"/>
          </w:tcPr>
          <w:p w14:paraId="1D3D20BC" w14:textId="77777777" w:rsidR="008B4FF5" w:rsidRPr="008B4FF5" w:rsidRDefault="008B4FF5" w:rsidP="008B4FF5">
            <w:pPr>
              <w:autoSpaceDE w:val="0"/>
              <w:autoSpaceDN w:val="0"/>
              <w:adjustRightInd w:val="0"/>
              <w:spacing w:line="480" w:lineRule="auto"/>
              <w:jc w:val="both"/>
              <w:rPr>
                <w:rFonts w:ascii="Arial" w:eastAsia="Times New Roman" w:hAnsi="Arial" w:cs="Arial"/>
                <w:sz w:val="24"/>
                <w:szCs w:val="24"/>
                <w:lang w:val="en-GB"/>
              </w:rPr>
            </w:pPr>
          </w:p>
        </w:tc>
        <w:tc>
          <w:tcPr>
            <w:tcW w:w="4556" w:type="dxa"/>
          </w:tcPr>
          <w:p w14:paraId="4D1D95A7" w14:textId="095E30D6" w:rsidR="008B4FF5" w:rsidRPr="008B4FF5" w:rsidRDefault="004D2352" w:rsidP="008B4FF5">
            <w:pPr>
              <w:autoSpaceDE w:val="0"/>
              <w:autoSpaceDN w:val="0"/>
              <w:adjustRightInd w:val="0"/>
              <w:spacing w:line="480" w:lineRule="auto"/>
              <w:ind w:left="-108"/>
              <w:rPr>
                <w:rFonts w:ascii="Arial" w:eastAsia="Times New Roman" w:hAnsi="Arial" w:cs="Arial"/>
                <w:sz w:val="24"/>
                <w:szCs w:val="24"/>
                <w:lang w:val="en-GB"/>
              </w:rPr>
            </w:pPr>
            <w:r>
              <w:rPr>
                <w:rFonts w:ascii="Arial" w:eastAsia="Times New Roman" w:hAnsi="Arial" w:cs="Arial"/>
                <w:sz w:val="24"/>
                <w:szCs w:val="24"/>
                <w:lang w:val="en-GB"/>
              </w:rPr>
              <w:t>Instructed by Ellis Shilengudwa</w:t>
            </w:r>
            <w:r w:rsidR="00F96AD3">
              <w:rPr>
                <w:rFonts w:ascii="Arial" w:eastAsia="Times New Roman" w:hAnsi="Arial" w:cs="Arial"/>
                <w:sz w:val="24"/>
                <w:szCs w:val="24"/>
                <w:lang w:val="en-GB"/>
              </w:rPr>
              <w:t xml:space="preserve"> Incorporated</w:t>
            </w:r>
          </w:p>
        </w:tc>
      </w:tr>
      <w:tr w:rsidR="008B4FF5" w:rsidRPr="008B4FF5" w14:paraId="6F080818" w14:textId="77777777" w:rsidTr="00314079">
        <w:tc>
          <w:tcPr>
            <w:tcW w:w="4555" w:type="dxa"/>
          </w:tcPr>
          <w:p w14:paraId="245DD569" w14:textId="77777777" w:rsidR="008B4FF5" w:rsidRPr="008B4FF5" w:rsidRDefault="008B4FF5" w:rsidP="008B4FF5">
            <w:pPr>
              <w:autoSpaceDE w:val="0"/>
              <w:autoSpaceDN w:val="0"/>
              <w:adjustRightInd w:val="0"/>
              <w:spacing w:line="480" w:lineRule="auto"/>
              <w:ind w:left="-108"/>
              <w:jc w:val="both"/>
              <w:rPr>
                <w:rFonts w:ascii="Arial" w:eastAsia="Times New Roman" w:hAnsi="Arial" w:cs="Arial"/>
                <w:sz w:val="24"/>
                <w:szCs w:val="24"/>
                <w:lang w:val="en-GB"/>
              </w:rPr>
            </w:pPr>
          </w:p>
        </w:tc>
        <w:tc>
          <w:tcPr>
            <w:tcW w:w="4556" w:type="dxa"/>
          </w:tcPr>
          <w:p w14:paraId="3ED0E5AE" w14:textId="77777777" w:rsidR="008B4FF5" w:rsidRPr="008B4FF5" w:rsidRDefault="008B4FF5" w:rsidP="008B4FF5">
            <w:pPr>
              <w:autoSpaceDE w:val="0"/>
              <w:autoSpaceDN w:val="0"/>
              <w:adjustRightInd w:val="0"/>
              <w:spacing w:line="480" w:lineRule="auto"/>
              <w:ind w:left="-108"/>
              <w:rPr>
                <w:rFonts w:ascii="Arial" w:eastAsia="Times New Roman" w:hAnsi="Arial" w:cs="Arial"/>
                <w:sz w:val="24"/>
                <w:szCs w:val="24"/>
                <w:lang w:val="en-GB"/>
              </w:rPr>
            </w:pPr>
          </w:p>
        </w:tc>
      </w:tr>
      <w:tr w:rsidR="008B4FF5" w:rsidRPr="008B4FF5" w14:paraId="73320E50" w14:textId="77777777" w:rsidTr="00314079">
        <w:tc>
          <w:tcPr>
            <w:tcW w:w="4555" w:type="dxa"/>
          </w:tcPr>
          <w:p w14:paraId="222B704A" w14:textId="77777777" w:rsidR="008B4FF5" w:rsidRPr="008B4FF5" w:rsidRDefault="008B4FF5" w:rsidP="008B4FF5">
            <w:pPr>
              <w:autoSpaceDE w:val="0"/>
              <w:autoSpaceDN w:val="0"/>
              <w:adjustRightInd w:val="0"/>
              <w:spacing w:line="480" w:lineRule="auto"/>
              <w:ind w:left="-108"/>
              <w:jc w:val="both"/>
              <w:rPr>
                <w:rFonts w:ascii="Arial" w:eastAsia="Times New Roman" w:hAnsi="Arial" w:cs="Arial"/>
                <w:sz w:val="24"/>
                <w:szCs w:val="24"/>
                <w:lang w:val="en-GB"/>
              </w:rPr>
            </w:pPr>
          </w:p>
        </w:tc>
        <w:tc>
          <w:tcPr>
            <w:tcW w:w="4556" w:type="dxa"/>
          </w:tcPr>
          <w:p w14:paraId="777F8C30" w14:textId="77777777" w:rsidR="008B4FF5" w:rsidRPr="008B4FF5" w:rsidRDefault="008B4FF5" w:rsidP="008B4FF5">
            <w:pPr>
              <w:autoSpaceDE w:val="0"/>
              <w:autoSpaceDN w:val="0"/>
              <w:adjustRightInd w:val="0"/>
              <w:spacing w:line="480" w:lineRule="auto"/>
              <w:ind w:left="-108"/>
              <w:rPr>
                <w:rFonts w:ascii="Arial" w:eastAsia="Times New Roman" w:hAnsi="Arial" w:cs="Arial"/>
                <w:sz w:val="24"/>
                <w:szCs w:val="24"/>
                <w:lang w:val="en-GB"/>
              </w:rPr>
            </w:pPr>
          </w:p>
        </w:tc>
      </w:tr>
      <w:tr w:rsidR="008B4FF5" w:rsidRPr="008B4FF5" w14:paraId="601C69F3" w14:textId="77777777" w:rsidTr="00314079">
        <w:tc>
          <w:tcPr>
            <w:tcW w:w="4555" w:type="dxa"/>
          </w:tcPr>
          <w:p w14:paraId="625BFD16" w14:textId="77777777" w:rsidR="008B4FF5" w:rsidRPr="008B4FF5" w:rsidRDefault="008B4FF5" w:rsidP="008B4FF5">
            <w:pPr>
              <w:autoSpaceDE w:val="0"/>
              <w:autoSpaceDN w:val="0"/>
              <w:adjustRightInd w:val="0"/>
              <w:spacing w:line="480" w:lineRule="auto"/>
              <w:ind w:left="-108"/>
              <w:jc w:val="both"/>
              <w:rPr>
                <w:rFonts w:ascii="Arial" w:eastAsia="Times New Roman" w:hAnsi="Arial" w:cs="Arial"/>
                <w:sz w:val="24"/>
                <w:szCs w:val="24"/>
                <w:lang w:val="en-GB"/>
              </w:rPr>
            </w:pPr>
            <w:r w:rsidRPr="008B4FF5">
              <w:rPr>
                <w:rFonts w:ascii="Arial" w:eastAsia="Times New Roman" w:hAnsi="Arial" w:cs="Arial"/>
                <w:sz w:val="24"/>
                <w:szCs w:val="24"/>
                <w:lang w:val="en-GB"/>
              </w:rPr>
              <w:t>RESPONDENT</w:t>
            </w:r>
            <w:r w:rsidR="004D2352">
              <w:rPr>
                <w:rFonts w:ascii="Arial" w:eastAsia="Times New Roman" w:hAnsi="Arial" w:cs="Arial"/>
                <w:sz w:val="24"/>
                <w:szCs w:val="24"/>
                <w:lang w:val="en-GB"/>
              </w:rPr>
              <w:t>S</w:t>
            </w:r>
            <w:r w:rsidRPr="008B4FF5">
              <w:rPr>
                <w:rFonts w:ascii="Arial" w:eastAsia="Times New Roman" w:hAnsi="Arial" w:cs="Arial"/>
                <w:sz w:val="24"/>
                <w:szCs w:val="24"/>
                <w:lang w:val="en-GB"/>
              </w:rPr>
              <w:t>:</w:t>
            </w:r>
          </w:p>
        </w:tc>
        <w:tc>
          <w:tcPr>
            <w:tcW w:w="4556" w:type="dxa"/>
          </w:tcPr>
          <w:p w14:paraId="7E090FBA" w14:textId="67DC7F5D" w:rsidR="008B4FF5" w:rsidRPr="008B4FF5" w:rsidRDefault="00F96AD3" w:rsidP="008B4FF5">
            <w:pPr>
              <w:autoSpaceDE w:val="0"/>
              <w:autoSpaceDN w:val="0"/>
              <w:adjustRightInd w:val="0"/>
              <w:spacing w:line="480" w:lineRule="auto"/>
              <w:ind w:left="-108"/>
              <w:rPr>
                <w:rFonts w:ascii="Arial" w:eastAsia="Times New Roman" w:hAnsi="Arial" w:cs="Arial"/>
                <w:sz w:val="24"/>
                <w:szCs w:val="24"/>
                <w:lang w:val="en-GB"/>
              </w:rPr>
            </w:pPr>
            <w:r>
              <w:rPr>
                <w:rFonts w:ascii="Arial" w:eastAsia="Times New Roman" w:hAnsi="Arial" w:cs="Arial"/>
                <w:sz w:val="24"/>
                <w:szCs w:val="24"/>
                <w:lang w:val="en-GB"/>
              </w:rPr>
              <w:t>J</w:t>
            </w:r>
            <w:r w:rsidR="004D2352">
              <w:rPr>
                <w:rFonts w:ascii="Arial" w:eastAsia="Times New Roman" w:hAnsi="Arial" w:cs="Arial"/>
                <w:sz w:val="24"/>
                <w:szCs w:val="24"/>
                <w:lang w:val="en-GB"/>
              </w:rPr>
              <w:t xml:space="preserve"> Ncube</w:t>
            </w:r>
          </w:p>
          <w:p w14:paraId="3CAD5180" w14:textId="04B08ECD" w:rsidR="008B4FF5" w:rsidRPr="008B4FF5" w:rsidRDefault="00E76639" w:rsidP="004D2352">
            <w:pPr>
              <w:autoSpaceDE w:val="0"/>
              <w:autoSpaceDN w:val="0"/>
              <w:adjustRightInd w:val="0"/>
              <w:spacing w:line="480" w:lineRule="auto"/>
              <w:ind w:left="-108"/>
              <w:rPr>
                <w:rFonts w:ascii="Arial" w:eastAsia="Times New Roman" w:hAnsi="Arial" w:cs="Arial"/>
                <w:sz w:val="24"/>
                <w:szCs w:val="24"/>
                <w:lang w:val="en-GB"/>
              </w:rPr>
            </w:pPr>
            <w:r>
              <w:rPr>
                <w:rFonts w:ascii="Arial" w:eastAsia="Times New Roman" w:hAnsi="Arial" w:cs="Arial"/>
                <w:sz w:val="24"/>
                <w:szCs w:val="24"/>
                <w:lang w:val="en-GB"/>
              </w:rPr>
              <w:t>Government-</w:t>
            </w:r>
            <w:r w:rsidR="004D2352">
              <w:rPr>
                <w:rFonts w:ascii="Arial" w:eastAsia="Times New Roman" w:hAnsi="Arial" w:cs="Arial"/>
                <w:sz w:val="24"/>
                <w:szCs w:val="24"/>
                <w:lang w:val="en-GB"/>
              </w:rPr>
              <w:t>Attorney</w:t>
            </w:r>
          </w:p>
        </w:tc>
      </w:tr>
      <w:tr w:rsidR="008B4FF5" w:rsidRPr="008B4FF5" w14:paraId="47CCDF7B" w14:textId="77777777" w:rsidTr="00314079">
        <w:tc>
          <w:tcPr>
            <w:tcW w:w="4555" w:type="dxa"/>
          </w:tcPr>
          <w:p w14:paraId="3D196FEF" w14:textId="77777777" w:rsidR="008B4FF5" w:rsidRPr="008B4FF5" w:rsidRDefault="008B4FF5" w:rsidP="008B4FF5">
            <w:pPr>
              <w:autoSpaceDE w:val="0"/>
              <w:autoSpaceDN w:val="0"/>
              <w:adjustRightInd w:val="0"/>
              <w:spacing w:line="480" w:lineRule="auto"/>
              <w:jc w:val="both"/>
              <w:rPr>
                <w:rFonts w:ascii="Arial" w:eastAsia="Times New Roman" w:hAnsi="Arial" w:cs="Arial"/>
                <w:sz w:val="24"/>
                <w:szCs w:val="24"/>
                <w:lang w:val="en-GB"/>
              </w:rPr>
            </w:pPr>
          </w:p>
        </w:tc>
        <w:tc>
          <w:tcPr>
            <w:tcW w:w="4556" w:type="dxa"/>
          </w:tcPr>
          <w:p w14:paraId="13E809CE" w14:textId="77777777" w:rsidR="008B4FF5" w:rsidRPr="008B4FF5" w:rsidRDefault="008B4FF5" w:rsidP="008B4FF5">
            <w:pPr>
              <w:autoSpaceDE w:val="0"/>
              <w:autoSpaceDN w:val="0"/>
              <w:adjustRightInd w:val="0"/>
              <w:spacing w:line="480" w:lineRule="auto"/>
              <w:ind w:left="-108"/>
              <w:rPr>
                <w:rFonts w:ascii="Arial" w:eastAsia="Times New Roman" w:hAnsi="Arial" w:cs="Arial"/>
                <w:sz w:val="24"/>
                <w:szCs w:val="24"/>
                <w:lang w:val="en-GB"/>
              </w:rPr>
            </w:pPr>
          </w:p>
        </w:tc>
      </w:tr>
    </w:tbl>
    <w:p w14:paraId="19A63BA4" w14:textId="77777777" w:rsidR="008B4FF5" w:rsidRPr="008B4FF5" w:rsidRDefault="008B4FF5" w:rsidP="008B4FF5">
      <w:pPr>
        <w:autoSpaceDE w:val="0"/>
        <w:autoSpaceDN w:val="0"/>
        <w:adjustRightInd w:val="0"/>
        <w:spacing w:after="0" w:line="480" w:lineRule="auto"/>
        <w:jc w:val="both"/>
        <w:rPr>
          <w:rFonts w:ascii="Arial" w:eastAsia="Times New Roman" w:hAnsi="Arial" w:cs="Arial"/>
          <w:sz w:val="24"/>
          <w:szCs w:val="24"/>
          <w:lang w:val="en-GB"/>
        </w:rPr>
      </w:pPr>
    </w:p>
    <w:p w14:paraId="194AC0C5" w14:textId="77777777" w:rsidR="008B4FF5" w:rsidRPr="008B4FF5" w:rsidRDefault="008B4FF5" w:rsidP="008B4FF5">
      <w:pPr>
        <w:rPr>
          <w:lang w:val="en-ZA"/>
        </w:rPr>
      </w:pPr>
    </w:p>
    <w:p w14:paraId="63D21643" w14:textId="77777777" w:rsidR="004E6AB8" w:rsidRDefault="00FC4092">
      <w:bookmarkStart w:id="0" w:name="_GoBack"/>
      <w:bookmarkEnd w:id="0"/>
    </w:p>
    <w:sectPr w:rsidR="004E6AB8" w:rsidSect="009441CE">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5EB2" w14:textId="77777777" w:rsidR="00FC4092" w:rsidRDefault="00FC4092">
      <w:pPr>
        <w:spacing w:after="0" w:line="240" w:lineRule="auto"/>
      </w:pPr>
      <w:r>
        <w:separator/>
      </w:r>
    </w:p>
  </w:endnote>
  <w:endnote w:type="continuationSeparator" w:id="0">
    <w:p w14:paraId="4F9DACE1" w14:textId="77777777" w:rsidR="00FC4092" w:rsidRDefault="00FC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4ECF5" w14:textId="77777777" w:rsidR="00FC4092" w:rsidRDefault="00FC4092">
      <w:pPr>
        <w:spacing w:after="0" w:line="240" w:lineRule="auto"/>
      </w:pPr>
      <w:r>
        <w:separator/>
      </w:r>
    </w:p>
  </w:footnote>
  <w:footnote w:type="continuationSeparator" w:id="0">
    <w:p w14:paraId="42D635E6" w14:textId="77777777" w:rsidR="00FC4092" w:rsidRDefault="00FC4092">
      <w:pPr>
        <w:spacing w:after="0" w:line="240" w:lineRule="auto"/>
      </w:pPr>
      <w:r>
        <w:continuationSeparator/>
      </w:r>
    </w:p>
  </w:footnote>
  <w:footnote w:id="1">
    <w:p w14:paraId="21A793DD" w14:textId="081EEED4" w:rsidR="00F2295D" w:rsidRPr="00931E48" w:rsidRDefault="00F2295D" w:rsidP="00F2295D">
      <w:pPr>
        <w:pStyle w:val="FootnoteText"/>
        <w:rPr>
          <w:rFonts w:ascii="Arial" w:hAnsi="Arial" w:cs="Arial"/>
        </w:rPr>
      </w:pPr>
      <w:r w:rsidRPr="00931E48">
        <w:rPr>
          <w:rStyle w:val="FootnoteReference"/>
          <w:rFonts w:ascii="Arial" w:hAnsi="Arial" w:cs="Arial"/>
        </w:rPr>
        <w:footnoteRef/>
      </w:r>
      <w:r w:rsidRPr="00931E48">
        <w:rPr>
          <w:rFonts w:ascii="Arial" w:hAnsi="Arial" w:cs="Arial"/>
        </w:rPr>
        <w:t xml:space="preserve"> </w:t>
      </w:r>
      <w:r w:rsidRPr="000132F2">
        <w:rPr>
          <w:rFonts w:ascii="Arial" w:hAnsi="Arial" w:cs="Arial"/>
          <w:i/>
        </w:rPr>
        <w:t xml:space="preserve">Paschke v Frans </w:t>
      </w:r>
      <w:r w:rsidR="000F5652">
        <w:rPr>
          <w:rFonts w:ascii="Arial" w:hAnsi="Arial" w:cs="Arial"/>
        </w:rPr>
        <w:t xml:space="preserve">2015 (3) NR 668 (SC) and </w:t>
      </w:r>
      <w:r w:rsidRPr="000132F2">
        <w:rPr>
          <w:rFonts w:ascii="Arial" w:hAnsi="Arial" w:cs="Arial"/>
          <w:i/>
        </w:rPr>
        <w:t xml:space="preserve">Mbambus </w:t>
      </w:r>
      <w:r w:rsidR="00B613AD">
        <w:rPr>
          <w:rFonts w:ascii="Arial" w:hAnsi="Arial" w:cs="Arial"/>
          <w:i/>
        </w:rPr>
        <w:t xml:space="preserve">v </w:t>
      </w:r>
      <w:r w:rsidRPr="000132F2">
        <w:rPr>
          <w:rFonts w:ascii="Arial" w:hAnsi="Arial" w:cs="Arial"/>
          <w:i/>
        </w:rPr>
        <w:t>Vehicle Accident Fund</w:t>
      </w:r>
      <w:r w:rsidRPr="00931E48">
        <w:rPr>
          <w:rFonts w:ascii="Arial" w:hAnsi="Arial" w:cs="Arial"/>
        </w:rPr>
        <w:t xml:space="preserve"> 2015 (3) NR 605 (SC).</w:t>
      </w:r>
    </w:p>
  </w:footnote>
  <w:footnote w:id="2">
    <w:p w14:paraId="34E046D9" w14:textId="562ACDEA" w:rsidR="001B73F9" w:rsidRPr="00674CD6" w:rsidRDefault="001B73F9" w:rsidP="00B578B2">
      <w:pPr>
        <w:pStyle w:val="FootnoteText"/>
        <w:jc w:val="both"/>
        <w:rPr>
          <w:rFonts w:ascii="Arial" w:hAnsi="Arial" w:cs="Arial"/>
        </w:rPr>
      </w:pPr>
      <w:r w:rsidRPr="00674CD6">
        <w:rPr>
          <w:rStyle w:val="FootnoteReference"/>
          <w:rFonts w:ascii="Arial" w:hAnsi="Arial" w:cs="Arial"/>
        </w:rPr>
        <w:footnoteRef/>
      </w:r>
      <w:r w:rsidRPr="00674CD6">
        <w:rPr>
          <w:rFonts w:ascii="Arial" w:hAnsi="Arial" w:cs="Arial"/>
        </w:rPr>
        <w:t xml:space="preserve"> 2015 (3) NR 668 (SC)</w:t>
      </w:r>
      <w:r w:rsidR="000C7130" w:rsidRPr="00674CD6">
        <w:rPr>
          <w:rFonts w:ascii="Arial" w:hAnsi="Arial" w:cs="Arial"/>
        </w:rPr>
        <w:t xml:space="preserve"> para 9.</w:t>
      </w:r>
    </w:p>
  </w:footnote>
  <w:footnote w:id="3">
    <w:p w14:paraId="1B0ACA33" w14:textId="6E1764EF" w:rsidR="008D7D37" w:rsidRPr="008D7D37" w:rsidRDefault="008D7D37" w:rsidP="00B578B2">
      <w:pPr>
        <w:pStyle w:val="FootnoteText"/>
        <w:jc w:val="both"/>
        <w:rPr>
          <w:rFonts w:ascii="Arial" w:hAnsi="Arial" w:cs="Arial"/>
        </w:rPr>
      </w:pPr>
      <w:r w:rsidRPr="00674CD6">
        <w:rPr>
          <w:rStyle w:val="FootnoteReference"/>
          <w:rFonts w:ascii="Arial" w:hAnsi="Arial" w:cs="Arial"/>
        </w:rPr>
        <w:footnoteRef/>
      </w:r>
      <w:r w:rsidRPr="00674CD6">
        <w:rPr>
          <w:rFonts w:ascii="Arial" w:hAnsi="Arial" w:cs="Arial"/>
        </w:rPr>
        <w:t xml:space="preserve"> </w:t>
      </w:r>
      <w:r w:rsidR="008B7117">
        <w:rPr>
          <w:rFonts w:ascii="Arial" w:hAnsi="Arial" w:cs="Arial"/>
          <w:i/>
        </w:rPr>
        <w:t>Bane &amp; o</w:t>
      </w:r>
      <w:r w:rsidRPr="00674CD6">
        <w:rPr>
          <w:rFonts w:ascii="Arial" w:hAnsi="Arial" w:cs="Arial"/>
          <w:i/>
        </w:rPr>
        <w:t xml:space="preserve">thers v D'Ambrosi </w:t>
      </w:r>
      <w:r w:rsidRPr="00674CD6">
        <w:rPr>
          <w:rFonts w:ascii="Arial" w:hAnsi="Arial" w:cs="Arial"/>
        </w:rPr>
        <w:t>2010 (2) SA 539 (SCA)</w:t>
      </w:r>
      <w:r w:rsidR="001B73F9" w:rsidRPr="00674CD6">
        <w:rPr>
          <w:rFonts w:ascii="Arial" w:hAnsi="Arial" w:cs="Arial"/>
        </w:rPr>
        <w:t>,</w:t>
      </w:r>
      <w:r w:rsidRPr="00674CD6">
        <w:rPr>
          <w:rFonts w:ascii="Arial" w:hAnsi="Arial" w:cs="Arial"/>
        </w:rPr>
        <w:t xml:space="preserve"> </w:t>
      </w:r>
      <w:r w:rsidRPr="00674CD6">
        <w:rPr>
          <w:rFonts w:ascii="Arial" w:hAnsi="Arial" w:cs="Arial"/>
          <w:i/>
        </w:rPr>
        <w:t>Montsisi v Minister van Polisie</w:t>
      </w:r>
      <w:r w:rsidRPr="00674CD6">
        <w:rPr>
          <w:rFonts w:ascii="Arial" w:hAnsi="Arial" w:cs="Arial"/>
        </w:rPr>
        <w:t xml:space="preserve"> 1984 (1) SA 619 (A) at 631B – E</w:t>
      </w:r>
      <w:r w:rsidR="001B73F9" w:rsidRPr="00674CD6">
        <w:rPr>
          <w:rFonts w:ascii="Arial" w:hAnsi="Arial" w:cs="Arial"/>
        </w:rPr>
        <w:t xml:space="preserve"> and </w:t>
      </w:r>
      <w:r w:rsidR="008B7117">
        <w:rPr>
          <w:rFonts w:ascii="Arial" w:hAnsi="Arial" w:cs="Arial"/>
          <w:i/>
        </w:rPr>
        <w:t>Sibeka &amp; another v Minister of Police &amp;</w:t>
      </w:r>
      <w:r w:rsidR="001B73F9" w:rsidRPr="00674CD6">
        <w:rPr>
          <w:rFonts w:ascii="Arial" w:hAnsi="Arial" w:cs="Arial"/>
          <w:i/>
        </w:rPr>
        <w:t xml:space="preserve"> </w:t>
      </w:r>
      <w:r w:rsidR="008B7117">
        <w:rPr>
          <w:rFonts w:ascii="Arial" w:hAnsi="Arial" w:cs="Arial"/>
          <w:i/>
        </w:rPr>
        <w:t>o</w:t>
      </w:r>
      <w:r w:rsidR="001B73F9" w:rsidRPr="00674CD6">
        <w:rPr>
          <w:rFonts w:ascii="Arial" w:hAnsi="Arial" w:cs="Arial"/>
          <w:i/>
        </w:rPr>
        <w:t xml:space="preserve">thers </w:t>
      </w:r>
      <w:r w:rsidR="001B73F9" w:rsidRPr="00674CD6">
        <w:rPr>
          <w:rFonts w:ascii="Arial" w:hAnsi="Arial" w:cs="Arial"/>
        </w:rPr>
        <w:t>1984 (1) SA 792 (W) at 795A – C.</w:t>
      </w:r>
    </w:p>
  </w:footnote>
  <w:footnote w:id="4">
    <w:p w14:paraId="07FBD86D" w14:textId="0B4F5149" w:rsidR="00F2295D" w:rsidRPr="00C31077" w:rsidRDefault="00F2295D" w:rsidP="00C31077">
      <w:pPr>
        <w:pStyle w:val="FootnoteText1"/>
        <w:spacing w:line="276" w:lineRule="auto"/>
        <w:rPr>
          <w:rFonts w:ascii="Arial" w:hAnsi="Arial" w:cs="Arial"/>
        </w:rPr>
      </w:pPr>
      <w:r w:rsidRPr="00C31077">
        <w:rPr>
          <w:rStyle w:val="FootnoteReference"/>
          <w:rFonts w:ascii="Arial" w:hAnsi="Arial" w:cs="Arial"/>
        </w:rPr>
        <w:footnoteRef/>
      </w:r>
      <w:r w:rsidRPr="00C31077">
        <w:rPr>
          <w:rFonts w:ascii="Arial" w:hAnsi="Arial" w:cs="Arial"/>
        </w:rPr>
        <w:t xml:space="preserve"> </w:t>
      </w:r>
      <w:r w:rsidR="006E7439">
        <w:rPr>
          <w:rFonts w:ascii="Arial" w:hAnsi="Arial" w:cs="Arial"/>
        </w:rPr>
        <w:t xml:space="preserve">RH </w:t>
      </w:r>
      <w:r w:rsidR="00257D00">
        <w:rPr>
          <w:rFonts w:ascii="Arial" w:hAnsi="Arial" w:cs="Arial"/>
        </w:rPr>
        <w:t xml:space="preserve">Christie </w:t>
      </w:r>
      <w:r w:rsidRPr="00C31077">
        <w:rPr>
          <w:rFonts w:ascii="Arial" w:hAnsi="Arial" w:cs="Arial"/>
          <w:i/>
        </w:rPr>
        <w:t>The Law of Contract in South Africa</w:t>
      </w:r>
      <w:r w:rsidRPr="00B60F1C">
        <w:rPr>
          <w:rFonts w:ascii="Arial" w:hAnsi="Arial" w:cs="Arial"/>
        </w:rPr>
        <w:t>. 5</w:t>
      </w:r>
      <w:r w:rsidR="006E7439" w:rsidRPr="00B60F1C">
        <w:rPr>
          <w:rFonts w:ascii="Arial" w:hAnsi="Arial" w:cs="Arial"/>
        </w:rPr>
        <w:t xml:space="preserve"> </w:t>
      </w:r>
      <w:r w:rsidRPr="00B60F1C">
        <w:rPr>
          <w:rFonts w:ascii="Arial" w:hAnsi="Arial" w:cs="Arial"/>
        </w:rPr>
        <w:t>ed</w:t>
      </w:r>
      <w:r w:rsidR="00257D00">
        <w:rPr>
          <w:rFonts w:ascii="Arial" w:hAnsi="Arial" w:cs="Arial"/>
        </w:rPr>
        <w:t xml:space="preserve"> 2006</w:t>
      </w:r>
      <w:r w:rsidRPr="00C31077">
        <w:rPr>
          <w:rFonts w:ascii="Arial" w:hAnsi="Arial" w:cs="Arial"/>
        </w:rPr>
        <w:t xml:space="preserve"> p</w:t>
      </w:r>
      <w:r w:rsidR="00257D00">
        <w:rPr>
          <w:rFonts w:ascii="Arial" w:hAnsi="Arial" w:cs="Arial"/>
        </w:rPr>
        <w:t xml:space="preserve"> 497-498</w:t>
      </w:r>
      <w:r w:rsidRPr="00C31077">
        <w:rPr>
          <w:rFonts w:ascii="Arial" w:hAnsi="Arial" w:cs="Arial"/>
        </w:rPr>
        <w:t>.</w:t>
      </w:r>
    </w:p>
  </w:footnote>
  <w:footnote w:id="5">
    <w:p w14:paraId="63AA9587" w14:textId="3986C4AB" w:rsidR="00F2295D" w:rsidRDefault="00F2295D" w:rsidP="00C31077">
      <w:pPr>
        <w:pStyle w:val="FootnoteText"/>
      </w:pPr>
      <w:r w:rsidRPr="00C31077">
        <w:rPr>
          <w:rStyle w:val="FootnoteReference"/>
          <w:rFonts w:ascii="Arial" w:hAnsi="Arial" w:cs="Arial"/>
        </w:rPr>
        <w:footnoteRef/>
      </w:r>
      <w:r w:rsidRPr="00C31077">
        <w:rPr>
          <w:rFonts w:ascii="Arial" w:hAnsi="Arial" w:cs="Arial"/>
        </w:rPr>
        <w:t xml:space="preserve"> </w:t>
      </w:r>
      <w:r w:rsidRPr="00821A92">
        <w:rPr>
          <w:rFonts w:ascii="Arial" w:hAnsi="Arial" w:cs="Arial"/>
          <w:i/>
        </w:rPr>
        <w:t xml:space="preserve">Ibid </w:t>
      </w:r>
      <w:r w:rsidRPr="00C31077">
        <w:rPr>
          <w:rFonts w:ascii="Arial" w:hAnsi="Arial" w:cs="Arial"/>
        </w:rPr>
        <w:t>p 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14:paraId="5636BE91" w14:textId="77777777" w:rsidR="004D6713" w:rsidRDefault="00FA72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39950C" w14:textId="77777777" w:rsidR="004D6713" w:rsidRDefault="00FC4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14:paraId="298A207F" w14:textId="77777777" w:rsidR="004D6713" w:rsidRPr="003177C3" w:rsidRDefault="00FA7276">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C20C14">
          <w:rPr>
            <w:rFonts w:ascii="Arial" w:hAnsi="Arial" w:cs="Arial"/>
            <w:noProof/>
            <w:sz w:val="24"/>
            <w:szCs w:val="24"/>
          </w:rPr>
          <w:t>21</w:t>
        </w:r>
        <w:r w:rsidRPr="003177C3">
          <w:rPr>
            <w:rFonts w:ascii="Arial" w:hAnsi="Arial" w:cs="Arial"/>
            <w:noProof/>
            <w:sz w:val="24"/>
            <w:szCs w:val="24"/>
          </w:rPr>
          <w:fldChar w:fldCharType="end"/>
        </w:r>
      </w:p>
    </w:sdtContent>
  </w:sdt>
  <w:p w14:paraId="330D8161" w14:textId="77777777" w:rsidR="004D6713" w:rsidRPr="003177C3" w:rsidRDefault="00FC4092">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382C"/>
    <w:multiLevelType w:val="hybridMultilevel"/>
    <w:tmpl w:val="87E8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B53"/>
    <w:multiLevelType w:val="hybridMultilevel"/>
    <w:tmpl w:val="0E1CCA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8C5162"/>
    <w:multiLevelType w:val="multilevel"/>
    <w:tmpl w:val="DEC4B07C"/>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B77A49"/>
    <w:multiLevelType w:val="hybridMultilevel"/>
    <w:tmpl w:val="52C01840"/>
    <w:lvl w:ilvl="0" w:tplc="4866D690">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3798B"/>
    <w:multiLevelType w:val="hybridMultilevel"/>
    <w:tmpl w:val="A044DE96"/>
    <w:lvl w:ilvl="0" w:tplc="4D287C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CB70D4"/>
    <w:multiLevelType w:val="hybridMultilevel"/>
    <w:tmpl w:val="22FEDA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DA062B"/>
    <w:multiLevelType w:val="hybridMultilevel"/>
    <w:tmpl w:val="46B6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0101B"/>
    <w:multiLevelType w:val="multilevel"/>
    <w:tmpl w:val="DEC4B07C"/>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C202CC"/>
    <w:multiLevelType w:val="hybridMultilevel"/>
    <w:tmpl w:val="190A0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35D59"/>
    <w:multiLevelType w:val="hybridMultilevel"/>
    <w:tmpl w:val="2F94CB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DE3A12"/>
    <w:multiLevelType w:val="hybridMultilevel"/>
    <w:tmpl w:val="7A36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81CCB"/>
    <w:multiLevelType w:val="hybridMultilevel"/>
    <w:tmpl w:val="E13445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0"/>
  </w:num>
  <w:num w:numId="3">
    <w:abstractNumId w:val="1"/>
  </w:num>
  <w:num w:numId="4">
    <w:abstractNumId w:val="2"/>
  </w:num>
  <w:num w:numId="5">
    <w:abstractNumId w:val="4"/>
  </w:num>
  <w:num w:numId="6">
    <w:abstractNumId w:val="8"/>
  </w:num>
  <w:num w:numId="7">
    <w:abstractNumId w:val="0"/>
  </w:num>
  <w:num w:numId="8">
    <w:abstractNumId w:val="3"/>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F5"/>
    <w:rsid w:val="00002264"/>
    <w:rsid w:val="00006004"/>
    <w:rsid w:val="000120AF"/>
    <w:rsid w:val="00014B87"/>
    <w:rsid w:val="00015D74"/>
    <w:rsid w:val="0001644A"/>
    <w:rsid w:val="0001691B"/>
    <w:rsid w:val="000176A2"/>
    <w:rsid w:val="00025D90"/>
    <w:rsid w:val="000333D5"/>
    <w:rsid w:val="000365A5"/>
    <w:rsid w:val="0004038D"/>
    <w:rsid w:val="00040A17"/>
    <w:rsid w:val="0004101C"/>
    <w:rsid w:val="00050174"/>
    <w:rsid w:val="00050B4E"/>
    <w:rsid w:val="00051B1C"/>
    <w:rsid w:val="00057420"/>
    <w:rsid w:val="00061F65"/>
    <w:rsid w:val="000624D0"/>
    <w:rsid w:val="00064AE8"/>
    <w:rsid w:val="000722EA"/>
    <w:rsid w:val="000732F4"/>
    <w:rsid w:val="00075A9B"/>
    <w:rsid w:val="00084C3E"/>
    <w:rsid w:val="00087B99"/>
    <w:rsid w:val="00090BA6"/>
    <w:rsid w:val="000A4768"/>
    <w:rsid w:val="000A7727"/>
    <w:rsid w:val="000B20D8"/>
    <w:rsid w:val="000B7861"/>
    <w:rsid w:val="000C25E6"/>
    <w:rsid w:val="000C3615"/>
    <w:rsid w:val="000C5361"/>
    <w:rsid w:val="000C7130"/>
    <w:rsid w:val="000D22BB"/>
    <w:rsid w:val="000D2672"/>
    <w:rsid w:val="000D53C2"/>
    <w:rsid w:val="000E12DA"/>
    <w:rsid w:val="000E3219"/>
    <w:rsid w:val="000E39E1"/>
    <w:rsid w:val="000F072A"/>
    <w:rsid w:val="000F0907"/>
    <w:rsid w:val="000F352B"/>
    <w:rsid w:val="000F5652"/>
    <w:rsid w:val="000F765F"/>
    <w:rsid w:val="00100E5C"/>
    <w:rsid w:val="00101980"/>
    <w:rsid w:val="00101F87"/>
    <w:rsid w:val="00102AEF"/>
    <w:rsid w:val="001126D7"/>
    <w:rsid w:val="00113AF2"/>
    <w:rsid w:val="00120EB7"/>
    <w:rsid w:val="0012104F"/>
    <w:rsid w:val="00125814"/>
    <w:rsid w:val="00126DEA"/>
    <w:rsid w:val="00131A8F"/>
    <w:rsid w:val="00135CB9"/>
    <w:rsid w:val="0014099F"/>
    <w:rsid w:val="00143F7D"/>
    <w:rsid w:val="00144205"/>
    <w:rsid w:val="00145E09"/>
    <w:rsid w:val="0014696D"/>
    <w:rsid w:val="00150B26"/>
    <w:rsid w:val="00155471"/>
    <w:rsid w:val="00160DC4"/>
    <w:rsid w:val="0016460E"/>
    <w:rsid w:val="00174AD3"/>
    <w:rsid w:val="001811A3"/>
    <w:rsid w:val="00193349"/>
    <w:rsid w:val="001A73B7"/>
    <w:rsid w:val="001B0559"/>
    <w:rsid w:val="001B2F2D"/>
    <w:rsid w:val="001B73F9"/>
    <w:rsid w:val="001C40A4"/>
    <w:rsid w:val="001C625C"/>
    <w:rsid w:val="001D568D"/>
    <w:rsid w:val="001D7044"/>
    <w:rsid w:val="001E2498"/>
    <w:rsid w:val="001E32AB"/>
    <w:rsid w:val="001E3C53"/>
    <w:rsid w:val="001E4286"/>
    <w:rsid w:val="001E6A00"/>
    <w:rsid w:val="001F2D92"/>
    <w:rsid w:val="001F467F"/>
    <w:rsid w:val="002013D7"/>
    <w:rsid w:val="00204020"/>
    <w:rsid w:val="00210731"/>
    <w:rsid w:val="002124FE"/>
    <w:rsid w:val="002234F7"/>
    <w:rsid w:val="00237CE9"/>
    <w:rsid w:val="0024107E"/>
    <w:rsid w:val="00243DEC"/>
    <w:rsid w:val="00246944"/>
    <w:rsid w:val="00252913"/>
    <w:rsid w:val="00257D00"/>
    <w:rsid w:val="002630D6"/>
    <w:rsid w:val="00266F5B"/>
    <w:rsid w:val="002710EE"/>
    <w:rsid w:val="00272CE1"/>
    <w:rsid w:val="00276C7E"/>
    <w:rsid w:val="00285F5C"/>
    <w:rsid w:val="00287A5C"/>
    <w:rsid w:val="0029758B"/>
    <w:rsid w:val="002A0BA2"/>
    <w:rsid w:val="002A5EF7"/>
    <w:rsid w:val="002A7CA8"/>
    <w:rsid w:val="002B1C2D"/>
    <w:rsid w:val="002B5A97"/>
    <w:rsid w:val="002B690D"/>
    <w:rsid w:val="002B6CE6"/>
    <w:rsid w:val="002C1C18"/>
    <w:rsid w:val="002C4CDD"/>
    <w:rsid w:val="002D09A9"/>
    <w:rsid w:val="002D64E0"/>
    <w:rsid w:val="002E0DC3"/>
    <w:rsid w:val="002E1EE7"/>
    <w:rsid w:val="002E79ED"/>
    <w:rsid w:val="002F16DE"/>
    <w:rsid w:val="002F1DA4"/>
    <w:rsid w:val="002F5AC0"/>
    <w:rsid w:val="002F71DF"/>
    <w:rsid w:val="003029C9"/>
    <w:rsid w:val="00320510"/>
    <w:rsid w:val="00321151"/>
    <w:rsid w:val="003224EB"/>
    <w:rsid w:val="00345730"/>
    <w:rsid w:val="00346A64"/>
    <w:rsid w:val="00355777"/>
    <w:rsid w:val="00356756"/>
    <w:rsid w:val="0035734A"/>
    <w:rsid w:val="00362403"/>
    <w:rsid w:val="003751C8"/>
    <w:rsid w:val="00376327"/>
    <w:rsid w:val="003804EA"/>
    <w:rsid w:val="00383434"/>
    <w:rsid w:val="00387C7B"/>
    <w:rsid w:val="00397AAB"/>
    <w:rsid w:val="003B131D"/>
    <w:rsid w:val="003B2F60"/>
    <w:rsid w:val="003C363B"/>
    <w:rsid w:val="003C5348"/>
    <w:rsid w:val="003D23D0"/>
    <w:rsid w:val="003D27FA"/>
    <w:rsid w:val="003D2827"/>
    <w:rsid w:val="003D437D"/>
    <w:rsid w:val="003D49A5"/>
    <w:rsid w:val="003E59C5"/>
    <w:rsid w:val="003E7229"/>
    <w:rsid w:val="00400FCA"/>
    <w:rsid w:val="004023A4"/>
    <w:rsid w:val="00404777"/>
    <w:rsid w:val="00404976"/>
    <w:rsid w:val="0040669E"/>
    <w:rsid w:val="00406796"/>
    <w:rsid w:val="00411C2C"/>
    <w:rsid w:val="00414D23"/>
    <w:rsid w:val="00414F9E"/>
    <w:rsid w:val="00417F50"/>
    <w:rsid w:val="00426BC5"/>
    <w:rsid w:val="00427B66"/>
    <w:rsid w:val="00431F39"/>
    <w:rsid w:val="00432864"/>
    <w:rsid w:val="00436FAD"/>
    <w:rsid w:val="0043775E"/>
    <w:rsid w:val="004462B0"/>
    <w:rsid w:val="00446C42"/>
    <w:rsid w:val="004501EE"/>
    <w:rsid w:val="00453C72"/>
    <w:rsid w:val="00455D12"/>
    <w:rsid w:val="00463FB0"/>
    <w:rsid w:val="004708CC"/>
    <w:rsid w:val="00472F78"/>
    <w:rsid w:val="004730DF"/>
    <w:rsid w:val="004743CA"/>
    <w:rsid w:val="0047734D"/>
    <w:rsid w:val="00477D14"/>
    <w:rsid w:val="00480CE2"/>
    <w:rsid w:val="00487180"/>
    <w:rsid w:val="00487C57"/>
    <w:rsid w:val="0049101F"/>
    <w:rsid w:val="004914DE"/>
    <w:rsid w:val="0049288E"/>
    <w:rsid w:val="00496EF5"/>
    <w:rsid w:val="004A43BF"/>
    <w:rsid w:val="004A56B8"/>
    <w:rsid w:val="004B0028"/>
    <w:rsid w:val="004B0264"/>
    <w:rsid w:val="004B0814"/>
    <w:rsid w:val="004B56F7"/>
    <w:rsid w:val="004B6109"/>
    <w:rsid w:val="004C1DCC"/>
    <w:rsid w:val="004C2B90"/>
    <w:rsid w:val="004D2352"/>
    <w:rsid w:val="004D40EF"/>
    <w:rsid w:val="004D57DC"/>
    <w:rsid w:val="004D5968"/>
    <w:rsid w:val="004D6ABA"/>
    <w:rsid w:val="004D7782"/>
    <w:rsid w:val="004E1BEE"/>
    <w:rsid w:val="004E2182"/>
    <w:rsid w:val="004F081E"/>
    <w:rsid w:val="004F50FC"/>
    <w:rsid w:val="00501BCB"/>
    <w:rsid w:val="00501D80"/>
    <w:rsid w:val="0050223B"/>
    <w:rsid w:val="00502C35"/>
    <w:rsid w:val="00503343"/>
    <w:rsid w:val="00511302"/>
    <w:rsid w:val="00511EDA"/>
    <w:rsid w:val="005122EA"/>
    <w:rsid w:val="0051614D"/>
    <w:rsid w:val="00520227"/>
    <w:rsid w:val="00520755"/>
    <w:rsid w:val="00534A56"/>
    <w:rsid w:val="00534B34"/>
    <w:rsid w:val="00534B96"/>
    <w:rsid w:val="00536A5E"/>
    <w:rsid w:val="00541B22"/>
    <w:rsid w:val="00541D5C"/>
    <w:rsid w:val="00570BDA"/>
    <w:rsid w:val="00571A5C"/>
    <w:rsid w:val="00572AE3"/>
    <w:rsid w:val="005777B5"/>
    <w:rsid w:val="005838DF"/>
    <w:rsid w:val="00591BF8"/>
    <w:rsid w:val="00594125"/>
    <w:rsid w:val="00594468"/>
    <w:rsid w:val="005A463B"/>
    <w:rsid w:val="005A67A8"/>
    <w:rsid w:val="005A7748"/>
    <w:rsid w:val="005B1D81"/>
    <w:rsid w:val="005B1F35"/>
    <w:rsid w:val="005B2F98"/>
    <w:rsid w:val="005B3CEA"/>
    <w:rsid w:val="005C17E6"/>
    <w:rsid w:val="005C3252"/>
    <w:rsid w:val="005D0098"/>
    <w:rsid w:val="005D085C"/>
    <w:rsid w:val="005D1E51"/>
    <w:rsid w:val="005D1F0C"/>
    <w:rsid w:val="005D494C"/>
    <w:rsid w:val="005D4EE0"/>
    <w:rsid w:val="005D6327"/>
    <w:rsid w:val="005D6E1A"/>
    <w:rsid w:val="005D7648"/>
    <w:rsid w:val="005D7E92"/>
    <w:rsid w:val="005E1CF2"/>
    <w:rsid w:val="005E361A"/>
    <w:rsid w:val="005F0CD4"/>
    <w:rsid w:val="005F33BF"/>
    <w:rsid w:val="005F3FE6"/>
    <w:rsid w:val="005F4C3B"/>
    <w:rsid w:val="00600288"/>
    <w:rsid w:val="00602017"/>
    <w:rsid w:val="00602C0C"/>
    <w:rsid w:val="00610BFA"/>
    <w:rsid w:val="00611A51"/>
    <w:rsid w:val="00613A8C"/>
    <w:rsid w:val="00614078"/>
    <w:rsid w:val="00615B72"/>
    <w:rsid w:val="006170BC"/>
    <w:rsid w:val="00621AFB"/>
    <w:rsid w:val="006269F6"/>
    <w:rsid w:val="0063193A"/>
    <w:rsid w:val="0063293D"/>
    <w:rsid w:val="00633011"/>
    <w:rsid w:val="00634107"/>
    <w:rsid w:val="00636F23"/>
    <w:rsid w:val="006402D8"/>
    <w:rsid w:val="006415B4"/>
    <w:rsid w:val="00653229"/>
    <w:rsid w:val="00653783"/>
    <w:rsid w:val="0065729B"/>
    <w:rsid w:val="006574F3"/>
    <w:rsid w:val="00663AA4"/>
    <w:rsid w:val="00674CD6"/>
    <w:rsid w:val="00680BEB"/>
    <w:rsid w:val="0068198C"/>
    <w:rsid w:val="0068203A"/>
    <w:rsid w:val="00683331"/>
    <w:rsid w:val="00687F2B"/>
    <w:rsid w:val="00692997"/>
    <w:rsid w:val="0069321D"/>
    <w:rsid w:val="006A1750"/>
    <w:rsid w:val="006A2F58"/>
    <w:rsid w:val="006A42E9"/>
    <w:rsid w:val="006B5F7F"/>
    <w:rsid w:val="006B773E"/>
    <w:rsid w:val="006D4660"/>
    <w:rsid w:val="006D47E8"/>
    <w:rsid w:val="006D65C4"/>
    <w:rsid w:val="006D783A"/>
    <w:rsid w:val="006E0BAF"/>
    <w:rsid w:val="006E355F"/>
    <w:rsid w:val="006E6598"/>
    <w:rsid w:val="006E7439"/>
    <w:rsid w:val="006F513F"/>
    <w:rsid w:val="00704BAD"/>
    <w:rsid w:val="00707038"/>
    <w:rsid w:val="007075B6"/>
    <w:rsid w:val="00711E34"/>
    <w:rsid w:val="00712363"/>
    <w:rsid w:val="00713F10"/>
    <w:rsid w:val="00713F69"/>
    <w:rsid w:val="00715B18"/>
    <w:rsid w:val="00717E24"/>
    <w:rsid w:val="0072627D"/>
    <w:rsid w:val="00726AB9"/>
    <w:rsid w:val="00726F8D"/>
    <w:rsid w:val="00730C18"/>
    <w:rsid w:val="00732212"/>
    <w:rsid w:val="00733517"/>
    <w:rsid w:val="007369D1"/>
    <w:rsid w:val="007427F2"/>
    <w:rsid w:val="00743C83"/>
    <w:rsid w:val="00750E66"/>
    <w:rsid w:val="00751BF5"/>
    <w:rsid w:val="00767DBD"/>
    <w:rsid w:val="00770A4C"/>
    <w:rsid w:val="00773779"/>
    <w:rsid w:val="00775300"/>
    <w:rsid w:val="00780FC9"/>
    <w:rsid w:val="00780FD3"/>
    <w:rsid w:val="00781A14"/>
    <w:rsid w:val="007940E1"/>
    <w:rsid w:val="007957DF"/>
    <w:rsid w:val="00796824"/>
    <w:rsid w:val="00797DF7"/>
    <w:rsid w:val="007A16DE"/>
    <w:rsid w:val="007A25DD"/>
    <w:rsid w:val="007B03E7"/>
    <w:rsid w:val="007C5AC0"/>
    <w:rsid w:val="007C6261"/>
    <w:rsid w:val="007D10C2"/>
    <w:rsid w:val="007D1A2C"/>
    <w:rsid w:val="007D43BA"/>
    <w:rsid w:val="007D4416"/>
    <w:rsid w:val="007D4C09"/>
    <w:rsid w:val="007F06D9"/>
    <w:rsid w:val="007F261A"/>
    <w:rsid w:val="007F397B"/>
    <w:rsid w:val="007F68DF"/>
    <w:rsid w:val="00800B6B"/>
    <w:rsid w:val="00802EA4"/>
    <w:rsid w:val="00804DC5"/>
    <w:rsid w:val="008063D3"/>
    <w:rsid w:val="0082164D"/>
    <w:rsid w:val="00821A92"/>
    <w:rsid w:val="00824F53"/>
    <w:rsid w:val="00826796"/>
    <w:rsid w:val="00832FD7"/>
    <w:rsid w:val="00846B18"/>
    <w:rsid w:val="00851F21"/>
    <w:rsid w:val="00853C66"/>
    <w:rsid w:val="00862CAC"/>
    <w:rsid w:val="00870AF3"/>
    <w:rsid w:val="00871ACD"/>
    <w:rsid w:val="008744E0"/>
    <w:rsid w:val="00881778"/>
    <w:rsid w:val="00881CA5"/>
    <w:rsid w:val="008828CD"/>
    <w:rsid w:val="00882AAB"/>
    <w:rsid w:val="008838A3"/>
    <w:rsid w:val="00884893"/>
    <w:rsid w:val="00894F79"/>
    <w:rsid w:val="00896847"/>
    <w:rsid w:val="008A1CFF"/>
    <w:rsid w:val="008A38DC"/>
    <w:rsid w:val="008B2C97"/>
    <w:rsid w:val="008B4FF5"/>
    <w:rsid w:val="008B5EF7"/>
    <w:rsid w:val="008B7117"/>
    <w:rsid w:val="008C0BEB"/>
    <w:rsid w:val="008C54B5"/>
    <w:rsid w:val="008D3C24"/>
    <w:rsid w:val="008D5F9E"/>
    <w:rsid w:val="008D7D37"/>
    <w:rsid w:val="008D7DD6"/>
    <w:rsid w:val="008E638D"/>
    <w:rsid w:val="008E725C"/>
    <w:rsid w:val="008E7B34"/>
    <w:rsid w:val="008F4975"/>
    <w:rsid w:val="009024A0"/>
    <w:rsid w:val="00902532"/>
    <w:rsid w:val="00907C53"/>
    <w:rsid w:val="009140A2"/>
    <w:rsid w:val="00915B3C"/>
    <w:rsid w:val="009165C0"/>
    <w:rsid w:val="00916833"/>
    <w:rsid w:val="00916AAB"/>
    <w:rsid w:val="00924F33"/>
    <w:rsid w:val="00933329"/>
    <w:rsid w:val="00933489"/>
    <w:rsid w:val="00935451"/>
    <w:rsid w:val="00937FB3"/>
    <w:rsid w:val="0094192E"/>
    <w:rsid w:val="00942241"/>
    <w:rsid w:val="009434E3"/>
    <w:rsid w:val="00943BC4"/>
    <w:rsid w:val="009443B3"/>
    <w:rsid w:val="009555BB"/>
    <w:rsid w:val="00957F02"/>
    <w:rsid w:val="009603CD"/>
    <w:rsid w:val="009644C2"/>
    <w:rsid w:val="009713CB"/>
    <w:rsid w:val="009727CB"/>
    <w:rsid w:val="00975DFD"/>
    <w:rsid w:val="00980686"/>
    <w:rsid w:val="009825FB"/>
    <w:rsid w:val="00982815"/>
    <w:rsid w:val="00986CF5"/>
    <w:rsid w:val="00993B02"/>
    <w:rsid w:val="00997409"/>
    <w:rsid w:val="009A4EB2"/>
    <w:rsid w:val="009A55B8"/>
    <w:rsid w:val="009B26BE"/>
    <w:rsid w:val="009C3CB0"/>
    <w:rsid w:val="009D5BF9"/>
    <w:rsid w:val="009E1059"/>
    <w:rsid w:val="009E1974"/>
    <w:rsid w:val="009E4994"/>
    <w:rsid w:val="009F3EFF"/>
    <w:rsid w:val="009F7F48"/>
    <w:rsid w:val="00A0194B"/>
    <w:rsid w:val="00A044B8"/>
    <w:rsid w:val="00A06B56"/>
    <w:rsid w:val="00A06B6C"/>
    <w:rsid w:val="00A16994"/>
    <w:rsid w:val="00A23B17"/>
    <w:rsid w:val="00A2436F"/>
    <w:rsid w:val="00A26145"/>
    <w:rsid w:val="00A276FE"/>
    <w:rsid w:val="00A30451"/>
    <w:rsid w:val="00A33B0F"/>
    <w:rsid w:val="00A352A1"/>
    <w:rsid w:val="00A35FC0"/>
    <w:rsid w:val="00A42915"/>
    <w:rsid w:val="00A42D0D"/>
    <w:rsid w:val="00A469CF"/>
    <w:rsid w:val="00A473D1"/>
    <w:rsid w:val="00A51053"/>
    <w:rsid w:val="00A53019"/>
    <w:rsid w:val="00A53E8E"/>
    <w:rsid w:val="00A54CF0"/>
    <w:rsid w:val="00A5733C"/>
    <w:rsid w:val="00A66172"/>
    <w:rsid w:val="00A72172"/>
    <w:rsid w:val="00A72633"/>
    <w:rsid w:val="00A75FC0"/>
    <w:rsid w:val="00A76305"/>
    <w:rsid w:val="00A80CD5"/>
    <w:rsid w:val="00A8205A"/>
    <w:rsid w:val="00A841E7"/>
    <w:rsid w:val="00A851A8"/>
    <w:rsid w:val="00A954C0"/>
    <w:rsid w:val="00A95719"/>
    <w:rsid w:val="00A978BF"/>
    <w:rsid w:val="00AA0B9F"/>
    <w:rsid w:val="00AA2DAF"/>
    <w:rsid w:val="00AA459B"/>
    <w:rsid w:val="00AB392B"/>
    <w:rsid w:val="00AB671E"/>
    <w:rsid w:val="00AB7998"/>
    <w:rsid w:val="00AC6BCB"/>
    <w:rsid w:val="00AD0D47"/>
    <w:rsid w:val="00AD1271"/>
    <w:rsid w:val="00AD4C4C"/>
    <w:rsid w:val="00AD5F0F"/>
    <w:rsid w:val="00AE3069"/>
    <w:rsid w:val="00AE5811"/>
    <w:rsid w:val="00AF2481"/>
    <w:rsid w:val="00AF5199"/>
    <w:rsid w:val="00B03887"/>
    <w:rsid w:val="00B03C5F"/>
    <w:rsid w:val="00B045F6"/>
    <w:rsid w:val="00B05B2E"/>
    <w:rsid w:val="00B11F35"/>
    <w:rsid w:val="00B12432"/>
    <w:rsid w:val="00B248D7"/>
    <w:rsid w:val="00B27D91"/>
    <w:rsid w:val="00B31AD8"/>
    <w:rsid w:val="00B442B5"/>
    <w:rsid w:val="00B501C1"/>
    <w:rsid w:val="00B54317"/>
    <w:rsid w:val="00B5435C"/>
    <w:rsid w:val="00B55CA0"/>
    <w:rsid w:val="00B578B2"/>
    <w:rsid w:val="00B60F1C"/>
    <w:rsid w:val="00B613AD"/>
    <w:rsid w:val="00B71456"/>
    <w:rsid w:val="00B73BF8"/>
    <w:rsid w:val="00B744F7"/>
    <w:rsid w:val="00B76E9E"/>
    <w:rsid w:val="00B87FDB"/>
    <w:rsid w:val="00B9020C"/>
    <w:rsid w:val="00B91AD4"/>
    <w:rsid w:val="00BA197D"/>
    <w:rsid w:val="00BA2229"/>
    <w:rsid w:val="00BA240A"/>
    <w:rsid w:val="00BA4F67"/>
    <w:rsid w:val="00BA54B7"/>
    <w:rsid w:val="00BA6162"/>
    <w:rsid w:val="00BB0BD6"/>
    <w:rsid w:val="00BE2C66"/>
    <w:rsid w:val="00BF056D"/>
    <w:rsid w:val="00BF66C3"/>
    <w:rsid w:val="00BF7472"/>
    <w:rsid w:val="00C05BFB"/>
    <w:rsid w:val="00C108AB"/>
    <w:rsid w:val="00C20C14"/>
    <w:rsid w:val="00C228F9"/>
    <w:rsid w:val="00C22A68"/>
    <w:rsid w:val="00C26460"/>
    <w:rsid w:val="00C276D4"/>
    <w:rsid w:val="00C31077"/>
    <w:rsid w:val="00C4523A"/>
    <w:rsid w:val="00C466E6"/>
    <w:rsid w:val="00C50FA3"/>
    <w:rsid w:val="00C53AD2"/>
    <w:rsid w:val="00C60D60"/>
    <w:rsid w:val="00C611CB"/>
    <w:rsid w:val="00C62C19"/>
    <w:rsid w:val="00C64581"/>
    <w:rsid w:val="00C6475A"/>
    <w:rsid w:val="00C65018"/>
    <w:rsid w:val="00C704E8"/>
    <w:rsid w:val="00C717F8"/>
    <w:rsid w:val="00C76956"/>
    <w:rsid w:val="00C85D4C"/>
    <w:rsid w:val="00C869CD"/>
    <w:rsid w:val="00C915A1"/>
    <w:rsid w:val="00C92D98"/>
    <w:rsid w:val="00CA32FF"/>
    <w:rsid w:val="00CA7CF8"/>
    <w:rsid w:val="00CB144D"/>
    <w:rsid w:val="00CC1F71"/>
    <w:rsid w:val="00CD0306"/>
    <w:rsid w:val="00CD1DBE"/>
    <w:rsid w:val="00CD3E0B"/>
    <w:rsid w:val="00CD4BD9"/>
    <w:rsid w:val="00CD51CC"/>
    <w:rsid w:val="00CE1A8A"/>
    <w:rsid w:val="00CE3CF7"/>
    <w:rsid w:val="00CF0BE3"/>
    <w:rsid w:val="00CF588C"/>
    <w:rsid w:val="00CF6B72"/>
    <w:rsid w:val="00D0533B"/>
    <w:rsid w:val="00D10C63"/>
    <w:rsid w:val="00D114A7"/>
    <w:rsid w:val="00D11737"/>
    <w:rsid w:val="00D3315B"/>
    <w:rsid w:val="00D441F4"/>
    <w:rsid w:val="00D46BDE"/>
    <w:rsid w:val="00D4799D"/>
    <w:rsid w:val="00D51123"/>
    <w:rsid w:val="00D56043"/>
    <w:rsid w:val="00D56FA0"/>
    <w:rsid w:val="00D715B4"/>
    <w:rsid w:val="00D75993"/>
    <w:rsid w:val="00D809FF"/>
    <w:rsid w:val="00D81428"/>
    <w:rsid w:val="00D86BFA"/>
    <w:rsid w:val="00D91CFD"/>
    <w:rsid w:val="00D96647"/>
    <w:rsid w:val="00DA049C"/>
    <w:rsid w:val="00DA656D"/>
    <w:rsid w:val="00DB04E3"/>
    <w:rsid w:val="00DB3D01"/>
    <w:rsid w:val="00DB5246"/>
    <w:rsid w:val="00DB5ABB"/>
    <w:rsid w:val="00DC32F8"/>
    <w:rsid w:val="00DD02CE"/>
    <w:rsid w:val="00DD15F6"/>
    <w:rsid w:val="00DD1DFB"/>
    <w:rsid w:val="00DD2F53"/>
    <w:rsid w:val="00DD5B05"/>
    <w:rsid w:val="00DD7D88"/>
    <w:rsid w:val="00DE2C0A"/>
    <w:rsid w:val="00DE59D9"/>
    <w:rsid w:val="00DE6002"/>
    <w:rsid w:val="00DF4A1D"/>
    <w:rsid w:val="00E02B60"/>
    <w:rsid w:val="00E033E6"/>
    <w:rsid w:val="00E03DFD"/>
    <w:rsid w:val="00E0458C"/>
    <w:rsid w:val="00E113CE"/>
    <w:rsid w:val="00E11583"/>
    <w:rsid w:val="00E11E4D"/>
    <w:rsid w:val="00E14A0A"/>
    <w:rsid w:val="00E16088"/>
    <w:rsid w:val="00E16369"/>
    <w:rsid w:val="00E2159D"/>
    <w:rsid w:val="00E257C8"/>
    <w:rsid w:val="00E30F3D"/>
    <w:rsid w:val="00E406B2"/>
    <w:rsid w:val="00E42BEA"/>
    <w:rsid w:val="00E4489F"/>
    <w:rsid w:val="00E51102"/>
    <w:rsid w:val="00E54D4F"/>
    <w:rsid w:val="00E66D0E"/>
    <w:rsid w:val="00E67594"/>
    <w:rsid w:val="00E7567D"/>
    <w:rsid w:val="00E76639"/>
    <w:rsid w:val="00E77352"/>
    <w:rsid w:val="00E87AA0"/>
    <w:rsid w:val="00EA0E14"/>
    <w:rsid w:val="00EA6A32"/>
    <w:rsid w:val="00EA6C51"/>
    <w:rsid w:val="00EA7EEC"/>
    <w:rsid w:val="00EB0E5C"/>
    <w:rsid w:val="00EB281F"/>
    <w:rsid w:val="00EB3EE4"/>
    <w:rsid w:val="00EB61F5"/>
    <w:rsid w:val="00EC2AE7"/>
    <w:rsid w:val="00EC5E76"/>
    <w:rsid w:val="00ED0B5B"/>
    <w:rsid w:val="00ED1610"/>
    <w:rsid w:val="00ED35FC"/>
    <w:rsid w:val="00ED3F44"/>
    <w:rsid w:val="00ED70F9"/>
    <w:rsid w:val="00ED74CD"/>
    <w:rsid w:val="00EE2597"/>
    <w:rsid w:val="00EE3A7D"/>
    <w:rsid w:val="00EF6B2B"/>
    <w:rsid w:val="00EF709C"/>
    <w:rsid w:val="00F0112C"/>
    <w:rsid w:val="00F01507"/>
    <w:rsid w:val="00F024E5"/>
    <w:rsid w:val="00F037F5"/>
    <w:rsid w:val="00F050FF"/>
    <w:rsid w:val="00F05E88"/>
    <w:rsid w:val="00F07CB4"/>
    <w:rsid w:val="00F13E17"/>
    <w:rsid w:val="00F2045E"/>
    <w:rsid w:val="00F2295D"/>
    <w:rsid w:val="00F24788"/>
    <w:rsid w:val="00F31791"/>
    <w:rsid w:val="00F341D0"/>
    <w:rsid w:val="00F37AF5"/>
    <w:rsid w:val="00F4025B"/>
    <w:rsid w:val="00F402CF"/>
    <w:rsid w:val="00F409CA"/>
    <w:rsid w:val="00F413C2"/>
    <w:rsid w:val="00F42F25"/>
    <w:rsid w:val="00F4314E"/>
    <w:rsid w:val="00F44913"/>
    <w:rsid w:val="00F546EF"/>
    <w:rsid w:val="00F550DC"/>
    <w:rsid w:val="00F67DC9"/>
    <w:rsid w:val="00F741E1"/>
    <w:rsid w:val="00F77490"/>
    <w:rsid w:val="00F82E1F"/>
    <w:rsid w:val="00F848E7"/>
    <w:rsid w:val="00F94D28"/>
    <w:rsid w:val="00F95323"/>
    <w:rsid w:val="00F96AD3"/>
    <w:rsid w:val="00FA69BC"/>
    <w:rsid w:val="00FA7276"/>
    <w:rsid w:val="00FB2F4D"/>
    <w:rsid w:val="00FC4092"/>
    <w:rsid w:val="00FC4C59"/>
    <w:rsid w:val="00FC50F5"/>
    <w:rsid w:val="00FD0734"/>
    <w:rsid w:val="00FD0F1B"/>
    <w:rsid w:val="00FD60A6"/>
    <w:rsid w:val="00FE0F8F"/>
    <w:rsid w:val="00FF4DBD"/>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054"/>
  <w15:chartTrackingRefBased/>
  <w15:docId w15:val="{E773F571-4B99-4B1E-AA1D-A2A537E5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FF5"/>
  </w:style>
  <w:style w:type="table" w:styleId="TableGrid">
    <w:name w:val="Table Grid"/>
    <w:basedOn w:val="TableNormal"/>
    <w:uiPriority w:val="39"/>
    <w:rsid w:val="008B4FF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F2D"/>
    <w:pPr>
      <w:ind w:left="720"/>
      <w:contextualSpacing/>
    </w:pPr>
  </w:style>
  <w:style w:type="paragraph" w:customStyle="1" w:styleId="FootnoteText1">
    <w:name w:val="Footnote Text1"/>
    <w:basedOn w:val="Normal"/>
    <w:next w:val="FootnoteText"/>
    <w:link w:val="FootnoteTextChar"/>
    <w:uiPriority w:val="99"/>
    <w:semiHidden/>
    <w:unhideWhenUsed/>
    <w:rsid w:val="006A1750"/>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A1750"/>
    <w:rPr>
      <w:sz w:val="20"/>
      <w:szCs w:val="20"/>
    </w:rPr>
  </w:style>
  <w:style w:type="character" w:styleId="FootnoteReference">
    <w:name w:val="footnote reference"/>
    <w:basedOn w:val="DefaultParagraphFont"/>
    <w:uiPriority w:val="99"/>
    <w:unhideWhenUsed/>
    <w:rsid w:val="006A1750"/>
    <w:rPr>
      <w:vertAlign w:val="superscript"/>
    </w:rPr>
  </w:style>
  <w:style w:type="paragraph" w:styleId="FootnoteText">
    <w:name w:val="footnote text"/>
    <w:basedOn w:val="Normal"/>
    <w:link w:val="FootnoteTextChar1"/>
    <w:uiPriority w:val="99"/>
    <w:semiHidden/>
    <w:unhideWhenUsed/>
    <w:rsid w:val="006A175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A1750"/>
    <w:rPr>
      <w:sz w:val="20"/>
      <w:szCs w:val="20"/>
    </w:rPr>
  </w:style>
  <w:style w:type="paragraph" w:styleId="NormalWeb">
    <w:name w:val="Normal (Web)"/>
    <w:basedOn w:val="Normal"/>
    <w:uiPriority w:val="99"/>
    <w:unhideWhenUsed/>
    <w:rsid w:val="00A53E8E"/>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71A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A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2023-07-27T18:30:00+00:00</Judgment_x0020_Date>
    <Year xmlns="63bdd487-88aa-4c54-b893-ddaa81ed2e7c">2023</Year>
  </documentManagement>
</p:properties>
</file>

<file path=customXml/itemProps1.xml><?xml version="1.0" encoding="utf-8"?>
<ds:datastoreItem xmlns:ds="http://schemas.openxmlformats.org/officeDocument/2006/customXml" ds:itemID="{176B6D9D-718A-4A33-9E81-B0A3F19858FC}"/>
</file>

<file path=customXml/itemProps2.xml><?xml version="1.0" encoding="utf-8"?>
<ds:datastoreItem xmlns:ds="http://schemas.openxmlformats.org/officeDocument/2006/customXml" ds:itemID="{E48824C9-D095-4A7B-B5F7-5D44E6E205C2}"/>
</file>

<file path=customXml/itemProps3.xml><?xml version="1.0" encoding="utf-8"?>
<ds:datastoreItem xmlns:ds="http://schemas.openxmlformats.org/officeDocument/2006/customXml" ds:itemID="{0654D2CB-191E-4248-A40B-917BD5945B74}"/>
</file>

<file path=customXml/itemProps4.xml><?xml version="1.0" encoding="utf-8"?>
<ds:datastoreItem xmlns:ds="http://schemas.openxmlformats.org/officeDocument/2006/customXml" ds:itemID="{A9393DD3-3316-402B-8DEE-51B1B2CD6CCB}"/>
</file>

<file path=docProps/app.xml><?xml version="1.0" encoding="utf-8"?>
<Properties xmlns="http://schemas.openxmlformats.org/officeDocument/2006/extended-properties" xmlns:vt="http://schemas.openxmlformats.org/officeDocument/2006/docPropsVTypes">
  <Template>Normal</Template>
  <TotalTime>2</TotalTime>
  <Pages>21</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Consulting Engineers CC  v Minister of Works and Transport and other (SA31-2021) [2023] NASC (28 July 2023)</dc:title>
  <dc:subject/>
  <dc:creator>Helvi Hilifilwa</dc:creator>
  <cp:keywords/>
  <dc:description/>
  <cp:lastModifiedBy>Sevelia Nghitumbwa</cp:lastModifiedBy>
  <cp:revision>2</cp:revision>
  <cp:lastPrinted>2023-07-28T05:34:00Z</cp:lastPrinted>
  <dcterms:created xsi:type="dcterms:W3CDTF">2023-07-28T09:28:00Z</dcterms:created>
  <dcterms:modified xsi:type="dcterms:W3CDTF">2023-07-28T09:28:00Z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