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6CDD" w14:textId="77777777" w:rsidR="00007E5E" w:rsidRPr="00276985" w:rsidRDefault="00007E5E" w:rsidP="00FD4ECB">
      <w:pPr>
        <w:spacing w:after="0" w:line="480" w:lineRule="auto"/>
        <w:jc w:val="center"/>
        <w:rPr>
          <w:rFonts w:ascii="Arial" w:eastAsia="Calibri" w:hAnsi="Arial" w:cs="Times New Roman"/>
          <w:b/>
          <w:sz w:val="24"/>
          <w:lang w:val="en-ZA"/>
        </w:rPr>
      </w:pPr>
      <w:r w:rsidRPr="00276985">
        <w:rPr>
          <w:rFonts w:ascii="Arial" w:eastAsia="Calibri" w:hAnsi="Arial" w:cs="Times New Roman"/>
          <w:b/>
          <w:noProof/>
          <w:sz w:val="24"/>
          <w:lang w:val="en-ZA" w:eastAsia="en-ZA"/>
        </w:rPr>
        <w:drawing>
          <wp:inline distT="0" distB="0" distL="0" distR="0" wp14:anchorId="2D08FFBC" wp14:editId="4D479D26">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69E03A91" w14:textId="77777777" w:rsidR="00007E5E" w:rsidRPr="00276985" w:rsidRDefault="00007E5E" w:rsidP="00FD4ECB">
      <w:pPr>
        <w:spacing w:after="0" w:line="480" w:lineRule="auto"/>
        <w:jc w:val="right"/>
        <w:outlineLvl w:val="0"/>
        <w:rPr>
          <w:rFonts w:ascii="Arial" w:eastAsia="Calibri" w:hAnsi="Arial" w:cs="Arial"/>
          <w:b/>
          <w:sz w:val="24"/>
          <w:szCs w:val="24"/>
          <w:lang w:val="en-ZA"/>
        </w:rPr>
      </w:pPr>
      <w:r w:rsidRPr="00276985">
        <w:rPr>
          <w:rFonts w:ascii="Arial" w:eastAsia="Calibri" w:hAnsi="Arial" w:cs="Arial"/>
          <w:b/>
          <w:sz w:val="24"/>
          <w:szCs w:val="24"/>
          <w:lang w:val="en-ZA"/>
        </w:rPr>
        <w:t>REPORTABLE</w:t>
      </w:r>
    </w:p>
    <w:p w14:paraId="5A33B62C" w14:textId="77777777" w:rsidR="00007E5E" w:rsidRPr="00276985" w:rsidRDefault="00007E5E" w:rsidP="00FD4ECB">
      <w:pPr>
        <w:spacing w:after="0" w:line="480" w:lineRule="auto"/>
        <w:jc w:val="right"/>
        <w:outlineLvl w:val="0"/>
        <w:rPr>
          <w:rFonts w:ascii="Arial" w:eastAsia="Calibri" w:hAnsi="Arial" w:cs="Arial"/>
          <w:sz w:val="24"/>
          <w:szCs w:val="24"/>
          <w:lang w:val="en-ZA"/>
        </w:rPr>
      </w:pPr>
      <w:r w:rsidRPr="00276985">
        <w:rPr>
          <w:rFonts w:ascii="Arial" w:eastAsia="Calibri" w:hAnsi="Arial" w:cs="Arial"/>
          <w:sz w:val="24"/>
          <w:szCs w:val="24"/>
          <w:lang w:val="en-ZA"/>
        </w:rPr>
        <w:t xml:space="preserve">CASE NO: SA </w:t>
      </w:r>
      <w:r w:rsidR="00D71AC1">
        <w:rPr>
          <w:rFonts w:ascii="Arial" w:eastAsia="Calibri" w:hAnsi="Arial" w:cs="Arial"/>
          <w:sz w:val="24"/>
          <w:szCs w:val="24"/>
          <w:lang w:val="en-GB"/>
        </w:rPr>
        <w:t>20/2021</w:t>
      </w:r>
    </w:p>
    <w:p w14:paraId="224A31AA" w14:textId="77777777" w:rsidR="00007E5E" w:rsidRPr="00276985" w:rsidRDefault="00007E5E" w:rsidP="00FD4ECB">
      <w:pPr>
        <w:spacing w:after="0" w:line="480" w:lineRule="auto"/>
        <w:outlineLvl w:val="0"/>
        <w:rPr>
          <w:rFonts w:ascii="Arial" w:eastAsia="Calibri" w:hAnsi="Arial" w:cs="Arial"/>
          <w:b/>
          <w:sz w:val="24"/>
          <w:szCs w:val="24"/>
          <w:lang w:val="en-ZA"/>
        </w:rPr>
      </w:pPr>
      <w:r w:rsidRPr="00276985">
        <w:rPr>
          <w:rFonts w:ascii="Arial" w:eastAsia="Calibri" w:hAnsi="Arial" w:cs="Arial"/>
          <w:b/>
          <w:sz w:val="24"/>
          <w:szCs w:val="24"/>
          <w:lang w:val="en-ZA"/>
        </w:rPr>
        <w:t>IN THE SUPREME COURT OF NAMIBIA</w:t>
      </w:r>
    </w:p>
    <w:p w14:paraId="576FE645" w14:textId="77777777" w:rsidR="001E04D7" w:rsidRDefault="001E04D7" w:rsidP="00FD4ECB">
      <w:pPr>
        <w:spacing w:after="0" w:line="480" w:lineRule="auto"/>
        <w:rPr>
          <w:rFonts w:ascii="Arial" w:eastAsia="Calibri" w:hAnsi="Arial" w:cs="Arial"/>
          <w:sz w:val="24"/>
          <w:lang w:val="en-ZA"/>
        </w:rPr>
      </w:pPr>
    </w:p>
    <w:p w14:paraId="684E3095" w14:textId="77777777" w:rsidR="00007E5E" w:rsidRPr="00276985" w:rsidRDefault="00007E5E" w:rsidP="00FD4ECB">
      <w:pPr>
        <w:spacing w:after="0" w:line="480" w:lineRule="auto"/>
        <w:rPr>
          <w:rFonts w:ascii="Arial" w:eastAsia="Calibri" w:hAnsi="Arial" w:cs="Arial"/>
          <w:sz w:val="24"/>
          <w:lang w:val="en-ZA"/>
        </w:rPr>
      </w:pPr>
      <w:r w:rsidRPr="00276985">
        <w:rPr>
          <w:rFonts w:ascii="Arial" w:eastAsia="Calibri" w:hAnsi="Arial" w:cs="Arial"/>
          <w:sz w:val="24"/>
          <w:lang w:val="en-ZA"/>
        </w:rPr>
        <w:t>In the matter between:</w:t>
      </w:r>
    </w:p>
    <w:p w14:paraId="22539CD1" w14:textId="77777777" w:rsidR="00AC21A0" w:rsidRDefault="00AC21A0" w:rsidP="00FD4ECB">
      <w:pPr>
        <w:tabs>
          <w:tab w:val="right" w:pos="9356"/>
        </w:tabs>
        <w:spacing w:after="0" w:line="480" w:lineRule="auto"/>
        <w:rPr>
          <w:rFonts w:ascii="Arial" w:hAnsi="Arial" w:cs="Arial"/>
          <w:b/>
          <w:sz w:val="24"/>
          <w:szCs w:val="24"/>
        </w:rPr>
      </w:pPr>
    </w:p>
    <w:p w14:paraId="20AE6B6C" w14:textId="77777777" w:rsidR="009554D9" w:rsidRPr="00EE7F72" w:rsidRDefault="00D71AC1" w:rsidP="00AC21A0">
      <w:pPr>
        <w:tabs>
          <w:tab w:val="right" w:pos="9356"/>
        </w:tabs>
        <w:spacing w:after="0" w:line="360" w:lineRule="auto"/>
        <w:rPr>
          <w:rFonts w:ascii="Arial" w:hAnsi="Arial" w:cs="Arial"/>
          <w:b/>
          <w:sz w:val="24"/>
          <w:szCs w:val="24"/>
        </w:rPr>
      </w:pPr>
      <w:r>
        <w:rPr>
          <w:rFonts w:ascii="Arial" w:hAnsi="Arial" w:cs="Arial"/>
          <w:b/>
          <w:sz w:val="24"/>
          <w:szCs w:val="24"/>
        </w:rPr>
        <w:t>ANDRE HARRIS</w:t>
      </w:r>
      <w:r w:rsidRPr="00EE7F72">
        <w:rPr>
          <w:rFonts w:ascii="Arial" w:hAnsi="Arial" w:cs="Arial"/>
          <w:b/>
          <w:sz w:val="24"/>
          <w:szCs w:val="24"/>
        </w:rPr>
        <w:t xml:space="preserve"> </w:t>
      </w:r>
      <w:r w:rsidRPr="00EE7F72">
        <w:rPr>
          <w:rFonts w:ascii="Arial" w:hAnsi="Arial" w:cs="Arial"/>
          <w:b/>
          <w:sz w:val="24"/>
          <w:szCs w:val="24"/>
        </w:rPr>
        <w:tab/>
      </w:r>
      <w:r w:rsidR="009554D9" w:rsidRPr="00EE7F72">
        <w:rPr>
          <w:rFonts w:ascii="Arial" w:hAnsi="Arial" w:cs="Arial"/>
          <w:b/>
          <w:sz w:val="24"/>
          <w:szCs w:val="24"/>
        </w:rPr>
        <w:t xml:space="preserve">  APP</w:t>
      </w:r>
      <w:r w:rsidR="00FD47ED">
        <w:rPr>
          <w:rFonts w:ascii="Arial" w:hAnsi="Arial" w:cs="Arial"/>
          <w:b/>
          <w:sz w:val="24"/>
          <w:szCs w:val="24"/>
        </w:rPr>
        <w:t>ELL</w:t>
      </w:r>
      <w:r w:rsidR="009554D9" w:rsidRPr="00EE7F72">
        <w:rPr>
          <w:rFonts w:ascii="Arial" w:hAnsi="Arial" w:cs="Arial"/>
          <w:b/>
          <w:sz w:val="24"/>
          <w:szCs w:val="24"/>
        </w:rPr>
        <w:t>ANT</w:t>
      </w:r>
    </w:p>
    <w:p w14:paraId="7E5A9CBC" w14:textId="77777777" w:rsidR="00AC21A0" w:rsidRDefault="00AC21A0" w:rsidP="00AC21A0">
      <w:pPr>
        <w:tabs>
          <w:tab w:val="right" w:pos="9356"/>
        </w:tabs>
        <w:spacing w:after="0" w:line="360" w:lineRule="auto"/>
        <w:rPr>
          <w:rFonts w:ascii="Arial" w:hAnsi="Arial" w:cs="Arial"/>
          <w:sz w:val="24"/>
          <w:szCs w:val="24"/>
        </w:rPr>
      </w:pPr>
    </w:p>
    <w:p w14:paraId="00C17931" w14:textId="77777777" w:rsidR="009554D9" w:rsidRPr="00137BA8" w:rsidRDefault="009554D9" w:rsidP="00AC21A0">
      <w:pPr>
        <w:tabs>
          <w:tab w:val="right" w:pos="9356"/>
        </w:tabs>
        <w:spacing w:after="0" w:line="360" w:lineRule="auto"/>
        <w:rPr>
          <w:rFonts w:ascii="Arial" w:hAnsi="Arial" w:cs="Arial"/>
          <w:sz w:val="24"/>
          <w:szCs w:val="24"/>
        </w:rPr>
      </w:pPr>
      <w:r w:rsidRPr="00137BA8">
        <w:rPr>
          <w:rFonts w:ascii="Arial" w:hAnsi="Arial" w:cs="Arial"/>
          <w:sz w:val="24"/>
          <w:szCs w:val="24"/>
        </w:rPr>
        <w:t xml:space="preserve">and </w:t>
      </w:r>
    </w:p>
    <w:p w14:paraId="24EEF5DB" w14:textId="77777777" w:rsidR="00AC21A0" w:rsidRDefault="00AC21A0" w:rsidP="00AC21A0">
      <w:pPr>
        <w:tabs>
          <w:tab w:val="right" w:pos="9356"/>
        </w:tabs>
        <w:spacing w:after="0" w:line="360" w:lineRule="auto"/>
        <w:jc w:val="both"/>
        <w:rPr>
          <w:rFonts w:ascii="Arial" w:hAnsi="Arial" w:cs="Arial"/>
          <w:b/>
          <w:sz w:val="24"/>
          <w:szCs w:val="24"/>
        </w:rPr>
      </w:pPr>
    </w:p>
    <w:p w14:paraId="1E2D8D44" w14:textId="77777777" w:rsidR="00D71AC1" w:rsidRDefault="00D71AC1" w:rsidP="00AC21A0">
      <w:pPr>
        <w:tabs>
          <w:tab w:val="right" w:pos="9356"/>
        </w:tabs>
        <w:spacing w:after="0" w:line="360" w:lineRule="auto"/>
        <w:jc w:val="both"/>
        <w:rPr>
          <w:rFonts w:ascii="Arial" w:hAnsi="Arial" w:cs="Arial"/>
          <w:b/>
          <w:sz w:val="24"/>
          <w:szCs w:val="24"/>
        </w:rPr>
      </w:pPr>
      <w:r>
        <w:rPr>
          <w:rFonts w:ascii="Arial" w:hAnsi="Arial" w:cs="Arial"/>
          <w:b/>
          <w:sz w:val="24"/>
          <w:szCs w:val="24"/>
        </w:rPr>
        <w:t xml:space="preserve">OLD MUTUAL LIFE ASSURANCE </w:t>
      </w:r>
    </w:p>
    <w:p w14:paraId="54911F3D" w14:textId="7F464AD9" w:rsidR="00D71AC1" w:rsidRDefault="00D71AC1" w:rsidP="00AC21A0">
      <w:pPr>
        <w:tabs>
          <w:tab w:val="right" w:pos="9042"/>
        </w:tabs>
        <w:spacing w:after="0" w:line="360" w:lineRule="auto"/>
        <w:jc w:val="both"/>
        <w:rPr>
          <w:rFonts w:ascii="Arial" w:hAnsi="Arial" w:cs="Arial"/>
          <w:b/>
          <w:sz w:val="24"/>
          <w:szCs w:val="24"/>
        </w:rPr>
      </w:pPr>
      <w:r>
        <w:rPr>
          <w:rFonts w:ascii="Arial" w:hAnsi="Arial" w:cs="Arial"/>
          <w:b/>
          <w:sz w:val="24"/>
          <w:szCs w:val="24"/>
        </w:rPr>
        <w:t xml:space="preserve">COMPANY (NAMIBIA) LTD </w:t>
      </w:r>
      <w:r>
        <w:rPr>
          <w:rFonts w:ascii="Arial" w:hAnsi="Arial" w:cs="Arial"/>
          <w:b/>
          <w:sz w:val="24"/>
          <w:szCs w:val="24"/>
        </w:rPr>
        <w:tab/>
      </w:r>
      <w:r w:rsidR="00137BA8">
        <w:rPr>
          <w:rFonts w:ascii="Arial" w:hAnsi="Arial" w:cs="Arial"/>
          <w:b/>
          <w:sz w:val="24"/>
          <w:szCs w:val="24"/>
        </w:rPr>
        <w:t>FIRST</w:t>
      </w:r>
      <w:r>
        <w:rPr>
          <w:rFonts w:ascii="Arial" w:hAnsi="Arial" w:cs="Arial"/>
          <w:b/>
          <w:sz w:val="24"/>
          <w:szCs w:val="24"/>
          <w:vertAlign w:val="superscript"/>
        </w:rPr>
        <w:t xml:space="preserve"> </w:t>
      </w:r>
      <w:r>
        <w:rPr>
          <w:rFonts w:ascii="Arial" w:hAnsi="Arial" w:cs="Arial"/>
          <w:b/>
          <w:sz w:val="24"/>
          <w:szCs w:val="24"/>
        </w:rPr>
        <w:t>RESPONDENT</w:t>
      </w:r>
    </w:p>
    <w:p w14:paraId="5E684BD3" w14:textId="4B5974FA" w:rsidR="009554D9" w:rsidRPr="00EE7F72" w:rsidRDefault="00AC21A0" w:rsidP="00AC21A0">
      <w:pPr>
        <w:tabs>
          <w:tab w:val="right" w:pos="9356"/>
        </w:tabs>
        <w:spacing w:after="0" w:line="360" w:lineRule="auto"/>
        <w:rPr>
          <w:rFonts w:ascii="Arial" w:hAnsi="Arial" w:cs="Arial"/>
          <w:b/>
          <w:sz w:val="24"/>
          <w:szCs w:val="24"/>
        </w:rPr>
      </w:pPr>
      <w:r>
        <w:rPr>
          <w:rFonts w:ascii="Arial" w:hAnsi="Arial" w:cs="Arial"/>
          <w:b/>
          <w:sz w:val="24"/>
          <w:szCs w:val="24"/>
        </w:rPr>
        <w:t>DEPUTY-SHERIFF</w:t>
      </w:r>
      <w:r w:rsidR="009554D9">
        <w:rPr>
          <w:rFonts w:ascii="Arial" w:hAnsi="Arial" w:cs="Arial"/>
          <w:b/>
          <w:sz w:val="24"/>
          <w:szCs w:val="24"/>
        </w:rPr>
        <w:t xml:space="preserve"> OF WINDHOEK</w:t>
      </w:r>
      <w:r w:rsidR="009554D9" w:rsidRPr="00EE7F72">
        <w:rPr>
          <w:rFonts w:ascii="Arial" w:hAnsi="Arial" w:cs="Arial"/>
          <w:b/>
          <w:sz w:val="24"/>
          <w:szCs w:val="24"/>
        </w:rPr>
        <w:t xml:space="preserve"> </w:t>
      </w:r>
      <w:r w:rsidR="009554D9" w:rsidRPr="00EE7F72">
        <w:rPr>
          <w:rFonts w:ascii="Arial" w:hAnsi="Arial" w:cs="Arial"/>
          <w:b/>
          <w:sz w:val="24"/>
          <w:szCs w:val="24"/>
        </w:rPr>
        <w:tab/>
      </w:r>
      <w:r>
        <w:rPr>
          <w:rFonts w:ascii="Arial" w:hAnsi="Arial" w:cs="Arial"/>
          <w:b/>
          <w:sz w:val="24"/>
          <w:szCs w:val="24"/>
        </w:rPr>
        <w:t>SECOND RESPONDENT</w:t>
      </w:r>
    </w:p>
    <w:p w14:paraId="6231CBF2" w14:textId="38CB00A3" w:rsidR="009554D9" w:rsidRPr="00EE7F72" w:rsidRDefault="009554D9" w:rsidP="00AC21A0">
      <w:pPr>
        <w:tabs>
          <w:tab w:val="right" w:pos="9356"/>
        </w:tabs>
        <w:spacing w:after="0" w:line="360" w:lineRule="auto"/>
        <w:rPr>
          <w:rFonts w:ascii="Arial" w:hAnsi="Arial" w:cs="Arial"/>
          <w:b/>
          <w:sz w:val="24"/>
          <w:szCs w:val="24"/>
        </w:rPr>
      </w:pPr>
      <w:r>
        <w:rPr>
          <w:rFonts w:ascii="Arial" w:hAnsi="Arial" w:cs="Arial"/>
          <w:b/>
          <w:sz w:val="24"/>
          <w:szCs w:val="24"/>
        </w:rPr>
        <w:t>H HENDRICKS INVESTMENT CC</w:t>
      </w:r>
      <w:r w:rsidRPr="00EE7F72">
        <w:rPr>
          <w:rFonts w:ascii="Arial" w:hAnsi="Arial" w:cs="Arial"/>
          <w:b/>
          <w:sz w:val="24"/>
          <w:szCs w:val="24"/>
        </w:rPr>
        <w:t xml:space="preserve"> </w:t>
      </w:r>
      <w:r w:rsidRPr="00EE7F72">
        <w:rPr>
          <w:rFonts w:ascii="Arial" w:hAnsi="Arial" w:cs="Arial"/>
          <w:b/>
          <w:sz w:val="24"/>
          <w:szCs w:val="24"/>
        </w:rPr>
        <w:tab/>
      </w:r>
      <w:r w:rsidR="00137BA8">
        <w:rPr>
          <w:rFonts w:ascii="Arial" w:hAnsi="Arial" w:cs="Arial"/>
          <w:b/>
          <w:sz w:val="24"/>
          <w:szCs w:val="24"/>
        </w:rPr>
        <w:t>THIRD</w:t>
      </w:r>
      <w:r>
        <w:rPr>
          <w:rFonts w:ascii="Arial" w:hAnsi="Arial" w:cs="Arial"/>
          <w:b/>
          <w:sz w:val="24"/>
          <w:szCs w:val="24"/>
        </w:rPr>
        <w:t xml:space="preserve"> </w:t>
      </w:r>
      <w:r w:rsidR="00D71AC1">
        <w:rPr>
          <w:rFonts w:ascii="Arial" w:hAnsi="Arial" w:cs="Arial"/>
          <w:b/>
          <w:sz w:val="24"/>
          <w:szCs w:val="24"/>
        </w:rPr>
        <w:t>RESPONDENT</w:t>
      </w:r>
    </w:p>
    <w:p w14:paraId="2B69EB24" w14:textId="1EEEF74E" w:rsidR="009554D9" w:rsidRDefault="009554D9" w:rsidP="00AC21A0">
      <w:pPr>
        <w:tabs>
          <w:tab w:val="right" w:pos="9356"/>
        </w:tabs>
        <w:spacing w:after="0" w:line="360" w:lineRule="auto"/>
        <w:rPr>
          <w:rFonts w:ascii="Arial" w:hAnsi="Arial" w:cs="Arial"/>
          <w:b/>
          <w:sz w:val="24"/>
          <w:szCs w:val="24"/>
        </w:rPr>
      </w:pPr>
      <w:r>
        <w:rPr>
          <w:rFonts w:ascii="Arial" w:hAnsi="Arial" w:cs="Arial"/>
          <w:b/>
          <w:sz w:val="24"/>
          <w:szCs w:val="24"/>
        </w:rPr>
        <w:t>OLD MUTUAL HOLDINGS (NAMIBIA) (PTY) LTD</w:t>
      </w:r>
      <w:r w:rsidRPr="00EE7F72">
        <w:rPr>
          <w:rFonts w:ascii="Arial" w:hAnsi="Arial" w:cs="Arial"/>
          <w:b/>
          <w:sz w:val="24"/>
          <w:szCs w:val="24"/>
        </w:rPr>
        <w:t xml:space="preserve"> </w:t>
      </w:r>
      <w:r w:rsidRPr="00EE7F72">
        <w:rPr>
          <w:rFonts w:ascii="Arial" w:hAnsi="Arial" w:cs="Arial"/>
          <w:b/>
          <w:sz w:val="24"/>
          <w:szCs w:val="24"/>
        </w:rPr>
        <w:tab/>
      </w:r>
      <w:r w:rsidR="00137BA8">
        <w:rPr>
          <w:rFonts w:ascii="Arial" w:hAnsi="Arial" w:cs="Arial"/>
          <w:b/>
          <w:sz w:val="24"/>
          <w:szCs w:val="24"/>
        </w:rPr>
        <w:t>FOURTH</w:t>
      </w:r>
      <w:r>
        <w:rPr>
          <w:rFonts w:ascii="Arial" w:hAnsi="Arial" w:cs="Arial"/>
          <w:b/>
          <w:sz w:val="24"/>
          <w:szCs w:val="24"/>
        </w:rPr>
        <w:t xml:space="preserve"> </w:t>
      </w:r>
      <w:r w:rsidRPr="00EE7F72">
        <w:rPr>
          <w:rFonts w:ascii="Arial" w:hAnsi="Arial" w:cs="Arial"/>
          <w:b/>
          <w:sz w:val="24"/>
          <w:szCs w:val="24"/>
        </w:rPr>
        <w:t>RESPONDENT</w:t>
      </w:r>
    </w:p>
    <w:p w14:paraId="196E90F5" w14:textId="14275B89" w:rsidR="009554D9" w:rsidRDefault="009554D9" w:rsidP="00AC21A0">
      <w:pPr>
        <w:tabs>
          <w:tab w:val="right" w:pos="9356"/>
        </w:tabs>
        <w:spacing w:after="0" w:line="360" w:lineRule="auto"/>
        <w:rPr>
          <w:rFonts w:ascii="Arial" w:hAnsi="Arial" w:cs="Arial"/>
          <w:b/>
          <w:sz w:val="24"/>
          <w:szCs w:val="24"/>
        </w:rPr>
      </w:pPr>
      <w:r>
        <w:rPr>
          <w:rFonts w:ascii="Arial" w:hAnsi="Arial" w:cs="Arial"/>
          <w:b/>
          <w:sz w:val="24"/>
          <w:szCs w:val="24"/>
        </w:rPr>
        <w:t>ETZOLD-DUVENHAGE</w:t>
      </w:r>
      <w:r>
        <w:rPr>
          <w:rFonts w:ascii="Arial" w:hAnsi="Arial" w:cs="Arial"/>
          <w:b/>
          <w:sz w:val="24"/>
          <w:szCs w:val="24"/>
        </w:rPr>
        <w:tab/>
      </w:r>
      <w:r w:rsidR="00137BA8">
        <w:rPr>
          <w:rFonts w:ascii="Arial" w:hAnsi="Arial" w:cs="Arial"/>
          <w:b/>
          <w:sz w:val="24"/>
          <w:szCs w:val="24"/>
        </w:rPr>
        <w:t>FIFTH</w:t>
      </w:r>
      <w:r>
        <w:rPr>
          <w:rFonts w:ascii="Arial" w:hAnsi="Arial" w:cs="Arial"/>
          <w:b/>
          <w:sz w:val="24"/>
          <w:szCs w:val="24"/>
        </w:rPr>
        <w:t xml:space="preserve"> RESPONDENT</w:t>
      </w:r>
    </w:p>
    <w:p w14:paraId="41BBC86B" w14:textId="2B0E83EA" w:rsidR="009554D9" w:rsidRPr="00EE7F72" w:rsidRDefault="009554D9" w:rsidP="00AC21A0">
      <w:pPr>
        <w:tabs>
          <w:tab w:val="right" w:pos="9356"/>
        </w:tabs>
        <w:spacing w:after="0" w:line="360" w:lineRule="auto"/>
        <w:rPr>
          <w:rFonts w:ascii="Arial" w:hAnsi="Arial" w:cs="Arial"/>
          <w:b/>
          <w:sz w:val="24"/>
          <w:szCs w:val="24"/>
        </w:rPr>
      </w:pPr>
      <w:r>
        <w:rPr>
          <w:rFonts w:ascii="Arial" w:hAnsi="Arial" w:cs="Arial"/>
          <w:b/>
          <w:sz w:val="24"/>
          <w:szCs w:val="24"/>
        </w:rPr>
        <w:t>FIRST NATIONAL BANK OF NAMIBIA LIMITED</w:t>
      </w:r>
      <w:r>
        <w:rPr>
          <w:rFonts w:ascii="Arial" w:hAnsi="Arial" w:cs="Arial"/>
          <w:b/>
          <w:sz w:val="24"/>
          <w:szCs w:val="24"/>
        </w:rPr>
        <w:tab/>
      </w:r>
      <w:r w:rsidR="00137BA8">
        <w:rPr>
          <w:rFonts w:ascii="Arial" w:hAnsi="Arial" w:cs="Arial"/>
          <w:b/>
          <w:sz w:val="24"/>
          <w:szCs w:val="24"/>
        </w:rPr>
        <w:t>SIXTH</w:t>
      </w:r>
      <w:r>
        <w:rPr>
          <w:rFonts w:ascii="Arial" w:hAnsi="Arial" w:cs="Arial"/>
          <w:b/>
          <w:sz w:val="24"/>
          <w:szCs w:val="24"/>
        </w:rPr>
        <w:t xml:space="preserve"> RESPONDENT</w:t>
      </w:r>
    </w:p>
    <w:p w14:paraId="5C047A4D" w14:textId="77777777" w:rsidR="009554D9" w:rsidRPr="00276985" w:rsidRDefault="009554D9" w:rsidP="00FD4ECB">
      <w:pPr>
        <w:spacing w:after="0" w:line="480" w:lineRule="auto"/>
        <w:rPr>
          <w:rFonts w:ascii="Arial" w:eastAsia="Calibri" w:hAnsi="Arial" w:cs="Arial"/>
          <w:lang w:val="en-ZA"/>
        </w:rPr>
      </w:pPr>
    </w:p>
    <w:p w14:paraId="32D4B61D" w14:textId="77777777" w:rsidR="00007E5E" w:rsidRPr="00276985" w:rsidRDefault="00007E5E" w:rsidP="00FD4ECB">
      <w:pPr>
        <w:spacing w:after="0" w:line="480" w:lineRule="auto"/>
        <w:outlineLvl w:val="0"/>
        <w:rPr>
          <w:rFonts w:ascii="Arial" w:eastAsia="Calibri" w:hAnsi="Arial" w:cs="Arial"/>
          <w:sz w:val="24"/>
          <w:lang w:val="en-ZA"/>
        </w:rPr>
      </w:pPr>
      <w:r w:rsidRPr="00276985">
        <w:rPr>
          <w:rFonts w:ascii="Arial" w:eastAsia="Calibri" w:hAnsi="Arial" w:cs="Arial"/>
          <w:b/>
          <w:sz w:val="24"/>
          <w:lang w:val="en-ZA"/>
        </w:rPr>
        <w:t>Coram:</w:t>
      </w:r>
      <w:r w:rsidRPr="00276985">
        <w:rPr>
          <w:rFonts w:ascii="Arial" w:eastAsia="Calibri" w:hAnsi="Arial" w:cs="Arial"/>
          <w:sz w:val="24"/>
          <w:lang w:val="en-ZA"/>
        </w:rPr>
        <w:tab/>
      </w:r>
      <w:r w:rsidR="0057107F" w:rsidRPr="0057107F">
        <w:rPr>
          <w:rFonts w:ascii="Arial" w:eastAsia="Calibri" w:hAnsi="Arial" w:cs="Arial"/>
          <w:sz w:val="24"/>
          <w:lang w:val="en-GB"/>
        </w:rPr>
        <w:t xml:space="preserve">SHIVUTE CJ, DAMASEB DCJ and </w:t>
      </w:r>
      <w:r w:rsidR="0057107F">
        <w:rPr>
          <w:rFonts w:ascii="Arial" w:eastAsia="Calibri" w:hAnsi="Arial" w:cs="Arial"/>
          <w:sz w:val="24"/>
          <w:lang w:val="en-GB"/>
        </w:rPr>
        <w:t>UEITELE</w:t>
      </w:r>
      <w:r w:rsidR="0057107F" w:rsidRPr="0057107F">
        <w:rPr>
          <w:rFonts w:ascii="Arial" w:eastAsia="Calibri" w:hAnsi="Arial" w:cs="Arial"/>
          <w:sz w:val="24"/>
          <w:lang w:val="en-GB"/>
        </w:rPr>
        <w:t xml:space="preserve"> AJA</w:t>
      </w:r>
    </w:p>
    <w:p w14:paraId="255B3DB8" w14:textId="77777777" w:rsidR="00007E5E" w:rsidRPr="00276985" w:rsidRDefault="00007E5E" w:rsidP="00FD4ECB">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Heard:</w:t>
      </w:r>
      <w:r w:rsidRPr="00276985">
        <w:rPr>
          <w:rFonts w:ascii="Arial" w:eastAsia="Calibri" w:hAnsi="Arial" w:cs="Arial"/>
          <w:b/>
          <w:sz w:val="24"/>
          <w:lang w:val="en-ZA"/>
        </w:rPr>
        <w:tab/>
      </w:r>
      <w:r w:rsidR="00485592" w:rsidRPr="00276985">
        <w:rPr>
          <w:rFonts w:ascii="Arial" w:eastAsia="Calibri" w:hAnsi="Arial" w:cs="Arial"/>
          <w:b/>
          <w:sz w:val="24"/>
          <w:lang w:val="en-ZA"/>
        </w:rPr>
        <w:t>2</w:t>
      </w:r>
      <w:r w:rsidR="009A4550">
        <w:rPr>
          <w:rFonts w:ascii="Arial" w:eastAsia="Calibri" w:hAnsi="Arial" w:cs="Arial"/>
          <w:b/>
          <w:sz w:val="24"/>
          <w:lang w:val="en-ZA"/>
        </w:rPr>
        <w:t>6</w:t>
      </w:r>
      <w:r w:rsidR="00485592" w:rsidRPr="00276985">
        <w:rPr>
          <w:rFonts w:ascii="Arial" w:eastAsia="Calibri" w:hAnsi="Arial" w:cs="Arial"/>
          <w:b/>
          <w:sz w:val="24"/>
          <w:lang w:val="en-ZA"/>
        </w:rPr>
        <w:t xml:space="preserve"> June</w:t>
      </w:r>
      <w:r w:rsidRPr="00276985">
        <w:rPr>
          <w:rFonts w:ascii="Arial" w:eastAsia="Calibri" w:hAnsi="Arial" w:cs="Arial"/>
          <w:b/>
          <w:sz w:val="24"/>
          <w:lang w:val="en-ZA"/>
        </w:rPr>
        <w:t xml:space="preserve"> 2023</w:t>
      </w:r>
    </w:p>
    <w:p w14:paraId="385B84C0" w14:textId="574577D8" w:rsidR="002640C9" w:rsidRPr="00276985" w:rsidRDefault="00007E5E" w:rsidP="00FD4ECB">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Delivered:</w:t>
      </w:r>
      <w:r w:rsidRPr="00276985">
        <w:rPr>
          <w:rFonts w:ascii="Arial" w:eastAsia="Calibri" w:hAnsi="Arial" w:cs="Arial"/>
          <w:b/>
          <w:sz w:val="24"/>
          <w:lang w:val="en-ZA"/>
        </w:rPr>
        <w:tab/>
      </w:r>
      <w:r w:rsidR="00137BA8">
        <w:rPr>
          <w:rFonts w:ascii="Arial" w:eastAsia="Calibri" w:hAnsi="Arial" w:cs="Arial"/>
          <w:b/>
          <w:sz w:val="24"/>
          <w:lang w:val="en-ZA"/>
        </w:rPr>
        <w:t xml:space="preserve">28 </w:t>
      </w:r>
      <w:r w:rsidR="009A4550">
        <w:rPr>
          <w:rFonts w:ascii="Arial" w:eastAsia="Calibri" w:hAnsi="Arial" w:cs="Arial"/>
          <w:b/>
          <w:sz w:val="24"/>
          <w:lang w:val="en-ZA"/>
        </w:rPr>
        <w:t>July</w:t>
      </w:r>
      <w:r w:rsidR="00A4047D" w:rsidRPr="00276985">
        <w:rPr>
          <w:rFonts w:ascii="Arial" w:eastAsia="Calibri" w:hAnsi="Arial" w:cs="Arial"/>
          <w:b/>
          <w:sz w:val="24"/>
          <w:lang w:val="en-ZA"/>
        </w:rPr>
        <w:t xml:space="preserve"> 2023</w:t>
      </w:r>
    </w:p>
    <w:p w14:paraId="753BD1C1" w14:textId="77777777" w:rsidR="00AC21A0" w:rsidRDefault="00AC21A0" w:rsidP="001E04D7">
      <w:pPr>
        <w:shd w:val="clear" w:color="auto" w:fill="FFFFFF"/>
        <w:spacing w:after="0" w:line="360" w:lineRule="auto"/>
        <w:jc w:val="both"/>
        <w:rPr>
          <w:rFonts w:ascii="Arial" w:eastAsia="Calibri" w:hAnsi="Arial" w:cs="Arial"/>
          <w:b/>
          <w:sz w:val="24"/>
          <w:lang w:val="en-ZA"/>
        </w:rPr>
      </w:pPr>
    </w:p>
    <w:p w14:paraId="71A6CAFC" w14:textId="493B43DC" w:rsidR="00E52C0B" w:rsidRDefault="00007E5E" w:rsidP="001E04D7">
      <w:pPr>
        <w:shd w:val="clear" w:color="auto" w:fill="FFFFFF"/>
        <w:spacing w:after="0" w:line="360" w:lineRule="auto"/>
        <w:jc w:val="both"/>
        <w:rPr>
          <w:rFonts w:ascii="Arial" w:eastAsia="Times New Roman" w:hAnsi="Arial" w:cs="Arial"/>
          <w:b/>
          <w:sz w:val="24"/>
          <w:szCs w:val="24"/>
          <w:lang w:eastAsia="en-ZA"/>
        </w:rPr>
      </w:pPr>
      <w:r w:rsidRPr="00276985">
        <w:rPr>
          <w:rFonts w:ascii="Arial" w:eastAsia="Calibri" w:hAnsi="Arial" w:cs="Arial"/>
          <w:b/>
          <w:sz w:val="24"/>
          <w:lang w:val="en-ZA"/>
        </w:rPr>
        <w:t>Summary</w:t>
      </w:r>
      <w:r w:rsidRPr="00276985">
        <w:rPr>
          <w:rFonts w:ascii="Arial" w:eastAsia="Calibri" w:hAnsi="Arial" w:cs="Arial"/>
          <w:sz w:val="24"/>
          <w:lang w:val="en-ZA"/>
        </w:rPr>
        <w:t>:</w:t>
      </w:r>
      <w:r w:rsidR="00535165">
        <w:rPr>
          <w:rFonts w:ascii="Arial" w:eastAsia="Calibri" w:hAnsi="Arial" w:cs="Arial"/>
          <w:sz w:val="24"/>
          <w:lang w:val="en-ZA"/>
        </w:rPr>
        <w:tab/>
      </w:r>
      <w:r w:rsidR="003F6E02">
        <w:rPr>
          <w:rFonts w:ascii="Arial" w:eastAsia="Calibri" w:hAnsi="Arial" w:cs="Arial"/>
          <w:sz w:val="24"/>
        </w:rPr>
        <w:t xml:space="preserve"> </w:t>
      </w:r>
      <w:r w:rsidR="003F6E02" w:rsidRPr="003F6E02">
        <w:rPr>
          <w:rFonts w:ascii="Arial" w:eastAsia="Times New Roman" w:hAnsi="Arial" w:cs="Arial"/>
          <w:sz w:val="24"/>
          <w:szCs w:val="24"/>
          <w:lang w:eastAsia="en-ZA"/>
        </w:rPr>
        <w:t>On 22</w:t>
      </w:r>
      <w:r w:rsidR="003F6E02" w:rsidRPr="003F6E02">
        <w:rPr>
          <w:rFonts w:ascii="Arial" w:eastAsia="Times New Roman" w:hAnsi="Arial" w:cs="Arial"/>
          <w:sz w:val="24"/>
          <w:szCs w:val="24"/>
          <w:vertAlign w:val="superscript"/>
          <w:lang w:eastAsia="en-ZA"/>
        </w:rPr>
        <w:t xml:space="preserve"> </w:t>
      </w:r>
      <w:r w:rsidR="003F6E02" w:rsidRPr="003F6E02">
        <w:rPr>
          <w:rFonts w:ascii="Arial" w:eastAsia="Times New Roman" w:hAnsi="Arial" w:cs="Arial"/>
          <w:sz w:val="24"/>
          <w:szCs w:val="24"/>
          <w:lang w:eastAsia="en-ZA"/>
        </w:rPr>
        <w:t>November 2012 and at Windhoek</w:t>
      </w:r>
      <w:r w:rsidR="003F6E02" w:rsidRPr="00137BA8">
        <w:rPr>
          <w:rFonts w:ascii="Arial" w:eastAsia="Times New Roman" w:hAnsi="Arial" w:cs="Arial"/>
          <w:sz w:val="24"/>
          <w:szCs w:val="24"/>
          <w:lang w:eastAsia="en-ZA"/>
        </w:rPr>
        <w:t>,</w:t>
      </w:r>
      <w:r w:rsidR="003F6E02" w:rsidRPr="003F6E02">
        <w:rPr>
          <w:rFonts w:ascii="Arial" w:eastAsia="Times New Roman" w:hAnsi="Arial" w:cs="Arial"/>
          <w:b/>
          <w:sz w:val="24"/>
          <w:szCs w:val="24"/>
          <w:lang w:eastAsia="en-ZA"/>
        </w:rPr>
        <w:t xml:space="preserve"> </w:t>
      </w:r>
      <w:r w:rsidR="003F6E02" w:rsidRPr="003F6E02">
        <w:rPr>
          <w:rFonts w:ascii="Arial" w:eastAsia="Times New Roman" w:hAnsi="Arial" w:cs="Arial"/>
          <w:sz w:val="24"/>
          <w:szCs w:val="24"/>
          <w:lang w:eastAsia="en-ZA"/>
        </w:rPr>
        <w:t>Hendricks CC</w:t>
      </w:r>
      <w:r w:rsidR="00A931AE">
        <w:rPr>
          <w:rFonts w:ascii="Arial" w:eastAsia="Times New Roman" w:hAnsi="Arial" w:cs="Arial"/>
          <w:sz w:val="24"/>
          <w:szCs w:val="24"/>
          <w:lang w:eastAsia="en-ZA"/>
        </w:rPr>
        <w:t xml:space="preserve"> (the third respondent)</w:t>
      </w:r>
      <w:r w:rsidR="003F6E02" w:rsidRPr="003F6E02">
        <w:rPr>
          <w:rFonts w:ascii="Arial" w:eastAsia="Times New Roman" w:hAnsi="Arial" w:cs="Arial"/>
          <w:sz w:val="24"/>
          <w:szCs w:val="24"/>
          <w:lang w:eastAsia="en-ZA"/>
        </w:rPr>
        <w:t xml:space="preserve"> and Old Mutual Life</w:t>
      </w:r>
      <w:r w:rsidR="00A931AE">
        <w:rPr>
          <w:rFonts w:ascii="Arial" w:eastAsia="Times New Roman" w:hAnsi="Arial" w:cs="Arial"/>
          <w:sz w:val="24"/>
          <w:szCs w:val="24"/>
          <w:lang w:eastAsia="en-ZA"/>
        </w:rPr>
        <w:t xml:space="preserve"> (first respondent)</w:t>
      </w:r>
      <w:r w:rsidR="003F6E02" w:rsidRPr="003F6E02">
        <w:rPr>
          <w:rFonts w:ascii="Arial" w:eastAsia="Times New Roman" w:hAnsi="Arial" w:cs="Arial"/>
          <w:sz w:val="24"/>
          <w:szCs w:val="24"/>
          <w:lang w:eastAsia="en-ZA"/>
        </w:rPr>
        <w:t xml:space="preserve"> entered into a written loan </w:t>
      </w:r>
      <w:r w:rsidR="003F6E02" w:rsidRPr="003F6E02">
        <w:rPr>
          <w:rFonts w:ascii="Arial" w:eastAsia="Times New Roman" w:hAnsi="Arial" w:cs="Arial"/>
          <w:sz w:val="24"/>
          <w:szCs w:val="24"/>
          <w:lang w:eastAsia="en-ZA"/>
        </w:rPr>
        <w:lastRenderedPageBreak/>
        <w:t>agreement in terms of which Old Mutual Life a</w:t>
      </w:r>
      <w:r w:rsidR="00137BA8">
        <w:rPr>
          <w:rFonts w:ascii="Arial" w:eastAsia="Times New Roman" w:hAnsi="Arial" w:cs="Arial"/>
          <w:sz w:val="24"/>
          <w:szCs w:val="24"/>
          <w:lang w:eastAsia="en-ZA"/>
        </w:rPr>
        <w:t>greed to loan and advance monies</w:t>
      </w:r>
      <w:r w:rsidR="003F6E02" w:rsidRPr="003F6E02">
        <w:rPr>
          <w:rFonts w:ascii="Arial" w:eastAsia="Times New Roman" w:hAnsi="Arial" w:cs="Arial"/>
          <w:sz w:val="24"/>
          <w:szCs w:val="24"/>
          <w:lang w:eastAsia="en-ZA"/>
        </w:rPr>
        <w:t xml:space="preserve"> to Hendricks CC on </w:t>
      </w:r>
      <w:r w:rsidR="00E52C0B">
        <w:rPr>
          <w:rFonts w:ascii="Arial" w:eastAsia="Times New Roman" w:hAnsi="Arial" w:cs="Arial"/>
          <w:sz w:val="24"/>
          <w:szCs w:val="24"/>
          <w:lang w:eastAsia="en-ZA"/>
        </w:rPr>
        <w:t xml:space="preserve">the </w:t>
      </w:r>
      <w:r w:rsidR="003F6E02" w:rsidRPr="003F6E02">
        <w:rPr>
          <w:rFonts w:ascii="Arial" w:eastAsia="Times New Roman" w:hAnsi="Arial" w:cs="Arial"/>
          <w:sz w:val="24"/>
          <w:szCs w:val="24"/>
          <w:lang w:eastAsia="en-ZA"/>
        </w:rPr>
        <w:t xml:space="preserve">terms and conditions contained in a written loan agreement signed between the two parties. </w:t>
      </w:r>
      <w:r w:rsidR="00AD078A">
        <w:rPr>
          <w:rFonts w:ascii="Arial" w:eastAsia="Times New Roman" w:hAnsi="Arial" w:cs="Arial"/>
          <w:b/>
          <w:sz w:val="24"/>
          <w:szCs w:val="24"/>
          <w:lang w:eastAsia="en-ZA"/>
        </w:rPr>
        <w:t xml:space="preserve"> </w:t>
      </w:r>
    </w:p>
    <w:p w14:paraId="26C61232" w14:textId="77777777" w:rsidR="00E52C0B" w:rsidRDefault="00E52C0B" w:rsidP="001E04D7">
      <w:pPr>
        <w:shd w:val="clear" w:color="auto" w:fill="FFFFFF"/>
        <w:spacing w:after="0" w:line="360" w:lineRule="auto"/>
        <w:jc w:val="both"/>
        <w:rPr>
          <w:rFonts w:ascii="Arial" w:eastAsia="Times New Roman" w:hAnsi="Arial" w:cs="Arial"/>
          <w:b/>
          <w:sz w:val="24"/>
          <w:szCs w:val="24"/>
          <w:lang w:eastAsia="en-ZA"/>
        </w:rPr>
      </w:pPr>
    </w:p>
    <w:p w14:paraId="17B4CA54" w14:textId="7C844496" w:rsidR="003F6E02" w:rsidRPr="00F06FD8" w:rsidRDefault="003F6E02" w:rsidP="001E04D7">
      <w:pPr>
        <w:shd w:val="clear" w:color="auto" w:fill="FFFFFF"/>
        <w:spacing w:after="0" w:line="360" w:lineRule="auto"/>
        <w:jc w:val="both"/>
        <w:rPr>
          <w:rFonts w:ascii="Arial" w:eastAsia="Calibri" w:hAnsi="Arial" w:cs="Arial"/>
          <w:sz w:val="24"/>
        </w:rPr>
      </w:pPr>
      <w:r w:rsidRPr="003F6E02">
        <w:rPr>
          <w:rFonts w:ascii="Arial" w:eastAsia="Times New Roman" w:hAnsi="Arial" w:cs="Arial"/>
          <w:sz w:val="24"/>
          <w:szCs w:val="24"/>
          <w:lang w:eastAsia="en-ZA"/>
        </w:rPr>
        <w:t>Alleging that Hendricks CC</w:t>
      </w:r>
      <w:r w:rsidRPr="003F6E02">
        <w:rPr>
          <w:rFonts w:ascii="Arial" w:eastAsia="Times New Roman" w:hAnsi="Arial" w:cs="Arial"/>
          <w:sz w:val="24"/>
          <w:szCs w:val="24"/>
          <w:lang w:val="en-ZA" w:eastAsia="en-ZA"/>
        </w:rPr>
        <w:t xml:space="preserve"> was in breach of the deed of hypothecation, in that it was in arrears with the payment of the instalments as agreed to in the written loan agreement, </w:t>
      </w:r>
      <w:r w:rsidRPr="003F6E02">
        <w:rPr>
          <w:rFonts w:ascii="Arial" w:eastAsia="Times New Roman" w:hAnsi="Arial" w:cs="Arial"/>
          <w:sz w:val="24"/>
          <w:szCs w:val="24"/>
          <w:lang w:eastAsia="en-ZA"/>
        </w:rPr>
        <w:t xml:space="preserve">Old Mutual Life </w:t>
      </w:r>
      <w:r w:rsidRPr="003F6E02">
        <w:rPr>
          <w:rFonts w:ascii="Arial" w:eastAsia="Times New Roman" w:hAnsi="Arial" w:cs="Arial"/>
          <w:sz w:val="24"/>
          <w:szCs w:val="24"/>
          <w:lang w:val="en-ZA" w:eastAsia="en-ZA"/>
        </w:rPr>
        <w:t xml:space="preserve">on 10 June 2016 commenced proceedings in the High Court against </w:t>
      </w:r>
      <w:r w:rsidRPr="003F6E02">
        <w:rPr>
          <w:rFonts w:ascii="Arial" w:eastAsia="Times New Roman" w:hAnsi="Arial" w:cs="Arial"/>
          <w:sz w:val="24"/>
          <w:szCs w:val="24"/>
          <w:lang w:eastAsia="en-ZA"/>
        </w:rPr>
        <w:t xml:space="preserve">Hendricks CC, in terms of which it claimed </w:t>
      </w:r>
      <w:r w:rsidRPr="003F6E02">
        <w:rPr>
          <w:rFonts w:ascii="Arial" w:eastAsia="Times New Roman" w:hAnsi="Arial" w:cs="Arial"/>
          <w:sz w:val="24"/>
          <w:szCs w:val="24"/>
          <w:lang w:val="en-ZA" w:eastAsia="en-ZA"/>
        </w:rPr>
        <w:t>paymen</w:t>
      </w:r>
      <w:r w:rsidR="00137BA8">
        <w:rPr>
          <w:rFonts w:ascii="Arial" w:eastAsia="Times New Roman" w:hAnsi="Arial" w:cs="Arial"/>
          <w:sz w:val="24"/>
          <w:szCs w:val="24"/>
          <w:lang w:val="en-ZA" w:eastAsia="en-ZA"/>
        </w:rPr>
        <w:t>t in the amount of N$6 372 939,</w:t>
      </w:r>
      <w:r w:rsidRPr="003F6E02">
        <w:rPr>
          <w:rFonts w:ascii="Arial" w:eastAsia="Times New Roman" w:hAnsi="Arial" w:cs="Arial"/>
          <w:sz w:val="24"/>
          <w:szCs w:val="24"/>
          <w:lang w:val="en-ZA" w:eastAsia="en-ZA"/>
        </w:rPr>
        <w:t>84</w:t>
      </w:r>
      <w:r w:rsidRPr="003F6E02">
        <w:rPr>
          <w:rFonts w:ascii="Arial" w:eastAsia="Times New Roman" w:hAnsi="Arial" w:cs="Arial"/>
          <w:sz w:val="24"/>
          <w:szCs w:val="24"/>
          <w:lang w:eastAsia="en-ZA"/>
        </w:rPr>
        <w:t xml:space="preserve">. In addition to the payment that it sought, Old Mutual Life also sought an order declaring the immovable property which Hendricks CC provided as security for the </w:t>
      </w:r>
      <w:r w:rsidR="00905E84">
        <w:rPr>
          <w:rFonts w:ascii="Arial" w:eastAsia="Times New Roman" w:hAnsi="Arial" w:cs="Arial"/>
          <w:sz w:val="24"/>
          <w:szCs w:val="24"/>
          <w:lang w:eastAsia="en-ZA"/>
        </w:rPr>
        <w:t>monies</w:t>
      </w:r>
      <w:r w:rsidRPr="003F6E02">
        <w:rPr>
          <w:rFonts w:ascii="Arial" w:eastAsia="Times New Roman" w:hAnsi="Arial" w:cs="Arial"/>
          <w:sz w:val="24"/>
          <w:szCs w:val="24"/>
          <w:lang w:eastAsia="en-ZA"/>
        </w:rPr>
        <w:t xml:space="preserve"> that were lent to it, to be declared executable. Hendricks CC</w:t>
      </w:r>
      <w:r w:rsidRPr="003F6E02">
        <w:rPr>
          <w:rFonts w:ascii="Arial" w:eastAsia="Times New Roman" w:hAnsi="Arial" w:cs="Arial"/>
          <w:sz w:val="24"/>
          <w:szCs w:val="24"/>
          <w:lang w:val="en-ZA" w:eastAsia="en-ZA"/>
        </w:rPr>
        <w:t xml:space="preserve"> did not defend </w:t>
      </w:r>
      <w:r w:rsidRPr="003F6E02">
        <w:rPr>
          <w:rFonts w:ascii="Arial" w:eastAsia="Times New Roman" w:hAnsi="Arial" w:cs="Arial"/>
          <w:sz w:val="24"/>
          <w:szCs w:val="24"/>
          <w:lang w:eastAsia="en-ZA"/>
        </w:rPr>
        <w:t>Old Mutual Life’s claim and as a result the High Court, on 22 September 2016, granted default judgment against Hendri</w:t>
      </w:r>
      <w:r w:rsidR="0041667A">
        <w:rPr>
          <w:rFonts w:ascii="Arial" w:eastAsia="Times New Roman" w:hAnsi="Arial" w:cs="Arial"/>
          <w:sz w:val="24"/>
          <w:szCs w:val="24"/>
          <w:lang w:eastAsia="en-ZA"/>
        </w:rPr>
        <w:t>c</w:t>
      </w:r>
      <w:r w:rsidRPr="003F6E02">
        <w:rPr>
          <w:rFonts w:ascii="Arial" w:eastAsia="Times New Roman" w:hAnsi="Arial" w:cs="Arial"/>
          <w:sz w:val="24"/>
          <w:szCs w:val="24"/>
          <w:lang w:eastAsia="en-ZA"/>
        </w:rPr>
        <w:t>ks CC</w:t>
      </w:r>
      <w:r w:rsidR="00AD078A">
        <w:rPr>
          <w:rFonts w:ascii="Arial" w:eastAsia="Times New Roman" w:hAnsi="Arial" w:cs="Arial"/>
          <w:sz w:val="24"/>
          <w:szCs w:val="24"/>
          <w:lang w:eastAsia="en-ZA"/>
        </w:rPr>
        <w:t>.</w:t>
      </w:r>
      <w:r w:rsidRPr="003F6E02">
        <w:rPr>
          <w:rFonts w:ascii="Arial" w:eastAsia="Times New Roman" w:hAnsi="Arial" w:cs="Arial"/>
          <w:sz w:val="24"/>
          <w:szCs w:val="24"/>
          <w:lang w:eastAsia="en-ZA"/>
        </w:rPr>
        <w:t xml:space="preserve"> </w:t>
      </w:r>
      <w:r w:rsidR="00AD078A">
        <w:rPr>
          <w:rFonts w:ascii="Arial" w:eastAsia="Times New Roman" w:hAnsi="Arial" w:cs="Arial"/>
          <w:b/>
          <w:sz w:val="24"/>
          <w:szCs w:val="24"/>
          <w:lang w:eastAsia="en-ZA"/>
        </w:rPr>
        <w:t xml:space="preserve"> </w:t>
      </w:r>
      <w:r w:rsidRPr="003F6E02">
        <w:rPr>
          <w:rFonts w:ascii="Arial" w:eastAsia="Times New Roman" w:hAnsi="Arial" w:cs="Arial"/>
          <w:sz w:val="24"/>
          <w:szCs w:val="24"/>
          <w:lang w:val="en-ZA" w:eastAsia="en-ZA"/>
        </w:rPr>
        <w:t xml:space="preserve">In addition to the order to pay </w:t>
      </w:r>
      <w:r w:rsidRPr="003F6E02">
        <w:rPr>
          <w:rFonts w:ascii="Arial" w:eastAsia="Times New Roman" w:hAnsi="Arial" w:cs="Arial"/>
          <w:sz w:val="24"/>
          <w:szCs w:val="24"/>
          <w:lang w:eastAsia="en-ZA"/>
        </w:rPr>
        <w:t xml:space="preserve">Old Mutual Life, the High Court declared </w:t>
      </w:r>
      <w:r w:rsidR="00AD078A">
        <w:rPr>
          <w:rFonts w:ascii="Arial" w:eastAsia="Times New Roman" w:hAnsi="Arial" w:cs="Arial"/>
          <w:sz w:val="24"/>
          <w:szCs w:val="24"/>
          <w:lang w:eastAsia="en-ZA"/>
        </w:rPr>
        <w:t xml:space="preserve">the </w:t>
      </w:r>
      <w:r w:rsidR="00AD078A" w:rsidRPr="00AD078A">
        <w:rPr>
          <w:rFonts w:ascii="Arial" w:eastAsia="Times New Roman" w:hAnsi="Arial" w:cs="Arial"/>
          <w:sz w:val="24"/>
          <w:szCs w:val="24"/>
          <w:lang w:eastAsia="en-ZA"/>
        </w:rPr>
        <w:t xml:space="preserve">immovable property which Hendricks CC provided as security for the </w:t>
      </w:r>
      <w:r w:rsidR="00905E84">
        <w:rPr>
          <w:rFonts w:ascii="Arial" w:eastAsia="Times New Roman" w:hAnsi="Arial" w:cs="Arial"/>
          <w:sz w:val="24"/>
          <w:szCs w:val="24"/>
          <w:lang w:eastAsia="en-ZA"/>
        </w:rPr>
        <w:t>monies</w:t>
      </w:r>
      <w:r w:rsidR="00AD078A" w:rsidRPr="00AD078A">
        <w:rPr>
          <w:rFonts w:ascii="Arial" w:eastAsia="Times New Roman" w:hAnsi="Arial" w:cs="Arial"/>
          <w:sz w:val="24"/>
          <w:szCs w:val="24"/>
          <w:lang w:eastAsia="en-ZA"/>
        </w:rPr>
        <w:t xml:space="preserve"> that were lent to it, </w:t>
      </w:r>
      <w:r w:rsidRPr="003F6E02">
        <w:rPr>
          <w:rFonts w:ascii="Arial" w:eastAsia="Times New Roman" w:hAnsi="Arial" w:cs="Arial"/>
          <w:sz w:val="24"/>
          <w:szCs w:val="24"/>
          <w:lang w:eastAsia="en-ZA"/>
        </w:rPr>
        <w:t>executable</w:t>
      </w:r>
      <w:r w:rsidR="00AD078A">
        <w:rPr>
          <w:rFonts w:ascii="Arial" w:eastAsia="Times New Roman" w:hAnsi="Arial" w:cs="Arial"/>
          <w:sz w:val="24"/>
          <w:szCs w:val="24"/>
          <w:lang w:eastAsia="en-ZA"/>
        </w:rPr>
        <w:t>.</w:t>
      </w:r>
    </w:p>
    <w:p w14:paraId="0DC2BAE8" w14:textId="77777777" w:rsidR="003F6E02" w:rsidRPr="003F6E02" w:rsidRDefault="003F6E02" w:rsidP="001E04D7">
      <w:pPr>
        <w:shd w:val="clear" w:color="auto" w:fill="FFFFFF"/>
        <w:spacing w:after="0" w:line="360" w:lineRule="auto"/>
        <w:jc w:val="both"/>
        <w:rPr>
          <w:rFonts w:ascii="Arial" w:eastAsia="Times New Roman" w:hAnsi="Arial" w:cs="Arial"/>
          <w:sz w:val="24"/>
          <w:szCs w:val="24"/>
          <w:lang w:val="en-ZA" w:eastAsia="en-ZA"/>
        </w:rPr>
      </w:pPr>
    </w:p>
    <w:p w14:paraId="02890737" w14:textId="5DFE1966" w:rsidR="003F6E02" w:rsidRDefault="003F6E02" w:rsidP="001E04D7">
      <w:pPr>
        <w:shd w:val="clear" w:color="auto" w:fill="FFFFFF"/>
        <w:spacing w:after="0" w:line="360" w:lineRule="auto"/>
        <w:jc w:val="both"/>
        <w:rPr>
          <w:rFonts w:ascii="Arial" w:eastAsia="Times New Roman" w:hAnsi="Arial" w:cs="Arial"/>
          <w:sz w:val="24"/>
          <w:szCs w:val="24"/>
          <w:lang w:val="en-ZA" w:eastAsia="en-ZA"/>
        </w:rPr>
      </w:pPr>
      <w:r w:rsidRPr="003F6E02">
        <w:rPr>
          <w:rFonts w:ascii="Arial" w:eastAsia="Times New Roman" w:hAnsi="Arial" w:cs="Arial"/>
          <w:sz w:val="24"/>
          <w:szCs w:val="24"/>
          <w:lang w:val="en-ZA" w:eastAsia="en-ZA"/>
        </w:rPr>
        <w:t xml:space="preserve">Subsequent to the High Court having granted default judgment </w:t>
      </w:r>
      <w:r w:rsidRPr="003F6E02">
        <w:rPr>
          <w:rFonts w:ascii="Arial" w:eastAsia="Times New Roman" w:hAnsi="Arial" w:cs="Arial"/>
          <w:sz w:val="24"/>
          <w:szCs w:val="24"/>
          <w:lang w:eastAsia="en-ZA"/>
        </w:rPr>
        <w:t xml:space="preserve">against </w:t>
      </w:r>
      <w:r w:rsidR="0077098D" w:rsidRPr="003F6E02">
        <w:rPr>
          <w:rFonts w:ascii="Arial" w:eastAsia="Times New Roman" w:hAnsi="Arial" w:cs="Arial"/>
          <w:sz w:val="24"/>
          <w:szCs w:val="24"/>
          <w:lang w:eastAsia="en-ZA"/>
        </w:rPr>
        <w:t>Hendricks</w:t>
      </w:r>
      <w:r w:rsidRPr="003F6E02">
        <w:rPr>
          <w:rFonts w:ascii="Arial" w:eastAsia="Times New Roman" w:hAnsi="Arial" w:cs="Arial"/>
          <w:sz w:val="24"/>
          <w:szCs w:val="24"/>
          <w:lang w:eastAsia="en-ZA"/>
        </w:rPr>
        <w:t xml:space="preserve"> CC</w:t>
      </w:r>
      <w:r w:rsidR="00137BA8">
        <w:rPr>
          <w:rFonts w:ascii="Arial" w:eastAsia="Times New Roman" w:hAnsi="Arial" w:cs="Arial"/>
          <w:sz w:val="24"/>
          <w:szCs w:val="24"/>
          <w:lang w:val="en-ZA" w:eastAsia="en-ZA"/>
        </w:rPr>
        <w:t xml:space="preserve"> and the r</w:t>
      </w:r>
      <w:r w:rsidRPr="003F6E02">
        <w:rPr>
          <w:rFonts w:ascii="Arial" w:eastAsia="Times New Roman" w:hAnsi="Arial" w:cs="Arial"/>
          <w:sz w:val="24"/>
          <w:szCs w:val="24"/>
          <w:lang w:val="en-ZA" w:eastAsia="en-ZA"/>
        </w:rPr>
        <w:t>egistrar of the High Court having issued a wri</w:t>
      </w:r>
      <w:r w:rsidR="00137BA8">
        <w:rPr>
          <w:rFonts w:ascii="Arial" w:eastAsia="Times New Roman" w:hAnsi="Arial" w:cs="Arial"/>
          <w:sz w:val="24"/>
          <w:szCs w:val="24"/>
          <w:lang w:val="en-ZA" w:eastAsia="en-ZA"/>
        </w:rPr>
        <w:t xml:space="preserve">t of execution, the </w:t>
      </w:r>
      <w:r w:rsidR="00905E84">
        <w:rPr>
          <w:rFonts w:ascii="Arial" w:eastAsia="Times New Roman" w:hAnsi="Arial" w:cs="Arial"/>
          <w:sz w:val="24"/>
          <w:szCs w:val="24"/>
          <w:lang w:val="en-ZA" w:eastAsia="en-ZA"/>
        </w:rPr>
        <w:t>d</w:t>
      </w:r>
      <w:r w:rsidR="00AC21A0">
        <w:rPr>
          <w:rFonts w:ascii="Arial" w:eastAsia="Times New Roman" w:hAnsi="Arial" w:cs="Arial"/>
          <w:sz w:val="24"/>
          <w:szCs w:val="24"/>
          <w:lang w:val="en-ZA" w:eastAsia="en-ZA"/>
        </w:rPr>
        <w:t>eputy-sheriff</w:t>
      </w:r>
      <w:r w:rsidRPr="003F6E02">
        <w:rPr>
          <w:rFonts w:ascii="Arial" w:eastAsia="Times New Roman" w:hAnsi="Arial" w:cs="Arial"/>
          <w:sz w:val="24"/>
          <w:szCs w:val="24"/>
          <w:lang w:val="en-ZA" w:eastAsia="en-ZA"/>
        </w:rPr>
        <w:t xml:space="preserve"> </w:t>
      </w:r>
      <w:r w:rsidR="00632A22">
        <w:rPr>
          <w:rFonts w:ascii="Arial" w:eastAsia="Times New Roman" w:hAnsi="Arial" w:cs="Arial"/>
          <w:sz w:val="24"/>
          <w:szCs w:val="24"/>
          <w:lang w:val="en-ZA" w:eastAsia="en-ZA"/>
        </w:rPr>
        <w:t xml:space="preserve">(second respondent) </w:t>
      </w:r>
      <w:r w:rsidRPr="003F6E02">
        <w:rPr>
          <w:rFonts w:ascii="Arial" w:eastAsia="Times New Roman" w:hAnsi="Arial" w:cs="Arial"/>
          <w:sz w:val="24"/>
          <w:szCs w:val="24"/>
          <w:lang w:val="en-ZA" w:eastAsia="en-ZA"/>
        </w:rPr>
        <w:t xml:space="preserve">attached the property </w:t>
      </w:r>
      <w:r w:rsidRPr="003F6E02">
        <w:rPr>
          <w:rFonts w:ascii="Arial" w:eastAsia="Times New Roman" w:hAnsi="Arial" w:cs="Arial"/>
          <w:sz w:val="24"/>
          <w:szCs w:val="24"/>
          <w:lang w:eastAsia="en-ZA"/>
        </w:rPr>
        <w:t>and scheduled a sale in execution by public auction for 11 September 2018.</w:t>
      </w:r>
      <w:r w:rsidR="00C524B4">
        <w:rPr>
          <w:rFonts w:ascii="Arial" w:eastAsia="Times New Roman" w:hAnsi="Arial" w:cs="Arial"/>
          <w:sz w:val="24"/>
          <w:szCs w:val="24"/>
          <w:lang w:val="en-ZA" w:eastAsia="en-ZA"/>
        </w:rPr>
        <w:t xml:space="preserve"> </w:t>
      </w:r>
      <w:r w:rsidRPr="003F6E02">
        <w:rPr>
          <w:rFonts w:ascii="Arial" w:eastAsia="Times New Roman" w:hAnsi="Arial" w:cs="Arial"/>
          <w:sz w:val="24"/>
          <w:szCs w:val="24"/>
          <w:lang w:val="en-ZA" w:eastAsia="en-ZA"/>
        </w:rPr>
        <w:t>The sale in execution took place as scheduled on 11 September 2018. The events leading to the sale in execution and the events that occurred on 11 September 2018 shortly before the sale in execution,</w:t>
      </w:r>
      <w:r w:rsidR="00632A22">
        <w:rPr>
          <w:rFonts w:ascii="Arial" w:eastAsia="Times New Roman" w:hAnsi="Arial" w:cs="Arial"/>
          <w:sz w:val="24"/>
          <w:szCs w:val="24"/>
          <w:lang w:val="en-ZA" w:eastAsia="en-ZA"/>
        </w:rPr>
        <w:t xml:space="preserve"> are what</w:t>
      </w:r>
      <w:r w:rsidRPr="003F6E02">
        <w:rPr>
          <w:rFonts w:ascii="Arial" w:eastAsia="Times New Roman" w:hAnsi="Arial" w:cs="Arial"/>
          <w:sz w:val="24"/>
          <w:szCs w:val="24"/>
          <w:lang w:val="en-ZA" w:eastAsia="en-ZA"/>
        </w:rPr>
        <w:t xml:space="preserve"> led to this appeal</w:t>
      </w:r>
      <w:r w:rsidR="00C524B4">
        <w:rPr>
          <w:rFonts w:ascii="Arial" w:eastAsia="Times New Roman" w:hAnsi="Arial" w:cs="Arial"/>
          <w:sz w:val="24"/>
          <w:szCs w:val="24"/>
          <w:lang w:val="en-ZA" w:eastAsia="en-ZA"/>
        </w:rPr>
        <w:t>.</w:t>
      </w:r>
    </w:p>
    <w:p w14:paraId="7CB3CA80" w14:textId="77777777" w:rsidR="00AC21A0" w:rsidRDefault="00AC21A0" w:rsidP="001E04D7">
      <w:pPr>
        <w:shd w:val="clear" w:color="auto" w:fill="FFFFFF"/>
        <w:spacing w:after="0" w:line="360" w:lineRule="auto"/>
        <w:jc w:val="both"/>
        <w:rPr>
          <w:rFonts w:ascii="Arial" w:eastAsia="Times New Roman" w:hAnsi="Arial" w:cs="Arial"/>
          <w:sz w:val="24"/>
          <w:szCs w:val="24"/>
          <w:lang w:val="en-ZA" w:eastAsia="en-ZA"/>
        </w:rPr>
      </w:pPr>
    </w:p>
    <w:p w14:paraId="5DE66D8B" w14:textId="77777777" w:rsidR="00C524B4" w:rsidRDefault="00D4325F" w:rsidP="001E04D7">
      <w:pPr>
        <w:shd w:val="clear" w:color="auto" w:fill="FFFFFF"/>
        <w:spacing w:after="0" w:line="360" w:lineRule="auto"/>
        <w:jc w:val="both"/>
        <w:rPr>
          <w:rFonts w:ascii="Arial" w:eastAsia="Times New Roman" w:hAnsi="Arial" w:cs="Arial"/>
          <w:sz w:val="24"/>
          <w:szCs w:val="24"/>
          <w:lang w:val="en-ZA" w:eastAsia="en-ZA"/>
        </w:rPr>
      </w:pPr>
      <w:r w:rsidRPr="00D4325F">
        <w:rPr>
          <w:rFonts w:ascii="Arial" w:eastAsia="Times New Roman" w:hAnsi="Arial" w:cs="Arial"/>
          <w:sz w:val="24"/>
          <w:szCs w:val="24"/>
          <w:lang w:val="en-ZA" w:eastAsia="en-ZA"/>
        </w:rPr>
        <w:t xml:space="preserve">Old Mutual Life, on 13 December 2018, launched proceedings </w:t>
      </w:r>
      <w:r>
        <w:rPr>
          <w:rFonts w:ascii="Arial" w:eastAsia="Times New Roman" w:hAnsi="Arial" w:cs="Arial"/>
          <w:sz w:val="24"/>
          <w:szCs w:val="24"/>
          <w:lang w:val="en-ZA" w:eastAsia="en-ZA"/>
        </w:rPr>
        <w:t xml:space="preserve">out of the High Court </w:t>
      </w:r>
      <w:r w:rsidRPr="00D4325F">
        <w:rPr>
          <w:rFonts w:ascii="Arial" w:eastAsia="Times New Roman" w:hAnsi="Arial" w:cs="Arial"/>
          <w:sz w:val="24"/>
          <w:szCs w:val="24"/>
          <w:lang w:val="en-ZA" w:eastAsia="en-ZA"/>
        </w:rPr>
        <w:t>in terms of which it sought an order setting aside the sale in execution of the property. Old Mutual Life based the relief it sought</w:t>
      </w:r>
      <w:r>
        <w:rPr>
          <w:rFonts w:ascii="Arial" w:eastAsia="Times New Roman" w:hAnsi="Arial" w:cs="Arial"/>
          <w:sz w:val="24"/>
          <w:szCs w:val="24"/>
          <w:lang w:val="en-ZA" w:eastAsia="en-ZA"/>
        </w:rPr>
        <w:t xml:space="preserve"> </w:t>
      </w:r>
      <w:r w:rsidRPr="00D4325F">
        <w:rPr>
          <w:rFonts w:ascii="Arial" w:eastAsia="Times New Roman" w:hAnsi="Arial" w:cs="Arial"/>
          <w:sz w:val="24"/>
          <w:szCs w:val="24"/>
          <w:lang w:val="en-ZA" w:eastAsia="en-ZA"/>
        </w:rPr>
        <w:t>on its contention that there were multiple non-compliances with the rules of the High Court (particularly rules 109 and 110) pertaining to the sale in execution of the property. Mr Harris</w:t>
      </w:r>
      <w:r w:rsidR="00DE10FF">
        <w:rPr>
          <w:rFonts w:ascii="Arial" w:eastAsia="Times New Roman" w:hAnsi="Arial" w:cs="Arial"/>
          <w:sz w:val="24"/>
          <w:szCs w:val="24"/>
          <w:lang w:val="en-ZA" w:eastAsia="en-ZA"/>
        </w:rPr>
        <w:t xml:space="preserve"> (the appellant and the highest bidder</w:t>
      </w:r>
      <w:r w:rsidR="00DE10FF" w:rsidRPr="00DE10FF">
        <w:rPr>
          <w:rFonts w:ascii="Arial" w:eastAsia="Times New Roman" w:hAnsi="Arial" w:cs="Arial"/>
          <w:sz w:val="24"/>
          <w:szCs w:val="24"/>
          <w:lang w:val="en-ZA" w:eastAsia="en-ZA"/>
        </w:rPr>
        <w:t>, whose final bid was N$4 600 000</w:t>
      </w:r>
      <w:r w:rsidR="00DE10FF">
        <w:rPr>
          <w:rFonts w:ascii="Arial" w:eastAsia="Times New Roman" w:hAnsi="Arial" w:cs="Arial"/>
          <w:sz w:val="24"/>
          <w:szCs w:val="24"/>
          <w:lang w:val="en-ZA" w:eastAsia="en-ZA"/>
        </w:rPr>
        <w:t xml:space="preserve">) </w:t>
      </w:r>
      <w:r w:rsidRPr="00D4325F">
        <w:rPr>
          <w:rFonts w:ascii="Arial" w:eastAsia="Times New Roman" w:hAnsi="Arial" w:cs="Arial"/>
          <w:sz w:val="24"/>
          <w:szCs w:val="24"/>
          <w:lang w:val="en-ZA" w:eastAsia="en-ZA"/>
        </w:rPr>
        <w:t>opposed Old Mutual Life’s application.</w:t>
      </w:r>
      <w:r w:rsidRPr="00D4325F">
        <w:rPr>
          <w:rFonts w:ascii="Arial" w:eastAsia="Calibri" w:hAnsi="Arial" w:cs="Times New Roman"/>
          <w:sz w:val="24"/>
          <w:lang w:val="en-ZA"/>
        </w:rPr>
        <w:t xml:space="preserve"> </w:t>
      </w:r>
      <w:r w:rsidRPr="00D4325F">
        <w:rPr>
          <w:rFonts w:ascii="Arial" w:eastAsia="Times New Roman" w:hAnsi="Arial" w:cs="Arial"/>
          <w:sz w:val="24"/>
          <w:szCs w:val="24"/>
          <w:lang w:val="en-ZA" w:eastAsia="en-ZA"/>
        </w:rPr>
        <w:t xml:space="preserve">The High Court identified two issues that it was required to determine, namely, </w:t>
      </w:r>
      <w:r w:rsidRPr="00D4325F">
        <w:rPr>
          <w:rFonts w:ascii="Arial" w:eastAsia="Times New Roman" w:hAnsi="Arial" w:cs="Arial"/>
          <w:sz w:val="24"/>
          <w:szCs w:val="24"/>
          <w:lang w:eastAsia="en-ZA"/>
        </w:rPr>
        <w:t>whether rule 110(4)</w:t>
      </w:r>
      <w:r w:rsidR="00140088">
        <w:rPr>
          <w:rFonts w:ascii="Arial" w:eastAsia="Times New Roman" w:hAnsi="Arial" w:cs="Arial"/>
          <w:sz w:val="24"/>
          <w:szCs w:val="24"/>
          <w:lang w:eastAsia="en-ZA"/>
        </w:rPr>
        <w:t xml:space="preserve"> </w:t>
      </w:r>
      <w:r w:rsidR="00A36E78">
        <w:rPr>
          <w:rFonts w:ascii="Arial" w:eastAsia="Times New Roman" w:hAnsi="Arial" w:cs="Arial"/>
          <w:sz w:val="24"/>
          <w:szCs w:val="24"/>
          <w:lang w:eastAsia="en-ZA"/>
        </w:rPr>
        <w:t xml:space="preserve">of the Rules of the High Court </w:t>
      </w:r>
      <w:r w:rsidRPr="00D4325F">
        <w:rPr>
          <w:rFonts w:ascii="Arial" w:eastAsia="Times New Roman" w:hAnsi="Arial" w:cs="Arial"/>
          <w:sz w:val="24"/>
          <w:szCs w:val="24"/>
          <w:lang w:eastAsia="en-ZA"/>
        </w:rPr>
        <w:t xml:space="preserve">was peremptory and if it </w:t>
      </w:r>
      <w:r w:rsidRPr="00D4325F">
        <w:rPr>
          <w:rFonts w:ascii="Arial" w:eastAsia="Times New Roman" w:hAnsi="Arial" w:cs="Arial"/>
          <w:sz w:val="24"/>
          <w:szCs w:val="24"/>
          <w:lang w:eastAsia="en-ZA"/>
        </w:rPr>
        <w:lastRenderedPageBreak/>
        <w:t xml:space="preserve">was, whether non-compliance would result in </w:t>
      </w:r>
      <w:r w:rsidR="00140088">
        <w:rPr>
          <w:rFonts w:ascii="Arial" w:eastAsia="Times New Roman" w:hAnsi="Arial" w:cs="Arial"/>
          <w:sz w:val="24"/>
          <w:szCs w:val="24"/>
          <w:lang w:eastAsia="en-ZA"/>
        </w:rPr>
        <w:t xml:space="preserve">the </w:t>
      </w:r>
      <w:r w:rsidRPr="00D4325F">
        <w:rPr>
          <w:rFonts w:ascii="Arial" w:eastAsia="Times New Roman" w:hAnsi="Arial" w:cs="Arial"/>
          <w:sz w:val="24"/>
          <w:szCs w:val="24"/>
          <w:lang w:eastAsia="en-ZA"/>
        </w:rPr>
        <w:t xml:space="preserve">setting aside </w:t>
      </w:r>
      <w:r w:rsidR="00140088">
        <w:rPr>
          <w:rFonts w:ascii="Arial" w:eastAsia="Times New Roman" w:hAnsi="Arial" w:cs="Arial"/>
          <w:sz w:val="24"/>
          <w:szCs w:val="24"/>
          <w:lang w:eastAsia="en-ZA"/>
        </w:rPr>
        <w:t xml:space="preserve">of </w:t>
      </w:r>
      <w:r w:rsidRPr="00D4325F">
        <w:rPr>
          <w:rFonts w:ascii="Arial" w:eastAsia="Times New Roman" w:hAnsi="Arial" w:cs="Arial"/>
          <w:sz w:val="24"/>
          <w:szCs w:val="24"/>
          <w:lang w:eastAsia="en-ZA"/>
        </w:rPr>
        <w:t>the sale in execution. T</w:t>
      </w:r>
      <w:r w:rsidRPr="00D4325F">
        <w:rPr>
          <w:rFonts w:ascii="Arial" w:eastAsia="Times New Roman" w:hAnsi="Arial" w:cs="Arial"/>
          <w:sz w:val="24"/>
          <w:szCs w:val="24"/>
          <w:lang w:val="en-ZA" w:eastAsia="en-ZA"/>
        </w:rPr>
        <w:t>he High Court on 26 February 2021 answered both questions in the affirmative and granted the order sought by Old Mutual Life and set aside the sale in execution.</w:t>
      </w:r>
      <w:r w:rsidRPr="00D4325F">
        <w:rPr>
          <w:rFonts w:ascii="Arial" w:eastAsia="Calibri" w:hAnsi="Arial" w:cs="Times New Roman"/>
          <w:sz w:val="24"/>
          <w:lang w:val="en-ZA"/>
        </w:rPr>
        <w:t xml:space="preserve"> </w:t>
      </w:r>
      <w:r w:rsidRPr="00D4325F">
        <w:rPr>
          <w:rFonts w:ascii="Arial" w:eastAsia="Times New Roman" w:hAnsi="Arial" w:cs="Arial"/>
          <w:sz w:val="24"/>
          <w:szCs w:val="24"/>
          <w:lang w:val="en-ZA" w:eastAsia="en-ZA"/>
        </w:rPr>
        <w:t>Mr Harris is aggrieved by the judgment and orders of the High Court and hence this appeal</w:t>
      </w:r>
      <w:r>
        <w:rPr>
          <w:rFonts w:ascii="Arial" w:eastAsia="Times New Roman" w:hAnsi="Arial" w:cs="Arial"/>
          <w:sz w:val="24"/>
          <w:szCs w:val="24"/>
          <w:lang w:val="en-ZA" w:eastAsia="en-ZA"/>
        </w:rPr>
        <w:t>.</w:t>
      </w:r>
    </w:p>
    <w:p w14:paraId="6C055FE9" w14:textId="77777777" w:rsidR="00D4325F" w:rsidRDefault="00D4325F" w:rsidP="001E04D7">
      <w:pPr>
        <w:shd w:val="clear" w:color="auto" w:fill="FFFFFF"/>
        <w:spacing w:after="0" w:line="360" w:lineRule="auto"/>
        <w:jc w:val="both"/>
        <w:rPr>
          <w:rFonts w:ascii="Arial" w:eastAsia="Times New Roman" w:hAnsi="Arial" w:cs="Arial"/>
          <w:sz w:val="24"/>
          <w:szCs w:val="24"/>
          <w:lang w:val="en-ZA" w:eastAsia="en-ZA"/>
        </w:rPr>
      </w:pPr>
    </w:p>
    <w:p w14:paraId="253D6C80" w14:textId="77777777" w:rsidR="00D4325F" w:rsidRPr="0094246F" w:rsidRDefault="00BB1CD4" w:rsidP="001E04D7">
      <w:pPr>
        <w:shd w:val="clear" w:color="auto" w:fill="FFFFFF"/>
        <w:spacing w:after="0" w:line="360" w:lineRule="auto"/>
        <w:jc w:val="both"/>
        <w:rPr>
          <w:rFonts w:ascii="Arial" w:eastAsia="Times New Roman" w:hAnsi="Arial" w:cs="Arial"/>
          <w:sz w:val="24"/>
          <w:szCs w:val="24"/>
          <w:lang w:eastAsia="en-ZA"/>
        </w:rPr>
      </w:pPr>
      <w:r w:rsidRPr="0094246F">
        <w:rPr>
          <w:rFonts w:ascii="Arial" w:eastAsia="Times New Roman" w:hAnsi="Arial" w:cs="Arial"/>
          <w:i/>
          <w:sz w:val="24"/>
          <w:szCs w:val="24"/>
          <w:lang w:val="en-ZA" w:eastAsia="en-ZA"/>
        </w:rPr>
        <w:t>Held that</w:t>
      </w:r>
      <w:r w:rsidRPr="0094246F">
        <w:rPr>
          <w:rFonts w:ascii="Arial" w:eastAsia="Times New Roman" w:hAnsi="Arial" w:cs="Arial"/>
          <w:sz w:val="24"/>
          <w:szCs w:val="24"/>
          <w:lang w:val="en-ZA" w:eastAsia="en-ZA"/>
        </w:rPr>
        <w:t xml:space="preserve">, </w:t>
      </w:r>
      <w:r w:rsidR="00544E3C" w:rsidRPr="007C2336">
        <w:rPr>
          <w:rFonts w:ascii="Arial" w:eastAsia="Calibri" w:hAnsi="Arial" w:cs="Arial"/>
          <w:sz w:val="24"/>
          <w:szCs w:val="24"/>
          <w:lang w:val="en-ZA"/>
        </w:rPr>
        <w:t xml:space="preserve">a mortgage bond </w:t>
      </w:r>
      <w:r w:rsidR="00544E3C">
        <w:rPr>
          <w:rFonts w:ascii="Arial" w:eastAsia="Calibri" w:hAnsi="Arial" w:cs="Arial"/>
          <w:sz w:val="24"/>
          <w:szCs w:val="24"/>
          <w:lang w:val="en-ZA"/>
        </w:rPr>
        <w:t xml:space="preserve">is </w:t>
      </w:r>
      <w:r w:rsidR="00544E3C" w:rsidRPr="007C2336">
        <w:rPr>
          <w:rFonts w:ascii="Arial" w:eastAsia="Calibri" w:hAnsi="Arial" w:cs="Arial"/>
          <w:sz w:val="24"/>
          <w:szCs w:val="24"/>
          <w:lang w:val="en-ZA"/>
        </w:rPr>
        <w:t>an instrument hypothecating landed property to s</w:t>
      </w:r>
      <w:r w:rsidR="00544E3C">
        <w:rPr>
          <w:rFonts w:ascii="Arial" w:eastAsia="Calibri" w:hAnsi="Arial" w:cs="Arial"/>
          <w:sz w:val="24"/>
          <w:szCs w:val="24"/>
          <w:lang w:val="en-ZA"/>
        </w:rPr>
        <w:t xml:space="preserve">ecure an existing debt or a </w:t>
      </w:r>
      <w:r w:rsidR="00544E3C" w:rsidRPr="007C2336">
        <w:rPr>
          <w:rFonts w:ascii="Arial" w:eastAsia="Calibri" w:hAnsi="Arial" w:cs="Arial"/>
          <w:sz w:val="24"/>
          <w:szCs w:val="24"/>
          <w:lang w:val="en-ZA"/>
        </w:rPr>
        <w:t xml:space="preserve">future debt or both existing and </w:t>
      </w:r>
      <w:r w:rsidR="000C5833" w:rsidRPr="007C2336">
        <w:rPr>
          <w:rFonts w:ascii="Arial" w:eastAsia="Calibri" w:hAnsi="Arial" w:cs="Arial"/>
          <w:sz w:val="24"/>
          <w:szCs w:val="24"/>
          <w:lang w:val="en-ZA"/>
        </w:rPr>
        <w:t xml:space="preserve">future </w:t>
      </w:r>
      <w:r w:rsidR="000C5833">
        <w:rPr>
          <w:rFonts w:ascii="Arial" w:eastAsia="Calibri" w:hAnsi="Arial" w:cs="Arial"/>
          <w:sz w:val="24"/>
          <w:szCs w:val="24"/>
          <w:lang w:val="en-ZA"/>
        </w:rPr>
        <w:t>and</w:t>
      </w:r>
      <w:r w:rsidR="00544E3C">
        <w:rPr>
          <w:rFonts w:ascii="Arial" w:eastAsia="Calibri" w:hAnsi="Arial" w:cs="Arial"/>
          <w:sz w:val="24"/>
          <w:szCs w:val="24"/>
          <w:lang w:val="en-ZA"/>
        </w:rPr>
        <w:t xml:space="preserve"> that it </w:t>
      </w:r>
      <w:r w:rsidR="0094246F" w:rsidRPr="0094246F">
        <w:rPr>
          <w:rFonts w:ascii="Arial" w:eastAsia="Calibri" w:hAnsi="Arial" w:cs="Arial"/>
          <w:sz w:val="24"/>
          <w:szCs w:val="24"/>
          <w:lang w:val="en-ZA"/>
        </w:rPr>
        <w:t>is registered in the Deeds Office so that the world should have knowledge of the fact that there is a charge against the mortgagor's property; the object is not to notify the world that the mortgagor owes the mortgagee a specific sum of money</w:t>
      </w:r>
      <w:r w:rsidR="0094246F">
        <w:rPr>
          <w:rFonts w:ascii="Arial" w:eastAsia="Times New Roman" w:hAnsi="Arial" w:cs="Arial"/>
          <w:sz w:val="24"/>
          <w:szCs w:val="24"/>
          <w:lang w:eastAsia="en-ZA"/>
        </w:rPr>
        <w:t>.</w:t>
      </w:r>
    </w:p>
    <w:p w14:paraId="407831E8" w14:textId="77777777" w:rsidR="00D64903" w:rsidRDefault="00D64903" w:rsidP="001E04D7">
      <w:pPr>
        <w:shd w:val="clear" w:color="auto" w:fill="FFFFFF"/>
        <w:spacing w:after="0" w:line="360" w:lineRule="auto"/>
        <w:jc w:val="both"/>
        <w:rPr>
          <w:rFonts w:ascii="Arial" w:eastAsia="Times New Roman" w:hAnsi="Arial" w:cs="Arial"/>
          <w:sz w:val="24"/>
          <w:szCs w:val="24"/>
          <w:lang w:eastAsia="en-ZA"/>
        </w:rPr>
      </w:pPr>
    </w:p>
    <w:p w14:paraId="5E1F6F17" w14:textId="77777777" w:rsidR="00D64903" w:rsidRDefault="00D64903" w:rsidP="001E04D7">
      <w:pPr>
        <w:shd w:val="clear" w:color="auto" w:fill="FFFFFF"/>
        <w:spacing w:after="0" w:line="360" w:lineRule="auto"/>
        <w:jc w:val="both"/>
        <w:rPr>
          <w:rFonts w:ascii="Arial" w:eastAsia="Times New Roman" w:hAnsi="Arial" w:cs="Arial"/>
          <w:sz w:val="24"/>
          <w:szCs w:val="24"/>
          <w:lang w:val="en-ZA" w:eastAsia="en-ZA"/>
        </w:rPr>
      </w:pPr>
      <w:r w:rsidRPr="00D64903">
        <w:rPr>
          <w:rFonts w:ascii="Arial" w:eastAsia="Times New Roman" w:hAnsi="Arial" w:cs="Arial"/>
          <w:i/>
          <w:sz w:val="24"/>
          <w:szCs w:val="24"/>
          <w:lang w:eastAsia="en-ZA"/>
        </w:rPr>
        <w:t>Held that</w:t>
      </w:r>
      <w:r>
        <w:rPr>
          <w:rFonts w:ascii="Arial" w:eastAsia="Times New Roman" w:hAnsi="Arial" w:cs="Arial"/>
          <w:sz w:val="24"/>
          <w:szCs w:val="24"/>
          <w:lang w:eastAsia="en-ZA"/>
        </w:rPr>
        <w:t xml:space="preserve">, </w:t>
      </w:r>
      <w:r w:rsidR="0094246F">
        <w:rPr>
          <w:rFonts w:ascii="Arial" w:eastAsia="Times New Roman" w:hAnsi="Arial" w:cs="Arial"/>
          <w:sz w:val="24"/>
          <w:szCs w:val="24"/>
          <w:lang w:eastAsia="en-ZA"/>
        </w:rPr>
        <w:t>t</w:t>
      </w:r>
      <w:r w:rsidR="001C4758" w:rsidRPr="001C4758">
        <w:rPr>
          <w:rFonts w:ascii="Arial" w:eastAsia="Times New Roman" w:hAnsi="Arial" w:cs="Arial"/>
          <w:sz w:val="24"/>
          <w:szCs w:val="24"/>
          <w:lang w:val="en-ZA" w:eastAsia="en-ZA"/>
        </w:rPr>
        <w:t xml:space="preserve">he registration of the mortgage bond in favour of FNB was to create certain real rights in respect of the mortgaged property, </w:t>
      </w:r>
      <w:r w:rsidR="00140088">
        <w:rPr>
          <w:rFonts w:ascii="Arial" w:eastAsia="Times New Roman" w:hAnsi="Arial" w:cs="Arial"/>
          <w:sz w:val="24"/>
          <w:szCs w:val="24"/>
          <w:lang w:val="en-ZA" w:eastAsia="en-ZA"/>
        </w:rPr>
        <w:t>ie</w:t>
      </w:r>
      <w:r w:rsidR="001C4758" w:rsidRPr="001C4758">
        <w:rPr>
          <w:rFonts w:ascii="Arial" w:eastAsia="Times New Roman" w:hAnsi="Arial" w:cs="Arial"/>
          <w:sz w:val="24"/>
          <w:szCs w:val="24"/>
          <w:lang w:val="en-ZA" w:eastAsia="en-ZA"/>
        </w:rPr>
        <w:t xml:space="preserve"> the right to restrain the alienation of the property without its consent. </w:t>
      </w:r>
      <w:r w:rsidR="00D32012">
        <w:rPr>
          <w:rFonts w:ascii="Arial" w:eastAsia="Times New Roman" w:hAnsi="Arial" w:cs="Arial"/>
          <w:sz w:val="24"/>
          <w:szCs w:val="24"/>
          <w:lang w:val="en-ZA" w:eastAsia="en-ZA"/>
        </w:rPr>
        <w:t xml:space="preserve">The argument </w:t>
      </w:r>
      <w:r w:rsidR="001C4758" w:rsidRPr="001C4758">
        <w:rPr>
          <w:rFonts w:ascii="Arial" w:eastAsia="Times New Roman" w:hAnsi="Arial" w:cs="Arial"/>
          <w:sz w:val="24"/>
          <w:szCs w:val="24"/>
          <w:lang w:val="en-ZA" w:eastAsia="en-ZA"/>
        </w:rPr>
        <w:t>that FNB was not a mortgagee in respect of the property at the time that the property was sold in execution</w:t>
      </w:r>
      <w:r w:rsidR="0094246F">
        <w:rPr>
          <w:rFonts w:ascii="Arial" w:eastAsia="Times New Roman" w:hAnsi="Arial" w:cs="Arial"/>
          <w:sz w:val="24"/>
          <w:szCs w:val="24"/>
          <w:lang w:val="en-ZA" w:eastAsia="en-ZA"/>
        </w:rPr>
        <w:t>, is thus rejected</w:t>
      </w:r>
      <w:r w:rsidR="001C4758" w:rsidRPr="001C4758">
        <w:rPr>
          <w:rFonts w:ascii="Arial" w:eastAsia="Times New Roman" w:hAnsi="Arial" w:cs="Arial"/>
          <w:sz w:val="24"/>
          <w:szCs w:val="24"/>
          <w:lang w:val="en-ZA" w:eastAsia="en-ZA"/>
        </w:rPr>
        <w:t>.</w:t>
      </w:r>
    </w:p>
    <w:p w14:paraId="76F5AF14" w14:textId="77777777" w:rsidR="00D32012" w:rsidRDefault="00D32012" w:rsidP="001E04D7">
      <w:pPr>
        <w:shd w:val="clear" w:color="auto" w:fill="FFFFFF"/>
        <w:spacing w:after="0" w:line="360" w:lineRule="auto"/>
        <w:jc w:val="both"/>
        <w:rPr>
          <w:rFonts w:ascii="Arial" w:eastAsia="Times New Roman" w:hAnsi="Arial" w:cs="Arial"/>
          <w:sz w:val="24"/>
          <w:szCs w:val="24"/>
          <w:lang w:val="en-ZA" w:eastAsia="en-ZA"/>
        </w:rPr>
      </w:pPr>
    </w:p>
    <w:p w14:paraId="4A4A776B" w14:textId="77777777" w:rsidR="00D32012" w:rsidRDefault="00D32012" w:rsidP="001E04D7">
      <w:pPr>
        <w:shd w:val="clear" w:color="auto" w:fill="FFFFFF"/>
        <w:spacing w:after="0" w:line="360" w:lineRule="auto"/>
        <w:jc w:val="both"/>
        <w:rPr>
          <w:rFonts w:ascii="Arial" w:eastAsia="Times New Roman" w:hAnsi="Arial" w:cs="Arial"/>
          <w:sz w:val="24"/>
          <w:szCs w:val="24"/>
          <w:lang w:val="en-ZA" w:eastAsia="en-ZA"/>
        </w:rPr>
      </w:pPr>
      <w:r w:rsidRPr="006E0FDD">
        <w:rPr>
          <w:rFonts w:ascii="Arial" w:eastAsia="Times New Roman" w:hAnsi="Arial" w:cs="Arial"/>
          <w:i/>
          <w:sz w:val="24"/>
          <w:szCs w:val="24"/>
          <w:lang w:val="en-ZA" w:eastAsia="en-ZA"/>
        </w:rPr>
        <w:t xml:space="preserve">Held </w:t>
      </w:r>
      <w:r w:rsidR="00485C2A">
        <w:rPr>
          <w:rFonts w:ascii="Arial" w:eastAsia="Times New Roman" w:hAnsi="Arial" w:cs="Arial"/>
          <w:i/>
          <w:sz w:val="24"/>
          <w:szCs w:val="24"/>
          <w:lang w:val="en-ZA" w:eastAsia="en-ZA"/>
        </w:rPr>
        <w:t xml:space="preserve">further </w:t>
      </w:r>
      <w:r w:rsidRPr="006E0FDD">
        <w:rPr>
          <w:rFonts w:ascii="Arial" w:eastAsia="Times New Roman" w:hAnsi="Arial" w:cs="Arial"/>
          <w:i/>
          <w:sz w:val="24"/>
          <w:szCs w:val="24"/>
          <w:lang w:val="en-ZA" w:eastAsia="en-ZA"/>
        </w:rPr>
        <w:t>that</w:t>
      </w:r>
      <w:r>
        <w:rPr>
          <w:rFonts w:ascii="Arial" w:eastAsia="Times New Roman" w:hAnsi="Arial" w:cs="Arial"/>
          <w:sz w:val="24"/>
          <w:szCs w:val="24"/>
          <w:lang w:val="en-ZA" w:eastAsia="en-ZA"/>
        </w:rPr>
        <w:t xml:space="preserve">, </w:t>
      </w:r>
      <w:r w:rsidR="00CF25D6" w:rsidRPr="00CF25D6">
        <w:rPr>
          <w:rFonts w:ascii="Arial" w:eastAsia="Times New Roman" w:hAnsi="Arial" w:cs="Arial"/>
          <w:sz w:val="24"/>
          <w:szCs w:val="24"/>
          <w:lang w:val="en-ZA" w:eastAsia="en-ZA"/>
        </w:rPr>
        <w:t>the meaning of words is, to a significant extent, determined by the context in which they are uttered</w:t>
      </w:r>
      <w:r w:rsidR="0045177F">
        <w:rPr>
          <w:rFonts w:ascii="Arial" w:eastAsia="Times New Roman" w:hAnsi="Arial" w:cs="Arial"/>
          <w:sz w:val="24"/>
          <w:szCs w:val="24"/>
          <w:lang w:val="en-ZA" w:eastAsia="en-ZA"/>
        </w:rPr>
        <w:t>.</w:t>
      </w:r>
    </w:p>
    <w:p w14:paraId="25D4261B" w14:textId="77777777" w:rsidR="0045177F" w:rsidRDefault="0045177F" w:rsidP="001E04D7">
      <w:pPr>
        <w:shd w:val="clear" w:color="auto" w:fill="FFFFFF"/>
        <w:spacing w:after="0" w:line="360" w:lineRule="auto"/>
        <w:jc w:val="both"/>
        <w:rPr>
          <w:rFonts w:ascii="Arial" w:eastAsia="Times New Roman" w:hAnsi="Arial" w:cs="Arial"/>
          <w:sz w:val="24"/>
          <w:szCs w:val="24"/>
          <w:lang w:val="en-ZA" w:eastAsia="en-ZA"/>
        </w:rPr>
      </w:pPr>
    </w:p>
    <w:p w14:paraId="56C6924E" w14:textId="5E94C3BD" w:rsidR="0094246F" w:rsidRDefault="0045177F" w:rsidP="001E04D7">
      <w:pPr>
        <w:shd w:val="clear" w:color="auto" w:fill="FFFFFF"/>
        <w:spacing w:after="0" w:line="360" w:lineRule="auto"/>
        <w:jc w:val="both"/>
        <w:rPr>
          <w:rFonts w:ascii="Arial" w:eastAsia="Times New Roman" w:hAnsi="Arial" w:cs="Arial"/>
          <w:sz w:val="24"/>
          <w:szCs w:val="24"/>
          <w:lang w:val="en-ZA" w:eastAsia="en-ZA"/>
        </w:rPr>
      </w:pPr>
      <w:r w:rsidRPr="0045177F">
        <w:rPr>
          <w:rFonts w:ascii="Arial" w:eastAsia="Times New Roman" w:hAnsi="Arial" w:cs="Arial"/>
          <w:i/>
          <w:sz w:val="24"/>
          <w:szCs w:val="24"/>
          <w:lang w:val="en-ZA" w:eastAsia="en-ZA"/>
        </w:rPr>
        <w:t>Held further that</w:t>
      </w:r>
      <w:r>
        <w:rPr>
          <w:rFonts w:ascii="Arial" w:eastAsia="Times New Roman" w:hAnsi="Arial" w:cs="Arial"/>
          <w:sz w:val="24"/>
          <w:szCs w:val="24"/>
          <w:lang w:val="en-ZA" w:eastAsia="en-ZA"/>
        </w:rPr>
        <w:t xml:space="preserve">, </w:t>
      </w:r>
      <w:r w:rsidR="009A1BBC">
        <w:rPr>
          <w:rFonts w:ascii="Arial" w:eastAsia="Times New Roman" w:hAnsi="Arial" w:cs="Arial"/>
          <w:sz w:val="24"/>
          <w:szCs w:val="24"/>
          <w:lang w:val="en-ZA" w:eastAsia="en-ZA"/>
        </w:rPr>
        <w:t xml:space="preserve">rule 110(4) is couched in peremptory terms. </w:t>
      </w:r>
      <w:r w:rsidR="009A1BBC" w:rsidRPr="009A1BBC">
        <w:rPr>
          <w:rFonts w:ascii="Arial" w:eastAsia="Times New Roman" w:hAnsi="Arial" w:cs="Arial"/>
          <w:sz w:val="24"/>
          <w:szCs w:val="24"/>
          <w:lang w:val="en-ZA" w:eastAsia="en-ZA"/>
        </w:rPr>
        <w:t>Non-compliance with the directions set out in rule 110(4) will result in nullity of the act performed contrary to the</w:t>
      </w:r>
      <w:r w:rsidR="00137BA8">
        <w:rPr>
          <w:rFonts w:ascii="Arial" w:eastAsia="Times New Roman" w:hAnsi="Arial" w:cs="Arial"/>
          <w:sz w:val="24"/>
          <w:szCs w:val="24"/>
          <w:lang w:val="en-ZA" w:eastAsia="en-ZA"/>
        </w:rPr>
        <w:t xml:space="preserve"> directions set out in that sub</w:t>
      </w:r>
      <w:r w:rsidR="009A1BBC" w:rsidRPr="009A1BBC">
        <w:rPr>
          <w:rFonts w:ascii="Arial" w:eastAsia="Times New Roman" w:hAnsi="Arial" w:cs="Arial"/>
          <w:sz w:val="24"/>
          <w:szCs w:val="24"/>
          <w:lang w:val="en-ZA" w:eastAsia="en-ZA"/>
        </w:rPr>
        <w:t>rule</w:t>
      </w:r>
      <w:r w:rsidR="009A1BBC">
        <w:rPr>
          <w:rFonts w:ascii="Arial" w:eastAsia="Times New Roman" w:hAnsi="Arial" w:cs="Arial"/>
          <w:sz w:val="24"/>
          <w:szCs w:val="24"/>
          <w:lang w:val="en-ZA" w:eastAsia="en-ZA"/>
        </w:rPr>
        <w:t xml:space="preserve">. </w:t>
      </w:r>
      <w:r w:rsidR="0094246F">
        <w:rPr>
          <w:rFonts w:ascii="Arial" w:eastAsia="Times New Roman" w:hAnsi="Arial" w:cs="Arial"/>
          <w:sz w:val="24"/>
          <w:szCs w:val="24"/>
          <w:lang w:val="en-ZA" w:eastAsia="en-ZA"/>
        </w:rPr>
        <w:t>`</w:t>
      </w:r>
    </w:p>
    <w:p w14:paraId="1AE79287" w14:textId="77777777" w:rsidR="0094246F" w:rsidRDefault="0094246F" w:rsidP="001E04D7">
      <w:pPr>
        <w:shd w:val="clear" w:color="auto" w:fill="FFFFFF"/>
        <w:spacing w:after="0" w:line="360" w:lineRule="auto"/>
        <w:jc w:val="both"/>
        <w:rPr>
          <w:rFonts w:ascii="Arial" w:eastAsia="Times New Roman" w:hAnsi="Arial" w:cs="Arial"/>
          <w:sz w:val="24"/>
          <w:szCs w:val="24"/>
          <w:lang w:val="en-ZA" w:eastAsia="en-ZA"/>
        </w:rPr>
      </w:pPr>
    </w:p>
    <w:p w14:paraId="40ED16DD" w14:textId="77777777" w:rsidR="00153EA9" w:rsidRDefault="0094246F" w:rsidP="001E04D7">
      <w:pPr>
        <w:shd w:val="clear" w:color="auto" w:fill="FFFFFF"/>
        <w:spacing w:after="0" w:line="360" w:lineRule="auto"/>
        <w:jc w:val="both"/>
        <w:rPr>
          <w:rFonts w:ascii="Arial" w:eastAsia="Times New Roman" w:hAnsi="Arial" w:cs="Arial"/>
          <w:sz w:val="24"/>
          <w:szCs w:val="24"/>
          <w:lang w:eastAsia="en-ZA"/>
        </w:rPr>
      </w:pPr>
      <w:r w:rsidRPr="0045177F">
        <w:rPr>
          <w:rFonts w:ascii="Arial" w:eastAsia="Times New Roman" w:hAnsi="Arial" w:cs="Arial"/>
          <w:i/>
          <w:sz w:val="24"/>
          <w:szCs w:val="24"/>
          <w:lang w:val="en-ZA" w:eastAsia="en-ZA"/>
        </w:rPr>
        <w:t>Held further that</w:t>
      </w:r>
      <w:r>
        <w:rPr>
          <w:rFonts w:ascii="Arial" w:eastAsia="Times New Roman" w:hAnsi="Arial" w:cs="Arial"/>
          <w:sz w:val="24"/>
          <w:szCs w:val="24"/>
          <w:lang w:val="en-ZA" w:eastAsia="en-ZA"/>
        </w:rPr>
        <w:t>, w</w:t>
      </w:r>
      <w:r w:rsidR="009A1BBC" w:rsidRPr="009A1BBC">
        <w:rPr>
          <w:rFonts w:ascii="Arial" w:eastAsia="Times New Roman" w:hAnsi="Arial" w:cs="Arial"/>
          <w:sz w:val="24"/>
          <w:szCs w:val="24"/>
          <w:lang w:val="en-ZA" w:eastAsia="en-ZA"/>
        </w:rPr>
        <w:t>here more than one meaning is possible, each possibility must be weigh</w:t>
      </w:r>
      <w:r w:rsidR="00140088">
        <w:rPr>
          <w:rFonts w:ascii="Arial" w:eastAsia="Times New Roman" w:hAnsi="Arial" w:cs="Arial"/>
          <w:sz w:val="24"/>
          <w:szCs w:val="24"/>
          <w:lang w:val="en-ZA" w:eastAsia="en-ZA"/>
        </w:rPr>
        <w:t>ed</w:t>
      </w:r>
      <w:r w:rsidR="009A1BBC" w:rsidRPr="009A1BBC">
        <w:rPr>
          <w:rFonts w:ascii="Arial" w:eastAsia="Times New Roman" w:hAnsi="Arial" w:cs="Arial"/>
          <w:sz w:val="24"/>
          <w:szCs w:val="24"/>
          <w:lang w:val="en-ZA" w:eastAsia="en-ZA"/>
        </w:rPr>
        <w:t xml:space="preserve"> in light of the context and circumstances in which the rule was enacted; and that a sensible meaning must be preferred to one that leads to insensible or unbusinesslike results or undermines the apparent purpose of the document</w:t>
      </w:r>
      <w:r w:rsidR="009A1BBC">
        <w:rPr>
          <w:rFonts w:ascii="Arial" w:eastAsia="Times New Roman" w:hAnsi="Arial" w:cs="Arial"/>
          <w:sz w:val="24"/>
          <w:szCs w:val="24"/>
          <w:lang w:val="en-ZA" w:eastAsia="en-ZA"/>
        </w:rPr>
        <w:t xml:space="preserve">. </w:t>
      </w:r>
    </w:p>
    <w:p w14:paraId="6293039C" w14:textId="77777777" w:rsidR="0094246F" w:rsidRDefault="0094246F" w:rsidP="001E04D7">
      <w:pPr>
        <w:shd w:val="clear" w:color="auto" w:fill="FFFFFF"/>
        <w:spacing w:after="0" w:line="360" w:lineRule="auto"/>
        <w:jc w:val="both"/>
        <w:rPr>
          <w:rFonts w:ascii="Arial" w:eastAsia="Times New Roman" w:hAnsi="Arial" w:cs="Arial"/>
          <w:sz w:val="24"/>
          <w:szCs w:val="24"/>
          <w:lang w:val="en-GB" w:eastAsia="en-ZA"/>
        </w:rPr>
      </w:pPr>
    </w:p>
    <w:p w14:paraId="3CFE6405" w14:textId="77777777" w:rsidR="001C7F39" w:rsidRPr="00276985" w:rsidRDefault="00153EA9" w:rsidP="001E04D7">
      <w:pPr>
        <w:shd w:val="clear" w:color="auto" w:fill="FFFFFF"/>
        <w:spacing w:after="0" w:line="360" w:lineRule="auto"/>
        <w:jc w:val="both"/>
        <w:rPr>
          <w:rFonts w:ascii="Arial" w:eastAsia="Times New Roman" w:hAnsi="Arial" w:cs="Arial"/>
          <w:sz w:val="24"/>
          <w:szCs w:val="24"/>
          <w:lang w:val="en-ZA" w:eastAsia="en-ZA"/>
        </w:rPr>
      </w:pPr>
      <w:r w:rsidRPr="00153EA9">
        <w:rPr>
          <w:rFonts w:ascii="Arial" w:eastAsia="Times New Roman" w:hAnsi="Arial" w:cs="Arial"/>
          <w:sz w:val="24"/>
          <w:szCs w:val="24"/>
          <w:lang w:val="en-GB" w:eastAsia="en-ZA"/>
        </w:rPr>
        <w:t>The appeal is dismissed with costs, such costs to include the costs of one instructing and one instructed legal practitioner</w:t>
      </w:r>
    </w:p>
    <w:p w14:paraId="064FE052" w14:textId="77777777" w:rsidR="00A06761" w:rsidRPr="00276985" w:rsidRDefault="00A06761" w:rsidP="00FD4ECB">
      <w:pPr>
        <w:shd w:val="clear" w:color="auto" w:fill="FFFFFF"/>
        <w:spacing w:after="0" w:line="480" w:lineRule="auto"/>
        <w:jc w:val="both"/>
        <w:rPr>
          <w:rFonts w:ascii="Arial" w:eastAsia="Times New Roman" w:hAnsi="Arial" w:cs="Arial"/>
          <w:sz w:val="24"/>
          <w:szCs w:val="24"/>
          <w:lang w:val="en-ZA" w:eastAsia="en-ZA"/>
        </w:rPr>
      </w:pPr>
    </w:p>
    <w:p w14:paraId="415D6EB9" w14:textId="77777777" w:rsidR="00007E5E" w:rsidRPr="00276985" w:rsidRDefault="00007E5E" w:rsidP="00FD4ECB">
      <w:pPr>
        <w:pBdr>
          <w:top w:val="single" w:sz="4" w:space="0" w:color="auto"/>
        </w:pBdr>
        <w:spacing w:after="0" w:line="480" w:lineRule="auto"/>
        <w:jc w:val="both"/>
        <w:rPr>
          <w:rFonts w:ascii="Arial" w:eastAsia="Calibri" w:hAnsi="Arial" w:cs="Arial"/>
          <w:sz w:val="14"/>
          <w:lang w:val="en-ZA"/>
        </w:rPr>
      </w:pPr>
    </w:p>
    <w:p w14:paraId="386D8D3E" w14:textId="77777777" w:rsidR="007F0785" w:rsidRPr="00276985" w:rsidRDefault="00007E5E" w:rsidP="00FD4ECB">
      <w:pPr>
        <w:pBdr>
          <w:bottom w:val="single" w:sz="4" w:space="0" w:color="auto"/>
        </w:pBdr>
        <w:spacing w:after="0" w:line="480" w:lineRule="auto"/>
        <w:jc w:val="center"/>
        <w:outlineLvl w:val="0"/>
        <w:rPr>
          <w:rFonts w:ascii="Arial" w:eastAsia="Calibri" w:hAnsi="Arial" w:cs="Arial"/>
          <w:sz w:val="24"/>
        </w:rPr>
      </w:pPr>
      <w:r w:rsidRPr="00276985">
        <w:rPr>
          <w:rFonts w:ascii="Arial" w:eastAsia="Calibri" w:hAnsi="Arial" w:cs="Arial"/>
          <w:b/>
          <w:sz w:val="24"/>
          <w:lang w:val="en-ZA"/>
        </w:rPr>
        <w:t>APPEAL JUDGMENT</w:t>
      </w:r>
    </w:p>
    <w:p w14:paraId="0C2612DD" w14:textId="77777777" w:rsidR="00137BA8" w:rsidRDefault="00137BA8" w:rsidP="00AC21A0">
      <w:pPr>
        <w:spacing w:after="0" w:line="480" w:lineRule="auto"/>
        <w:outlineLvl w:val="0"/>
        <w:rPr>
          <w:rFonts w:ascii="Arial" w:eastAsia="Calibri" w:hAnsi="Arial" w:cs="Arial"/>
          <w:sz w:val="24"/>
          <w:lang w:val="en-GB"/>
        </w:rPr>
      </w:pPr>
    </w:p>
    <w:p w14:paraId="1D5E2D2D" w14:textId="77777777" w:rsidR="00007E5E" w:rsidRPr="00276985" w:rsidRDefault="00555B6E" w:rsidP="00FD4ECB">
      <w:pPr>
        <w:spacing w:after="0" w:line="480" w:lineRule="auto"/>
        <w:outlineLvl w:val="0"/>
        <w:rPr>
          <w:rFonts w:ascii="Arial" w:eastAsia="Calibri" w:hAnsi="Arial" w:cs="Arial"/>
          <w:sz w:val="24"/>
          <w:lang w:val="en-ZA"/>
        </w:rPr>
      </w:pPr>
      <w:r w:rsidRPr="00555B6E">
        <w:rPr>
          <w:rFonts w:ascii="Arial" w:eastAsia="Calibri" w:hAnsi="Arial" w:cs="Arial"/>
          <w:sz w:val="24"/>
          <w:lang w:val="en-GB"/>
        </w:rPr>
        <w:t>UEITELE AJA</w:t>
      </w:r>
      <w:r w:rsidR="00007E5E" w:rsidRPr="00276985">
        <w:rPr>
          <w:rFonts w:ascii="Arial" w:eastAsia="Calibri" w:hAnsi="Arial" w:cs="Arial"/>
          <w:sz w:val="24"/>
        </w:rPr>
        <w:t xml:space="preserve"> (</w:t>
      </w:r>
      <w:r>
        <w:rPr>
          <w:rFonts w:ascii="Arial" w:eastAsia="Calibri" w:hAnsi="Arial" w:cs="Arial"/>
          <w:sz w:val="24"/>
          <w:lang w:val="en-GB"/>
        </w:rPr>
        <w:t>SHIVUTE CJ and</w:t>
      </w:r>
      <w:r w:rsidRPr="00555B6E">
        <w:rPr>
          <w:rFonts w:ascii="Arial" w:eastAsia="Calibri" w:hAnsi="Arial" w:cs="Arial"/>
          <w:sz w:val="24"/>
          <w:lang w:val="en-GB"/>
        </w:rPr>
        <w:t xml:space="preserve"> DAMASEB DCJ</w:t>
      </w:r>
      <w:r w:rsidR="00485592" w:rsidRPr="00276985">
        <w:rPr>
          <w:rFonts w:ascii="Arial" w:eastAsia="Calibri" w:hAnsi="Arial" w:cs="Arial"/>
          <w:sz w:val="24"/>
          <w:lang w:val="en-ZA"/>
        </w:rPr>
        <w:t xml:space="preserve"> </w:t>
      </w:r>
      <w:r w:rsidR="001645C3" w:rsidRPr="00276985">
        <w:rPr>
          <w:rFonts w:ascii="Arial" w:eastAsia="Calibri" w:hAnsi="Arial" w:cs="Arial"/>
          <w:sz w:val="24"/>
          <w:lang w:val="en-ZA"/>
        </w:rPr>
        <w:t>c</w:t>
      </w:r>
      <w:r w:rsidR="00007E5E" w:rsidRPr="00276985">
        <w:rPr>
          <w:rFonts w:ascii="Arial" w:eastAsia="Calibri" w:hAnsi="Arial" w:cs="Arial"/>
          <w:sz w:val="24"/>
          <w:lang w:val="en-ZA"/>
        </w:rPr>
        <w:t>oncurring):</w:t>
      </w:r>
    </w:p>
    <w:p w14:paraId="7E942228" w14:textId="77777777" w:rsidR="00007E5E" w:rsidRDefault="00007E5E" w:rsidP="00FD4ECB">
      <w:pPr>
        <w:shd w:val="clear" w:color="auto" w:fill="FFFFFF"/>
        <w:spacing w:after="0" w:line="480" w:lineRule="auto"/>
        <w:jc w:val="both"/>
        <w:outlineLvl w:val="0"/>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Introduction</w:t>
      </w:r>
    </w:p>
    <w:p w14:paraId="13EF47E1" w14:textId="779E0AD5" w:rsidR="00EA314A" w:rsidRPr="00CD1873" w:rsidRDefault="00CD1873" w:rsidP="00CD1873">
      <w:pPr>
        <w:shd w:val="clear" w:color="auto" w:fill="FFFFFF"/>
        <w:tabs>
          <w:tab w:val="left" w:pos="709"/>
        </w:tabs>
        <w:spacing w:after="0" w:line="480" w:lineRule="auto"/>
        <w:jc w:val="both"/>
        <w:rPr>
          <w:rFonts w:ascii="Arial" w:eastAsia="Calibri" w:hAnsi="Arial" w:cs="Times New Roman"/>
          <w:sz w:val="24"/>
        </w:rPr>
      </w:pPr>
      <w:r>
        <w:rPr>
          <w:rFonts w:ascii="Arial" w:eastAsia="Calibri" w:hAnsi="Arial" w:cs="Times New Roman"/>
          <w:sz w:val="24"/>
          <w:szCs w:val="24"/>
        </w:rPr>
        <w:t>[1]</w:t>
      </w:r>
      <w:r>
        <w:rPr>
          <w:rFonts w:ascii="Arial" w:eastAsia="Calibri" w:hAnsi="Arial" w:cs="Times New Roman"/>
          <w:sz w:val="24"/>
          <w:szCs w:val="24"/>
        </w:rPr>
        <w:tab/>
      </w:r>
      <w:r w:rsidR="00EA314A" w:rsidRPr="00CD1873">
        <w:rPr>
          <w:rFonts w:ascii="Arial" w:eastAsia="Calibri" w:hAnsi="Arial" w:cs="Times New Roman"/>
          <w:sz w:val="24"/>
        </w:rPr>
        <w:t>The appellant in this appeal is Mr Andre Harris. There are six respondents cited in the appeal, the first respondent being Old Mutual Life Assurance Company (Namibia) L</w:t>
      </w:r>
      <w:r w:rsidR="00D37E96" w:rsidRPr="00CD1873">
        <w:rPr>
          <w:rFonts w:ascii="Arial" w:eastAsia="Calibri" w:hAnsi="Arial" w:cs="Times New Roman"/>
          <w:sz w:val="24"/>
        </w:rPr>
        <w:t>td</w:t>
      </w:r>
      <w:r w:rsidR="001C508E" w:rsidRPr="00CD1873">
        <w:rPr>
          <w:rFonts w:ascii="Arial" w:eastAsia="Calibri" w:hAnsi="Arial" w:cs="Times New Roman"/>
          <w:sz w:val="24"/>
        </w:rPr>
        <w:t>;</w:t>
      </w:r>
      <w:r w:rsidR="00EA314A" w:rsidRPr="00CD1873">
        <w:rPr>
          <w:rFonts w:ascii="Arial" w:eastAsia="Calibri" w:hAnsi="Arial" w:cs="Times New Roman"/>
          <w:sz w:val="24"/>
        </w:rPr>
        <w:t xml:space="preserve"> the seco</w:t>
      </w:r>
      <w:r w:rsidR="00137BA8" w:rsidRPr="00CD1873">
        <w:rPr>
          <w:rFonts w:ascii="Arial" w:eastAsia="Calibri" w:hAnsi="Arial" w:cs="Times New Roman"/>
          <w:sz w:val="24"/>
        </w:rPr>
        <w:t xml:space="preserve">nd respondent is the </w:t>
      </w:r>
      <w:r w:rsidR="00AC21A0" w:rsidRPr="00CD1873">
        <w:rPr>
          <w:rFonts w:ascii="Arial" w:eastAsia="Calibri" w:hAnsi="Arial" w:cs="Times New Roman"/>
          <w:sz w:val="24"/>
        </w:rPr>
        <w:t>deputy-s</w:t>
      </w:r>
      <w:r w:rsidR="00137BA8" w:rsidRPr="00CD1873">
        <w:rPr>
          <w:rFonts w:ascii="Arial" w:eastAsia="Calibri" w:hAnsi="Arial" w:cs="Times New Roman"/>
          <w:sz w:val="24"/>
        </w:rPr>
        <w:t>he</w:t>
      </w:r>
      <w:r w:rsidR="00EA314A" w:rsidRPr="00CD1873">
        <w:rPr>
          <w:rFonts w:ascii="Arial" w:eastAsia="Calibri" w:hAnsi="Arial" w:cs="Times New Roman"/>
          <w:sz w:val="24"/>
        </w:rPr>
        <w:t>ri</w:t>
      </w:r>
      <w:r w:rsidR="00137BA8" w:rsidRPr="00CD1873">
        <w:rPr>
          <w:rFonts w:ascii="Arial" w:eastAsia="Calibri" w:hAnsi="Arial" w:cs="Times New Roman"/>
          <w:sz w:val="24"/>
        </w:rPr>
        <w:t>ff for the District of Windhoek;</w:t>
      </w:r>
      <w:r w:rsidR="00EA314A" w:rsidRPr="00CD1873">
        <w:rPr>
          <w:rFonts w:ascii="Arial" w:eastAsia="Calibri" w:hAnsi="Arial" w:cs="Times New Roman"/>
          <w:sz w:val="24"/>
        </w:rPr>
        <w:t xml:space="preserve"> the third respondent is H Hendri</w:t>
      </w:r>
      <w:r w:rsidR="0018399A" w:rsidRPr="00CD1873">
        <w:rPr>
          <w:rFonts w:ascii="Arial" w:eastAsia="Calibri" w:hAnsi="Arial" w:cs="Times New Roman"/>
          <w:sz w:val="24"/>
        </w:rPr>
        <w:t>c</w:t>
      </w:r>
      <w:r w:rsidR="00137BA8" w:rsidRPr="00CD1873">
        <w:rPr>
          <w:rFonts w:ascii="Arial" w:eastAsia="Calibri" w:hAnsi="Arial" w:cs="Times New Roman"/>
          <w:sz w:val="24"/>
        </w:rPr>
        <w:t>ks Investment CC;</w:t>
      </w:r>
      <w:r w:rsidR="00EA314A" w:rsidRPr="00CD1873">
        <w:rPr>
          <w:rFonts w:ascii="Arial" w:eastAsia="Calibri" w:hAnsi="Arial" w:cs="Times New Roman"/>
          <w:sz w:val="24"/>
        </w:rPr>
        <w:t xml:space="preserve"> the fourth respondent is Old Mutu</w:t>
      </w:r>
      <w:r w:rsidR="00137BA8" w:rsidRPr="00CD1873">
        <w:rPr>
          <w:rFonts w:ascii="Arial" w:eastAsia="Calibri" w:hAnsi="Arial" w:cs="Times New Roman"/>
          <w:sz w:val="24"/>
        </w:rPr>
        <w:t>al Holdings (Namibia) (Pty) Ltd;</w:t>
      </w:r>
      <w:r w:rsidR="00EA314A" w:rsidRPr="00CD1873">
        <w:rPr>
          <w:rFonts w:ascii="Arial" w:eastAsia="Calibri" w:hAnsi="Arial" w:cs="Times New Roman"/>
          <w:sz w:val="24"/>
        </w:rPr>
        <w:t xml:space="preserve"> the fifth respondent is Etzold-Duvenhage and the sixth respondent is the First National Bank of Namibia</w:t>
      </w:r>
      <w:r w:rsidR="0018399A" w:rsidRPr="00CD1873">
        <w:rPr>
          <w:rFonts w:ascii="Arial" w:eastAsia="Calibri" w:hAnsi="Arial" w:cs="Times New Roman"/>
          <w:sz w:val="24"/>
        </w:rPr>
        <w:t xml:space="preserve"> Limited</w:t>
      </w:r>
      <w:r w:rsidR="00EA314A" w:rsidRPr="00CD1873">
        <w:rPr>
          <w:rFonts w:ascii="Arial" w:eastAsia="Calibri" w:hAnsi="Arial" w:cs="Times New Roman"/>
          <w:sz w:val="24"/>
        </w:rPr>
        <w:t>.</w:t>
      </w:r>
      <w:r w:rsidR="0094246F" w:rsidRPr="00CD1873">
        <w:rPr>
          <w:rFonts w:ascii="Arial" w:eastAsia="Calibri" w:hAnsi="Arial" w:cs="Times New Roman"/>
          <w:sz w:val="24"/>
        </w:rPr>
        <w:t xml:space="preserve"> Of the six respondents</w:t>
      </w:r>
      <w:r w:rsidR="0018399A" w:rsidRPr="00CD1873">
        <w:rPr>
          <w:rFonts w:ascii="Arial" w:eastAsia="Calibri" w:hAnsi="Arial" w:cs="Times New Roman"/>
          <w:sz w:val="24"/>
        </w:rPr>
        <w:t>,</w:t>
      </w:r>
      <w:r w:rsidR="0094246F" w:rsidRPr="00CD1873">
        <w:rPr>
          <w:rFonts w:ascii="Arial" w:eastAsia="Calibri" w:hAnsi="Arial" w:cs="Times New Roman"/>
          <w:sz w:val="24"/>
        </w:rPr>
        <w:t xml:space="preserve"> only Old Mutual Life Assurance Company (Namibia) Ltd opposed the appeal.</w:t>
      </w:r>
    </w:p>
    <w:p w14:paraId="5DA53337" w14:textId="77777777" w:rsidR="00EA314A" w:rsidRDefault="00EA314A" w:rsidP="00FD4ECB">
      <w:pPr>
        <w:pStyle w:val="ListParagraph"/>
        <w:shd w:val="clear" w:color="auto" w:fill="FFFFFF"/>
        <w:tabs>
          <w:tab w:val="left" w:pos="709"/>
        </w:tabs>
        <w:spacing w:after="0" w:line="480" w:lineRule="auto"/>
        <w:ind w:left="0"/>
        <w:jc w:val="both"/>
        <w:rPr>
          <w:rFonts w:ascii="Arial" w:eastAsia="Calibri" w:hAnsi="Arial" w:cs="Times New Roman"/>
          <w:sz w:val="24"/>
        </w:rPr>
      </w:pPr>
    </w:p>
    <w:p w14:paraId="25AAB2D4" w14:textId="4062A26C" w:rsidR="00EA314A" w:rsidRPr="00CD1873" w:rsidRDefault="00CD1873" w:rsidP="00CD1873">
      <w:pPr>
        <w:shd w:val="clear" w:color="auto" w:fill="FFFFFF"/>
        <w:tabs>
          <w:tab w:val="left" w:pos="709"/>
        </w:tabs>
        <w:spacing w:after="0" w:line="480" w:lineRule="auto"/>
        <w:jc w:val="both"/>
        <w:rPr>
          <w:rFonts w:ascii="Arial" w:eastAsia="Calibri" w:hAnsi="Arial" w:cs="Times New Roman"/>
          <w:sz w:val="24"/>
        </w:rPr>
      </w:pPr>
      <w:r>
        <w:rPr>
          <w:rFonts w:ascii="Arial" w:eastAsia="Calibri" w:hAnsi="Arial" w:cs="Times New Roman"/>
          <w:sz w:val="24"/>
          <w:szCs w:val="24"/>
        </w:rPr>
        <w:t>[2]</w:t>
      </w:r>
      <w:r>
        <w:rPr>
          <w:rFonts w:ascii="Arial" w:eastAsia="Calibri" w:hAnsi="Arial" w:cs="Times New Roman"/>
          <w:sz w:val="24"/>
          <w:szCs w:val="24"/>
        </w:rPr>
        <w:tab/>
      </w:r>
      <w:r w:rsidR="00EA314A" w:rsidRPr="00CD1873">
        <w:rPr>
          <w:rFonts w:ascii="Arial" w:eastAsia="Calibri" w:hAnsi="Arial" w:cs="Times New Roman"/>
          <w:sz w:val="24"/>
        </w:rPr>
        <w:t>I will</w:t>
      </w:r>
      <w:r w:rsidR="00D37E96" w:rsidRPr="00CD1873">
        <w:rPr>
          <w:rFonts w:ascii="Arial" w:eastAsia="Calibri" w:hAnsi="Arial" w:cs="Times New Roman"/>
          <w:sz w:val="24"/>
        </w:rPr>
        <w:t>,</w:t>
      </w:r>
      <w:r w:rsidR="00EA314A" w:rsidRPr="00CD1873">
        <w:rPr>
          <w:rFonts w:ascii="Arial" w:eastAsia="Calibri" w:hAnsi="Arial" w:cs="Times New Roman"/>
          <w:sz w:val="24"/>
        </w:rPr>
        <w:t xml:space="preserve"> in this judgment</w:t>
      </w:r>
      <w:r w:rsidR="00555B6E" w:rsidRPr="00CD1873">
        <w:rPr>
          <w:rFonts w:ascii="Arial" w:eastAsia="Calibri" w:hAnsi="Arial" w:cs="Times New Roman"/>
          <w:sz w:val="24"/>
        </w:rPr>
        <w:t xml:space="preserve"> and</w:t>
      </w:r>
      <w:r w:rsidR="00EA314A" w:rsidRPr="00CD1873">
        <w:rPr>
          <w:rFonts w:ascii="Arial" w:eastAsia="Calibri" w:hAnsi="Arial" w:cs="Times New Roman"/>
          <w:sz w:val="24"/>
        </w:rPr>
        <w:t xml:space="preserve"> for the sake of convenience</w:t>
      </w:r>
      <w:r w:rsidR="00A77DC8" w:rsidRPr="00CD1873">
        <w:rPr>
          <w:rFonts w:ascii="Arial" w:eastAsia="Calibri" w:hAnsi="Arial" w:cs="Times New Roman"/>
          <w:sz w:val="24"/>
        </w:rPr>
        <w:t>,</w:t>
      </w:r>
      <w:r w:rsidR="00EA314A" w:rsidRPr="00CD1873">
        <w:rPr>
          <w:rFonts w:ascii="Arial" w:eastAsia="Calibri" w:hAnsi="Arial" w:cs="Times New Roman"/>
          <w:sz w:val="24"/>
        </w:rPr>
        <w:t xml:space="preserve"> refer to the appellant as Mr Harris, the first respondent as Old Mutual Life, the seco</w:t>
      </w:r>
      <w:r w:rsidR="00137BA8" w:rsidRPr="00CD1873">
        <w:rPr>
          <w:rFonts w:ascii="Arial" w:eastAsia="Calibri" w:hAnsi="Arial" w:cs="Times New Roman"/>
          <w:sz w:val="24"/>
        </w:rPr>
        <w:t xml:space="preserve">nd respondent as the </w:t>
      </w:r>
      <w:r w:rsidR="00905E84" w:rsidRPr="00CD1873">
        <w:rPr>
          <w:rFonts w:ascii="Arial" w:eastAsia="Calibri" w:hAnsi="Arial" w:cs="Times New Roman"/>
          <w:sz w:val="24"/>
        </w:rPr>
        <w:t>d</w:t>
      </w:r>
      <w:r w:rsidR="00137BA8" w:rsidRPr="00CD1873">
        <w:rPr>
          <w:rFonts w:ascii="Arial" w:eastAsia="Calibri" w:hAnsi="Arial" w:cs="Times New Roman"/>
          <w:sz w:val="24"/>
        </w:rPr>
        <w:t>eputy-</w:t>
      </w:r>
      <w:r w:rsidR="00905E84" w:rsidRPr="00CD1873">
        <w:rPr>
          <w:rFonts w:ascii="Arial" w:eastAsia="Calibri" w:hAnsi="Arial" w:cs="Times New Roman"/>
          <w:sz w:val="24"/>
        </w:rPr>
        <w:t>s</w:t>
      </w:r>
      <w:r w:rsidR="00137BA8" w:rsidRPr="00CD1873">
        <w:rPr>
          <w:rFonts w:ascii="Arial" w:eastAsia="Calibri" w:hAnsi="Arial" w:cs="Times New Roman"/>
          <w:sz w:val="24"/>
        </w:rPr>
        <w:t>he</w:t>
      </w:r>
      <w:r w:rsidR="00EA314A" w:rsidRPr="00CD1873">
        <w:rPr>
          <w:rFonts w:ascii="Arial" w:eastAsia="Calibri" w:hAnsi="Arial" w:cs="Times New Roman"/>
          <w:sz w:val="24"/>
        </w:rPr>
        <w:t>riff, the third respondent as Hendr</w:t>
      </w:r>
      <w:r w:rsidR="00A77DC8" w:rsidRPr="00CD1873">
        <w:rPr>
          <w:rFonts w:ascii="Arial" w:eastAsia="Calibri" w:hAnsi="Arial" w:cs="Times New Roman"/>
          <w:sz w:val="24"/>
        </w:rPr>
        <w:t>ic</w:t>
      </w:r>
      <w:r w:rsidR="00EA314A" w:rsidRPr="00CD1873">
        <w:rPr>
          <w:rFonts w:ascii="Arial" w:eastAsia="Calibri" w:hAnsi="Arial" w:cs="Times New Roman"/>
          <w:sz w:val="24"/>
        </w:rPr>
        <w:t xml:space="preserve">ks </w:t>
      </w:r>
      <w:r w:rsidR="001E7B82" w:rsidRPr="00CD1873">
        <w:rPr>
          <w:rFonts w:ascii="Arial" w:eastAsia="Calibri" w:hAnsi="Arial" w:cs="Times New Roman"/>
          <w:sz w:val="24"/>
        </w:rPr>
        <w:t>CC</w:t>
      </w:r>
      <w:r w:rsidR="00EA314A" w:rsidRPr="00CD1873">
        <w:rPr>
          <w:rFonts w:ascii="Arial" w:eastAsia="Calibri" w:hAnsi="Arial" w:cs="Times New Roman"/>
          <w:sz w:val="24"/>
        </w:rPr>
        <w:t xml:space="preserve">, the fourth respondent as Old Mutual Holdings, the fifth respondent as Etzold-Duvenhage and the sixth respondent as FNB. </w:t>
      </w:r>
    </w:p>
    <w:p w14:paraId="209B2D6F" w14:textId="77777777" w:rsidR="00EA314A" w:rsidRPr="00EA314A" w:rsidRDefault="00EA314A" w:rsidP="00FD4ECB">
      <w:pPr>
        <w:pStyle w:val="ListParagraph"/>
        <w:shd w:val="clear" w:color="auto" w:fill="FFFFFF"/>
        <w:tabs>
          <w:tab w:val="left" w:pos="709"/>
        </w:tabs>
        <w:spacing w:after="0" w:line="480" w:lineRule="auto"/>
        <w:ind w:left="0"/>
        <w:jc w:val="both"/>
        <w:rPr>
          <w:rFonts w:ascii="Arial" w:eastAsia="Calibri" w:hAnsi="Arial" w:cs="Times New Roman"/>
          <w:sz w:val="24"/>
        </w:rPr>
      </w:pPr>
    </w:p>
    <w:p w14:paraId="7C2ABA8F" w14:textId="357F8CCB" w:rsidR="003C4357" w:rsidRPr="00CD1873" w:rsidRDefault="00CD1873" w:rsidP="00CD1873">
      <w:pPr>
        <w:shd w:val="clear" w:color="auto" w:fill="FFFFFF"/>
        <w:tabs>
          <w:tab w:val="left" w:pos="709"/>
        </w:tabs>
        <w:spacing w:after="0" w:line="480" w:lineRule="auto"/>
        <w:jc w:val="both"/>
        <w:rPr>
          <w:rFonts w:ascii="Arial" w:eastAsia="Calibri" w:hAnsi="Arial" w:cs="Times New Roman"/>
          <w:b/>
          <w:sz w:val="24"/>
        </w:rPr>
      </w:pPr>
      <w:r w:rsidRPr="003C4357">
        <w:rPr>
          <w:rFonts w:ascii="Arial" w:eastAsia="Calibri" w:hAnsi="Arial" w:cs="Times New Roman"/>
          <w:sz w:val="24"/>
          <w:szCs w:val="24"/>
        </w:rPr>
        <w:t>[3]</w:t>
      </w:r>
      <w:r w:rsidRPr="003C4357">
        <w:rPr>
          <w:rFonts w:ascii="Arial" w:eastAsia="Calibri" w:hAnsi="Arial" w:cs="Times New Roman"/>
          <w:sz w:val="24"/>
          <w:szCs w:val="24"/>
        </w:rPr>
        <w:tab/>
      </w:r>
      <w:r w:rsidR="00750B12" w:rsidRPr="00CD1873">
        <w:rPr>
          <w:rFonts w:ascii="Arial" w:eastAsia="Calibri" w:hAnsi="Arial" w:cs="Times New Roman"/>
          <w:sz w:val="24"/>
        </w:rPr>
        <w:t xml:space="preserve">On </w:t>
      </w:r>
      <w:r w:rsidR="003C4357" w:rsidRPr="00CD1873">
        <w:rPr>
          <w:rFonts w:ascii="Arial" w:eastAsia="Calibri" w:hAnsi="Arial" w:cs="Times New Roman"/>
          <w:sz w:val="24"/>
        </w:rPr>
        <w:t>22</w:t>
      </w:r>
      <w:r w:rsidR="00750B12" w:rsidRPr="00CD1873">
        <w:rPr>
          <w:rFonts w:ascii="Arial" w:eastAsia="Calibri" w:hAnsi="Arial" w:cs="Times New Roman"/>
          <w:sz w:val="24"/>
          <w:vertAlign w:val="superscript"/>
        </w:rPr>
        <w:t xml:space="preserve"> </w:t>
      </w:r>
      <w:r w:rsidR="003C4357" w:rsidRPr="00CD1873">
        <w:rPr>
          <w:rFonts w:ascii="Arial" w:eastAsia="Calibri" w:hAnsi="Arial" w:cs="Times New Roman"/>
          <w:sz w:val="24"/>
        </w:rPr>
        <w:t>November 2012 and at Windhoek,</w:t>
      </w:r>
      <w:r w:rsidR="003C4357" w:rsidRPr="00CD1873">
        <w:rPr>
          <w:rFonts w:ascii="Arial" w:eastAsia="Calibri" w:hAnsi="Arial" w:cs="Times New Roman"/>
          <w:b/>
          <w:sz w:val="24"/>
        </w:rPr>
        <w:t xml:space="preserve"> </w:t>
      </w:r>
      <w:r w:rsidR="003C4357" w:rsidRPr="00CD1873">
        <w:rPr>
          <w:rFonts w:ascii="Arial" w:hAnsi="Arial" w:cs="Arial"/>
          <w:sz w:val="24"/>
          <w:szCs w:val="24"/>
        </w:rPr>
        <w:t xml:space="preserve">Hendricks </w:t>
      </w:r>
      <w:r w:rsidR="00D37E96" w:rsidRPr="00CD1873">
        <w:rPr>
          <w:rFonts w:ascii="Arial" w:hAnsi="Arial" w:cs="Arial"/>
          <w:sz w:val="24"/>
          <w:szCs w:val="24"/>
        </w:rPr>
        <w:t>CC</w:t>
      </w:r>
      <w:r w:rsidR="001E7B82" w:rsidRPr="00CD1873">
        <w:rPr>
          <w:rFonts w:ascii="Arial" w:hAnsi="Arial" w:cs="Arial"/>
          <w:sz w:val="24"/>
          <w:szCs w:val="24"/>
        </w:rPr>
        <w:t xml:space="preserve"> </w:t>
      </w:r>
      <w:r w:rsidR="003C4357" w:rsidRPr="00CD1873">
        <w:rPr>
          <w:rFonts w:ascii="Arial" w:eastAsia="Calibri" w:hAnsi="Arial" w:cs="Times New Roman"/>
          <w:sz w:val="24"/>
        </w:rPr>
        <w:t xml:space="preserve">and Old Mutual Life entered into a written loan agreement in terms of which Old Mutual Life agreed to loan and advance </w:t>
      </w:r>
      <w:r w:rsidR="00137BA8" w:rsidRPr="00CD1873">
        <w:rPr>
          <w:rFonts w:ascii="Arial" w:eastAsia="Calibri" w:hAnsi="Arial" w:cs="Times New Roman"/>
          <w:sz w:val="24"/>
        </w:rPr>
        <w:t>monies</w:t>
      </w:r>
      <w:r w:rsidR="003C4357" w:rsidRPr="00CD1873">
        <w:rPr>
          <w:rFonts w:ascii="Arial" w:eastAsia="Calibri" w:hAnsi="Arial" w:cs="Times New Roman"/>
          <w:sz w:val="24"/>
        </w:rPr>
        <w:t xml:space="preserve"> to</w:t>
      </w:r>
      <w:r w:rsidR="001E7B82" w:rsidRPr="00CD1873">
        <w:rPr>
          <w:rFonts w:ascii="Arial" w:eastAsia="Calibri" w:hAnsi="Arial" w:cs="Times New Roman"/>
          <w:sz w:val="24"/>
        </w:rPr>
        <w:t xml:space="preserve"> </w:t>
      </w:r>
      <w:r w:rsidR="001E7B82" w:rsidRPr="00CD1873">
        <w:rPr>
          <w:rFonts w:ascii="Arial" w:hAnsi="Arial" w:cs="Arial"/>
          <w:sz w:val="24"/>
          <w:szCs w:val="24"/>
        </w:rPr>
        <w:t>Hendricks</w:t>
      </w:r>
      <w:r w:rsidR="003C4357" w:rsidRPr="00CD1873">
        <w:rPr>
          <w:rFonts w:ascii="Arial" w:hAnsi="Arial" w:cs="Arial"/>
          <w:sz w:val="24"/>
          <w:szCs w:val="24"/>
        </w:rPr>
        <w:t xml:space="preserve"> CC</w:t>
      </w:r>
      <w:r w:rsidR="00750B12" w:rsidRPr="00CD1873">
        <w:rPr>
          <w:rFonts w:ascii="Arial" w:eastAsia="Calibri" w:hAnsi="Arial" w:cs="Times New Roman"/>
          <w:sz w:val="24"/>
        </w:rPr>
        <w:t xml:space="preserve"> on</w:t>
      </w:r>
      <w:r w:rsidR="0004473B" w:rsidRPr="00CD1873">
        <w:rPr>
          <w:rFonts w:ascii="Arial" w:eastAsia="Calibri" w:hAnsi="Arial" w:cs="Times New Roman"/>
          <w:sz w:val="24"/>
        </w:rPr>
        <w:t xml:space="preserve"> the</w:t>
      </w:r>
      <w:r w:rsidR="003C4357" w:rsidRPr="00CD1873">
        <w:rPr>
          <w:rFonts w:ascii="Arial" w:eastAsia="Calibri" w:hAnsi="Arial" w:cs="Times New Roman"/>
          <w:sz w:val="24"/>
        </w:rPr>
        <w:t xml:space="preserve"> terms and conditions contained in </w:t>
      </w:r>
      <w:r w:rsidR="009C23CA" w:rsidRPr="00CD1873">
        <w:rPr>
          <w:rFonts w:ascii="Arial" w:eastAsia="Calibri" w:hAnsi="Arial" w:cs="Times New Roman"/>
          <w:sz w:val="24"/>
        </w:rPr>
        <w:t xml:space="preserve">a </w:t>
      </w:r>
      <w:r w:rsidR="003C4357" w:rsidRPr="00CD1873">
        <w:rPr>
          <w:rFonts w:ascii="Arial" w:eastAsia="Calibri" w:hAnsi="Arial" w:cs="Times New Roman"/>
          <w:sz w:val="24"/>
        </w:rPr>
        <w:t>written</w:t>
      </w:r>
      <w:r w:rsidR="009C23CA" w:rsidRPr="00CD1873">
        <w:rPr>
          <w:rFonts w:ascii="Arial" w:eastAsia="Calibri" w:hAnsi="Arial" w:cs="Times New Roman"/>
          <w:sz w:val="24"/>
        </w:rPr>
        <w:t xml:space="preserve"> loan</w:t>
      </w:r>
      <w:r w:rsidR="003C4357" w:rsidRPr="00CD1873">
        <w:rPr>
          <w:rFonts w:ascii="Arial" w:eastAsia="Calibri" w:hAnsi="Arial" w:cs="Times New Roman"/>
          <w:sz w:val="24"/>
        </w:rPr>
        <w:t xml:space="preserve"> agreement</w:t>
      </w:r>
      <w:r w:rsidR="00750B12" w:rsidRPr="00CD1873">
        <w:rPr>
          <w:rFonts w:ascii="Arial" w:eastAsia="Calibri" w:hAnsi="Arial" w:cs="Times New Roman"/>
          <w:sz w:val="24"/>
        </w:rPr>
        <w:t xml:space="preserve"> signed between the</w:t>
      </w:r>
      <w:r w:rsidR="009C23CA" w:rsidRPr="00CD1873">
        <w:rPr>
          <w:rFonts w:ascii="Arial" w:eastAsia="Calibri" w:hAnsi="Arial" w:cs="Times New Roman"/>
          <w:sz w:val="24"/>
        </w:rPr>
        <w:t xml:space="preserve"> two parties</w:t>
      </w:r>
      <w:r w:rsidR="003C4357" w:rsidRPr="00CD1873">
        <w:rPr>
          <w:rFonts w:ascii="Arial" w:eastAsia="Calibri" w:hAnsi="Arial" w:cs="Times New Roman"/>
          <w:sz w:val="24"/>
        </w:rPr>
        <w:t xml:space="preserve">. </w:t>
      </w:r>
    </w:p>
    <w:p w14:paraId="0E440BD8" w14:textId="77777777" w:rsidR="003C4357" w:rsidRPr="00CA071F" w:rsidRDefault="003C4357" w:rsidP="00FD4ECB">
      <w:pPr>
        <w:pStyle w:val="ListParagraph"/>
        <w:shd w:val="clear" w:color="auto" w:fill="FFFFFF"/>
        <w:tabs>
          <w:tab w:val="left" w:pos="709"/>
        </w:tabs>
        <w:spacing w:after="0" w:line="480" w:lineRule="auto"/>
        <w:ind w:left="0"/>
        <w:jc w:val="both"/>
        <w:rPr>
          <w:rFonts w:ascii="Arial" w:eastAsia="Calibri" w:hAnsi="Arial" w:cs="Times New Roman"/>
          <w:sz w:val="24"/>
        </w:rPr>
      </w:pPr>
    </w:p>
    <w:p w14:paraId="638715BD" w14:textId="3EEC0093" w:rsidR="00DD003A" w:rsidRPr="00CD1873" w:rsidRDefault="00CD1873" w:rsidP="00CD1873">
      <w:pPr>
        <w:shd w:val="clear" w:color="auto" w:fill="FFFFFF"/>
        <w:spacing w:after="0" w:line="480" w:lineRule="auto"/>
        <w:jc w:val="both"/>
        <w:rPr>
          <w:rFonts w:ascii="Arial" w:eastAsia="Calibri" w:hAnsi="Arial" w:cs="Times New Roman"/>
          <w:sz w:val="24"/>
          <w:lang w:val="en-ZA"/>
        </w:rPr>
      </w:pPr>
      <w:r w:rsidRPr="00DD003A">
        <w:rPr>
          <w:rFonts w:ascii="Arial" w:eastAsia="Calibri" w:hAnsi="Arial" w:cs="Times New Roman"/>
          <w:sz w:val="24"/>
          <w:szCs w:val="24"/>
          <w:lang w:val="en-ZA"/>
        </w:rPr>
        <w:lastRenderedPageBreak/>
        <w:t>[4]</w:t>
      </w:r>
      <w:r w:rsidRPr="00DD003A">
        <w:rPr>
          <w:rFonts w:ascii="Arial" w:eastAsia="Calibri" w:hAnsi="Arial" w:cs="Times New Roman"/>
          <w:sz w:val="24"/>
          <w:szCs w:val="24"/>
          <w:lang w:val="en-ZA"/>
        </w:rPr>
        <w:tab/>
      </w:r>
      <w:r w:rsidR="00CA071F" w:rsidRPr="00CD1873">
        <w:rPr>
          <w:rFonts w:ascii="Arial" w:eastAsia="Calibri" w:hAnsi="Arial" w:cs="Times New Roman"/>
          <w:sz w:val="24"/>
        </w:rPr>
        <w:t xml:space="preserve">Alleging that </w:t>
      </w:r>
      <w:r w:rsidR="00CA071F" w:rsidRPr="00CD1873">
        <w:rPr>
          <w:rFonts w:ascii="Arial" w:hAnsi="Arial" w:cs="Arial"/>
          <w:sz w:val="24"/>
          <w:szCs w:val="24"/>
        </w:rPr>
        <w:t>Hendricks CC</w:t>
      </w:r>
      <w:r w:rsidR="00CA071F" w:rsidRPr="00CD1873">
        <w:rPr>
          <w:rFonts w:ascii="Arial" w:eastAsia="Calibri" w:hAnsi="Arial" w:cs="Times New Roman"/>
          <w:sz w:val="24"/>
          <w:lang w:val="en-ZA"/>
        </w:rPr>
        <w:t xml:space="preserve"> was in breach of the deed of hypothecation</w:t>
      </w:r>
      <w:r w:rsidR="001C508E" w:rsidRPr="00CD1873">
        <w:rPr>
          <w:rFonts w:ascii="Arial" w:eastAsia="Calibri" w:hAnsi="Arial" w:cs="Times New Roman"/>
          <w:sz w:val="24"/>
          <w:lang w:val="en-ZA"/>
        </w:rPr>
        <w:t>,</w:t>
      </w:r>
      <w:r w:rsidR="00CA071F" w:rsidRPr="00CD1873">
        <w:rPr>
          <w:rFonts w:ascii="Arial" w:eastAsia="Calibri" w:hAnsi="Arial" w:cs="Times New Roman"/>
          <w:sz w:val="24"/>
          <w:lang w:val="en-ZA"/>
        </w:rPr>
        <w:t xml:space="preserve"> in that it was in arrears with the payment of the instalments as agreed to in the</w:t>
      </w:r>
      <w:r w:rsidR="009C23CA" w:rsidRPr="00CD1873">
        <w:rPr>
          <w:rFonts w:ascii="Arial" w:eastAsia="Calibri" w:hAnsi="Arial" w:cs="Times New Roman"/>
          <w:sz w:val="24"/>
          <w:lang w:val="en-ZA"/>
        </w:rPr>
        <w:t xml:space="preserve"> written</w:t>
      </w:r>
      <w:r w:rsidR="00CA071F" w:rsidRPr="00CD1873">
        <w:rPr>
          <w:rFonts w:ascii="Arial" w:eastAsia="Calibri" w:hAnsi="Arial" w:cs="Times New Roman"/>
          <w:sz w:val="24"/>
          <w:lang w:val="en-ZA"/>
        </w:rPr>
        <w:t xml:space="preserve"> loan agreement, </w:t>
      </w:r>
      <w:r w:rsidR="00CA071F" w:rsidRPr="00CD1873">
        <w:rPr>
          <w:rFonts w:ascii="Arial" w:eastAsia="Calibri" w:hAnsi="Arial" w:cs="Times New Roman"/>
          <w:sz w:val="24"/>
        </w:rPr>
        <w:t xml:space="preserve">Old Mutual Life </w:t>
      </w:r>
      <w:r w:rsidR="00750B12" w:rsidRPr="00CD1873">
        <w:rPr>
          <w:rFonts w:ascii="Arial" w:eastAsia="Calibri" w:hAnsi="Arial" w:cs="Times New Roman"/>
          <w:sz w:val="24"/>
          <w:lang w:val="en-ZA"/>
        </w:rPr>
        <w:t>on</w:t>
      </w:r>
      <w:r w:rsidR="00CA071F" w:rsidRPr="00CD1873">
        <w:rPr>
          <w:rFonts w:ascii="Arial" w:eastAsia="Calibri" w:hAnsi="Arial" w:cs="Times New Roman"/>
          <w:sz w:val="24"/>
          <w:lang w:val="en-ZA"/>
        </w:rPr>
        <w:t xml:space="preserve"> 10 June 2016 commenced proceedings in the High </w:t>
      </w:r>
      <w:r w:rsidR="00D37E96" w:rsidRPr="00CD1873">
        <w:rPr>
          <w:rFonts w:ascii="Arial" w:eastAsia="Calibri" w:hAnsi="Arial" w:cs="Times New Roman"/>
          <w:sz w:val="24"/>
          <w:lang w:val="en-ZA"/>
        </w:rPr>
        <w:t xml:space="preserve">Court against </w:t>
      </w:r>
      <w:r w:rsidR="00CA071F" w:rsidRPr="00CD1873">
        <w:rPr>
          <w:rFonts w:ascii="Arial" w:hAnsi="Arial" w:cs="Arial"/>
          <w:sz w:val="24"/>
          <w:szCs w:val="24"/>
        </w:rPr>
        <w:t>Hendricks CC</w:t>
      </w:r>
      <w:r w:rsidR="00CA071F" w:rsidRPr="00CD1873">
        <w:rPr>
          <w:rFonts w:ascii="Arial" w:eastAsia="Calibri" w:hAnsi="Arial" w:cs="Times New Roman"/>
          <w:sz w:val="24"/>
        </w:rPr>
        <w:t xml:space="preserve">, in terms of which it claimed </w:t>
      </w:r>
      <w:r w:rsidR="003E097E" w:rsidRPr="00CD1873">
        <w:rPr>
          <w:rFonts w:ascii="Arial" w:eastAsia="Calibri" w:hAnsi="Arial" w:cs="Times New Roman"/>
          <w:sz w:val="24"/>
          <w:lang w:val="en-ZA"/>
        </w:rPr>
        <w:t>payment in</w:t>
      </w:r>
      <w:r w:rsidR="00CA071F" w:rsidRPr="00CD1873">
        <w:rPr>
          <w:rFonts w:ascii="Arial" w:eastAsia="Calibri" w:hAnsi="Arial" w:cs="Times New Roman"/>
          <w:sz w:val="24"/>
          <w:lang w:val="en-ZA"/>
        </w:rPr>
        <w:t xml:space="preserve"> the </w:t>
      </w:r>
      <w:r w:rsidR="00D37E96" w:rsidRPr="00CD1873">
        <w:rPr>
          <w:rFonts w:ascii="Arial" w:eastAsia="Calibri" w:hAnsi="Arial" w:cs="Times New Roman"/>
          <w:sz w:val="24"/>
          <w:lang w:val="en-ZA"/>
        </w:rPr>
        <w:t>amount of N$</w:t>
      </w:r>
      <w:r w:rsidR="00CA071F" w:rsidRPr="00CD1873">
        <w:rPr>
          <w:rFonts w:ascii="Arial" w:eastAsia="Calibri" w:hAnsi="Arial" w:cs="Times New Roman"/>
          <w:sz w:val="24"/>
          <w:lang w:val="en-ZA"/>
        </w:rPr>
        <w:t>6 372 939</w:t>
      </w:r>
      <w:r w:rsidR="00137BA8" w:rsidRPr="00CD1873">
        <w:rPr>
          <w:rFonts w:ascii="Arial" w:eastAsia="Calibri" w:hAnsi="Arial" w:cs="Times New Roman"/>
          <w:sz w:val="24"/>
          <w:lang w:val="en-ZA"/>
        </w:rPr>
        <w:t>,</w:t>
      </w:r>
      <w:r w:rsidR="009C23CA" w:rsidRPr="00CD1873">
        <w:rPr>
          <w:rFonts w:ascii="Arial" w:eastAsia="Calibri" w:hAnsi="Arial" w:cs="Times New Roman"/>
          <w:sz w:val="24"/>
          <w:lang w:val="en-ZA"/>
        </w:rPr>
        <w:t>84</w:t>
      </w:r>
      <w:r w:rsidR="00CA071F" w:rsidRPr="00CD1873">
        <w:rPr>
          <w:rFonts w:ascii="Arial" w:hAnsi="Arial" w:cs="Arial"/>
          <w:sz w:val="24"/>
          <w:szCs w:val="24"/>
        </w:rPr>
        <w:t>.</w:t>
      </w:r>
      <w:r w:rsidR="003E097E" w:rsidRPr="00CD1873">
        <w:rPr>
          <w:rFonts w:ascii="Arial" w:hAnsi="Arial" w:cs="Arial"/>
          <w:sz w:val="24"/>
          <w:szCs w:val="24"/>
        </w:rPr>
        <w:t xml:space="preserve"> In addition to the payment that it sought, </w:t>
      </w:r>
      <w:r w:rsidR="003E097E" w:rsidRPr="00CD1873">
        <w:rPr>
          <w:rFonts w:ascii="Arial" w:eastAsia="Calibri" w:hAnsi="Arial" w:cs="Times New Roman"/>
          <w:sz w:val="24"/>
        </w:rPr>
        <w:t xml:space="preserve">Old Mutual Life also sought an order declaring the immovable property which </w:t>
      </w:r>
      <w:r w:rsidR="003E097E" w:rsidRPr="00CD1873">
        <w:rPr>
          <w:rFonts w:ascii="Arial" w:hAnsi="Arial" w:cs="Arial"/>
          <w:sz w:val="24"/>
          <w:szCs w:val="24"/>
        </w:rPr>
        <w:t xml:space="preserve">Hendricks CC provided as security for </w:t>
      </w:r>
      <w:r w:rsidR="00137BA8" w:rsidRPr="00CD1873">
        <w:rPr>
          <w:rFonts w:ascii="Arial" w:hAnsi="Arial" w:cs="Arial"/>
          <w:sz w:val="24"/>
          <w:szCs w:val="24"/>
        </w:rPr>
        <w:t>the monies</w:t>
      </w:r>
      <w:r w:rsidR="00A77DC8" w:rsidRPr="00CD1873">
        <w:rPr>
          <w:rFonts w:ascii="Arial" w:hAnsi="Arial" w:cs="Arial"/>
          <w:sz w:val="24"/>
          <w:szCs w:val="24"/>
        </w:rPr>
        <w:t xml:space="preserve"> that were lent to it</w:t>
      </w:r>
      <w:r w:rsidR="006D3CC6" w:rsidRPr="00CD1873">
        <w:rPr>
          <w:rFonts w:ascii="Arial" w:hAnsi="Arial" w:cs="Arial"/>
          <w:sz w:val="24"/>
          <w:szCs w:val="24"/>
        </w:rPr>
        <w:t>,</w:t>
      </w:r>
      <w:r w:rsidR="00A77DC8" w:rsidRPr="00CD1873">
        <w:rPr>
          <w:rFonts w:ascii="Arial" w:hAnsi="Arial" w:cs="Arial"/>
          <w:sz w:val="24"/>
          <w:szCs w:val="24"/>
        </w:rPr>
        <w:t xml:space="preserve"> </w:t>
      </w:r>
      <w:r w:rsidR="003E097E" w:rsidRPr="00CD1873">
        <w:rPr>
          <w:rFonts w:ascii="Arial" w:hAnsi="Arial" w:cs="Arial"/>
          <w:sz w:val="24"/>
          <w:szCs w:val="24"/>
        </w:rPr>
        <w:t xml:space="preserve">to be declared executable. </w:t>
      </w:r>
    </w:p>
    <w:p w14:paraId="5059DD4F" w14:textId="77777777" w:rsidR="00DD003A" w:rsidRPr="00DD003A" w:rsidRDefault="00DD003A" w:rsidP="00FD4ECB">
      <w:pPr>
        <w:pStyle w:val="ListParagraph"/>
        <w:spacing w:after="0" w:line="480" w:lineRule="auto"/>
        <w:rPr>
          <w:rFonts w:ascii="Arial" w:hAnsi="Arial" w:cs="Arial"/>
          <w:sz w:val="24"/>
          <w:szCs w:val="24"/>
        </w:rPr>
      </w:pPr>
    </w:p>
    <w:p w14:paraId="228BFDE3" w14:textId="66F25A99" w:rsidR="00DD003A" w:rsidRPr="00CD1873" w:rsidRDefault="00CD1873" w:rsidP="00CD1873">
      <w:pPr>
        <w:shd w:val="clear" w:color="auto" w:fill="FFFFFF"/>
        <w:tabs>
          <w:tab w:val="left" w:pos="709"/>
        </w:tabs>
        <w:spacing w:after="0" w:line="480" w:lineRule="auto"/>
        <w:jc w:val="both"/>
        <w:rPr>
          <w:rFonts w:ascii="Arial" w:eastAsia="Calibri" w:hAnsi="Arial" w:cs="Times New Roman"/>
          <w:sz w:val="24"/>
          <w:lang w:val="en-ZA"/>
        </w:rPr>
      </w:pPr>
      <w:r w:rsidRPr="009C23CA">
        <w:rPr>
          <w:rFonts w:ascii="Arial" w:eastAsia="Calibri" w:hAnsi="Arial" w:cs="Times New Roman"/>
          <w:sz w:val="24"/>
          <w:szCs w:val="24"/>
          <w:lang w:val="en-ZA"/>
        </w:rPr>
        <w:t>[5]</w:t>
      </w:r>
      <w:r w:rsidRPr="009C23CA">
        <w:rPr>
          <w:rFonts w:ascii="Arial" w:eastAsia="Calibri" w:hAnsi="Arial" w:cs="Times New Roman"/>
          <w:sz w:val="24"/>
          <w:szCs w:val="24"/>
          <w:lang w:val="en-ZA"/>
        </w:rPr>
        <w:tab/>
      </w:r>
      <w:r w:rsidR="003E097E" w:rsidRPr="00CD1873">
        <w:rPr>
          <w:rFonts w:ascii="Arial" w:hAnsi="Arial" w:cs="Arial"/>
          <w:sz w:val="24"/>
          <w:szCs w:val="24"/>
        </w:rPr>
        <w:t>Hendricks CC</w:t>
      </w:r>
      <w:r w:rsidR="003E097E" w:rsidRPr="00CD1873">
        <w:rPr>
          <w:rFonts w:ascii="Arial" w:eastAsia="Calibri" w:hAnsi="Arial" w:cs="Times New Roman"/>
          <w:sz w:val="24"/>
          <w:lang w:val="en-ZA"/>
        </w:rPr>
        <w:t xml:space="preserve"> did not defend </w:t>
      </w:r>
      <w:r w:rsidR="001E7B82" w:rsidRPr="00CD1873">
        <w:rPr>
          <w:rFonts w:ascii="Arial" w:eastAsia="Calibri" w:hAnsi="Arial" w:cs="Times New Roman"/>
          <w:sz w:val="24"/>
        </w:rPr>
        <w:t xml:space="preserve">Old Mutual Life’s </w:t>
      </w:r>
      <w:r w:rsidR="003E097E" w:rsidRPr="00CD1873">
        <w:rPr>
          <w:rFonts w:ascii="Arial" w:eastAsia="Calibri" w:hAnsi="Arial" w:cs="Times New Roman"/>
          <w:sz w:val="24"/>
        </w:rPr>
        <w:t>claim and as a result the High Court</w:t>
      </w:r>
      <w:r w:rsidR="001E7B82" w:rsidRPr="00CD1873">
        <w:rPr>
          <w:rFonts w:ascii="Arial" w:eastAsia="Calibri" w:hAnsi="Arial" w:cs="Times New Roman"/>
          <w:sz w:val="24"/>
        </w:rPr>
        <w:t>,</w:t>
      </w:r>
      <w:r w:rsidR="003E097E" w:rsidRPr="00CD1873">
        <w:rPr>
          <w:rFonts w:ascii="Arial" w:eastAsia="Calibri" w:hAnsi="Arial" w:cs="Times New Roman"/>
          <w:sz w:val="24"/>
        </w:rPr>
        <w:t xml:space="preserve"> on 22 September 2016</w:t>
      </w:r>
      <w:r w:rsidR="001E7B82" w:rsidRPr="00CD1873">
        <w:rPr>
          <w:rFonts w:ascii="Arial" w:eastAsia="Calibri" w:hAnsi="Arial" w:cs="Times New Roman"/>
          <w:sz w:val="24"/>
        </w:rPr>
        <w:t>,</w:t>
      </w:r>
      <w:r w:rsidR="006D3CC6" w:rsidRPr="00CD1873">
        <w:rPr>
          <w:rFonts w:ascii="Arial" w:eastAsia="Calibri" w:hAnsi="Arial" w:cs="Times New Roman"/>
          <w:sz w:val="24"/>
        </w:rPr>
        <w:t xml:space="preserve"> granted</w:t>
      </w:r>
      <w:r w:rsidR="00730CAA" w:rsidRPr="00CD1873">
        <w:rPr>
          <w:rFonts w:ascii="Arial" w:eastAsia="Calibri" w:hAnsi="Arial" w:cs="Times New Roman"/>
          <w:sz w:val="24"/>
        </w:rPr>
        <w:t xml:space="preserve"> default judgment against Hendri</w:t>
      </w:r>
      <w:r w:rsidR="0041667A" w:rsidRPr="00CD1873">
        <w:rPr>
          <w:rFonts w:ascii="Arial" w:eastAsia="Calibri" w:hAnsi="Arial" w:cs="Times New Roman"/>
          <w:sz w:val="24"/>
        </w:rPr>
        <w:t>c</w:t>
      </w:r>
      <w:r w:rsidR="00730CAA" w:rsidRPr="00CD1873">
        <w:rPr>
          <w:rFonts w:ascii="Arial" w:eastAsia="Calibri" w:hAnsi="Arial" w:cs="Times New Roman"/>
          <w:sz w:val="24"/>
        </w:rPr>
        <w:t xml:space="preserve">ks </w:t>
      </w:r>
      <w:r w:rsidR="009C23CA" w:rsidRPr="00CD1873">
        <w:rPr>
          <w:rFonts w:ascii="Arial" w:hAnsi="Arial" w:cs="Arial"/>
          <w:sz w:val="24"/>
          <w:szCs w:val="24"/>
        </w:rPr>
        <w:t>CC</w:t>
      </w:r>
      <w:r w:rsidR="009C23CA" w:rsidRPr="00CD1873">
        <w:rPr>
          <w:rFonts w:ascii="Arial" w:eastAsia="Calibri" w:hAnsi="Arial" w:cs="Times New Roman"/>
          <w:sz w:val="24"/>
        </w:rPr>
        <w:t xml:space="preserve"> </w:t>
      </w:r>
      <w:r w:rsidR="00137376" w:rsidRPr="00CD1873">
        <w:rPr>
          <w:rFonts w:ascii="Arial" w:eastAsia="Calibri" w:hAnsi="Arial" w:cs="Times New Roman"/>
          <w:sz w:val="24"/>
        </w:rPr>
        <w:t xml:space="preserve">in terms of which the High Court ordered </w:t>
      </w:r>
      <w:r w:rsidR="006D3CC6" w:rsidRPr="00CD1873">
        <w:rPr>
          <w:rFonts w:ascii="Arial" w:hAnsi="Arial" w:cs="Arial"/>
          <w:sz w:val="24"/>
          <w:szCs w:val="24"/>
        </w:rPr>
        <w:t xml:space="preserve">Hendricks CC to pay </w:t>
      </w:r>
      <w:r w:rsidR="00137376" w:rsidRPr="00CD1873">
        <w:rPr>
          <w:rFonts w:ascii="Arial" w:hAnsi="Arial" w:cs="Arial"/>
          <w:sz w:val="24"/>
          <w:szCs w:val="24"/>
        </w:rPr>
        <w:t xml:space="preserve">Old Mutual Life </w:t>
      </w:r>
      <w:r w:rsidR="006D3CC6" w:rsidRPr="00CD1873">
        <w:rPr>
          <w:rFonts w:ascii="Arial" w:eastAsia="Calibri" w:hAnsi="Arial" w:cs="Times New Roman"/>
          <w:sz w:val="24"/>
        </w:rPr>
        <w:t>the amount of N$</w:t>
      </w:r>
      <w:r w:rsidR="00DD003A" w:rsidRPr="00CD1873">
        <w:rPr>
          <w:rFonts w:ascii="Arial" w:eastAsia="Calibri" w:hAnsi="Arial" w:cs="Times New Roman"/>
          <w:sz w:val="24"/>
        </w:rPr>
        <w:t>6 372 939</w:t>
      </w:r>
      <w:r w:rsidR="00137BA8" w:rsidRPr="00CD1873">
        <w:rPr>
          <w:rFonts w:ascii="Arial" w:eastAsia="Calibri" w:hAnsi="Arial" w:cs="Times New Roman"/>
          <w:sz w:val="24"/>
        </w:rPr>
        <w:t>,</w:t>
      </w:r>
      <w:r w:rsidR="00D37E96" w:rsidRPr="00CD1873">
        <w:rPr>
          <w:rFonts w:ascii="Arial" w:eastAsia="Calibri" w:hAnsi="Arial" w:cs="Times New Roman"/>
          <w:sz w:val="24"/>
        </w:rPr>
        <w:t>84</w:t>
      </w:r>
      <w:r w:rsidR="00DD003A" w:rsidRPr="00CD1873">
        <w:rPr>
          <w:rFonts w:ascii="Arial" w:eastAsia="Calibri" w:hAnsi="Arial" w:cs="Times New Roman"/>
          <w:sz w:val="24"/>
        </w:rPr>
        <w:t xml:space="preserve"> plus interest at the overdraft rate per </w:t>
      </w:r>
      <w:r w:rsidR="00DD003A" w:rsidRPr="00CD1873">
        <w:rPr>
          <w:rFonts w:ascii="Arial" w:eastAsia="Calibri" w:hAnsi="Arial" w:cs="Times New Roman"/>
          <w:i/>
          <w:sz w:val="24"/>
        </w:rPr>
        <w:t xml:space="preserve">annum </w:t>
      </w:r>
      <w:r w:rsidR="00DD003A" w:rsidRPr="00CD1873">
        <w:rPr>
          <w:rFonts w:ascii="Arial" w:eastAsia="Calibri" w:hAnsi="Arial" w:cs="Times New Roman"/>
          <w:sz w:val="24"/>
        </w:rPr>
        <w:t>at which Nedbank Namibia Ltd lends</w:t>
      </w:r>
      <w:r w:rsidR="00137BA8" w:rsidRPr="00CD1873">
        <w:rPr>
          <w:rFonts w:ascii="Arial" w:eastAsia="Calibri" w:hAnsi="Arial" w:cs="Times New Roman"/>
          <w:sz w:val="24"/>
        </w:rPr>
        <w:t xml:space="preserve"> on unsecured overdraft, less one</w:t>
      </w:r>
      <w:r w:rsidR="006D3CC6" w:rsidRPr="00CD1873">
        <w:rPr>
          <w:rFonts w:ascii="Arial" w:eastAsia="Calibri" w:hAnsi="Arial" w:cs="Times New Roman"/>
          <w:sz w:val="24"/>
        </w:rPr>
        <w:t xml:space="preserve"> per cent</w:t>
      </w:r>
      <w:r w:rsidR="00DD003A" w:rsidRPr="00CD1873">
        <w:rPr>
          <w:rFonts w:ascii="Arial" w:eastAsia="Calibri" w:hAnsi="Arial" w:cs="Times New Roman"/>
          <w:sz w:val="24"/>
        </w:rPr>
        <w:t>, calculated daily and compounded monthly in arrears as from 1 June 2016 to date of payment.</w:t>
      </w:r>
    </w:p>
    <w:p w14:paraId="6F97AD4D" w14:textId="77777777" w:rsidR="009C23CA" w:rsidRPr="009C23CA" w:rsidRDefault="009C23CA" w:rsidP="00FD4ECB">
      <w:pPr>
        <w:pStyle w:val="ListParagraph"/>
        <w:shd w:val="clear" w:color="auto" w:fill="FFFFFF"/>
        <w:tabs>
          <w:tab w:val="left" w:pos="709"/>
        </w:tabs>
        <w:spacing w:after="0" w:line="480" w:lineRule="auto"/>
        <w:ind w:left="0"/>
        <w:jc w:val="both"/>
        <w:rPr>
          <w:rFonts w:ascii="Arial" w:eastAsia="Calibri" w:hAnsi="Arial" w:cs="Times New Roman"/>
          <w:sz w:val="24"/>
          <w:lang w:val="en-ZA"/>
        </w:rPr>
      </w:pPr>
    </w:p>
    <w:p w14:paraId="28E059E3" w14:textId="71D97D64" w:rsidR="00DD003A" w:rsidRPr="00CD1873" w:rsidRDefault="00CD1873" w:rsidP="00CD1873">
      <w:pPr>
        <w:shd w:val="clear" w:color="auto" w:fill="FFFFFF"/>
        <w:spacing w:after="0" w:line="480" w:lineRule="auto"/>
        <w:jc w:val="both"/>
        <w:rPr>
          <w:rFonts w:ascii="Arial" w:eastAsia="Calibri" w:hAnsi="Arial" w:cs="Times New Roman"/>
          <w:b/>
          <w:sz w:val="24"/>
        </w:rPr>
      </w:pPr>
      <w:r>
        <w:rPr>
          <w:rFonts w:ascii="Arial" w:eastAsia="Calibri" w:hAnsi="Arial" w:cs="Times New Roman"/>
          <w:sz w:val="24"/>
          <w:szCs w:val="24"/>
        </w:rPr>
        <w:t>[6]</w:t>
      </w:r>
      <w:r>
        <w:rPr>
          <w:rFonts w:ascii="Arial" w:eastAsia="Calibri" w:hAnsi="Arial" w:cs="Times New Roman"/>
          <w:sz w:val="24"/>
          <w:szCs w:val="24"/>
        </w:rPr>
        <w:tab/>
      </w:r>
      <w:r w:rsidR="00DD003A" w:rsidRPr="00CD1873">
        <w:rPr>
          <w:rFonts w:ascii="Arial" w:eastAsia="Calibri" w:hAnsi="Arial" w:cs="Times New Roman"/>
          <w:sz w:val="24"/>
          <w:lang w:val="en-ZA"/>
        </w:rPr>
        <w:t xml:space="preserve">In addition to the order to pay </w:t>
      </w:r>
      <w:r w:rsidR="00137376" w:rsidRPr="00CD1873">
        <w:rPr>
          <w:rFonts w:ascii="Arial" w:eastAsia="Calibri" w:hAnsi="Arial" w:cs="Times New Roman"/>
          <w:sz w:val="24"/>
        </w:rPr>
        <w:t>Old Mutual Life</w:t>
      </w:r>
      <w:r w:rsidR="00A77DC8" w:rsidRPr="00CD1873">
        <w:rPr>
          <w:rFonts w:ascii="Arial" w:eastAsia="Calibri" w:hAnsi="Arial" w:cs="Times New Roman"/>
          <w:sz w:val="24"/>
        </w:rPr>
        <w:t>,</w:t>
      </w:r>
      <w:r w:rsidR="00137376" w:rsidRPr="00CD1873">
        <w:rPr>
          <w:rFonts w:ascii="Arial" w:eastAsia="Calibri" w:hAnsi="Arial" w:cs="Times New Roman"/>
          <w:sz w:val="24"/>
        </w:rPr>
        <w:t xml:space="preserve"> </w:t>
      </w:r>
      <w:r w:rsidR="00DD003A" w:rsidRPr="00CD1873">
        <w:rPr>
          <w:rFonts w:ascii="Arial" w:eastAsia="Calibri" w:hAnsi="Arial" w:cs="Times New Roman"/>
          <w:sz w:val="24"/>
        </w:rPr>
        <w:t xml:space="preserve">the High Court declared the following immovable property </w:t>
      </w:r>
      <w:r w:rsidR="001E7B82" w:rsidRPr="00CD1873">
        <w:rPr>
          <w:rFonts w:ascii="Arial" w:eastAsia="Calibri" w:hAnsi="Arial" w:cs="Times New Roman"/>
          <w:sz w:val="24"/>
        </w:rPr>
        <w:t>(</w:t>
      </w:r>
      <w:r w:rsidR="001C508E" w:rsidRPr="00CD1873">
        <w:rPr>
          <w:rFonts w:ascii="Arial" w:eastAsia="Calibri" w:hAnsi="Arial" w:cs="Times New Roman"/>
          <w:sz w:val="24"/>
        </w:rPr>
        <w:t>‘</w:t>
      </w:r>
      <w:r w:rsidR="001E7B82" w:rsidRPr="00CD1873">
        <w:rPr>
          <w:rFonts w:ascii="Arial" w:eastAsia="Calibri" w:hAnsi="Arial" w:cs="Times New Roman"/>
          <w:sz w:val="24"/>
        </w:rPr>
        <w:t>the property</w:t>
      </w:r>
      <w:r w:rsidR="001C508E" w:rsidRPr="00CD1873">
        <w:rPr>
          <w:rFonts w:ascii="Arial" w:eastAsia="Calibri" w:hAnsi="Arial" w:cs="Times New Roman"/>
          <w:sz w:val="24"/>
        </w:rPr>
        <w:t>’</w:t>
      </w:r>
      <w:r w:rsidR="001E7B82" w:rsidRPr="00CD1873">
        <w:rPr>
          <w:rFonts w:ascii="Arial" w:eastAsia="Calibri" w:hAnsi="Arial" w:cs="Times New Roman"/>
          <w:sz w:val="24"/>
        </w:rPr>
        <w:t xml:space="preserve">) </w:t>
      </w:r>
      <w:r w:rsidR="00DD003A" w:rsidRPr="00CD1873">
        <w:rPr>
          <w:rFonts w:ascii="Arial" w:eastAsia="Calibri" w:hAnsi="Arial" w:cs="Times New Roman"/>
          <w:sz w:val="24"/>
        </w:rPr>
        <w:t>executable</w:t>
      </w:r>
      <w:r w:rsidR="006D3CC6" w:rsidRPr="00CD1873">
        <w:rPr>
          <w:rFonts w:ascii="Arial" w:eastAsia="Calibri" w:hAnsi="Arial" w:cs="Times New Roman"/>
          <w:sz w:val="24"/>
        </w:rPr>
        <w:t>,</w:t>
      </w:r>
      <w:r w:rsidR="00DD003A" w:rsidRPr="00CD1873">
        <w:rPr>
          <w:rFonts w:ascii="Arial" w:eastAsia="Calibri" w:hAnsi="Arial" w:cs="Times New Roman"/>
          <w:sz w:val="24"/>
        </w:rPr>
        <w:t xml:space="preserve"> namely:</w:t>
      </w:r>
      <w:r w:rsidR="00DD003A" w:rsidRPr="00CD1873">
        <w:rPr>
          <w:rFonts w:ascii="Arial" w:eastAsia="Calibri" w:hAnsi="Arial" w:cs="Times New Roman"/>
          <w:b/>
          <w:sz w:val="24"/>
        </w:rPr>
        <w:t xml:space="preserve"> </w:t>
      </w:r>
    </w:p>
    <w:p w14:paraId="41E51722" w14:textId="77777777" w:rsidR="00DD003A" w:rsidRPr="00DD003A" w:rsidRDefault="00DD003A" w:rsidP="00FD4ECB">
      <w:pPr>
        <w:pStyle w:val="ListParagraph"/>
        <w:spacing w:after="0" w:line="480" w:lineRule="auto"/>
        <w:rPr>
          <w:rFonts w:ascii="Arial" w:eastAsia="Calibri" w:hAnsi="Arial" w:cs="Times New Roman"/>
          <w:b/>
          <w:sz w:val="24"/>
        </w:rPr>
      </w:pPr>
    </w:p>
    <w:p w14:paraId="41AE7536" w14:textId="77777777" w:rsidR="00137BA8" w:rsidRDefault="00137BA8" w:rsidP="00137BA8">
      <w:pPr>
        <w:pStyle w:val="ListParagraph"/>
        <w:shd w:val="clear" w:color="auto" w:fill="FFFFFF"/>
        <w:tabs>
          <w:tab w:val="left" w:pos="0"/>
          <w:tab w:val="left" w:pos="720"/>
          <w:tab w:val="left" w:pos="1985"/>
        </w:tabs>
        <w:spacing w:after="0" w:line="480" w:lineRule="auto"/>
        <w:ind w:left="1985" w:hanging="1985"/>
        <w:jc w:val="both"/>
        <w:rPr>
          <w:rFonts w:ascii="Arial" w:eastAsia="Calibri" w:hAnsi="Arial" w:cs="Times New Roman"/>
          <w:sz w:val="24"/>
        </w:rPr>
      </w:pPr>
      <w:r>
        <w:rPr>
          <w:rFonts w:ascii="Arial" w:eastAsia="Calibri" w:hAnsi="Arial" w:cs="Times New Roman"/>
          <w:b/>
          <w:sz w:val="24"/>
        </w:rPr>
        <w:tab/>
      </w:r>
      <w:r w:rsidR="00DD003A" w:rsidRPr="00DD003A">
        <w:rPr>
          <w:rFonts w:ascii="Arial" w:eastAsia="Calibri" w:hAnsi="Arial" w:cs="Times New Roman"/>
          <w:b/>
          <w:sz w:val="24"/>
        </w:rPr>
        <w:t>CERTAIN:</w:t>
      </w:r>
      <w:r w:rsidR="00DD003A">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00DD003A" w:rsidRPr="00DD003A">
        <w:rPr>
          <w:rFonts w:ascii="Arial" w:eastAsia="Calibri" w:hAnsi="Arial" w:cs="Times New Roman"/>
          <w:sz w:val="24"/>
        </w:rPr>
        <w:t>Erf No 344</w:t>
      </w:r>
      <w:r>
        <w:rPr>
          <w:rFonts w:ascii="Arial" w:eastAsia="Calibri" w:hAnsi="Arial" w:cs="Times New Roman"/>
          <w:sz w:val="24"/>
        </w:rPr>
        <w:t>4</w:t>
      </w:r>
      <w:r w:rsidR="00DD003A" w:rsidRPr="00DD003A">
        <w:rPr>
          <w:rFonts w:ascii="Arial" w:eastAsia="Calibri" w:hAnsi="Arial" w:cs="Times New Roman"/>
          <w:sz w:val="24"/>
        </w:rPr>
        <w:t xml:space="preserve"> (A Portion of Consolidated Erf No 441) </w:t>
      </w:r>
    </w:p>
    <w:p w14:paraId="0CB539A3" w14:textId="3C07D6B7" w:rsidR="00DD003A" w:rsidRPr="006D3CC6" w:rsidRDefault="00137BA8" w:rsidP="00137BA8">
      <w:pPr>
        <w:pStyle w:val="ListParagraph"/>
        <w:shd w:val="clear" w:color="auto" w:fill="FFFFFF"/>
        <w:tabs>
          <w:tab w:val="left" w:pos="0"/>
          <w:tab w:val="left" w:pos="720"/>
          <w:tab w:val="left" w:pos="1985"/>
        </w:tabs>
        <w:spacing w:after="0" w:line="480" w:lineRule="auto"/>
        <w:ind w:left="1985" w:hanging="1985"/>
        <w:jc w:val="both"/>
        <w:rPr>
          <w:rFonts w:ascii="Arial" w:eastAsia="Calibri" w:hAnsi="Arial" w:cs="Times New Roman"/>
          <w:b/>
          <w:sz w:val="24"/>
        </w:rPr>
      </w:pP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00DD003A" w:rsidRPr="00DD003A">
        <w:rPr>
          <w:rFonts w:ascii="Arial" w:eastAsia="Calibri" w:hAnsi="Arial" w:cs="Times New Roman"/>
          <w:sz w:val="24"/>
        </w:rPr>
        <w:t>Windhoek</w:t>
      </w:r>
    </w:p>
    <w:p w14:paraId="7F018874" w14:textId="77777777" w:rsidR="00286FD1" w:rsidRDefault="00137BA8" w:rsidP="00137BA8">
      <w:pPr>
        <w:pStyle w:val="ListParagraph"/>
        <w:shd w:val="clear" w:color="auto" w:fill="FFFFFF"/>
        <w:tabs>
          <w:tab w:val="left" w:pos="720"/>
          <w:tab w:val="left" w:pos="1985"/>
        </w:tabs>
        <w:spacing w:after="0" w:line="480" w:lineRule="auto"/>
        <w:ind w:left="0"/>
        <w:jc w:val="both"/>
        <w:rPr>
          <w:rFonts w:ascii="Arial" w:eastAsia="Calibri" w:hAnsi="Arial" w:cs="Times New Roman"/>
          <w:sz w:val="24"/>
        </w:rPr>
      </w:pPr>
      <w:r>
        <w:rPr>
          <w:rFonts w:ascii="Arial" w:eastAsia="Calibri" w:hAnsi="Arial" w:cs="Times New Roman"/>
          <w:b/>
          <w:sz w:val="24"/>
        </w:rPr>
        <w:tab/>
      </w:r>
      <w:r w:rsidR="00DD003A" w:rsidRPr="00DD003A">
        <w:rPr>
          <w:rFonts w:ascii="Arial" w:eastAsia="Calibri" w:hAnsi="Arial" w:cs="Times New Roman"/>
          <w:b/>
          <w:sz w:val="24"/>
        </w:rPr>
        <w:t>SITUATE:</w:t>
      </w:r>
      <w:r w:rsidR="00DD003A">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00DD003A" w:rsidRPr="00DD003A">
        <w:rPr>
          <w:rFonts w:ascii="Arial" w:eastAsia="Calibri" w:hAnsi="Arial" w:cs="Times New Roman"/>
          <w:sz w:val="24"/>
        </w:rPr>
        <w:t xml:space="preserve">In the Municipality </w:t>
      </w:r>
      <w:r w:rsidR="00DD003A">
        <w:rPr>
          <w:rFonts w:ascii="Arial" w:eastAsia="Calibri" w:hAnsi="Arial" w:cs="Times New Roman"/>
          <w:sz w:val="24"/>
        </w:rPr>
        <w:t>o</w:t>
      </w:r>
      <w:r>
        <w:rPr>
          <w:rFonts w:ascii="Arial" w:eastAsia="Calibri" w:hAnsi="Arial" w:cs="Times New Roman"/>
          <w:sz w:val="24"/>
        </w:rPr>
        <w:t xml:space="preserve">f Windhoek, </w:t>
      </w:r>
      <w:r w:rsidR="00DD003A" w:rsidRPr="00DD003A">
        <w:rPr>
          <w:rFonts w:ascii="Arial" w:eastAsia="Calibri" w:hAnsi="Arial" w:cs="Times New Roman"/>
          <w:sz w:val="24"/>
        </w:rPr>
        <w:t xml:space="preserve">Registration Division </w:t>
      </w:r>
    </w:p>
    <w:p w14:paraId="48F05FE2" w14:textId="6351D281" w:rsidR="00DD003A" w:rsidRPr="00DD003A" w:rsidRDefault="00286FD1" w:rsidP="00137BA8">
      <w:pPr>
        <w:pStyle w:val="ListParagraph"/>
        <w:shd w:val="clear" w:color="auto" w:fill="FFFFFF"/>
        <w:tabs>
          <w:tab w:val="left" w:pos="720"/>
          <w:tab w:val="left" w:pos="1985"/>
        </w:tabs>
        <w:spacing w:after="0" w:line="480" w:lineRule="auto"/>
        <w:ind w:left="0"/>
        <w:jc w:val="both"/>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sidR="00DD003A" w:rsidRPr="00DD003A">
        <w:rPr>
          <w:rFonts w:ascii="Arial" w:eastAsia="Calibri" w:hAnsi="Arial" w:cs="Times New Roman"/>
          <w:sz w:val="24"/>
        </w:rPr>
        <w:t>"K"</w:t>
      </w:r>
    </w:p>
    <w:p w14:paraId="489B40A3" w14:textId="2D6AFD07" w:rsidR="00DD003A" w:rsidRPr="006D3CC6" w:rsidRDefault="00137BA8" w:rsidP="00137BA8">
      <w:pPr>
        <w:pStyle w:val="ListParagraph"/>
        <w:shd w:val="clear" w:color="auto" w:fill="FFFFFF"/>
        <w:tabs>
          <w:tab w:val="left" w:pos="720"/>
          <w:tab w:val="left" w:pos="1985"/>
        </w:tabs>
        <w:spacing w:after="0" w:line="480" w:lineRule="auto"/>
        <w:ind w:left="1440" w:firstLine="545"/>
        <w:jc w:val="both"/>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sidR="00DD003A" w:rsidRPr="00DD003A">
        <w:rPr>
          <w:rFonts w:ascii="Arial" w:eastAsia="Calibri" w:hAnsi="Arial" w:cs="Times New Roman"/>
          <w:sz w:val="24"/>
        </w:rPr>
        <w:t>Khomas Region</w:t>
      </w:r>
    </w:p>
    <w:p w14:paraId="070B7766" w14:textId="3DE016DB" w:rsidR="00DD003A" w:rsidRDefault="00137BA8" w:rsidP="00137BA8">
      <w:pPr>
        <w:pStyle w:val="ListParagraph"/>
        <w:shd w:val="clear" w:color="auto" w:fill="FFFFFF"/>
        <w:tabs>
          <w:tab w:val="left" w:pos="720"/>
          <w:tab w:val="left" w:pos="1985"/>
        </w:tabs>
        <w:spacing w:after="0" w:line="480" w:lineRule="auto"/>
        <w:ind w:left="0"/>
        <w:jc w:val="both"/>
        <w:rPr>
          <w:rFonts w:ascii="Arial" w:eastAsia="Calibri" w:hAnsi="Arial" w:cs="Times New Roman"/>
          <w:b/>
          <w:sz w:val="24"/>
        </w:rPr>
      </w:pPr>
      <w:r>
        <w:rPr>
          <w:rFonts w:ascii="Arial" w:eastAsia="Calibri" w:hAnsi="Arial" w:cs="Times New Roman"/>
          <w:b/>
          <w:sz w:val="24"/>
        </w:rPr>
        <w:tab/>
      </w:r>
      <w:r w:rsidR="00FD3971">
        <w:rPr>
          <w:rFonts w:ascii="Arial" w:eastAsia="Calibri" w:hAnsi="Arial" w:cs="Times New Roman"/>
          <w:b/>
          <w:sz w:val="24"/>
        </w:rPr>
        <w:t>MEASURING</w:t>
      </w:r>
      <w:r>
        <w:rPr>
          <w:rFonts w:ascii="Arial" w:eastAsia="Calibri" w:hAnsi="Arial" w:cs="Times New Roman"/>
          <w:b/>
          <w:sz w:val="24"/>
        </w:rPr>
        <w:t>:</w:t>
      </w:r>
      <w:r>
        <w:rPr>
          <w:rFonts w:ascii="Arial" w:eastAsia="Calibri" w:hAnsi="Arial" w:cs="Times New Roman"/>
          <w:b/>
          <w:sz w:val="24"/>
        </w:rPr>
        <w:tab/>
      </w:r>
      <w:r>
        <w:rPr>
          <w:rFonts w:ascii="Arial" w:eastAsia="Calibri" w:hAnsi="Arial" w:cs="Times New Roman"/>
          <w:sz w:val="24"/>
        </w:rPr>
        <w:t xml:space="preserve">1348 (One </w:t>
      </w:r>
      <w:r w:rsidR="00DD003A" w:rsidRPr="00DD003A">
        <w:rPr>
          <w:rFonts w:ascii="Arial" w:eastAsia="Calibri" w:hAnsi="Arial" w:cs="Times New Roman"/>
          <w:sz w:val="24"/>
        </w:rPr>
        <w:t xml:space="preserve">Three </w:t>
      </w:r>
      <w:r>
        <w:rPr>
          <w:rFonts w:ascii="Arial" w:eastAsia="Calibri" w:hAnsi="Arial" w:cs="Times New Roman"/>
          <w:sz w:val="24"/>
        </w:rPr>
        <w:t xml:space="preserve">Four </w:t>
      </w:r>
      <w:r w:rsidR="00DD003A" w:rsidRPr="00DD003A">
        <w:rPr>
          <w:rFonts w:ascii="Arial" w:eastAsia="Calibri" w:hAnsi="Arial" w:cs="Times New Roman"/>
          <w:sz w:val="24"/>
        </w:rPr>
        <w:t>Eight) square metres</w:t>
      </w:r>
    </w:p>
    <w:p w14:paraId="5DF030C9" w14:textId="05806F47" w:rsidR="00DD003A" w:rsidRPr="00DD003A" w:rsidRDefault="00137BA8" w:rsidP="00137BA8">
      <w:pPr>
        <w:pStyle w:val="ListParagraph"/>
        <w:shd w:val="clear" w:color="auto" w:fill="FFFFFF"/>
        <w:tabs>
          <w:tab w:val="left" w:pos="720"/>
          <w:tab w:val="left" w:pos="1985"/>
        </w:tabs>
        <w:spacing w:after="0" w:line="480" w:lineRule="auto"/>
        <w:ind w:left="0"/>
        <w:jc w:val="both"/>
        <w:rPr>
          <w:rFonts w:ascii="Arial" w:eastAsia="Calibri" w:hAnsi="Arial" w:cs="Times New Roman"/>
          <w:b/>
          <w:sz w:val="24"/>
        </w:rPr>
      </w:pPr>
      <w:r>
        <w:rPr>
          <w:rFonts w:ascii="Arial" w:eastAsia="Calibri" w:hAnsi="Arial" w:cs="Times New Roman"/>
          <w:b/>
          <w:sz w:val="24"/>
        </w:rPr>
        <w:tab/>
      </w:r>
      <w:r w:rsidR="00DD003A" w:rsidRPr="00DD003A">
        <w:rPr>
          <w:rFonts w:ascii="Arial" w:eastAsia="Calibri" w:hAnsi="Arial" w:cs="Times New Roman"/>
          <w:b/>
          <w:sz w:val="24"/>
        </w:rPr>
        <w:t>HELD:</w:t>
      </w:r>
      <w:r w:rsidR="00DD003A" w:rsidRPr="00DD003A">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00DD003A" w:rsidRPr="00DD003A">
        <w:rPr>
          <w:rFonts w:ascii="Arial" w:eastAsia="Calibri" w:hAnsi="Arial" w:cs="Times New Roman"/>
          <w:sz w:val="24"/>
        </w:rPr>
        <w:t>By Deed of Transfer No. T4334/2004</w:t>
      </w:r>
    </w:p>
    <w:p w14:paraId="628C79B7" w14:textId="77777777" w:rsidR="00DD003A" w:rsidRPr="003E097E" w:rsidRDefault="00DD003A" w:rsidP="00FD4ECB">
      <w:pPr>
        <w:pStyle w:val="ListParagraph"/>
        <w:shd w:val="clear" w:color="auto" w:fill="FFFFFF"/>
        <w:spacing w:after="0" w:line="480" w:lineRule="auto"/>
        <w:ind w:left="0"/>
        <w:jc w:val="both"/>
        <w:rPr>
          <w:rFonts w:ascii="Arial" w:eastAsia="Calibri" w:hAnsi="Arial" w:cs="Times New Roman"/>
          <w:sz w:val="24"/>
          <w:lang w:val="en-ZA"/>
        </w:rPr>
      </w:pPr>
    </w:p>
    <w:p w14:paraId="4226547F" w14:textId="2004A497" w:rsidR="00CF0B72" w:rsidRPr="00CD1873" w:rsidRDefault="00CD1873" w:rsidP="00CD1873">
      <w:pPr>
        <w:shd w:val="clear" w:color="auto" w:fill="FFFFFF"/>
        <w:spacing w:after="0" w:line="480" w:lineRule="auto"/>
        <w:jc w:val="both"/>
        <w:rPr>
          <w:rFonts w:ascii="Arial" w:eastAsia="Calibri" w:hAnsi="Arial" w:cs="Times New Roman"/>
          <w:sz w:val="24"/>
          <w:lang w:val="en-ZA"/>
        </w:rPr>
      </w:pPr>
      <w:r w:rsidRPr="009379AA">
        <w:rPr>
          <w:rFonts w:ascii="Arial" w:eastAsia="Calibri" w:hAnsi="Arial" w:cs="Times New Roman"/>
          <w:sz w:val="24"/>
          <w:szCs w:val="24"/>
          <w:lang w:val="en-ZA"/>
        </w:rPr>
        <w:t>[7]</w:t>
      </w:r>
      <w:r w:rsidRPr="009379AA">
        <w:rPr>
          <w:rFonts w:ascii="Arial" w:eastAsia="Calibri" w:hAnsi="Arial" w:cs="Times New Roman"/>
          <w:sz w:val="24"/>
          <w:szCs w:val="24"/>
          <w:lang w:val="en-ZA"/>
        </w:rPr>
        <w:tab/>
      </w:r>
      <w:r w:rsidR="009C23CA" w:rsidRPr="00CD1873">
        <w:rPr>
          <w:rFonts w:ascii="Arial" w:eastAsia="Calibri" w:hAnsi="Arial" w:cs="Times New Roman"/>
          <w:sz w:val="24"/>
          <w:lang w:val="en-ZA"/>
        </w:rPr>
        <w:t xml:space="preserve">Subsequent to </w:t>
      </w:r>
      <w:r w:rsidR="000D60C1" w:rsidRPr="00CD1873">
        <w:rPr>
          <w:rFonts w:ascii="Arial" w:eastAsia="Calibri" w:hAnsi="Arial" w:cs="Times New Roman"/>
          <w:sz w:val="24"/>
          <w:lang w:val="en-ZA"/>
        </w:rPr>
        <w:t xml:space="preserve">the </w:t>
      </w:r>
      <w:r w:rsidR="00FD3971" w:rsidRPr="00CD1873">
        <w:rPr>
          <w:rFonts w:ascii="Arial" w:eastAsia="Calibri" w:hAnsi="Arial" w:cs="Times New Roman"/>
          <w:sz w:val="24"/>
          <w:lang w:val="en-ZA"/>
        </w:rPr>
        <w:t xml:space="preserve">grant of a default judgment by the </w:t>
      </w:r>
      <w:r w:rsidR="000D60C1" w:rsidRPr="00CD1873">
        <w:rPr>
          <w:rFonts w:ascii="Arial" w:eastAsia="Calibri" w:hAnsi="Arial" w:cs="Times New Roman"/>
          <w:sz w:val="24"/>
          <w:lang w:val="en-ZA"/>
        </w:rPr>
        <w:t xml:space="preserve">High Court </w:t>
      </w:r>
      <w:r w:rsidR="000D60C1" w:rsidRPr="00CD1873">
        <w:rPr>
          <w:rFonts w:ascii="Arial" w:eastAsia="Calibri" w:hAnsi="Arial" w:cs="Times New Roman"/>
          <w:sz w:val="24"/>
        </w:rPr>
        <w:t>against Hendri</w:t>
      </w:r>
      <w:r w:rsidR="00FD3971" w:rsidRPr="00CD1873">
        <w:rPr>
          <w:rFonts w:ascii="Arial" w:eastAsia="Calibri" w:hAnsi="Arial" w:cs="Times New Roman"/>
          <w:sz w:val="24"/>
        </w:rPr>
        <w:t>c</w:t>
      </w:r>
      <w:r w:rsidR="000D60C1" w:rsidRPr="00CD1873">
        <w:rPr>
          <w:rFonts w:ascii="Arial" w:eastAsia="Calibri" w:hAnsi="Arial" w:cs="Times New Roman"/>
          <w:sz w:val="24"/>
        </w:rPr>
        <w:t>ks CC</w:t>
      </w:r>
      <w:r w:rsidR="000D60C1" w:rsidRPr="00CD1873">
        <w:rPr>
          <w:rFonts w:ascii="Arial" w:eastAsia="Calibri" w:hAnsi="Arial" w:cs="Times New Roman"/>
          <w:sz w:val="24"/>
          <w:lang w:val="en-ZA"/>
        </w:rPr>
        <w:t xml:space="preserve"> and the </w:t>
      </w:r>
      <w:r w:rsidR="00FD3971" w:rsidRPr="00CD1873">
        <w:rPr>
          <w:rFonts w:ascii="Arial" w:eastAsia="Calibri" w:hAnsi="Arial" w:cs="Times New Roman"/>
          <w:sz w:val="24"/>
          <w:lang w:val="en-ZA"/>
        </w:rPr>
        <w:t xml:space="preserve">issuance of a writ of execution by that court’s </w:t>
      </w:r>
      <w:r w:rsidR="00137BA8" w:rsidRPr="00CD1873">
        <w:rPr>
          <w:rFonts w:ascii="Arial" w:eastAsia="Calibri" w:hAnsi="Arial" w:cs="Times New Roman"/>
          <w:sz w:val="24"/>
          <w:lang w:val="en-ZA"/>
        </w:rPr>
        <w:t>r</w:t>
      </w:r>
      <w:r w:rsidR="009C23CA" w:rsidRPr="00CD1873">
        <w:rPr>
          <w:rFonts w:ascii="Arial" w:eastAsia="Calibri" w:hAnsi="Arial" w:cs="Times New Roman"/>
          <w:sz w:val="24"/>
          <w:lang w:val="en-ZA"/>
        </w:rPr>
        <w:t>egistrar</w:t>
      </w:r>
      <w:r w:rsidR="00210B8D" w:rsidRPr="00CD1873">
        <w:rPr>
          <w:rFonts w:ascii="Arial" w:eastAsia="Calibri" w:hAnsi="Arial" w:cs="Times New Roman"/>
          <w:sz w:val="24"/>
          <w:lang w:val="en-ZA"/>
        </w:rPr>
        <w:t>,</w:t>
      </w:r>
      <w:r w:rsidR="009C23CA" w:rsidRPr="00CD1873">
        <w:rPr>
          <w:rFonts w:ascii="Arial" w:eastAsia="Calibri" w:hAnsi="Arial" w:cs="Times New Roman"/>
          <w:sz w:val="24"/>
          <w:lang w:val="en-ZA"/>
        </w:rPr>
        <w:t xml:space="preserve"> the </w:t>
      </w:r>
      <w:r w:rsidR="00905E84" w:rsidRPr="00CD1873">
        <w:rPr>
          <w:rFonts w:ascii="Arial" w:eastAsia="Calibri" w:hAnsi="Arial" w:cs="Times New Roman"/>
          <w:sz w:val="24"/>
          <w:lang w:val="en-ZA"/>
        </w:rPr>
        <w:t>d</w:t>
      </w:r>
      <w:r w:rsidR="009C23CA" w:rsidRPr="00CD1873">
        <w:rPr>
          <w:rFonts w:ascii="Arial" w:eastAsia="Calibri" w:hAnsi="Arial" w:cs="Times New Roman"/>
          <w:sz w:val="24"/>
          <w:lang w:val="en-ZA"/>
        </w:rPr>
        <w:t>eputy</w:t>
      </w:r>
      <w:r w:rsidR="00137BA8" w:rsidRPr="00CD1873">
        <w:rPr>
          <w:rFonts w:ascii="Arial" w:eastAsia="Calibri" w:hAnsi="Arial" w:cs="Times New Roman"/>
          <w:sz w:val="24"/>
          <w:lang w:val="en-ZA"/>
        </w:rPr>
        <w:t>-</w:t>
      </w:r>
      <w:r w:rsidR="00905E84" w:rsidRPr="00CD1873">
        <w:rPr>
          <w:rFonts w:ascii="Arial" w:eastAsia="Calibri" w:hAnsi="Arial" w:cs="Times New Roman"/>
          <w:sz w:val="24"/>
          <w:lang w:val="en-ZA"/>
        </w:rPr>
        <w:t>s</w:t>
      </w:r>
      <w:r w:rsidR="009C23CA" w:rsidRPr="00CD1873">
        <w:rPr>
          <w:rFonts w:ascii="Arial" w:eastAsia="Calibri" w:hAnsi="Arial" w:cs="Times New Roman"/>
          <w:sz w:val="24"/>
          <w:lang w:val="en-ZA"/>
        </w:rPr>
        <w:t xml:space="preserve">heriff attached the </w:t>
      </w:r>
      <w:r w:rsidR="00CF0B72" w:rsidRPr="00CD1873">
        <w:rPr>
          <w:rFonts w:ascii="Arial" w:eastAsia="Calibri" w:hAnsi="Arial" w:cs="Times New Roman"/>
          <w:sz w:val="24"/>
          <w:lang w:val="en-ZA"/>
        </w:rPr>
        <w:t xml:space="preserve">property </w:t>
      </w:r>
      <w:r w:rsidR="00210B8D" w:rsidRPr="00CD1873">
        <w:rPr>
          <w:rFonts w:ascii="Arial" w:eastAsia="Calibri" w:hAnsi="Arial" w:cs="Times New Roman"/>
          <w:sz w:val="24"/>
        </w:rPr>
        <w:t xml:space="preserve">and scheduled a </w:t>
      </w:r>
      <w:r w:rsidR="00CF0B72" w:rsidRPr="00CD1873">
        <w:rPr>
          <w:rFonts w:ascii="Arial" w:eastAsia="Calibri" w:hAnsi="Arial" w:cs="Times New Roman"/>
          <w:sz w:val="24"/>
        </w:rPr>
        <w:t>sale in execution by public auction for 11 September 2018.</w:t>
      </w:r>
    </w:p>
    <w:p w14:paraId="53845F02" w14:textId="77777777" w:rsidR="00CF0B72" w:rsidRDefault="00CF0B72" w:rsidP="00FD4ECB">
      <w:pPr>
        <w:pStyle w:val="ListParagraph"/>
        <w:shd w:val="clear" w:color="auto" w:fill="FFFFFF"/>
        <w:spacing w:after="0" w:line="480" w:lineRule="auto"/>
        <w:ind w:left="0"/>
        <w:jc w:val="both"/>
        <w:rPr>
          <w:rFonts w:ascii="Arial" w:eastAsia="Calibri" w:hAnsi="Arial" w:cs="Times New Roman"/>
          <w:sz w:val="24"/>
          <w:lang w:val="en-ZA"/>
        </w:rPr>
      </w:pPr>
    </w:p>
    <w:p w14:paraId="183DA586" w14:textId="390A65B0" w:rsidR="009379AA"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[8]</w:t>
      </w:r>
      <w:r>
        <w:rPr>
          <w:rFonts w:ascii="Arial" w:eastAsia="Calibri" w:hAnsi="Arial" w:cs="Times New Roman"/>
          <w:sz w:val="24"/>
          <w:szCs w:val="24"/>
          <w:lang w:val="en-ZA"/>
        </w:rPr>
        <w:tab/>
      </w:r>
      <w:r w:rsidR="009379AA" w:rsidRPr="00CD1873">
        <w:rPr>
          <w:rFonts w:ascii="Arial" w:eastAsia="Calibri" w:hAnsi="Arial" w:cs="Times New Roman"/>
          <w:sz w:val="24"/>
          <w:lang w:val="en-ZA"/>
        </w:rPr>
        <w:t>The sale in execution took place as scheduled on 11 September 2018. The events leading to the sale in execution and the events that occurred on 11 September 2018 shortly before the sale in execution</w:t>
      </w:r>
      <w:r w:rsidR="00210B8D"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are what has led to this appeal</w:t>
      </w:r>
      <w:r w:rsidR="001C508E" w:rsidRPr="00CD1873">
        <w:rPr>
          <w:rFonts w:ascii="Arial" w:eastAsia="Calibri" w:hAnsi="Arial" w:cs="Times New Roman"/>
          <w:sz w:val="24"/>
          <w:lang w:val="en-ZA"/>
        </w:rPr>
        <w:t>. T</w:t>
      </w:r>
      <w:r w:rsidR="009379AA" w:rsidRPr="00CD1873">
        <w:rPr>
          <w:rFonts w:ascii="Arial" w:eastAsia="Calibri" w:hAnsi="Arial" w:cs="Times New Roman"/>
          <w:sz w:val="24"/>
          <w:lang w:val="en-ZA"/>
        </w:rPr>
        <w:t>hose events are:</w:t>
      </w:r>
    </w:p>
    <w:p w14:paraId="4B058FB9" w14:textId="77777777" w:rsidR="00905E84" w:rsidRPr="00905E84" w:rsidRDefault="00905E84" w:rsidP="00905E84">
      <w:pPr>
        <w:pStyle w:val="ListParagraph"/>
        <w:rPr>
          <w:rFonts w:ascii="Arial" w:eastAsia="Calibri" w:hAnsi="Arial" w:cs="Times New Roman"/>
          <w:sz w:val="24"/>
          <w:lang w:val="en-ZA"/>
        </w:rPr>
      </w:pPr>
    </w:p>
    <w:p w14:paraId="1003B856" w14:textId="091A5D37" w:rsidR="009379AA" w:rsidRPr="00CD1873" w:rsidRDefault="00CD1873" w:rsidP="00CD1873">
      <w:pPr>
        <w:shd w:val="clear" w:color="auto" w:fill="FFFFFF"/>
        <w:spacing w:after="0" w:line="480" w:lineRule="auto"/>
        <w:ind w:left="1440" w:hanging="720"/>
        <w:jc w:val="both"/>
        <w:rPr>
          <w:rFonts w:ascii="Arial" w:eastAsia="Calibri" w:hAnsi="Arial" w:cs="Times New Roman"/>
          <w:sz w:val="24"/>
          <w:lang w:val="en-ZA"/>
        </w:rPr>
      </w:pPr>
      <w:r w:rsidRPr="008920FD">
        <w:rPr>
          <w:rFonts w:ascii="Arial" w:eastAsia="Calibri" w:hAnsi="Arial" w:cs="Times New Roman"/>
          <w:sz w:val="24"/>
          <w:lang w:val="en-ZA"/>
        </w:rPr>
        <w:t>(a)</w:t>
      </w:r>
      <w:r w:rsidRPr="008920FD">
        <w:rPr>
          <w:rFonts w:ascii="Arial" w:eastAsia="Calibri" w:hAnsi="Arial" w:cs="Times New Roman"/>
          <w:sz w:val="24"/>
          <w:lang w:val="en-ZA"/>
        </w:rPr>
        <w:tab/>
      </w:r>
      <w:r w:rsidR="009379AA" w:rsidRPr="00CD1873">
        <w:rPr>
          <w:rFonts w:ascii="Arial" w:eastAsia="Calibri" w:hAnsi="Arial" w:cs="Times New Roman"/>
          <w:sz w:val="24"/>
          <w:lang w:val="en-ZA"/>
        </w:rPr>
        <w:t>Upon attaching the property</w:t>
      </w:r>
      <w:r w:rsidR="009379AA" w:rsidRPr="00CD1873">
        <w:rPr>
          <w:rFonts w:ascii="Arial" w:eastAsia="Calibri" w:hAnsi="Arial" w:cs="Times New Roman"/>
          <w:sz w:val="24"/>
        </w:rPr>
        <w:t xml:space="preserve">, the </w:t>
      </w:r>
      <w:r w:rsidR="00AC21A0" w:rsidRPr="00CD1873">
        <w:rPr>
          <w:rFonts w:ascii="Arial" w:eastAsia="Calibri" w:hAnsi="Arial" w:cs="Times New Roman"/>
          <w:sz w:val="24"/>
        </w:rPr>
        <w:t>Deputy-sheriff</w:t>
      </w:r>
      <w:r w:rsidR="009379AA" w:rsidRPr="00CD1873">
        <w:rPr>
          <w:rFonts w:ascii="Arial" w:eastAsia="Calibri" w:hAnsi="Arial" w:cs="Times New Roman"/>
          <w:sz w:val="24"/>
        </w:rPr>
        <w:t xml:space="preserve"> informed the </w:t>
      </w:r>
      <w:r w:rsidR="00A77DC8" w:rsidRPr="00CD1873">
        <w:rPr>
          <w:rFonts w:ascii="Arial" w:eastAsia="Calibri" w:hAnsi="Arial" w:cs="Times New Roman"/>
          <w:sz w:val="24"/>
        </w:rPr>
        <w:t>mortgagees in respect of the property</w:t>
      </w:r>
      <w:r w:rsidR="009379AA" w:rsidRPr="00CD1873">
        <w:rPr>
          <w:rFonts w:ascii="Arial" w:eastAsia="Calibri" w:hAnsi="Arial" w:cs="Times New Roman"/>
          <w:sz w:val="24"/>
        </w:rPr>
        <w:t>, except FNB</w:t>
      </w:r>
      <w:r w:rsidR="00321D44" w:rsidRPr="00CD1873">
        <w:rPr>
          <w:rFonts w:ascii="Arial" w:eastAsia="Calibri" w:hAnsi="Arial" w:cs="Times New Roman"/>
          <w:sz w:val="24"/>
        </w:rPr>
        <w:t>,</w:t>
      </w:r>
      <w:r w:rsidR="009379AA" w:rsidRPr="00CD1873">
        <w:rPr>
          <w:rFonts w:ascii="Arial" w:eastAsia="Calibri" w:hAnsi="Arial" w:cs="Times New Roman"/>
          <w:sz w:val="24"/>
        </w:rPr>
        <w:t xml:space="preserve"> about the attachment and</w:t>
      </w:r>
      <w:r w:rsidR="00321D44" w:rsidRPr="00CD1873">
        <w:rPr>
          <w:rFonts w:ascii="Arial" w:eastAsia="Calibri" w:hAnsi="Arial" w:cs="Times New Roman"/>
          <w:sz w:val="24"/>
        </w:rPr>
        <w:t xml:space="preserve"> </w:t>
      </w:r>
      <w:r w:rsidR="00137BA8" w:rsidRPr="00CD1873">
        <w:rPr>
          <w:rFonts w:ascii="Arial" w:eastAsia="Calibri" w:hAnsi="Arial" w:cs="Times New Roman"/>
          <w:sz w:val="24"/>
        </w:rPr>
        <w:t xml:space="preserve">the </w:t>
      </w:r>
      <w:r w:rsidR="009379AA" w:rsidRPr="00CD1873">
        <w:rPr>
          <w:rFonts w:ascii="Arial" w:eastAsia="Calibri" w:hAnsi="Arial" w:cs="Times New Roman"/>
          <w:sz w:val="24"/>
        </w:rPr>
        <w:t>intended sale in execution of the property.</w:t>
      </w:r>
    </w:p>
    <w:p w14:paraId="79C3669F" w14:textId="77777777" w:rsidR="009379AA" w:rsidRPr="008920FD" w:rsidRDefault="009379AA" w:rsidP="00137BA8">
      <w:pPr>
        <w:pStyle w:val="ListParagraph"/>
        <w:shd w:val="clear" w:color="auto" w:fill="FFFFFF"/>
        <w:spacing w:after="0" w:line="480" w:lineRule="auto"/>
        <w:ind w:left="1440" w:hanging="720"/>
        <w:jc w:val="both"/>
        <w:rPr>
          <w:rFonts w:ascii="Arial" w:eastAsia="Calibri" w:hAnsi="Arial" w:cs="Times New Roman"/>
          <w:sz w:val="24"/>
          <w:lang w:val="en-ZA"/>
        </w:rPr>
      </w:pPr>
    </w:p>
    <w:p w14:paraId="5844E87B" w14:textId="471AD971" w:rsidR="009379AA" w:rsidRPr="00CD1873" w:rsidRDefault="00CD1873" w:rsidP="00CD1873">
      <w:pPr>
        <w:shd w:val="clear" w:color="auto" w:fill="FFFFFF"/>
        <w:spacing w:after="0" w:line="480" w:lineRule="auto"/>
        <w:ind w:left="1440" w:hanging="720"/>
        <w:jc w:val="both"/>
        <w:rPr>
          <w:rFonts w:ascii="Arial" w:eastAsia="Calibri" w:hAnsi="Arial" w:cs="Times New Roman"/>
          <w:sz w:val="24"/>
          <w:lang w:val="en-ZA"/>
        </w:rPr>
      </w:pPr>
      <w:r w:rsidRPr="00884091">
        <w:rPr>
          <w:rFonts w:ascii="Arial" w:eastAsia="Calibri" w:hAnsi="Arial" w:cs="Times New Roman"/>
          <w:sz w:val="24"/>
          <w:lang w:val="en-ZA"/>
        </w:rPr>
        <w:t>(b)</w:t>
      </w:r>
      <w:r w:rsidRPr="00884091">
        <w:rPr>
          <w:rFonts w:ascii="Arial" w:eastAsia="Calibri" w:hAnsi="Arial" w:cs="Times New Roman"/>
          <w:sz w:val="24"/>
          <w:lang w:val="en-ZA"/>
        </w:rPr>
        <w:tab/>
      </w:r>
      <w:r w:rsidR="009379AA" w:rsidRPr="00CD1873">
        <w:rPr>
          <w:rFonts w:ascii="Arial" w:eastAsia="Calibri" w:hAnsi="Arial" w:cs="Times New Roman"/>
          <w:sz w:val="24"/>
          <w:lang w:val="en-ZA"/>
        </w:rPr>
        <w:t xml:space="preserve">On a date which the </w:t>
      </w:r>
      <w:r w:rsidR="00AC21A0" w:rsidRPr="00CD1873">
        <w:rPr>
          <w:rFonts w:ascii="Arial" w:eastAsia="Calibri" w:hAnsi="Arial" w:cs="Times New Roman"/>
          <w:sz w:val="24"/>
          <w:lang w:val="en-ZA"/>
        </w:rPr>
        <w:t>Deputy-sheriff</w:t>
      </w:r>
      <w:r w:rsidR="009379AA" w:rsidRPr="00CD1873">
        <w:rPr>
          <w:rFonts w:ascii="Arial" w:eastAsia="Calibri" w:hAnsi="Arial" w:cs="Times New Roman"/>
          <w:sz w:val="24"/>
          <w:lang w:val="en-ZA"/>
        </w:rPr>
        <w:t xml:space="preserve"> has not disclosed, he received instruction</w:t>
      </w:r>
      <w:r w:rsidR="001C508E" w:rsidRPr="00CD1873">
        <w:rPr>
          <w:rFonts w:ascii="Arial" w:eastAsia="Calibri" w:hAnsi="Arial" w:cs="Times New Roman"/>
          <w:sz w:val="24"/>
          <w:lang w:val="en-ZA"/>
        </w:rPr>
        <w:t>s</w:t>
      </w:r>
      <w:r w:rsidR="009379AA" w:rsidRPr="00CD1873">
        <w:rPr>
          <w:rFonts w:ascii="Arial" w:eastAsia="Calibri" w:hAnsi="Arial" w:cs="Times New Roman"/>
          <w:sz w:val="24"/>
          <w:lang w:val="en-ZA"/>
        </w:rPr>
        <w:t xml:space="preserve"> from</w:t>
      </w:r>
      <w:r w:rsidR="009379AA" w:rsidRPr="00CD1873">
        <w:rPr>
          <w:rFonts w:ascii="Arial" w:hAnsi="Arial" w:cs="Arial"/>
          <w:b/>
          <w:sz w:val="24"/>
          <w:szCs w:val="24"/>
        </w:rPr>
        <w:t xml:space="preserve"> </w:t>
      </w:r>
      <w:r w:rsidR="009379AA" w:rsidRPr="00CD1873">
        <w:rPr>
          <w:rFonts w:ascii="Arial" w:hAnsi="Arial" w:cs="Arial"/>
          <w:sz w:val="24"/>
          <w:szCs w:val="24"/>
        </w:rPr>
        <w:t>Etzold-Duvenhage</w:t>
      </w:r>
      <w:r w:rsidR="00A77DC8" w:rsidRPr="00CD1873">
        <w:rPr>
          <w:rFonts w:ascii="Arial" w:hAnsi="Arial" w:cs="Arial"/>
          <w:sz w:val="24"/>
          <w:szCs w:val="24"/>
        </w:rPr>
        <w:t xml:space="preserve"> (who, a</w:t>
      </w:r>
      <w:r w:rsidR="009379AA" w:rsidRPr="00CD1873">
        <w:rPr>
          <w:rFonts w:ascii="Arial" w:hAnsi="Arial" w:cs="Arial"/>
          <w:sz w:val="24"/>
          <w:szCs w:val="24"/>
        </w:rPr>
        <w:t>t that time</w:t>
      </w:r>
      <w:r w:rsidR="00A77DC8" w:rsidRPr="00CD1873">
        <w:rPr>
          <w:rFonts w:ascii="Arial" w:hAnsi="Arial" w:cs="Arial"/>
          <w:sz w:val="24"/>
          <w:szCs w:val="24"/>
        </w:rPr>
        <w:t>, were</w:t>
      </w:r>
      <w:r w:rsidR="009379AA" w:rsidRPr="00CD1873">
        <w:rPr>
          <w:rFonts w:ascii="Arial" w:hAnsi="Arial" w:cs="Arial"/>
          <w:sz w:val="24"/>
          <w:szCs w:val="24"/>
        </w:rPr>
        <w:t xml:space="preserve"> the legal practitioners acting on behalf of </w:t>
      </w:r>
      <w:r w:rsidR="009379AA" w:rsidRPr="00CD1873">
        <w:rPr>
          <w:rFonts w:ascii="Arial" w:eastAsia="Calibri" w:hAnsi="Arial" w:cs="Times New Roman"/>
          <w:sz w:val="24"/>
        </w:rPr>
        <w:t>Old Mutual Life</w:t>
      </w:r>
      <w:r w:rsidR="00A77DC8" w:rsidRPr="00CD1873">
        <w:rPr>
          <w:rFonts w:ascii="Arial" w:eastAsia="Calibri" w:hAnsi="Arial" w:cs="Times New Roman"/>
          <w:sz w:val="24"/>
        </w:rPr>
        <w:t>)</w:t>
      </w:r>
      <w:r w:rsidR="009379AA" w:rsidRPr="00CD1873">
        <w:rPr>
          <w:rFonts w:ascii="Arial" w:eastAsia="Calibri" w:hAnsi="Arial" w:cs="Times New Roman"/>
          <w:sz w:val="24"/>
        </w:rPr>
        <w:t xml:space="preserve"> to sell the property in execution by way of a public auction.</w:t>
      </w:r>
    </w:p>
    <w:p w14:paraId="6697A74C" w14:textId="77777777" w:rsidR="009379AA" w:rsidRPr="001C508E" w:rsidRDefault="009379AA" w:rsidP="00137BA8">
      <w:pPr>
        <w:pStyle w:val="ListParagraph"/>
        <w:spacing w:after="0" w:line="480" w:lineRule="auto"/>
        <w:ind w:left="1440" w:hanging="720"/>
        <w:jc w:val="both"/>
        <w:rPr>
          <w:rFonts w:ascii="Arial" w:eastAsia="Calibri" w:hAnsi="Arial" w:cs="Times New Roman"/>
          <w:sz w:val="24"/>
        </w:rPr>
      </w:pPr>
    </w:p>
    <w:p w14:paraId="62FA0F09" w14:textId="6A6F2C8D" w:rsidR="009379AA" w:rsidRPr="00CD1873" w:rsidRDefault="00CD1873" w:rsidP="00CD1873">
      <w:pPr>
        <w:shd w:val="clear" w:color="auto" w:fill="FFFFFF"/>
        <w:spacing w:after="0" w:line="480" w:lineRule="auto"/>
        <w:ind w:left="1440" w:hanging="720"/>
        <w:jc w:val="both"/>
        <w:rPr>
          <w:rFonts w:ascii="Arial" w:eastAsia="Calibri" w:hAnsi="Arial" w:cs="Times New Roman"/>
          <w:sz w:val="24"/>
          <w:lang w:val="en-ZA"/>
        </w:rPr>
      </w:pPr>
      <w:r>
        <w:rPr>
          <w:rFonts w:ascii="Arial" w:eastAsia="Calibri" w:hAnsi="Arial" w:cs="Times New Roman"/>
          <w:sz w:val="24"/>
          <w:lang w:val="en-ZA"/>
        </w:rPr>
        <w:t>(c)</w:t>
      </w:r>
      <w:r>
        <w:rPr>
          <w:rFonts w:ascii="Arial" w:eastAsia="Calibri" w:hAnsi="Arial" w:cs="Times New Roman"/>
          <w:sz w:val="24"/>
          <w:lang w:val="en-ZA"/>
        </w:rPr>
        <w:tab/>
      </w:r>
      <w:r w:rsidR="009379AA" w:rsidRPr="00CD1873">
        <w:rPr>
          <w:rFonts w:ascii="Arial" w:eastAsia="Calibri" w:hAnsi="Arial" w:cs="Times New Roman"/>
          <w:sz w:val="24"/>
        </w:rPr>
        <w:t>The instruction</w:t>
      </w:r>
      <w:r w:rsidR="00FD3971" w:rsidRPr="00CD1873">
        <w:rPr>
          <w:rFonts w:ascii="Arial" w:eastAsia="Calibri" w:hAnsi="Arial" w:cs="Times New Roman"/>
          <w:sz w:val="24"/>
        </w:rPr>
        <w:t>s</w:t>
      </w:r>
      <w:r w:rsidR="009379AA" w:rsidRPr="00CD1873">
        <w:rPr>
          <w:rFonts w:ascii="Arial" w:eastAsia="Calibri" w:hAnsi="Arial" w:cs="Times New Roman"/>
          <w:sz w:val="24"/>
        </w:rPr>
        <w:t xml:space="preserve"> to sell the </w:t>
      </w:r>
      <w:r w:rsidR="009379AA" w:rsidRPr="00CD1873">
        <w:rPr>
          <w:rFonts w:ascii="Arial" w:eastAsia="Calibri" w:hAnsi="Arial" w:cs="Times New Roman"/>
          <w:sz w:val="24"/>
          <w:lang w:val="en-ZA"/>
        </w:rPr>
        <w:t>property</w:t>
      </w:r>
      <w:r w:rsidR="00F91081" w:rsidRPr="00CD1873">
        <w:rPr>
          <w:rFonts w:ascii="Arial" w:eastAsia="Calibri" w:hAnsi="Arial" w:cs="Times New Roman"/>
          <w:sz w:val="24"/>
          <w:lang w:val="en-ZA"/>
        </w:rPr>
        <w:t xml:space="preserve"> were accompanied by the ‘</w:t>
      </w:r>
      <w:r w:rsidR="009379AA" w:rsidRPr="00CD1873">
        <w:rPr>
          <w:rFonts w:ascii="Arial" w:eastAsia="Calibri" w:hAnsi="Arial" w:cs="Times New Roman"/>
          <w:sz w:val="24"/>
          <w:lang w:val="en-ZA"/>
        </w:rPr>
        <w:t>Conditions of Sale in Execution of Immovable Property</w:t>
      </w:r>
      <w:r w:rsidR="00FD3971" w:rsidRPr="00CD1873">
        <w:rPr>
          <w:rFonts w:ascii="Arial" w:eastAsia="Calibri" w:hAnsi="Arial" w:cs="Times New Roman"/>
          <w:sz w:val="24"/>
          <w:lang w:val="en-ZA"/>
        </w:rPr>
        <w:t>’</w:t>
      </w:r>
      <w:r w:rsidR="009379AA" w:rsidRPr="00CD1873">
        <w:rPr>
          <w:rFonts w:ascii="Arial" w:eastAsia="Calibri" w:hAnsi="Arial" w:cs="Times New Roman"/>
          <w:sz w:val="24"/>
          <w:lang w:val="en-ZA"/>
        </w:rPr>
        <w:t>. In the conditions of sale</w:t>
      </w:r>
      <w:r w:rsidR="00F91081"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the plaintiff/judgment creditor was </w:t>
      </w:r>
      <w:r w:rsidR="00A77DC8" w:rsidRPr="00CD1873">
        <w:rPr>
          <w:rFonts w:ascii="Arial" w:eastAsia="Calibri" w:hAnsi="Arial" w:cs="Times New Roman"/>
          <w:sz w:val="24"/>
          <w:lang w:val="en-ZA"/>
        </w:rPr>
        <w:t xml:space="preserve">erroneously </w:t>
      </w:r>
      <w:r w:rsidR="00F91081" w:rsidRPr="00CD1873">
        <w:rPr>
          <w:rFonts w:ascii="Arial" w:eastAsia="Calibri" w:hAnsi="Arial" w:cs="Times New Roman"/>
          <w:sz w:val="24"/>
          <w:lang w:val="en-ZA"/>
        </w:rPr>
        <w:t>described as ‘</w:t>
      </w:r>
      <w:r w:rsidR="009379AA" w:rsidRPr="00CD1873">
        <w:rPr>
          <w:rFonts w:ascii="Arial" w:eastAsia="Calibri" w:hAnsi="Arial" w:cs="Times New Roman"/>
          <w:sz w:val="24"/>
          <w:lang w:val="en-ZA"/>
        </w:rPr>
        <w:t>Old Mutual Holdings (Pty) Ltd</w:t>
      </w:r>
      <w:r w:rsidR="00137BA8" w:rsidRPr="00CD1873">
        <w:rPr>
          <w:rFonts w:ascii="Arial" w:eastAsia="Calibri" w:hAnsi="Arial" w:cs="Times New Roman"/>
          <w:sz w:val="24"/>
          <w:lang w:val="en-ZA"/>
        </w:rPr>
        <w:t>’</w:t>
      </w:r>
      <w:r w:rsidR="00A77DC8" w:rsidRPr="00CD1873">
        <w:rPr>
          <w:rFonts w:ascii="Arial" w:eastAsia="Calibri" w:hAnsi="Arial" w:cs="Times New Roman"/>
          <w:sz w:val="24"/>
          <w:lang w:val="en-ZA"/>
        </w:rPr>
        <w:t>.</w:t>
      </w:r>
    </w:p>
    <w:p w14:paraId="2E1FB2D9" w14:textId="77777777" w:rsidR="00321D44" w:rsidRPr="00321D44" w:rsidRDefault="00321D44" w:rsidP="00137BA8">
      <w:pPr>
        <w:pStyle w:val="ListParagraph"/>
        <w:spacing w:after="0" w:line="480" w:lineRule="auto"/>
        <w:ind w:left="1440" w:hanging="720"/>
        <w:jc w:val="both"/>
        <w:rPr>
          <w:rFonts w:ascii="Arial" w:eastAsia="Calibri" w:hAnsi="Arial" w:cs="Times New Roman"/>
          <w:sz w:val="24"/>
          <w:lang w:val="en-ZA"/>
        </w:rPr>
      </w:pPr>
    </w:p>
    <w:p w14:paraId="111CFBDD" w14:textId="0DC7EC7E" w:rsidR="009379AA" w:rsidRPr="00CD1873" w:rsidRDefault="00CD1873" w:rsidP="00CD1873">
      <w:pPr>
        <w:shd w:val="clear" w:color="auto" w:fill="FFFFFF"/>
        <w:spacing w:after="0" w:line="480" w:lineRule="auto"/>
        <w:ind w:left="1440" w:hanging="720"/>
        <w:jc w:val="both"/>
        <w:rPr>
          <w:rFonts w:ascii="Arial" w:eastAsia="Calibri" w:hAnsi="Arial" w:cs="Times New Roman"/>
          <w:sz w:val="24"/>
          <w:lang w:val="en-ZA"/>
        </w:rPr>
      </w:pPr>
      <w:r>
        <w:rPr>
          <w:rFonts w:ascii="Arial" w:eastAsia="Calibri" w:hAnsi="Arial" w:cs="Times New Roman"/>
          <w:sz w:val="24"/>
          <w:lang w:val="en-ZA"/>
        </w:rPr>
        <w:lastRenderedPageBreak/>
        <w:t>(d)</w:t>
      </w:r>
      <w:r>
        <w:rPr>
          <w:rFonts w:ascii="Arial" w:eastAsia="Calibri" w:hAnsi="Arial" w:cs="Times New Roman"/>
          <w:sz w:val="24"/>
          <w:lang w:val="en-ZA"/>
        </w:rPr>
        <w:tab/>
      </w:r>
      <w:r w:rsidR="009379AA" w:rsidRPr="00CD1873">
        <w:rPr>
          <w:rFonts w:ascii="Arial" w:eastAsia="Calibri" w:hAnsi="Arial" w:cs="Times New Roman"/>
          <w:sz w:val="24"/>
          <w:lang w:val="en-ZA"/>
        </w:rPr>
        <w:t>On 11 September 2018 at around 10h00, shortly before the public auction commenced</w:t>
      </w:r>
      <w:r w:rsidR="00F91081"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two representatives of Old Mutual Life approached the </w:t>
      </w:r>
      <w:r w:rsidR="009611C0" w:rsidRPr="00CD1873">
        <w:rPr>
          <w:rFonts w:ascii="Arial" w:eastAsia="Calibri" w:hAnsi="Arial" w:cs="Times New Roman"/>
          <w:sz w:val="24"/>
          <w:lang w:val="en-ZA"/>
        </w:rPr>
        <w:t>d</w:t>
      </w:r>
      <w:r w:rsidR="00AC21A0" w:rsidRPr="00CD1873">
        <w:rPr>
          <w:rFonts w:ascii="Arial" w:eastAsia="Calibri" w:hAnsi="Arial" w:cs="Times New Roman"/>
          <w:sz w:val="24"/>
          <w:lang w:val="en-ZA"/>
        </w:rPr>
        <w:t>eputy-sheriff</w:t>
      </w:r>
      <w:r w:rsidR="009379AA" w:rsidRPr="00CD1873">
        <w:rPr>
          <w:rFonts w:ascii="Arial" w:eastAsia="Calibri" w:hAnsi="Arial" w:cs="Times New Roman"/>
          <w:sz w:val="24"/>
          <w:lang w:val="en-ZA"/>
        </w:rPr>
        <w:t xml:space="preserve"> and enquired from him whether the property w</w:t>
      </w:r>
      <w:r w:rsidR="00321D44" w:rsidRPr="00CD1873">
        <w:rPr>
          <w:rFonts w:ascii="Arial" w:eastAsia="Calibri" w:hAnsi="Arial" w:cs="Times New Roman"/>
          <w:sz w:val="24"/>
          <w:lang w:val="en-ZA"/>
        </w:rPr>
        <w:t>ould</w:t>
      </w:r>
      <w:r w:rsidR="009379AA" w:rsidRPr="00CD1873">
        <w:rPr>
          <w:rFonts w:ascii="Arial" w:eastAsia="Calibri" w:hAnsi="Arial" w:cs="Times New Roman"/>
          <w:sz w:val="24"/>
          <w:lang w:val="en-ZA"/>
        </w:rPr>
        <w:t xml:space="preserve"> be sold with a reserve price or not. The exact con</w:t>
      </w:r>
      <w:r w:rsidR="00137BA8" w:rsidRPr="00CD1873">
        <w:rPr>
          <w:rFonts w:ascii="Arial" w:eastAsia="Calibri" w:hAnsi="Arial" w:cs="Times New Roman"/>
          <w:sz w:val="24"/>
          <w:lang w:val="en-ZA"/>
        </w:rPr>
        <w:t xml:space="preserve">tent of the reply by the </w:t>
      </w:r>
      <w:r w:rsidR="009611C0" w:rsidRPr="00CD1873">
        <w:rPr>
          <w:rFonts w:ascii="Arial" w:eastAsia="Calibri" w:hAnsi="Arial" w:cs="Times New Roman"/>
          <w:sz w:val="24"/>
          <w:lang w:val="en-ZA"/>
        </w:rPr>
        <w:t>d</w:t>
      </w:r>
      <w:r w:rsidR="00137BA8" w:rsidRPr="00CD1873">
        <w:rPr>
          <w:rFonts w:ascii="Arial" w:eastAsia="Calibri" w:hAnsi="Arial" w:cs="Times New Roman"/>
          <w:sz w:val="24"/>
          <w:lang w:val="en-ZA"/>
        </w:rPr>
        <w:t>eputy-</w:t>
      </w:r>
      <w:r w:rsidR="009611C0" w:rsidRPr="00CD1873">
        <w:rPr>
          <w:rFonts w:ascii="Arial" w:eastAsia="Calibri" w:hAnsi="Arial" w:cs="Times New Roman"/>
          <w:sz w:val="24"/>
          <w:lang w:val="en-ZA"/>
        </w:rPr>
        <w:t>s</w:t>
      </w:r>
      <w:r w:rsidR="009379AA" w:rsidRPr="00CD1873">
        <w:rPr>
          <w:rFonts w:ascii="Arial" w:eastAsia="Calibri" w:hAnsi="Arial" w:cs="Times New Roman"/>
          <w:sz w:val="24"/>
          <w:lang w:val="en-ZA"/>
        </w:rPr>
        <w:t xml:space="preserve">heriff is in dispute, but the representatives of Old Mutual Life allege that after the </w:t>
      </w:r>
      <w:r w:rsidR="009611C0" w:rsidRPr="00CD1873">
        <w:rPr>
          <w:rFonts w:ascii="Arial" w:eastAsia="Calibri" w:hAnsi="Arial" w:cs="Times New Roman"/>
          <w:sz w:val="24"/>
          <w:lang w:val="en-ZA"/>
        </w:rPr>
        <w:t>deputy-s</w:t>
      </w:r>
      <w:r w:rsidR="009379AA" w:rsidRPr="00CD1873">
        <w:rPr>
          <w:rFonts w:ascii="Arial" w:eastAsia="Calibri" w:hAnsi="Arial" w:cs="Times New Roman"/>
          <w:sz w:val="24"/>
          <w:lang w:val="en-ZA"/>
        </w:rPr>
        <w:t>heriff confirmed that the sale in execution w</w:t>
      </w:r>
      <w:r w:rsidR="00321D44" w:rsidRPr="00CD1873">
        <w:rPr>
          <w:rFonts w:ascii="Arial" w:eastAsia="Calibri" w:hAnsi="Arial" w:cs="Times New Roman"/>
          <w:sz w:val="24"/>
          <w:lang w:val="en-ZA"/>
        </w:rPr>
        <w:t>ould</w:t>
      </w:r>
      <w:r w:rsidR="009379AA" w:rsidRPr="00CD1873">
        <w:rPr>
          <w:rFonts w:ascii="Arial" w:eastAsia="Calibri" w:hAnsi="Arial" w:cs="Times New Roman"/>
          <w:sz w:val="24"/>
          <w:lang w:val="en-ZA"/>
        </w:rPr>
        <w:t xml:space="preserve"> take place without a reserve price</w:t>
      </w:r>
      <w:r w:rsidR="003F3DC7" w:rsidRPr="00CD1873">
        <w:rPr>
          <w:rFonts w:ascii="Arial" w:eastAsia="Calibri" w:hAnsi="Arial" w:cs="Times New Roman"/>
          <w:sz w:val="24"/>
          <w:lang w:val="en-ZA"/>
        </w:rPr>
        <w:t>,</w:t>
      </w:r>
      <w:r w:rsidR="00F91081" w:rsidRPr="00CD1873">
        <w:rPr>
          <w:rFonts w:ascii="Arial" w:eastAsia="Calibri" w:hAnsi="Arial" w:cs="Times New Roman"/>
          <w:sz w:val="24"/>
          <w:lang w:val="en-ZA"/>
        </w:rPr>
        <w:t xml:space="preserve"> </w:t>
      </w:r>
      <w:r w:rsidR="009379AA" w:rsidRPr="00CD1873">
        <w:rPr>
          <w:rFonts w:ascii="Arial" w:eastAsia="Calibri" w:hAnsi="Arial" w:cs="Times New Roman"/>
          <w:sz w:val="24"/>
          <w:lang w:val="en-ZA"/>
        </w:rPr>
        <w:t>they objected to the sale and requested that the sale in execution be cancelled. The representatives of Old Mutual Life fur</w:t>
      </w:r>
      <w:r w:rsidR="00137BA8" w:rsidRPr="00CD1873">
        <w:rPr>
          <w:rFonts w:ascii="Arial" w:eastAsia="Calibri" w:hAnsi="Arial" w:cs="Times New Roman"/>
          <w:sz w:val="24"/>
          <w:lang w:val="en-ZA"/>
        </w:rPr>
        <w:t xml:space="preserve">ther allege that the </w:t>
      </w:r>
      <w:r w:rsidR="009611C0" w:rsidRPr="00CD1873">
        <w:rPr>
          <w:rFonts w:ascii="Arial" w:eastAsia="Calibri" w:hAnsi="Arial" w:cs="Times New Roman"/>
          <w:sz w:val="24"/>
          <w:lang w:val="en-ZA"/>
        </w:rPr>
        <w:t>d</w:t>
      </w:r>
      <w:r w:rsidR="00137BA8" w:rsidRPr="00CD1873">
        <w:rPr>
          <w:rFonts w:ascii="Arial" w:eastAsia="Calibri" w:hAnsi="Arial" w:cs="Times New Roman"/>
          <w:sz w:val="24"/>
          <w:lang w:val="en-ZA"/>
        </w:rPr>
        <w:t>eputy-</w:t>
      </w:r>
      <w:r w:rsidR="009611C0" w:rsidRPr="00CD1873">
        <w:rPr>
          <w:rFonts w:ascii="Arial" w:eastAsia="Calibri" w:hAnsi="Arial" w:cs="Times New Roman"/>
          <w:sz w:val="24"/>
          <w:lang w:val="en-ZA"/>
        </w:rPr>
        <w:t>s</w:t>
      </w:r>
      <w:r w:rsidR="001C508E" w:rsidRPr="00CD1873">
        <w:rPr>
          <w:rFonts w:ascii="Arial" w:eastAsia="Calibri" w:hAnsi="Arial" w:cs="Times New Roman"/>
          <w:sz w:val="24"/>
          <w:lang w:val="en-ZA"/>
        </w:rPr>
        <w:t>he</w:t>
      </w:r>
      <w:r w:rsidR="009379AA" w:rsidRPr="00CD1873">
        <w:rPr>
          <w:rFonts w:ascii="Arial" w:eastAsia="Calibri" w:hAnsi="Arial" w:cs="Times New Roman"/>
          <w:sz w:val="24"/>
          <w:lang w:val="en-ZA"/>
        </w:rPr>
        <w:t>riff indicated that he would not cancel the sale in execution</w:t>
      </w:r>
      <w:r w:rsidR="001C508E"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but to accommodate Old Mutual Life he would, at the commencement of the auction, announce that the sale will be subject to the acceptance of the highest bid by Old Mutual Life. The representative</w:t>
      </w:r>
      <w:r w:rsidR="00FD3971" w:rsidRPr="00CD1873">
        <w:rPr>
          <w:rFonts w:ascii="Arial" w:eastAsia="Calibri" w:hAnsi="Arial" w:cs="Times New Roman"/>
          <w:sz w:val="24"/>
          <w:lang w:val="en-ZA"/>
        </w:rPr>
        <w:t>s</w:t>
      </w:r>
      <w:r w:rsidR="009379AA" w:rsidRPr="00CD1873">
        <w:rPr>
          <w:rFonts w:ascii="Arial" w:eastAsia="Calibri" w:hAnsi="Arial" w:cs="Times New Roman"/>
          <w:sz w:val="24"/>
          <w:lang w:val="en-ZA"/>
        </w:rPr>
        <w:t xml:space="preserve"> further allege that the De</w:t>
      </w:r>
      <w:r w:rsidR="00137BA8" w:rsidRPr="00CD1873">
        <w:rPr>
          <w:rFonts w:ascii="Arial" w:eastAsia="Calibri" w:hAnsi="Arial" w:cs="Times New Roman"/>
          <w:sz w:val="24"/>
          <w:lang w:val="en-ZA"/>
        </w:rPr>
        <w:t>puty-</w:t>
      </w:r>
      <w:r w:rsidR="00741306" w:rsidRPr="00CD1873">
        <w:rPr>
          <w:rFonts w:ascii="Arial" w:eastAsia="Calibri" w:hAnsi="Arial" w:cs="Times New Roman"/>
          <w:sz w:val="24"/>
          <w:lang w:val="en-ZA"/>
        </w:rPr>
        <w:t>Sheriff did, as he indicated he would</w:t>
      </w:r>
      <w:r w:rsidR="0004473B" w:rsidRPr="00CD1873">
        <w:rPr>
          <w:rFonts w:ascii="Arial" w:eastAsia="Calibri" w:hAnsi="Arial" w:cs="Times New Roman"/>
          <w:sz w:val="24"/>
          <w:lang w:val="en-ZA"/>
        </w:rPr>
        <w:t xml:space="preserve"> do</w:t>
      </w:r>
      <w:r w:rsidR="009379AA" w:rsidRPr="00CD1873">
        <w:rPr>
          <w:rFonts w:ascii="Arial" w:eastAsia="Calibri" w:hAnsi="Arial" w:cs="Times New Roman"/>
          <w:sz w:val="24"/>
          <w:lang w:val="en-ZA"/>
        </w:rPr>
        <w:t>, announce at the commencement of the auction that the sale will be subject to acceptance of the highest bid by Old Mutual Life.</w:t>
      </w:r>
    </w:p>
    <w:p w14:paraId="1FF6F646" w14:textId="77777777" w:rsidR="009379AA" w:rsidRPr="00724124" w:rsidRDefault="009379AA" w:rsidP="00137BA8">
      <w:pPr>
        <w:pStyle w:val="ListParagraph"/>
        <w:spacing w:after="0" w:line="480" w:lineRule="auto"/>
        <w:ind w:left="1440" w:hanging="720"/>
        <w:rPr>
          <w:rFonts w:ascii="Arial" w:eastAsia="Calibri" w:hAnsi="Arial" w:cs="Times New Roman"/>
          <w:sz w:val="24"/>
          <w:lang w:val="en-ZA"/>
        </w:rPr>
      </w:pPr>
    </w:p>
    <w:p w14:paraId="60529C9E" w14:textId="1C0D5B17" w:rsidR="003F3DC7" w:rsidRPr="00CD1873" w:rsidRDefault="00CD1873" w:rsidP="00CD1873">
      <w:pPr>
        <w:shd w:val="clear" w:color="auto" w:fill="FFFFFF"/>
        <w:spacing w:after="0" w:line="480" w:lineRule="auto"/>
        <w:ind w:left="1440" w:hanging="720"/>
        <w:jc w:val="both"/>
        <w:rPr>
          <w:rFonts w:ascii="Arial" w:eastAsia="Calibri" w:hAnsi="Arial" w:cs="Times New Roman"/>
          <w:sz w:val="24"/>
          <w:lang w:val="en-ZA"/>
        </w:rPr>
      </w:pPr>
      <w:r>
        <w:rPr>
          <w:rFonts w:ascii="Arial" w:eastAsia="Calibri" w:hAnsi="Arial" w:cs="Times New Roman"/>
          <w:sz w:val="24"/>
          <w:lang w:val="en-ZA"/>
        </w:rPr>
        <w:t>(e)</w:t>
      </w:r>
      <w:r>
        <w:rPr>
          <w:rFonts w:ascii="Arial" w:eastAsia="Calibri" w:hAnsi="Arial" w:cs="Times New Roman"/>
          <w:sz w:val="24"/>
          <w:lang w:val="en-ZA"/>
        </w:rPr>
        <w:tab/>
      </w:r>
      <w:r w:rsidR="009379AA" w:rsidRPr="00CD1873">
        <w:rPr>
          <w:rFonts w:ascii="Arial" w:eastAsia="Calibri" w:hAnsi="Arial" w:cs="Times New Roman"/>
          <w:sz w:val="24"/>
          <w:lang w:val="en-ZA"/>
        </w:rPr>
        <w:t xml:space="preserve">The highest bidder was </w:t>
      </w:r>
      <w:r w:rsidR="00FD3971" w:rsidRPr="00CD1873">
        <w:rPr>
          <w:rFonts w:ascii="Arial" w:eastAsia="Calibri" w:hAnsi="Arial" w:cs="Times New Roman"/>
          <w:sz w:val="24"/>
          <w:lang w:val="en-ZA"/>
        </w:rPr>
        <w:t xml:space="preserve">Mr </w:t>
      </w:r>
      <w:r w:rsidR="009379AA" w:rsidRPr="00CD1873">
        <w:rPr>
          <w:rFonts w:ascii="Arial" w:hAnsi="Arial" w:cs="Arial"/>
          <w:sz w:val="24"/>
          <w:szCs w:val="24"/>
        </w:rPr>
        <w:t>Andre Harris</w:t>
      </w:r>
      <w:r w:rsidR="00213A5E" w:rsidRPr="00CD1873">
        <w:rPr>
          <w:rFonts w:ascii="Arial" w:eastAsia="Calibri" w:hAnsi="Arial" w:cs="Times New Roman"/>
          <w:sz w:val="24"/>
          <w:lang w:val="en-ZA"/>
        </w:rPr>
        <w:t>, whose final bid was N$</w:t>
      </w:r>
      <w:r w:rsidR="009379AA" w:rsidRPr="00CD1873">
        <w:rPr>
          <w:rFonts w:ascii="Arial" w:eastAsia="Calibri" w:hAnsi="Arial" w:cs="Times New Roman"/>
          <w:sz w:val="24"/>
          <w:lang w:val="en-ZA"/>
        </w:rPr>
        <w:t xml:space="preserve">4 600 000. On the same date </w:t>
      </w:r>
      <w:r w:rsidR="005C3DC6" w:rsidRPr="00CD1873">
        <w:rPr>
          <w:rFonts w:ascii="Arial" w:eastAsia="Calibri" w:hAnsi="Arial" w:cs="Times New Roman"/>
          <w:sz w:val="24"/>
          <w:lang w:val="en-ZA"/>
        </w:rPr>
        <w:t>(</w:t>
      </w:r>
      <w:r w:rsidR="00FD3971" w:rsidRPr="00CD1873">
        <w:rPr>
          <w:rFonts w:ascii="Arial" w:eastAsia="Calibri" w:hAnsi="Arial" w:cs="Times New Roman"/>
          <w:sz w:val="24"/>
          <w:lang w:val="en-ZA"/>
        </w:rPr>
        <w:t>ie</w:t>
      </w:r>
      <w:r w:rsidR="005C3DC6" w:rsidRPr="00CD1873">
        <w:rPr>
          <w:rFonts w:ascii="Arial" w:eastAsia="Calibri" w:hAnsi="Arial" w:cs="Times New Roman"/>
          <w:sz w:val="24"/>
          <w:lang w:val="en-ZA"/>
        </w:rPr>
        <w:t xml:space="preserve"> 11 September 2018) </w:t>
      </w:r>
      <w:r w:rsidR="009379AA" w:rsidRPr="00CD1873">
        <w:rPr>
          <w:rFonts w:ascii="Arial" w:eastAsia="Calibri" w:hAnsi="Arial" w:cs="Times New Roman"/>
          <w:sz w:val="24"/>
          <w:lang w:val="en-ZA"/>
        </w:rPr>
        <w:t>Etzold-Duvenhage addre</w:t>
      </w:r>
      <w:r w:rsidR="001C508E" w:rsidRPr="00CD1873">
        <w:rPr>
          <w:rFonts w:ascii="Arial" w:eastAsia="Calibri" w:hAnsi="Arial" w:cs="Times New Roman"/>
          <w:sz w:val="24"/>
          <w:lang w:val="en-ZA"/>
        </w:rPr>
        <w:t xml:space="preserve">ssed a letter to the </w:t>
      </w:r>
      <w:r w:rsidR="00905E84" w:rsidRPr="00CD1873">
        <w:rPr>
          <w:rFonts w:ascii="Arial" w:eastAsia="Calibri" w:hAnsi="Arial" w:cs="Times New Roman"/>
          <w:sz w:val="24"/>
          <w:lang w:val="en-ZA"/>
        </w:rPr>
        <w:t>d</w:t>
      </w:r>
      <w:r w:rsidR="00AC21A0" w:rsidRPr="00CD1873">
        <w:rPr>
          <w:rFonts w:ascii="Arial" w:eastAsia="Calibri" w:hAnsi="Arial" w:cs="Times New Roman"/>
          <w:sz w:val="24"/>
          <w:lang w:val="en-ZA"/>
        </w:rPr>
        <w:t>eputy-sheriff</w:t>
      </w:r>
      <w:r w:rsidR="009379AA" w:rsidRPr="00CD1873">
        <w:rPr>
          <w:rFonts w:ascii="Arial" w:eastAsia="Calibri" w:hAnsi="Arial" w:cs="Times New Roman"/>
          <w:sz w:val="24"/>
          <w:lang w:val="en-ZA"/>
        </w:rPr>
        <w:t xml:space="preserve"> informi</w:t>
      </w:r>
      <w:r w:rsidR="00137BA8" w:rsidRPr="00CD1873">
        <w:rPr>
          <w:rFonts w:ascii="Arial" w:eastAsia="Calibri" w:hAnsi="Arial" w:cs="Times New Roman"/>
          <w:sz w:val="24"/>
          <w:lang w:val="en-ZA"/>
        </w:rPr>
        <w:t>ng him that Old Mutual Life would</w:t>
      </w:r>
      <w:r w:rsidR="009379AA" w:rsidRPr="00CD1873">
        <w:rPr>
          <w:rFonts w:ascii="Arial" w:eastAsia="Calibri" w:hAnsi="Arial" w:cs="Times New Roman"/>
          <w:sz w:val="24"/>
          <w:lang w:val="en-ZA"/>
        </w:rPr>
        <w:t xml:space="preserve"> not accept any bid which is less than what it was owed</w:t>
      </w:r>
      <w:r w:rsidR="00213A5E" w:rsidRPr="00CD1873">
        <w:rPr>
          <w:rFonts w:ascii="Arial" w:eastAsia="Calibri" w:hAnsi="Arial" w:cs="Times New Roman"/>
          <w:sz w:val="24"/>
          <w:lang w:val="en-ZA"/>
        </w:rPr>
        <w:t>, namely N$</w:t>
      </w:r>
      <w:r w:rsidR="009379AA" w:rsidRPr="00CD1873">
        <w:rPr>
          <w:rFonts w:ascii="Arial" w:eastAsia="Calibri" w:hAnsi="Arial" w:cs="Times New Roman"/>
          <w:sz w:val="24"/>
          <w:lang w:val="en-ZA"/>
        </w:rPr>
        <w:t>6 430 934</w:t>
      </w:r>
      <w:r w:rsidR="00FD3971" w:rsidRPr="00CD1873">
        <w:rPr>
          <w:rFonts w:ascii="Arial" w:eastAsia="Calibri" w:hAnsi="Arial" w:cs="Times New Roman"/>
          <w:sz w:val="24"/>
          <w:lang w:val="en-ZA"/>
        </w:rPr>
        <w:t>,</w:t>
      </w:r>
      <w:r w:rsidR="009379AA" w:rsidRPr="00CD1873">
        <w:rPr>
          <w:rFonts w:ascii="Arial" w:eastAsia="Calibri" w:hAnsi="Arial" w:cs="Times New Roman"/>
          <w:sz w:val="24"/>
          <w:lang w:val="en-ZA"/>
        </w:rPr>
        <w:t>48. Mr Harris on the other hand</w:t>
      </w:r>
      <w:r w:rsidR="00213A5E"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insisted that the sale in execution was conducted without a reserve price and </w:t>
      </w:r>
      <w:r w:rsidR="009379AA" w:rsidRPr="00CD1873">
        <w:rPr>
          <w:rFonts w:ascii="Arial" w:eastAsia="Calibri" w:hAnsi="Arial" w:cs="Times New Roman"/>
          <w:sz w:val="24"/>
          <w:lang w:val="en-ZA"/>
        </w:rPr>
        <w:lastRenderedPageBreak/>
        <w:t>demanded that the property be registered in his name and that ownership be transferred to him.</w:t>
      </w:r>
    </w:p>
    <w:p w14:paraId="5C4F3449" w14:textId="4CA25A23" w:rsidR="00AC21A0" w:rsidRDefault="00AC21A0">
      <w:pPr>
        <w:spacing w:after="0" w:line="240" w:lineRule="auto"/>
        <w:rPr>
          <w:rFonts w:ascii="Arial" w:eastAsia="Calibri" w:hAnsi="Arial" w:cs="Times New Roman"/>
          <w:sz w:val="24"/>
          <w:u w:val="single"/>
          <w:lang w:val="en-ZA"/>
        </w:rPr>
      </w:pPr>
    </w:p>
    <w:p w14:paraId="6595BB05" w14:textId="77777777" w:rsidR="00982BE8" w:rsidRPr="003F3DC7" w:rsidRDefault="00982BE8" w:rsidP="00FD4ECB">
      <w:pPr>
        <w:shd w:val="clear" w:color="auto" w:fill="FFFFFF"/>
        <w:spacing w:after="0" w:line="480" w:lineRule="auto"/>
        <w:jc w:val="both"/>
        <w:rPr>
          <w:rFonts w:ascii="Arial" w:eastAsia="Calibri" w:hAnsi="Arial" w:cs="Times New Roman"/>
          <w:sz w:val="24"/>
          <w:lang w:val="en-ZA"/>
        </w:rPr>
      </w:pPr>
      <w:r w:rsidRPr="003F3DC7">
        <w:rPr>
          <w:rFonts w:ascii="Arial" w:eastAsia="Calibri" w:hAnsi="Arial" w:cs="Times New Roman"/>
          <w:sz w:val="24"/>
          <w:u w:val="single"/>
          <w:lang w:val="en-ZA"/>
        </w:rPr>
        <w:t xml:space="preserve">The High Court </w:t>
      </w:r>
    </w:p>
    <w:p w14:paraId="3C349B3D" w14:textId="1A7574D6" w:rsidR="00C162D6"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[9]</w:t>
      </w:r>
      <w:r>
        <w:rPr>
          <w:rFonts w:ascii="Arial" w:eastAsia="Calibri" w:hAnsi="Arial" w:cs="Times New Roman"/>
          <w:sz w:val="24"/>
          <w:szCs w:val="24"/>
          <w:lang w:val="en-ZA"/>
        </w:rPr>
        <w:tab/>
      </w:r>
      <w:r w:rsidR="008575D6" w:rsidRPr="00CD1873">
        <w:rPr>
          <w:rFonts w:ascii="Arial" w:eastAsia="Calibri" w:hAnsi="Arial" w:cs="Times New Roman"/>
          <w:sz w:val="24"/>
          <w:lang w:val="en-ZA"/>
        </w:rPr>
        <w:t xml:space="preserve">When Old Mutual Life and Mr Harris could not resolve their </w:t>
      </w:r>
      <w:r w:rsidR="009379AA" w:rsidRPr="00CD1873">
        <w:rPr>
          <w:rFonts w:ascii="Arial" w:eastAsia="Calibri" w:hAnsi="Arial" w:cs="Times New Roman"/>
          <w:sz w:val="24"/>
          <w:lang w:val="en-ZA"/>
        </w:rPr>
        <w:t>dispute</w:t>
      </w:r>
      <w:r w:rsidR="00213A5E" w:rsidRPr="00CD1873">
        <w:rPr>
          <w:rFonts w:ascii="Arial" w:eastAsia="Calibri" w:hAnsi="Arial" w:cs="Times New Roman"/>
          <w:sz w:val="24"/>
          <w:lang w:val="en-ZA"/>
        </w:rPr>
        <w:t>,</w:t>
      </w:r>
      <w:r w:rsidR="009379AA" w:rsidRPr="00CD1873">
        <w:rPr>
          <w:rFonts w:ascii="Arial" w:eastAsia="Calibri" w:hAnsi="Arial" w:cs="Times New Roman"/>
          <w:sz w:val="24"/>
          <w:lang w:val="en-ZA"/>
        </w:rPr>
        <w:t xml:space="preserve"> Old</w:t>
      </w:r>
      <w:r w:rsidR="008575D6" w:rsidRPr="00CD1873">
        <w:rPr>
          <w:rFonts w:ascii="Arial" w:eastAsia="Calibri" w:hAnsi="Arial" w:cs="Times New Roman"/>
          <w:sz w:val="24"/>
          <w:lang w:val="en-ZA"/>
        </w:rPr>
        <w:t xml:space="preserve"> Mutual L</w:t>
      </w:r>
      <w:r w:rsidR="009379AA" w:rsidRPr="00CD1873">
        <w:rPr>
          <w:rFonts w:ascii="Arial" w:eastAsia="Calibri" w:hAnsi="Arial" w:cs="Times New Roman"/>
          <w:sz w:val="24"/>
          <w:lang w:val="en-ZA"/>
        </w:rPr>
        <w:t>ife, on 13 December 20</w:t>
      </w:r>
      <w:r w:rsidR="00982BE8" w:rsidRPr="00CD1873">
        <w:rPr>
          <w:rFonts w:ascii="Arial" w:eastAsia="Calibri" w:hAnsi="Arial" w:cs="Times New Roman"/>
          <w:sz w:val="24"/>
          <w:lang w:val="en-ZA"/>
        </w:rPr>
        <w:t>18</w:t>
      </w:r>
      <w:r w:rsidR="009379AA" w:rsidRPr="00CD1873">
        <w:rPr>
          <w:rFonts w:ascii="Arial" w:eastAsia="Calibri" w:hAnsi="Arial" w:cs="Times New Roman"/>
          <w:sz w:val="24"/>
          <w:lang w:val="en-ZA"/>
        </w:rPr>
        <w:t xml:space="preserve">, </w:t>
      </w:r>
      <w:r w:rsidR="008575D6" w:rsidRPr="00CD1873">
        <w:rPr>
          <w:rFonts w:ascii="Arial" w:eastAsia="Calibri" w:hAnsi="Arial" w:cs="Times New Roman"/>
          <w:sz w:val="24"/>
          <w:lang w:val="en-ZA"/>
        </w:rPr>
        <w:t xml:space="preserve">launched proceedings </w:t>
      </w:r>
      <w:r w:rsidR="009379AA" w:rsidRPr="00CD1873">
        <w:rPr>
          <w:rFonts w:ascii="Arial" w:eastAsia="Calibri" w:hAnsi="Arial" w:cs="Times New Roman"/>
          <w:sz w:val="24"/>
          <w:lang w:val="en-ZA"/>
        </w:rPr>
        <w:t xml:space="preserve">out of the High Court </w:t>
      </w:r>
      <w:r w:rsidR="008575D6" w:rsidRPr="00CD1873">
        <w:rPr>
          <w:rFonts w:ascii="Arial" w:eastAsia="Calibri" w:hAnsi="Arial" w:cs="Times New Roman"/>
          <w:sz w:val="24"/>
          <w:lang w:val="en-ZA"/>
        </w:rPr>
        <w:t>by notice of motion</w:t>
      </w:r>
      <w:r w:rsidR="001C508E" w:rsidRPr="00CD1873">
        <w:rPr>
          <w:rFonts w:ascii="Arial" w:eastAsia="Calibri" w:hAnsi="Arial" w:cs="Times New Roman"/>
          <w:sz w:val="24"/>
          <w:lang w:val="en-ZA"/>
        </w:rPr>
        <w:t>,</w:t>
      </w:r>
      <w:r w:rsidR="008575D6" w:rsidRPr="00CD1873">
        <w:rPr>
          <w:rFonts w:ascii="Arial" w:eastAsia="Calibri" w:hAnsi="Arial" w:cs="Times New Roman"/>
          <w:sz w:val="24"/>
          <w:lang w:val="en-ZA"/>
        </w:rPr>
        <w:t xml:space="preserve"> in terms of which it sought an order </w:t>
      </w:r>
      <w:r w:rsidR="009379AA" w:rsidRPr="00CD1873">
        <w:rPr>
          <w:rFonts w:ascii="Arial" w:eastAsia="Calibri" w:hAnsi="Arial" w:cs="Times New Roman"/>
          <w:sz w:val="24"/>
          <w:lang w:val="en-ZA"/>
        </w:rPr>
        <w:t xml:space="preserve">setting aside the sale in execution of the property. </w:t>
      </w:r>
      <w:r w:rsidR="00982BE8" w:rsidRPr="00CD1873">
        <w:rPr>
          <w:rFonts w:ascii="Arial" w:eastAsia="Calibri" w:hAnsi="Arial" w:cs="Times New Roman"/>
          <w:sz w:val="24"/>
          <w:lang w:val="en-ZA"/>
        </w:rPr>
        <w:t xml:space="preserve">Old Mutual Life based the relief it sought on </w:t>
      </w:r>
      <w:r w:rsidR="005C3DC6" w:rsidRPr="00CD1873">
        <w:rPr>
          <w:rFonts w:ascii="Arial" w:eastAsia="Calibri" w:hAnsi="Arial" w:cs="Times New Roman"/>
          <w:sz w:val="24"/>
          <w:lang w:val="en-ZA"/>
        </w:rPr>
        <w:t>its contention</w:t>
      </w:r>
      <w:r w:rsidR="00982BE8" w:rsidRPr="00CD1873">
        <w:rPr>
          <w:rFonts w:ascii="Arial" w:eastAsia="Calibri" w:hAnsi="Arial" w:cs="Times New Roman"/>
          <w:sz w:val="24"/>
          <w:lang w:val="en-ZA"/>
        </w:rPr>
        <w:t xml:space="preserve"> that there were multiple non-compliances with the rules of the High Court </w:t>
      </w:r>
      <w:r w:rsidR="00C162D6" w:rsidRPr="00CD1873">
        <w:rPr>
          <w:rFonts w:ascii="Arial" w:eastAsia="Calibri" w:hAnsi="Arial" w:cs="Times New Roman"/>
          <w:sz w:val="24"/>
          <w:lang w:val="en-ZA"/>
        </w:rPr>
        <w:t xml:space="preserve">(particularly rules 109 and 110) </w:t>
      </w:r>
      <w:r w:rsidR="00982BE8" w:rsidRPr="00CD1873">
        <w:rPr>
          <w:rFonts w:ascii="Arial" w:eastAsia="Calibri" w:hAnsi="Arial" w:cs="Times New Roman"/>
          <w:sz w:val="24"/>
          <w:lang w:val="en-ZA"/>
        </w:rPr>
        <w:t xml:space="preserve">pertaining to the sale </w:t>
      </w:r>
      <w:r w:rsidR="00C162D6" w:rsidRPr="00CD1873">
        <w:rPr>
          <w:rFonts w:ascii="Arial" w:eastAsia="Calibri" w:hAnsi="Arial" w:cs="Times New Roman"/>
          <w:sz w:val="24"/>
          <w:lang w:val="en-ZA"/>
        </w:rPr>
        <w:t xml:space="preserve">in execution of </w:t>
      </w:r>
      <w:r w:rsidR="003F3DC7" w:rsidRPr="00CD1873">
        <w:rPr>
          <w:rFonts w:ascii="Arial" w:eastAsia="Calibri" w:hAnsi="Arial" w:cs="Times New Roman"/>
          <w:sz w:val="24"/>
          <w:lang w:val="en-ZA"/>
        </w:rPr>
        <w:t xml:space="preserve">the </w:t>
      </w:r>
      <w:r w:rsidR="00982BE8" w:rsidRPr="00CD1873">
        <w:rPr>
          <w:rFonts w:ascii="Arial" w:eastAsia="Calibri" w:hAnsi="Arial" w:cs="Times New Roman"/>
          <w:sz w:val="24"/>
          <w:lang w:val="en-ZA"/>
        </w:rPr>
        <w:t>property</w:t>
      </w:r>
      <w:r w:rsidR="00C162D6" w:rsidRPr="00CD1873">
        <w:rPr>
          <w:rFonts w:ascii="Arial" w:eastAsia="Calibri" w:hAnsi="Arial" w:cs="Times New Roman"/>
          <w:sz w:val="24"/>
          <w:lang w:val="en-ZA"/>
        </w:rPr>
        <w:t>.</w:t>
      </w:r>
      <w:r w:rsidR="0091479E" w:rsidRPr="00CD1873">
        <w:rPr>
          <w:rFonts w:ascii="Arial" w:eastAsia="Calibri" w:hAnsi="Arial" w:cs="Times New Roman"/>
          <w:sz w:val="24"/>
          <w:lang w:val="en-ZA"/>
        </w:rPr>
        <w:t xml:space="preserve"> Mr Harris opposed Old Mutual Life’s application.</w:t>
      </w:r>
    </w:p>
    <w:p w14:paraId="493446A1" w14:textId="77777777" w:rsidR="00C162D6" w:rsidRDefault="00C162D6" w:rsidP="00FD4ECB">
      <w:pPr>
        <w:pStyle w:val="ListParagraph"/>
        <w:shd w:val="clear" w:color="auto" w:fill="FFFFFF"/>
        <w:spacing w:after="0" w:line="480" w:lineRule="auto"/>
        <w:ind w:left="0"/>
        <w:jc w:val="both"/>
        <w:rPr>
          <w:rFonts w:ascii="Arial" w:eastAsia="Calibri" w:hAnsi="Arial" w:cs="Times New Roman"/>
          <w:sz w:val="24"/>
          <w:lang w:val="en-ZA"/>
        </w:rPr>
      </w:pPr>
    </w:p>
    <w:p w14:paraId="758675A9" w14:textId="77EF3AEB" w:rsidR="00C162D6" w:rsidRPr="00CD1873" w:rsidRDefault="00CD1873" w:rsidP="00CD1873">
      <w:pPr>
        <w:shd w:val="clear" w:color="auto" w:fill="FFFFFF"/>
        <w:spacing w:after="0" w:line="480" w:lineRule="auto"/>
        <w:jc w:val="both"/>
        <w:rPr>
          <w:rFonts w:ascii="Arial" w:eastAsia="Calibri" w:hAnsi="Arial" w:cs="Times New Roman"/>
          <w:sz w:val="24"/>
          <w:lang w:val="en-ZA"/>
        </w:rPr>
      </w:pPr>
      <w:r w:rsidRPr="00C162D6">
        <w:rPr>
          <w:rFonts w:ascii="Arial" w:eastAsia="Calibri" w:hAnsi="Arial" w:cs="Times New Roman"/>
          <w:sz w:val="24"/>
          <w:szCs w:val="24"/>
          <w:lang w:val="en-ZA"/>
        </w:rPr>
        <w:t>[10]</w:t>
      </w:r>
      <w:r w:rsidRPr="00C162D6">
        <w:rPr>
          <w:rFonts w:ascii="Arial" w:eastAsia="Calibri" w:hAnsi="Arial" w:cs="Times New Roman"/>
          <w:sz w:val="24"/>
          <w:szCs w:val="24"/>
          <w:lang w:val="en-ZA"/>
        </w:rPr>
        <w:tab/>
      </w:r>
      <w:r w:rsidR="00C162D6" w:rsidRPr="00CD1873">
        <w:rPr>
          <w:rFonts w:ascii="Arial" w:eastAsia="Calibri" w:hAnsi="Arial" w:cs="Times New Roman"/>
          <w:sz w:val="24"/>
          <w:lang w:val="en-ZA"/>
        </w:rPr>
        <w:t xml:space="preserve">The High Court identified two issues </w:t>
      </w:r>
      <w:r w:rsidR="00FD3971" w:rsidRPr="00CD1873">
        <w:rPr>
          <w:rFonts w:ascii="Arial" w:eastAsia="Calibri" w:hAnsi="Arial" w:cs="Times New Roman"/>
          <w:sz w:val="24"/>
          <w:lang w:val="en-ZA"/>
        </w:rPr>
        <w:t>for determination</w:t>
      </w:r>
      <w:r w:rsidR="001C508E" w:rsidRPr="00CD1873">
        <w:rPr>
          <w:rFonts w:ascii="Arial" w:eastAsia="Calibri" w:hAnsi="Arial" w:cs="Times New Roman"/>
          <w:sz w:val="24"/>
          <w:lang w:val="en-ZA"/>
        </w:rPr>
        <w:t>, namely</w:t>
      </w:r>
      <w:r w:rsidR="00C162D6" w:rsidRPr="00CD1873">
        <w:rPr>
          <w:rFonts w:ascii="Arial" w:eastAsia="Calibri" w:hAnsi="Arial" w:cs="Times New Roman"/>
          <w:sz w:val="24"/>
          <w:lang w:val="en-ZA"/>
        </w:rPr>
        <w:t xml:space="preserve"> </w:t>
      </w:r>
      <w:r w:rsidR="00C162D6" w:rsidRPr="00CD1873">
        <w:rPr>
          <w:rFonts w:ascii="Arial" w:hAnsi="Arial" w:cs="Arial"/>
          <w:sz w:val="24"/>
          <w:szCs w:val="24"/>
        </w:rPr>
        <w:t>whether rule 110(4) was peremptory an</w:t>
      </w:r>
      <w:r w:rsidR="0091479E" w:rsidRPr="00CD1873">
        <w:rPr>
          <w:rFonts w:ascii="Arial" w:hAnsi="Arial" w:cs="Arial"/>
          <w:sz w:val="24"/>
          <w:szCs w:val="24"/>
        </w:rPr>
        <w:t>d</w:t>
      </w:r>
      <w:r w:rsidR="00C162D6" w:rsidRPr="00CD1873">
        <w:rPr>
          <w:rFonts w:ascii="Arial" w:hAnsi="Arial" w:cs="Arial"/>
          <w:sz w:val="24"/>
          <w:szCs w:val="24"/>
        </w:rPr>
        <w:t xml:space="preserve"> </w:t>
      </w:r>
      <w:r w:rsidR="0091479E" w:rsidRPr="00CD1873">
        <w:rPr>
          <w:rFonts w:ascii="Arial" w:hAnsi="Arial" w:cs="Arial"/>
          <w:sz w:val="24"/>
          <w:szCs w:val="24"/>
        </w:rPr>
        <w:t>if</w:t>
      </w:r>
      <w:r w:rsidR="00C162D6" w:rsidRPr="00CD1873">
        <w:rPr>
          <w:rFonts w:ascii="Arial" w:hAnsi="Arial" w:cs="Arial"/>
          <w:sz w:val="24"/>
          <w:szCs w:val="24"/>
        </w:rPr>
        <w:t xml:space="preserve"> it was, whether non-compliance</w:t>
      </w:r>
      <w:r w:rsidR="000E0368" w:rsidRPr="00CD1873">
        <w:rPr>
          <w:rFonts w:ascii="Arial" w:hAnsi="Arial" w:cs="Arial"/>
          <w:sz w:val="24"/>
          <w:szCs w:val="24"/>
        </w:rPr>
        <w:t xml:space="preserve"> therewith</w:t>
      </w:r>
      <w:r w:rsidR="00C162D6" w:rsidRPr="00CD1873">
        <w:rPr>
          <w:rFonts w:ascii="Arial" w:hAnsi="Arial" w:cs="Arial"/>
          <w:sz w:val="24"/>
          <w:szCs w:val="24"/>
        </w:rPr>
        <w:t xml:space="preserve"> would result in </w:t>
      </w:r>
      <w:r w:rsidR="00FD3971" w:rsidRPr="00CD1873">
        <w:rPr>
          <w:rFonts w:ascii="Arial" w:hAnsi="Arial" w:cs="Arial"/>
          <w:sz w:val="24"/>
          <w:szCs w:val="24"/>
        </w:rPr>
        <w:t xml:space="preserve">the </w:t>
      </w:r>
      <w:r w:rsidR="00C162D6" w:rsidRPr="00CD1873">
        <w:rPr>
          <w:rFonts w:ascii="Arial" w:hAnsi="Arial" w:cs="Arial"/>
          <w:sz w:val="24"/>
          <w:szCs w:val="24"/>
        </w:rPr>
        <w:t xml:space="preserve">setting aside </w:t>
      </w:r>
      <w:r w:rsidR="00FD3971" w:rsidRPr="00CD1873">
        <w:rPr>
          <w:rFonts w:ascii="Arial" w:hAnsi="Arial" w:cs="Arial"/>
          <w:sz w:val="24"/>
          <w:szCs w:val="24"/>
        </w:rPr>
        <w:t xml:space="preserve">of </w:t>
      </w:r>
      <w:r w:rsidR="00C162D6" w:rsidRPr="00CD1873">
        <w:rPr>
          <w:rFonts w:ascii="Arial" w:hAnsi="Arial" w:cs="Arial"/>
          <w:sz w:val="24"/>
          <w:szCs w:val="24"/>
        </w:rPr>
        <w:t>the sale in execution. T</w:t>
      </w:r>
      <w:r w:rsidR="009379AA" w:rsidRPr="00CD1873">
        <w:rPr>
          <w:rFonts w:ascii="Arial" w:eastAsia="Calibri" w:hAnsi="Arial" w:cs="Times New Roman"/>
          <w:sz w:val="24"/>
          <w:lang w:val="en-ZA"/>
        </w:rPr>
        <w:t xml:space="preserve">he High Court on 26 February 2021 </w:t>
      </w:r>
      <w:r w:rsidR="00C162D6" w:rsidRPr="00CD1873">
        <w:rPr>
          <w:rFonts w:ascii="Arial" w:eastAsia="Calibri" w:hAnsi="Arial" w:cs="Times New Roman"/>
          <w:sz w:val="24"/>
          <w:lang w:val="en-ZA"/>
        </w:rPr>
        <w:t xml:space="preserve">answered both questions in the affirmative </w:t>
      </w:r>
      <w:r w:rsidR="009379AA" w:rsidRPr="00CD1873">
        <w:rPr>
          <w:rFonts w:ascii="Arial" w:eastAsia="Calibri" w:hAnsi="Arial" w:cs="Times New Roman"/>
          <w:sz w:val="24"/>
          <w:lang w:val="en-ZA"/>
        </w:rPr>
        <w:t xml:space="preserve">and set aside the sale in execution. </w:t>
      </w:r>
      <w:r w:rsidR="00C162D6" w:rsidRPr="00CD1873">
        <w:rPr>
          <w:rFonts w:ascii="Arial" w:eastAsia="Calibri" w:hAnsi="Arial" w:cs="Times New Roman"/>
          <w:sz w:val="24"/>
          <w:lang w:val="en-ZA"/>
        </w:rPr>
        <w:t xml:space="preserve">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91479E" w:rsidRPr="00CD1873">
        <w:rPr>
          <w:rFonts w:ascii="Arial" w:eastAsia="Calibri" w:hAnsi="Arial" w:cs="Times New Roman"/>
          <w:sz w:val="24"/>
          <w:lang w:val="en-ZA"/>
        </w:rPr>
        <w:t>, after setting out the legal frame</w:t>
      </w:r>
      <w:r w:rsidR="00FD3971" w:rsidRPr="00CD1873">
        <w:rPr>
          <w:rFonts w:ascii="Arial" w:eastAsia="Calibri" w:hAnsi="Arial" w:cs="Times New Roman"/>
          <w:sz w:val="24"/>
          <w:lang w:val="en-ZA"/>
        </w:rPr>
        <w:t>work</w:t>
      </w:r>
      <w:r w:rsidR="0091479E" w:rsidRPr="00CD1873">
        <w:rPr>
          <w:rFonts w:ascii="Arial" w:eastAsia="Calibri" w:hAnsi="Arial" w:cs="Times New Roman"/>
          <w:sz w:val="24"/>
          <w:lang w:val="en-ZA"/>
        </w:rPr>
        <w:t xml:space="preserve"> governing sales of immovable properties in execution,</w:t>
      </w:r>
      <w:r w:rsidR="00C162D6" w:rsidRPr="00CD1873">
        <w:rPr>
          <w:rFonts w:ascii="Arial" w:eastAsia="Calibri" w:hAnsi="Arial" w:cs="Times New Roman"/>
          <w:sz w:val="24"/>
          <w:lang w:val="en-ZA"/>
        </w:rPr>
        <w:t xml:space="preserve"> amongst other</w:t>
      </w:r>
      <w:r w:rsidR="00213A5E" w:rsidRPr="00CD1873">
        <w:rPr>
          <w:rFonts w:ascii="Arial" w:eastAsia="Calibri" w:hAnsi="Arial" w:cs="Times New Roman"/>
          <w:sz w:val="24"/>
          <w:lang w:val="en-ZA"/>
        </w:rPr>
        <w:t>s,</w:t>
      </w:r>
      <w:r w:rsidR="00C162D6" w:rsidRPr="00CD1873">
        <w:rPr>
          <w:rFonts w:ascii="Arial" w:eastAsia="Calibri" w:hAnsi="Arial" w:cs="Times New Roman"/>
          <w:sz w:val="24"/>
          <w:lang w:val="en-ZA"/>
        </w:rPr>
        <w:t xml:space="preserve"> said:</w:t>
      </w:r>
    </w:p>
    <w:p w14:paraId="425CD92B" w14:textId="77777777" w:rsidR="00C162D6" w:rsidRPr="00C162D6" w:rsidRDefault="00C162D6" w:rsidP="00AC21A0">
      <w:pPr>
        <w:pStyle w:val="ListParagraph"/>
        <w:spacing w:after="0" w:line="480" w:lineRule="auto"/>
        <w:rPr>
          <w:rFonts w:ascii="Arial" w:eastAsia="Calibri" w:hAnsi="Arial" w:cs="Times New Roman"/>
          <w:sz w:val="24"/>
          <w:lang w:val="en-ZA"/>
        </w:rPr>
      </w:pPr>
    </w:p>
    <w:p w14:paraId="7F041B5D" w14:textId="77777777" w:rsidR="00526057" w:rsidRPr="00526057" w:rsidRDefault="00EF1F8E" w:rsidP="0077098D">
      <w:pPr>
        <w:spacing w:after="0" w:line="360" w:lineRule="auto"/>
        <w:ind w:left="1437" w:hanging="870"/>
        <w:jc w:val="both"/>
        <w:rPr>
          <w:rFonts w:ascii="Arial" w:hAnsi="Arial" w:cs="Arial"/>
        </w:rPr>
      </w:pPr>
      <w:r>
        <w:rPr>
          <w:rFonts w:ascii="Arial" w:hAnsi="Arial" w:cs="Arial"/>
        </w:rPr>
        <w:t>‘[</w:t>
      </w:r>
      <w:r w:rsidR="00526057">
        <w:rPr>
          <w:rFonts w:ascii="Arial" w:hAnsi="Arial" w:cs="Arial"/>
        </w:rPr>
        <w:t>19]</w:t>
      </w:r>
      <w:r w:rsidR="00526057">
        <w:rPr>
          <w:rFonts w:ascii="Arial" w:hAnsi="Arial" w:cs="Arial"/>
        </w:rPr>
        <w:tab/>
      </w:r>
      <w:r w:rsidR="00526057" w:rsidRPr="00526057">
        <w:rPr>
          <w:rFonts w:ascii="Arial" w:hAnsi="Arial" w:cs="Arial"/>
        </w:rPr>
        <w:t>A perusal of Rules 109 and 110 will show that the words “must” and “may” are use</w:t>
      </w:r>
      <w:r w:rsidR="0091479E">
        <w:rPr>
          <w:rFonts w:ascii="Arial" w:hAnsi="Arial" w:cs="Arial"/>
        </w:rPr>
        <w:t xml:space="preserve">d interchangeably. </w:t>
      </w:r>
      <w:r w:rsidR="00526057" w:rsidRPr="00526057">
        <w:rPr>
          <w:rFonts w:ascii="Arial" w:hAnsi="Arial" w:cs="Arial"/>
        </w:rPr>
        <w:t xml:space="preserve">That is in itself a strong indication of what the drafter of the Rules considered to be mandatory requirements and what directory requirements are. </w:t>
      </w:r>
    </w:p>
    <w:p w14:paraId="5B9AA955" w14:textId="77777777" w:rsidR="00526057" w:rsidRPr="00526057" w:rsidRDefault="00526057" w:rsidP="00137BA8">
      <w:pPr>
        <w:spacing w:after="0" w:line="360" w:lineRule="auto"/>
        <w:ind w:left="567"/>
        <w:jc w:val="both"/>
        <w:rPr>
          <w:rFonts w:ascii="Arial" w:hAnsi="Arial" w:cs="Arial"/>
        </w:rPr>
      </w:pPr>
    </w:p>
    <w:p w14:paraId="575F071B" w14:textId="77777777" w:rsidR="00526057" w:rsidRPr="00526057" w:rsidRDefault="00526057" w:rsidP="0077098D">
      <w:pPr>
        <w:spacing w:after="0" w:line="360" w:lineRule="auto"/>
        <w:ind w:left="1437" w:hanging="870"/>
        <w:jc w:val="both"/>
        <w:rPr>
          <w:rFonts w:ascii="Arial" w:hAnsi="Arial" w:cs="Arial"/>
        </w:rPr>
      </w:pPr>
      <w:r w:rsidRPr="00526057">
        <w:rPr>
          <w:rFonts w:ascii="Arial" w:hAnsi="Arial" w:cs="Arial"/>
        </w:rPr>
        <w:t>[20]</w:t>
      </w:r>
      <w:r w:rsidRPr="00526057">
        <w:rPr>
          <w:rFonts w:ascii="Arial" w:hAnsi="Arial" w:cs="Arial"/>
        </w:rPr>
        <w:tab/>
        <w:t xml:space="preserve">The mere use of the word “must” is not per se an indication that the provision is peremptory.  It is more likely to be peremptory where, as I indicated, the word “must” is used in conjunction with the word </w:t>
      </w:r>
      <w:r w:rsidR="006A0E72">
        <w:rPr>
          <w:rFonts w:ascii="Arial" w:hAnsi="Arial" w:cs="Arial"/>
        </w:rPr>
        <w:t>“</w:t>
      </w:r>
      <w:r w:rsidRPr="00526057">
        <w:rPr>
          <w:rFonts w:ascii="Arial" w:hAnsi="Arial" w:cs="Arial"/>
        </w:rPr>
        <w:t>may</w:t>
      </w:r>
      <w:r w:rsidR="006A0E72">
        <w:rPr>
          <w:rFonts w:ascii="Arial" w:hAnsi="Arial" w:cs="Arial"/>
        </w:rPr>
        <w:t>”</w:t>
      </w:r>
      <w:r w:rsidRPr="00526057">
        <w:rPr>
          <w:rFonts w:ascii="Arial" w:hAnsi="Arial" w:cs="Arial"/>
        </w:rPr>
        <w:t xml:space="preserve">. One may well </w:t>
      </w:r>
      <w:r w:rsidRPr="00526057">
        <w:rPr>
          <w:rFonts w:ascii="Arial" w:hAnsi="Arial" w:cs="Arial"/>
        </w:rPr>
        <w:lastRenderedPageBreak/>
        <w:t>consider that if the word “must” when used in the Rules mean</w:t>
      </w:r>
      <w:r w:rsidR="006A0E72">
        <w:rPr>
          <w:rFonts w:ascii="Arial" w:hAnsi="Arial" w:cs="Arial"/>
        </w:rPr>
        <w:t>s</w:t>
      </w:r>
      <w:r w:rsidRPr="00526057">
        <w:rPr>
          <w:rFonts w:ascii="Arial" w:hAnsi="Arial" w:cs="Arial"/>
        </w:rPr>
        <w:t xml:space="preserve"> “may”, what does the word “may” then mean?</w:t>
      </w:r>
    </w:p>
    <w:p w14:paraId="73A07FDB" w14:textId="77777777" w:rsidR="00526057" w:rsidRPr="00526057" w:rsidRDefault="00526057" w:rsidP="00137BA8">
      <w:pPr>
        <w:spacing w:after="0" w:line="360" w:lineRule="auto"/>
        <w:ind w:left="567"/>
        <w:jc w:val="both"/>
        <w:rPr>
          <w:rFonts w:ascii="Arial" w:hAnsi="Arial" w:cs="Arial"/>
        </w:rPr>
      </w:pPr>
    </w:p>
    <w:p w14:paraId="6F55E7B9" w14:textId="77777777" w:rsidR="00526057" w:rsidRPr="00526057" w:rsidRDefault="00526057" w:rsidP="0077098D">
      <w:pPr>
        <w:spacing w:after="0" w:line="360" w:lineRule="auto"/>
        <w:ind w:left="1437" w:hanging="870"/>
        <w:jc w:val="both"/>
        <w:rPr>
          <w:rFonts w:ascii="Arial" w:hAnsi="Arial" w:cs="Arial"/>
        </w:rPr>
      </w:pPr>
      <w:r w:rsidRPr="00526057">
        <w:rPr>
          <w:rFonts w:ascii="Arial" w:hAnsi="Arial" w:cs="Arial"/>
        </w:rPr>
        <w:t>[21]</w:t>
      </w:r>
      <w:r w:rsidRPr="00526057">
        <w:rPr>
          <w:rFonts w:ascii="Arial" w:hAnsi="Arial" w:cs="Arial"/>
        </w:rPr>
        <w:tab/>
        <w:t xml:space="preserve">The sale in execution of immovable property potentially affects real rights of persons other than the judgment creditor, such as persons or entities in whose favour bonds are registered over the property to be sold. The claims of some of them may be </w:t>
      </w:r>
      <w:r w:rsidR="00EF1F8E" w:rsidRPr="00526057">
        <w:rPr>
          <w:rFonts w:ascii="Arial" w:hAnsi="Arial" w:cs="Arial"/>
        </w:rPr>
        <w:t>preferrent</w:t>
      </w:r>
      <w:r w:rsidRPr="00526057">
        <w:rPr>
          <w:rFonts w:ascii="Arial" w:hAnsi="Arial" w:cs="Arial"/>
        </w:rPr>
        <w:t xml:space="preserve"> to that of the execution creditor.  They may well not be aware that the property is to be sold in execution</w:t>
      </w:r>
      <w:r w:rsidR="00F30FCF">
        <w:rPr>
          <w:rFonts w:ascii="Arial" w:hAnsi="Arial" w:cs="Arial"/>
        </w:rPr>
        <w:t>.</w:t>
      </w:r>
      <w:r w:rsidRPr="00526057">
        <w:rPr>
          <w:rFonts w:ascii="Arial" w:hAnsi="Arial" w:cs="Arial"/>
        </w:rPr>
        <w:t xml:space="preserve"> In the case of possible </w:t>
      </w:r>
      <w:r w:rsidR="00EF1F8E" w:rsidRPr="00526057">
        <w:rPr>
          <w:rFonts w:ascii="Arial" w:hAnsi="Arial" w:cs="Arial"/>
        </w:rPr>
        <w:t>preferrent</w:t>
      </w:r>
      <w:r w:rsidRPr="00526057">
        <w:rPr>
          <w:rFonts w:ascii="Arial" w:hAnsi="Arial" w:cs="Arial"/>
        </w:rPr>
        <w:t xml:space="preserve"> creditors they have certain rights such as the determination of a reasonable reserve price </w:t>
      </w:r>
      <w:r w:rsidR="006A0E72">
        <w:rPr>
          <w:rFonts w:ascii="Arial" w:hAnsi="Arial" w:cs="Arial"/>
        </w:rPr>
        <w:t>as</w:t>
      </w:r>
      <w:r w:rsidRPr="00526057">
        <w:rPr>
          <w:rFonts w:ascii="Arial" w:hAnsi="Arial" w:cs="Arial"/>
        </w:rPr>
        <w:t xml:space="preserve"> envisaged in Rule 109(6).</w:t>
      </w:r>
    </w:p>
    <w:p w14:paraId="4DA78517" w14:textId="77777777" w:rsidR="00526057" w:rsidRPr="00526057" w:rsidRDefault="00526057" w:rsidP="00137BA8">
      <w:pPr>
        <w:spacing w:after="0" w:line="360" w:lineRule="auto"/>
        <w:ind w:left="567"/>
        <w:jc w:val="both"/>
        <w:rPr>
          <w:rFonts w:ascii="Arial" w:hAnsi="Arial" w:cs="Arial"/>
        </w:rPr>
      </w:pPr>
    </w:p>
    <w:p w14:paraId="2EA997F3" w14:textId="77777777" w:rsidR="00526057" w:rsidRPr="00526057" w:rsidRDefault="00526057" w:rsidP="0077098D">
      <w:pPr>
        <w:spacing w:after="0" w:line="360" w:lineRule="auto"/>
        <w:ind w:left="1437" w:hanging="870"/>
        <w:jc w:val="both"/>
        <w:rPr>
          <w:rFonts w:ascii="Arial" w:hAnsi="Arial" w:cs="Arial"/>
        </w:rPr>
      </w:pPr>
      <w:r w:rsidRPr="00526057">
        <w:rPr>
          <w:rFonts w:ascii="Arial" w:hAnsi="Arial" w:cs="Arial"/>
        </w:rPr>
        <w:t>[22]</w:t>
      </w:r>
      <w:r w:rsidRPr="00526057">
        <w:rPr>
          <w:rFonts w:ascii="Arial" w:hAnsi="Arial" w:cs="Arial"/>
        </w:rPr>
        <w:tab/>
        <w:t>In c</w:t>
      </w:r>
      <w:r w:rsidR="000A0435">
        <w:rPr>
          <w:rFonts w:ascii="Arial" w:hAnsi="Arial" w:cs="Arial"/>
        </w:rPr>
        <w:t xml:space="preserve">onsidering </w:t>
      </w:r>
      <w:r w:rsidRPr="00526057">
        <w:rPr>
          <w:rFonts w:ascii="Arial" w:hAnsi="Arial" w:cs="Arial"/>
        </w:rPr>
        <w:t>not merely the words used but the context of particularly Rules 109 and 110, it is apparent that some provision is made to protect the rights of bond holders and local or regional authorities. When considered in context</w:t>
      </w:r>
      <w:r w:rsidR="006A0E72">
        <w:rPr>
          <w:rFonts w:ascii="Arial" w:hAnsi="Arial" w:cs="Arial"/>
        </w:rPr>
        <w:t>,</w:t>
      </w:r>
      <w:r w:rsidRPr="00526057">
        <w:rPr>
          <w:rFonts w:ascii="Arial" w:hAnsi="Arial" w:cs="Arial"/>
        </w:rPr>
        <w:t xml:space="preserve"> I conclude that the word “must” where it appears imposes a mandatory obligation on the Deputy-Sheriff or the judgment creditor as the case may be.</w:t>
      </w:r>
    </w:p>
    <w:p w14:paraId="3B3721E4" w14:textId="77777777" w:rsidR="00526057" w:rsidRPr="00526057" w:rsidRDefault="00526057" w:rsidP="00137BA8">
      <w:pPr>
        <w:spacing w:after="0" w:line="360" w:lineRule="auto"/>
        <w:ind w:left="567"/>
        <w:jc w:val="both"/>
        <w:rPr>
          <w:rFonts w:ascii="Arial" w:hAnsi="Arial" w:cs="Arial"/>
        </w:rPr>
      </w:pPr>
    </w:p>
    <w:p w14:paraId="4D1BEEC9" w14:textId="6ADA037B" w:rsidR="00C162D6" w:rsidRDefault="00526057" w:rsidP="0077098D">
      <w:pPr>
        <w:spacing w:after="0" w:line="360" w:lineRule="auto"/>
        <w:ind w:left="1437" w:hanging="870"/>
        <w:jc w:val="both"/>
        <w:rPr>
          <w:rFonts w:ascii="Arial" w:hAnsi="Arial" w:cs="Arial"/>
          <w:sz w:val="24"/>
          <w:szCs w:val="24"/>
        </w:rPr>
      </w:pPr>
      <w:r w:rsidRPr="00526057">
        <w:rPr>
          <w:rFonts w:ascii="Arial" w:hAnsi="Arial" w:cs="Arial"/>
        </w:rPr>
        <w:t>[23]</w:t>
      </w:r>
      <w:r w:rsidRPr="00526057">
        <w:rPr>
          <w:rFonts w:ascii="Arial" w:hAnsi="Arial" w:cs="Arial"/>
        </w:rPr>
        <w:tab/>
      </w:r>
      <w:r w:rsidR="001F2DB6">
        <w:rPr>
          <w:rFonts w:ascii="Arial" w:hAnsi="Arial" w:cs="Arial"/>
        </w:rPr>
        <w:t xml:space="preserve">. . . </w:t>
      </w:r>
      <w:r w:rsidR="0077098D">
        <w:rPr>
          <w:rFonts w:ascii="Arial" w:hAnsi="Arial" w:cs="Arial"/>
        </w:rPr>
        <w:t xml:space="preserve"> </w:t>
      </w:r>
      <w:r w:rsidRPr="00526057">
        <w:rPr>
          <w:rFonts w:ascii="Arial" w:hAnsi="Arial" w:cs="Arial"/>
        </w:rPr>
        <w:t xml:space="preserve">Rules 109 and 110 insofar as they relate to bond holders or local or regional authorities were drafted to ensure adequate protection of their rights as a pre-emptive measure. Fundamental to this is the fact that they must as a first step be notified that the property is to be sold in execution. Non-compliance will defeat the object and intention of the Rules and will lead to a nullity in the case of non-compliance.  Bond holders must be notified in advance, to enable them to exercise the rights offered to them. It is not intended that they should find out </w:t>
      </w:r>
      <w:r w:rsidRPr="00526057">
        <w:rPr>
          <w:rFonts w:ascii="Arial" w:hAnsi="Arial" w:cs="Arial"/>
          <w:i/>
        </w:rPr>
        <w:t>ex post facto</w:t>
      </w:r>
      <w:r w:rsidRPr="00526057">
        <w:rPr>
          <w:rFonts w:ascii="Arial" w:hAnsi="Arial" w:cs="Arial"/>
        </w:rPr>
        <w:t xml:space="preserve"> that a property over which they have rights had been sold</w:t>
      </w:r>
      <w:r>
        <w:rPr>
          <w:rFonts w:ascii="Arial" w:hAnsi="Arial" w:cs="Arial"/>
          <w:sz w:val="24"/>
          <w:szCs w:val="24"/>
        </w:rPr>
        <w:t xml:space="preserve">.’ </w:t>
      </w:r>
    </w:p>
    <w:p w14:paraId="43A46F62" w14:textId="77777777" w:rsidR="00526057" w:rsidRPr="00C162D6" w:rsidRDefault="00526057" w:rsidP="00AC21A0">
      <w:pPr>
        <w:spacing w:after="0" w:line="480" w:lineRule="auto"/>
        <w:ind w:left="567"/>
        <w:jc w:val="both"/>
        <w:rPr>
          <w:rFonts w:ascii="Arial" w:eastAsia="Calibri" w:hAnsi="Arial" w:cs="Times New Roman"/>
          <w:sz w:val="24"/>
          <w:lang w:val="en-ZA"/>
        </w:rPr>
      </w:pPr>
    </w:p>
    <w:p w14:paraId="1651DEB1" w14:textId="221397A2" w:rsidR="008575D6"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[11]</w:t>
      </w:r>
      <w:r>
        <w:rPr>
          <w:rFonts w:ascii="Arial" w:eastAsia="Calibri" w:hAnsi="Arial" w:cs="Times New Roman"/>
          <w:sz w:val="24"/>
          <w:szCs w:val="24"/>
          <w:lang w:val="en-ZA"/>
        </w:rPr>
        <w:tab/>
      </w:r>
      <w:r w:rsidR="009379AA" w:rsidRPr="00CD1873">
        <w:rPr>
          <w:rFonts w:ascii="Arial" w:eastAsia="Calibri" w:hAnsi="Arial" w:cs="Times New Roman"/>
          <w:sz w:val="24"/>
          <w:lang w:val="en-ZA"/>
        </w:rPr>
        <w:t>Mr Harris is aggrieved by the judgment</w:t>
      </w:r>
      <w:r w:rsidR="006A0E72" w:rsidRPr="00CD1873">
        <w:rPr>
          <w:rFonts w:ascii="Arial" w:eastAsia="Calibri" w:hAnsi="Arial" w:cs="Times New Roman"/>
          <w:sz w:val="24"/>
          <w:lang w:val="en-ZA"/>
        </w:rPr>
        <w:t>, hence he has lodged this appeal against the entire judgment</w:t>
      </w:r>
      <w:r w:rsidR="009379AA" w:rsidRPr="00CD1873">
        <w:rPr>
          <w:rFonts w:ascii="Arial" w:eastAsia="Calibri" w:hAnsi="Arial" w:cs="Times New Roman"/>
          <w:sz w:val="24"/>
          <w:lang w:val="en-ZA"/>
        </w:rPr>
        <w:t xml:space="preserve"> and order</w:t>
      </w:r>
      <w:r w:rsidR="00526057" w:rsidRPr="00CD1873">
        <w:rPr>
          <w:rFonts w:ascii="Arial" w:eastAsia="Calibri" w:hAnsi="Arial" w:cs="Times New Roman"/>
          <w:sz w:val="24"/>
          <w:lang w:val="en-ZA"/>
        </w:rPr>
        <w:t>s</w:t>
      </w:r>
      <w:r w:rsidR="009379AA" w:rsidRPr="00CD1873">
        <w:rPr>
          <w:rFonts w:ascii="Arial" w:eastAsia="Calibri" w:hAnsi="Arial" w:cs="Times New Roman"/>
          <w:sz w:val="24"/>
          <w:lang w:val="en-ZA"/>
        </w:rPr>
        <w:t xml:space="preserve"> of the High Court.</w:t>
      </w:r>
    </w:p>
    <w:p w14:paraId="5DD8E8D7" w14:textId="77777777" w:rsidR="009379AA" w:rsidRDefault="009379AA" w:rsidP="00FD4ECB">
      <w:pPr>
        <w:pStyle w:val="ListParagraph"/>
        <w:shd w:val="clear" w:color="auto" w:fill="FFFFFF"/>
        <w:spacing w:after="0" w:line="480" w:lineRule="auto"/>
        <w:ind w:left="0"/>
        <w:jc w:val="both"/>
        <w:rPr>
          <w:rFonts w:ascii="Arial" w:eastAsia="Calibri" w:hAnsi="Arial" w:cs="Times New Roman"/>
          <w:sz w:val="24"/>
          <w:lang w:val="en-ZA"/>
        </w:rPr>
      </w:pPr>
    </w:p>
    <w:p w14:paraId="65697750" w14:textId="7143D0F8" w:rsidR="00A60971" w:rsidRDefault="00A60971" w:rsidP="00FD4ECB">
      <w:pPr>
        <w:pStyle w:val="ListParagraph"/>
        <w:shd w:val="clear" w:color="auto" w:fill="FFFFFF"/>
        <w:spacing w:after="0" w:line="480" w:lineRule="auto"/>
        <w:ind w:left="0"/>
        <w:jc w:val="both"/>
        <w:rPr>
          <w:rFonts w:ascii="Arial" w:eastAsia="Calibri" w:hAnsi="Arial" w:cs="Times New Roman"/>
          <w:sz w:val="24"/>
          <w:lang w:val="en-ZA"/>
        </w:rPr>
      </w:pPr>
      <w:r>
        <w:rPr>
          <w:rFonts w:ascii="Arial" w:eastAsia="Calibri" w:hAnsi="Arial" w:cs="Times New Roman"/>
          <w:sz w:val="24"/>
          <w:u w:val="single"/>
          <w:lang w:val="en-ZA"/>
        </w:rPr>
        <w:t xml:space="preserve">The </w:t>
      </w:r>
      <w:r w:rsidR="00137BA8">
        <w:rPr>
          <w:rFonts w:ascii="Arial" w:eastAsia="Calibri" w:hAnsi="Arial" w:cs="Times New Roman"/>
          <w:sz w:val="24"/>
          <w:u w:val="single"/>
          <w:lang w:val="en-ZA"/>
        </w:rPr>
        <w:t>a</w:t>
      </w:r>
      <w:r w:rsidR="009379AA" w:rsidRPr="009379AA">
        <w:rPr>
          <w:rFonts w:ascii="Arial" w:eastAsia="Calibri" w:hAnsi="Arial" w:cs="Times New Roman"/>
          <w:sz w:val="24"/>
          <w:u w:val="single"/>
          <w:lang w:val="en-ZA"/>
        </w:rPr>
        <w:t>ppeal</w:t>
      </w:r>
    </w:p>
    <w:p w14:paraId="1A1337E5" w14:textId="62B3E94F" w:rsidR="006A0E72" w:rsidRPr="00CD1873" w:rsidRDefault="00CD1873" w:rsidP="00CD1873">
      <w:pPr>
        <w:shd w:val="clear" w:color="auto" w:fill="FFFFFF"/>
        <w:spacing w:after="0" w:line="480" w:lineRule="auto"/>
        <w:ind w:left="709" w:right="-30" w:hanging="709"/>
        <w:jc w:val="both"/>
        <w:rPr>
          <w:rFonts w:ascii="Arial" w:eastAsia="Calibri" w:hAnsi="Arial" w:cs="Times New Roman"/>
          <w:sz w:val="24"/>
          <w:lang w:val="en-ZA"/>
        </w:rPr>
      </w:pPr>
      <w:r>
        <w:rPr>
          <w:rFonts w:ascii="Arial" w:eastAsia="Calibri" w:hAnsi="Arial" w:cs="Times New Roman"/>
          <w:sz w:val="24"/>
          <w:szCs w:val="24"/>
          <w:lang w:val="en-ZA"/>
        </w:rPr>
        <w:t>[12]</w:t>
      </w:r>
      <w:r>
        <w:rPr>
          <w:rFonts w:ascii="Arial" w:eastAsia="Calibri" w:hAnsi="Arial" w:cs="Times New Roman"/>
          <w:sz w:val="24"/>
          <w:szCs w:val="24"/>
          <w:lang w:val="en-ZA"/>
        </w:rPr>
        <w:tab/>
      </w:r>
      <w:r w:rsidR="006A0E72" w:rsidRPr="00CD1873">
        <w:rPr>
          <w:rFonts w:ascii="Arial" w:eastAsia="Calibri" w:hAnsi="Arial" w:cs="Times New Roman"/>
          <w:sz w:val="24"/>
          <w:lang w:val="en-ZA"/>
        </w:rPr>
        <w:t>The grounds o</w:t>
      </w:r>
      <w:r w:rsidR="00142E5B" w:rsidRPr="00CD1873">
        <w:rPr>
          <w:rFonts w:ascii="Arial" w:eastAsia="Calibri" w:hAnsi="Arial" w:cs="Times New Roman"/>
          <w:sz w:val="24"/>
          <w:lang w:val="en-ZA"/>
        </w:rPr>
        <w:t xml:space="preserve">f </w:t>
      </w:r>
      <w:r w:rsidR="006A0E72" w:rsidRPr="00CD1873">
        <w:rPr>
          <w:rFonts w:ascii="Arial" w:eastAsia="Calibri" w:hAnsi="Arial" w:cs="Times New Roman"/>
          <w:sz w:val="24"/>
          <w:lang w:val="en-ZA"/>
        </w:rPr>
        <w:t>appeal are</w:t>
      </w:r>
      <w:r w:rsidR="00142E5B" w:rsidRPr="00CD1873">
        <w:rPr>
          <w:rFonts w:ascii="Arial" w:eastAsia="Calibri" w:hAnsi="Arial" w:cs="Times New Roman"/>
          <w:sz w:val="24"/>
          <w:lang w:val="en-ZA"/>
        </w:rPr>
        <w:t>,</w:t>
      </w:r>
      <w:r w:rsidR="006A0E72" w:rsidRPr="00CD1873">
        <w:rPr>
          <w:rFonts w:ascii="Arial" w:eastAsia="Calibri" w:hAnsi="Arial" w:cs="Times New Roman"/>
          <w:sz w:val="24"/>
          <w:lang w:val="en-ZA"/>
        </w:rPr>
        <w:t xml:space="preserve"> in summary</w:t>
      </w:r>
      <w:r w:rsidR="00142E5B" w:rsidRPr="00CD1873">
        <w:rPr>
          <w:rFonts w:ascii="Arial" w:eastAsia="Calibri" w:hAnsi="Arial" w:cs="Times New Roman"/>
          <w:sz w:val="24"/>
          <w:lang w:val="en-ZA"/>
        </w:rPr>
        <w:t>,</w:t>
      </w:r>
      <w:r w:rsidR="006A0E72" w:rsidRPr="00CD1873">
        <w:rPr>
          <w:rFonts w:ascii="Arial" w:eastAsia="Calibri" w:hAnsi="Arial" w:cs="Times New Roman"/>
          <w:sz w:val="24"/>
          <w:lang w:val="en-ZA"/>
        </w:rPr>
        <w:t xml:space="preserve"> the following.</w:t>
      </w:r>
    </w:p>
    <w:p w14:paraId="4827776E" w14:textId="77777777" w:rsidR="003C28E9" w:rsidRDefault="003C28E9" w:rsidP="003C28E9">
      <w:pPr>
        <w:pStyle w:val="ListParagraph"/>
        <w:shd w:val="clear" w:color="auto" w:fill="FFFFFF"/>
        <w:spacing w:after="0" w:line="480" w:lineRule="auto"/>
        <w:ind w:left="709" w:right="-30"/>
        <w:jc w:val="both"/>
        <w:rPr>
          <w:rFonts w:ascii="Arial" w:eastAsia="Calibri" w:hAnsi="Arial" w:cs="Times New Roman"/>
          <w:sz w:val="24"/>
          <w:lang w:val="en-ZA"/>
        </w:rPr>
      </w:pPr>
    </w:p>
    <w:p w14:paraId="6E53FB05" w14:textId="02EBE004" w:rsidR="00A60971" w:rsidRPr="00CD1873" w:rsidRDefault="00CD1873" w:rsidP="00CD1873">
      <w:pPr>
        <w:shd w:val="clear" w:color="auto" w:fill="FFFFFF"/>
        <w:spacing w:after="0" w:line="480" w:lineRule="auto"/>
        <w:jc w:val="both"/>
        <w:rPr>
          <w:rFonts w:ascii="Arial" w:eastAsia="Calibri" w:hAnsi="Arial" w:cs="Times New Roman"/>
          <w:sz w:val="24"/>
          <w:lang w:val="en-ZA"/>
        </w:rPr>
      </w:pPr>
      <w:r w:rsidRPr="003C28E9">
        <w:rPr>
          <w:rFonts w:ascii="Arial" w:eastAsia="Calibri" w:hAnsi="Arial" w:cs="Times New Roman"/>
          <w:sz w:val="24"/>
          <w:szCs w:val="24"/>
          <w:lang w:val="en-ZA"/>
        </w:rPr>
        <w:t>[13]</w:t>
      </w:r>
      <w:r w:rsidRPr="003C28E9">
        <w:rPr>
          <w:rFonts w:ascii="Arial" w:eastAsia="Calibri" w:hAnsi="Arial" w:cs="Times New Roman"/>
          <w:sz w:val="24"/>
          <w:szCs w:val="24"/>
          <w:lang w:val="en-ZA"/>
        </w:rPr>
        <w:tab/>
      </w:r>
      <w:r w:rsidR="00777F10" w:rsidRPr="00CD1873">
        <w:rPr>
          <w:rFonts w:ascii="Arial" w:eastAsia="Calibri" w:hAnsi="Arial" w:cs="Times New Roman"/>
          <w:sz w:val="24"/>
          <w:lang w:val="en-ZA"/>
        </w:rPr>
        <w:t>The</w:t>
      </w:r>
      <w:r w:rsidR="00FE0845" w:rsidRPr="00CD1873">
        <w:rPr>
          <w:rFonts w:ascii="Arial" w:eastAsia="Calibri" w:hAnsi="Arial" w:cs="Times New Roman"/>
          <w:sz w:val="24"/>
          <w:lang w:val="en-ZA"/>
        </w:rPr>
        <w:t xml:space="preserve"> </w:t>
      </w:r>
      <w:r w:rsidR="001E04D7" w:rsidRPr="00CD1873">
        <w:rPr>
          <w:rFonts w:ascii="Arial" w:eastAsia="Calibri" w:hAnsi="Arial" w:cs="Times New Roman"/>
          <w:sz w:val="24"/>
          <w:lang w:val="en-ZA"/>
        </w:rPr>
        <w:t xml:space="preserve">court </w:t>
      </w:r>
      <w:r w:rsidR="001E04D7" w:rsidRPr="00CD1873">
        <w:rPr>
          <w:rFonts w:ascii="Arial" w:eastAsia="Calibri" w:hAnsi="Arial" w:cs="Times New Roman"/>
          <w:i/>
          <w:sz w:val="24"/>
          <w:lang w:val="en-ZA"/>
        </w:rPr>
        <w:t>a quo</w:t>
      </w:r>
      <w:r w:rsidR="009123D2" w:rsidRPr="00CD1873">
        <w:rPr>
          <w:rFonts w:ascii="Arial" w:eastAsia="Calibri" w:hAnsi="Arial" w:cs="Times New Roman"/>
          <w:sz w:val="24"/>
          <w:lang w:val="en-ZA"/>
        </w:rPr>
        <w:t xml:space="preserve"> failed </w:t>
      </w:r>
      <w:r w:rsidR="00A60971" w:rsidRPr="00CD1873">
        <w:rPr>
          <w:rFonts w:ascii="Arial" w:eastAsia="Calibri" w:hAnsi="Arial" w:cs="Times New Roman"/>
          <w:sz w:val="24"/>
          <w:lang w:val="en-ZA"/>
        </w:rPr>
        <w:t xml:space="preserve">to </w:t>
      </w:r>
      <w:r w:rsidR="00142E5B" w:rsidRPr="00CD1873">
        <w:rPr>
          <w:rFonts w:ascii="Arial" w:eastAsia="Calibri" w:hAnsi="Arial" w:cs="Times New Roman"/>
          <w:sz w:val="24"/>
          <w:lang w:val="en-ZA"/>
        </w:rPr>
        <w:t>consider</w:t>
      </w:r>
      <w:r w:rsidR="009123D2" w:rsidRPr="00CD1873">
        <w:rPr>
          <w:rFonts w:ascii="Arial" w:eastAsia="Calibri" w:hAnsi="Arial" w:cs="Times New Roman"/>
          <w:sz w:val="24"/>
          <w:lang w:val="en-ZA"/>
        </w:rPr>
        <w:t xml:space="preserve"> that the relief sought by Old Mutual Life con</w:t>
      </w:r>
      <w:r w:rsidR="004728DF" w:rsidRPr="00CD1873">
        <w:rPr>
          <w:rFonts w:ascii="Arial" w:eastAsia="Calibri" w:hAnsi="Arial" w:cs="Times New Roman"/>
          <w:sz w:val="24"/>
          <w:lang w:val="en-ZA"/>
        </w:rPr>
        <w:t xml:space="preserve">stituted a review and that </w:t>
      </w:r>
      <w:r w:rsidR="00142E5B" w:rsidRPr="00CD1873">
        <w:rPr>
          <w:rFonts w:ascii="Arial" w:eastAsia="Calibri" w:hAnsi="Arial" w:cs="Times New Roman"/>
          <w:sz w:val="24"/>
          <w:lang w:val="en-ZA"/>
        </w:rPr>
        <w:t xml:space="preserve">as such, it </w:t>
      </w:r>
      <w:r w:rsidR="009123D2" w:rsidRPr="00CD1873">
        <w:rPr>
          <w:rFonts w:ascii="Arial" w:eastAsia="Calibri" w:hAnsi="Arial" w:cs="Times New Roman"/>
          <w:sz w:val="24"/>
          <w:lang w:val="en-ZA"/>
        </w:rPr>
        <w:t xml:space="preserve">was obliged to exercise a discretion </w:t>
      </w:r>
      <w:r w:rsidR="00142E5B" w:rsidRPr="00CD1873">
        <w:rPr>
          <w:rFonts w:ascii="Arial" w:eastAsia="Calibri" w:hAnsi="Arial" w:cs="Times New Roman"/>
          <w:sz w:val="24"/>
          <w:lang w:val="en-ZA"/>
        </w:rPr>
        <w:t xml:space="preserve">taking into account </w:t>
      </w:r>
      <w:r w:rsidR="009123D2" w:rsidRPr="00CD1873">
        <w:rPr>
          <w:rFonts w:ascii="Arial" w:eastAsia="Calibri" w:hAnsi="Arial" w:cs="Times New Roman"/>
          <w:sz w:val="24"/>
          <w:lang w:val="en-ZA"/>
        </w:rPr>
        <w:t>all relevant legal and factual circumstances, including the question of prejudice suffered by any party</w:t>
      </w:r>
      <w:r w:rsidR="004728DF" w:rsidRPr="00CD1873">
        <w:rPr>
          <w:rFonts w:ascii="Arial" w:eastAsia="Calibri" w:hAnsi="Arial" w:cs="Times New Roman"/>
          <w:sz w:val="24"/>
          <w:lang w:val="en-ZA"/>
        </w:rPr>
        <w:t>,</w:t>
      </w:r>
      <w:r w:rsidR="009123D2" w:rsidRPr="00CD1873">
        <w:rPr>
          <w:rFonts w:ascii="Arial" w:eastAsia="Calibri" w:hAnsi="Arial" w:cs="Times New Roman"/>
          <w:sz w:val="24"/>
          <w:lang w:val="en-ZA"/>
        </w:rPr>
        <w:t xml:space="preserve"> even if there were non-compliances with </w:t>
      </w:r>
      <w:r w:rsidR="00142E5B" w:rsidRPr="00CD1873">
        <w:rPr>
          <w:rFonts w:ascii="Arial" w:eastAsia="Calibri" w:hAnsi="Arial" w:cs="Times New Roman"/>
          <w:sz w:val="24"/>
          <w:lang w:val="en-ZA"/>
        </w:rPr>
        <w:t xml:space="preserve">applicable </w:t>
      </w:r>
      <w:r w:rsidR="009123D2" w:rsidRPr="00CD1873">
        <w:rPr>
          <w:rFonts w:ascii="Arial" w:eastAsia="Calibri" w:hAnsi="Arial" w:cs="Times New Roman"/>
          <w:sz w:val="24"/>
          <w:lang w:val="en-ZA"/>
        </w:rPr>
        <w:t>rules.</w:t>
      </w:r>
    </w:p>
    <w:p w14:paraId="26D1DCD0" w14:textId="77777777" w:rsidR="00F30FCF" w:rsidRDefault="00F30FCF" w:rsidP="00FD4ECB">
      <w:pPr>
        <w:pStyle w:val="ListParagraph"/>
        <w:shd w:val="clear" w:color="auto" w:fill="FFFFFF"/>
        <w:spacing w:after="0" w:line="480" w:lineRule="auto"/>
        <w:ind w:left="0"/>
        <w:jc w:val="both"/>
        <w:rPr>
          <w:rFonts w:ascii="Arial" w:eastAsia="Calibri" w:hAnsi="Arial" w:cs="Times New Roman"/>
          <w:sz w:val="24"/>
          <w:lang w:val="en-ZA"/>
        </w:rPr>
      </w:pPr>
    </w:p>
    <w:p w14:paraId="5C10E3EA" w14:textId="286E727E" w:rsidR="00A60971"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[14]</w:t>
      </w:r>
      <w:r>
        <w:rPr>
          <w:rFonts w:ascii="Arial" w:eastAsia="Calibri" w:hAnsi="Arial" w:cs="Times New Roman"/>
          <w:sz w:val="24"/>
          <w:szCs w:val="24"/>
          <w:lang w:val="en-ZA"/>
        </w:rPr>
        <w:tab/>
      </w:r>
      <w:r w:rsidR="009123D2" w:rsidRPr="00CD1873">
        <w:rPr>
          <w:rFonts w:ascii="Arial" w:eastAsia="Calibri" w:hAnsi="Arial" w:cs="Times New Roman"/>
          <w:sz w:val="24"/>
          <w:lang w:val="en-ZA"/>
        </w:rPr>
        <w:t xml:space="preserve">The </w:t>
      </w:r>
      <w:r w:rsidR="00B06F1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7D404E" w:rsidRPr="00CD1873">
        <w:rPr>
          <w:rFonts w:ascii="Arial" w:eastAsia="Calibri" w:hAnsi="Arial" w:cs="Times New Roman"/>
          <w:sz w:val="24"/>
          <w:lang w:val="en-ZA"/>
        </w:rPr>
        <w:t xml:space="preserve"> further </w:t>
      </w:r>
      <w:r w:rsidR="009123D2" w:rsidRPr="00CD1873">
        <w:rPr>
          <w:rFonts w:ascii="Arial" w:eastAsia="Calibri" w:hAnsi="Arial" w:cs="Times New Roman"/>
          <w:sz w:val="24"/>
          <w:lang w:val="en-ZA"/>
        </w:rPr>
        <w:t xml:space="preserve">failed to </w:t>
      </w:r>
      <w:r w:rsidR="00A60971" w:rsidRPr="00CD1873">
        <w:rPr>
          <w:rFonts w:ascii="Arial" w:eastAsia="Calibri" w:hAnsi="Arial" w:cs="Times New Roman"/>
          <w:sz w:val="24"/>
          <w:lang w:val="en-ZA"/>
        </w:rPr>
        <w:t>adopt a</w:t>
      </w:r>
      <w:r w:rsidR="009123D2" w:rsidRPr="00CD1873">
        <w:rPr>
          <w:rFonts w:ascii="Arial" w:eastAsia="Calibri" w:hAnsi="Arial" w:cs="Times New Roman"/>
          <w:sz w:val="24"/>
          <w:lang w:val="en-ZA"/>
        </w:rPr>
        <w:t xml:space="preserve"> flexible approach to the proper construction of rules 109 </w:t>
      </w:r>
      <w:r w:rsidR="00A60971" w:rsidRPr="00CD1873">
        <w:rPr>
          <w:rFonts w:ascii="Arial" w:eastAsia="Calibri" w:hAnsi="Arial" w:cs="Times New Roman"/>
          <w:sz w:val="24"/>
          <w:lang w:val="en-ZA"/>
        </w:rPr>
        <w:t>and 110 and the consequences</w:t>
      </w:r>
      <w:r w:rsidR="00142E5B" w:rsidRPr="00CD1873">
        <w:rPr>
          <w:rFonts w:ascii="Arial" w:eastAsia="Calibri" w:hAnsi="Arial" w:cs="Times New Roman"/>
          <w:sz w:val="24"/>
          <w:lang w:val="en-ZA"/>
        </w:rPr>
        <w:t>,</w:t>
      </w:r>
      <w:r w:rsidR="00A60971" w:rsidRPr="00CD1873">
        <w:rPr>
          <w:rFonts w:ascii="Arial" w:eastAsia="Calibri" w:hAnsi="Arial" w:cs="Times New Roman"/>
          <w:sz w:val="24"/>
          <w:lang w:val="en-ZA"/>
        </w:rPr>
        <w:t xml:space="preserve"> if any</w:t>
      </w:r>
      <w:r w:rsidR="004728DF" w:rsidRPr="00CD1873">
        <w:rPr>
          <w:rFonts w:ascii="Arial" w:eastAsia="Calibri" w:hAnsi="Arial" w:cs="Times New Roman"/>
          <w:sz w:val="24"/>
          <w:lang w:val="en-ZA"/>
        </w:rPr>
        <w:t>,</w:t>
      </w:r>
      <w:r w:rsidR="009123D2" w:rsidRPr="00CD1873">
        <w:rPr>
          <w:rFonts w:ascii="Arial" w:eastAsia="Calibri" w:hAnsi="Arial" w:cs="Times New Roman"/>
          <w:sz w:val="24"/>
          <w:lang w:val="en-ZA"/>
        </w:rPr>
        <w:t xml:space="preserve"> flowing from any non-compliance with </w:t>
      </w:r>
      <w:r w:rsidR="00142E5B" w:rsidRPr="00CD1873">
        <w:rPr>
          <w:rFonts w:ascii="Arial" w:eastAsia="Calibri" w:hAnsi="Arial" w:cs="Times New Roman"/>
          <w:sz w:val="24"/>
          <w:lang w:val="en-ZA"/>
        </w:rPr>
        <w:t xml:space="preserve">those </w:t>
      </w:r>
      <w:r w:rsidR="009123D2" w:rsidRPr="00CD1873">
        <w:rPr>
          <w:rFonts w:ascii="Arial" w:eastAsia="Calibri" w:hAnsi="Arial" w:cs="Times New Roman"/>
          <w:sz w:val="24"/>
          <w:lang w:val="en-ZA"/>
        </w:rPr>
        <w:t>rule</w:t>
      </w:r>
      <w:r w:rsidR="00A60971" w:rsidRPr="00CD1873">
        <w:rPr>
          <w:rFonts w:ascii="Arial" w:eastAsia="Calibri" w:hAnsi="Arial" w:cs="Times New Roman"/>
          <w:sz w:val="24"/>
          <w:lang w:val="en-ZA"/>
        </w:rPr>
        <w:t>s</w:t>
      </w:r>
      <w:r w:rsidR="009123D2" w:rsidRPr="00CD1873">
        <w:rPr>
          <w:rFonts w:ascii="Arial" w:eastAsia="Calibri" w:hAnsi="Arial" w:cs="Times New Roman"/>
          <w:sz w:val="24"/>
          <w:lang w:val="en-ZA"/>
        </w:rPr>
        <w:t>.</w:t>
      </w:r>
    </w:p>
    <w:p w14:paraId="0F04655F" w14:textId="77777777" w:rsidR="00A60971" w:rsidRPr="00A60971" w:rsidRDefault="00A60971" w:rsidP="00FD4ECB">
      <w:pPr>
        <w:pStyle w:val="ListParagraph"/>
        <w:spacing w:after="0" w:line="480" w:lineRule="auto"/>
        <w:rPr>
          <w:rFonts w:ascii="Arial" w:eastAsia="Calibri" w:hAnsi="Arial" w:cs="Times New Roman"/>
          <w:sz w:val="24"/>
          <w:lang w:val="en-ZA"/>
        </w:rPr>
      </w:pPr>
    </w:p>
    <w:p w14:paraId="36B1AD6D" w14:textId="60C3962D" w:rsidR="00BC7001"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[15]</w:t>
      </w:r>
      <w:r>
        <w:rPr>
          <w:rFonts w:ascii="Arial" w:eastAsia="Calibri" w:hAnsi="Arial" w:cs="Times New Roman"/>
          <w:sz w:val="24"/>
          <w:szCs w:val="24"/>
          <w:lang w:val="en-ZA"/>
        </w:rPr>
        <w:tab/>
      </w:r>
      <w:r w:rsidR="00BC7001" w:rsidRPr="00CD1873">
        <w:rPr>
          <w:rFonts w:ascii="Arial" w:eastAsia="Calibri" w:hAnsi="Arial" w:cs="Times New Roman"/>
          <w:sz w:val="24"/>
          <w:lang w:val="en-ZA"/>
        </w:rPr>
        <w:t xml:space="preserve">The </w:t>
      </w:r>
      <w:r w:rsidR="00B06F1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BC7001" w:rsidRPr="00CD1873">
        <w:rPr>
          <w:rFonts w:ascii="Arial" w:eastAsia="Calibri" w:hAnsi="Arial" w:cs="Times New Roman"/>
          <w:sz w:val="24"/>
          <w:lang w:val="en-ZA"/>
        </w:rPr>
        <w:t xml:space="preserve"> should, on the basis of correspondence between Etzold-Duvenhage and </w:t>
      </w:r>
      <w:r w:rsidR="00142E5B" w:rsidRPr="00CD1873">
        <w:rPr>
          <w:rFonts w:ascii="Arial" w:eastAsia="Calibri" w:hAnsi="Arial" w:cs="Times New Roman"/>
          <w:sz w:val="24"/>
          <w:lang w:val="en-ZA"/>
        </w:rPr>
        <w:t xml:space="preserve">Mr </w:t>
      </w:r>
      <w:r w:rsidR="00BC7001" w:rsidRPr="00CD1873">
        <w:rPr>
          <w:rFonts w:ascii="Arial" w:eastAsia="Calibri" w:hAnsi="Arial" w:cs="Times New Roman"/>
          <w:sz w:val="24"/>
          <w:lang w:val="en-ZA"/>
        </w:rPr>
        <w:t>Harris’ then legal practitioners</w:t>
      </w:r>
      <w:r w:rsidR="00F30FCF" w:rsidRPr="00CD1873">
        <w:rPr>
          <w:rFonts w:ascii="Arial" w:eastAsia="Calibri" w:hAnsi="Arial" w:cs="Times New Roman"/>
          <w:sz w:val="24"/>
          <w:lang w:val="en-ZA"/>
        </w:rPr>
        <w:t>,</w:t>
      </w:r>
      <w:r w:rsidR="00BC7001" w:rsidRPr="00CD1873">
        <w:rPr>
          <w:rFonts w:ascii="Arial" w:eastAsia="Calibri" w:hAnsi="Arial" w:cs="Times New Roman"/>
          <w:sz w:val="24"/>
          <w:lang w:val="en-ZA"/>
        </w:rPr>
        <w:t xml:space="preserve"> have</w:t>
      </w:r>
      <w:r w:rsidR="00F30FCF" w:rsidRPr="00CD1873">
        <w:rPr>
          <w:rFonts w:ascii="Arial" w:eastAsia="Calibri" w:hAnsi="Arial" w:cs="Times New Roman"/>
          <w:sz w:val="24"/>
          <w:lang w:val="en-ZA"/>
        </w:rPr>
        <w:t xml:space="preserve"> found that</w:t>
      </w:r>
      <w:r w:rsidR="00BC7001" w:rsidRPr="00CD1873">
        <w:rPr>
          <w:rFonts w:ascii="Arial" w:eastAsia="Calibri" w:hAnsi="Arial" w:cs="Times New Roman"/>
          <w:sz w:val="24"/>
          <w:lang w:val="en-ZA"/>
        </w:rPr>
        <w:t xml:space="preserve"> Old Mutual Life had acquiesced and agreed that the property be transferred to Mr Harris despite the alleged non-compliance with </w:t>
      </w:r>
      <w:r w:rsidR="003C28E9" w:rsidRPr="00CD1873">
        <w:rPr>
          <w:rFonts w:ascii="Arial" w:eastAsia="Calibri" w:hAnsi="Arial" w:cs="Times New Roman"/>
          <w:sz w:val="24"/>
          <w:lang w:val="en-ZA"/>
        </w:rPr>
        <w:t xml:space="preserve">the </w:t>
      </w:r>
      <w:r w:rsidR="00142E5B" w:rsidRPr="00CD1873">
        <w:rPr>
          <w:rFonts w:ascii="Arial" w:eastAsia="Calibri" w:hAnsi="Arial" w:cs="Times New Roman"/>
          <w:sz w:val="24"/>
          <w:lang w:val="en-ZA"/>
        </w:rPr>
        <w:t xml:space="preserve">relevant </w:t>
      </w:r>
      <w:r w:rsidR="00BC7001" w:rsidRPr="00CD1873">
        <w:rPr>
          <w:rFonts w:ascii="Arial" w:eastAsia="Calibri" w:hAnsi="Arial" w:cs="Times New Roman"/>
          <w:sz w:val="24"/>
          <w:lang w:val="en-ZA"/>
        </w:rPr>
        <w:t xml:space="preserve">rules. </w:t>
      </w:r>
    </w:p>
    <w:p w14:paraId="5957061D" w14:textId="77777777" w:rsidR="00BC7001" w:rsidRPr="00BC7001" w:rsidRDefault="00BC7001" w:rsidP="00FD4ECB">
      <w:pPr>
        <w:pStyle w:val="ListParagraph"/>
        <w:spacing w:after="0" w:line="480" w:lineRule="auto"/>
        <w:rPr>
          <w:rFonts w:ascii="Arial" w:eastAsia="Calibri" w:hAnsi="Arial" w:cs="Times New Roman"/>
          <w:sz w:val="24"/>
          <w:lang w:val="en-ZA"/>
        </w:rPr>
      </w:pPr>
    </w:p>
    <w:p w14:paraId="7A92665D" w14:textId="72F5ABFC" w:rsidR="009123D2"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[16]</w:t>
      </w:r>
      <w:r>
        <w:rPr>
          <w:rFonts w:ascii="Arial" w:eastAsia="Calibri" w:hAnsi="Arial" w:cs="Times New Roman"/>
          <w:sz w:val="24"/>
          <w:szCs w:val="24"/>
          <w:lang w:val="en-ZA"/>
        </w:rPr>
        <w:tab/>
      </w:r>
      <w:r w:rsidR="009123D2" w:rsidRPr="00CD1873">
        <w:rPr>
          <w:rFonts w:ascii="Arial" w:eastAsia="Calibri" w:hAnsi="Arial" w:cs="Times New Roman"/>
          <w:sz w:val="24"/>
          <w:lang w:val="en-ZA"/>
        </w:rPr>
        <w:t xml:space="preserve">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F4777F" w:rsidRPr="00CD1873">
        <w:rPr>
          <w:rFonts w:ascii="Arial" w:eastAsia="Calibri" w:hAnsi="Arial" w:cs="Times New Roman"/>
          <w:sz w:val="24"/>
          <w:lang w:val="en-ZA"/>
        </w:rPr>
        <w:t xml:space="preserve"> </w:t>
      </w:r>
      <w:r w:rsidR="00A60971" w:rsidRPr="00CD1873">
        <w:rPr>
          <w:rFonts w:ascii="Arial" w:eastAsia="Calibri" w:hAnsi="Arial" w:cs="Times New Roman"/>
          <w:sz w:val="24"/>
          <w:lang w:val="en-ZA"/>
        </w:rPr>
        <w:t xml:space="preserve">further </w:t>
      </w:r>
      <w:r w:rsidR="009123D2" w:rsidRPr="00CD1873">
        <w:rPr>
          <w:rFonts w:ascii="Arial" w:eastAsia="Calibri" w:hAnsi="Arial" w:cs="Times New Roman"/>
          <w:sz w:val="24"/>
          <w:lang w:val="en-ZA"/>
        </w:rPr>
        <w:t>erred by not finding that</w:t>
      </w:r>
      <w:r w:rsidR="00F4777F" w:rsidRPr="00CD1873">
        <w:rPr>
          <w:rFonts w:ascii="Arial" w:eastAsia="Calibri" w:hAnsi="Arial" w:cs="Times New Roman"/>
          <w:sz w:val="24"/>
          <w:lang w:val="en-ZA"/>
        </w:rPr>
        <w:t>,</w:t>
      </w:r>
      <w:r w:rsidR="009123D2" w:rsidRPr="00CD1873">
        <w:rPr>
          <w:rFonts w:ascii="Arial" w:eastAsia="Calibri" w:hAnsi="Arial" w:cs="Times New Roman"/>
          <w:sz w:val="24"/>
          <w:lang w:val="en-ZA"/>
        </w:rPr>
        <w:t xml:space="preserve"> d</w:t>
      </w:r>
      <w:r w:rsidR="001C508E" w:rsidRPr="00CD1873">
        <w:rPr>
          <w:rFonts w:ascii="Arial" w:eastAsia="Calibri" w:hAnsi="Arial" w:cs="Times New Roman"/>
          <w:sz w:val="24"/>
          <w:lang w:val="en-ZA"/>
        </w:rPr>
        <w:t>espite the fact that rules 109 and</w:t>
      </w:r>
      <w:r w:rsidR="009123D2" w:rsidRPr="00CD1873">
        <w:rPr>
          <w:rFonts w:ascii="Arial" w:eastAsia="Calibri" w:hAnsi="Arial" w:cs="Times New Roman"/>
          <w:sz w:val="24"/>
          <w:lang w:val="en-ZA"/>
        </w:rPr>
        <w:t xml:space="preserve"> 110 </w:t>
      </w:r>
      <w:r w:rsidR="001C508E" w:rsidRPr="00CD1873">
        <w:rPr>
          <w:rFonts w:ascii="Arial" w:eastAsia="Calibri" w:hAnsi="Arial" w:cs="Times New Roman"/>
          <w:sz w:val="24"/>
          <w:lang w:val="en-ZA"/>
        </w:rPr>
        <w:t>were peremptory,</w:t>
      </w:r>
      <w:r w:rsidR="00A60971" w:rsidRPr="00CD1873">
        <w:rPr>
          <w:rFonts w:ascii="Arial" w:eastAsia="Calibri" w:hAnsi="Arial" w:cs="Times New Roman"/>
          <w:sz w:val="24"/>
          <w:lang w:val="en-ZA"/>
        </w:rPr>
        <w:t xml:space="preserve"> there were</w:t>
      </w:r>
      <w:r w:rsidR="001C508E" w:rsidRPr="00CD1873">
        <w:rPr>
          <w:rFonts w:ascii="Arial" w:eastAsia="Calibri" w:hAnsi="Arial" w:cs="Times New Roman"/>
          <w:sz w:val="24"/>
          <w:lang w:val="en-ZA"/>
        </w:rPr>
        <w:t>,</w:t>
      </w:r>
      <w:r w:rsidR="00A60971" w:rsidRPr="00CD1873">
        <w:rPr>
          <w:rFonts w:ascii="Arial" w:eastAsia="Calibri" w:hAnsi="Arial" w:cs="Times New Roman"/>
          <w:sz w:val="24"/>
          <w:lang w:val="en-ZA"/>
        </w:rPr>
        <w:t xml:space="preserve"> on the facts of this matter</w:t>
      </w:r>
      <w:r w:rsidR="001C508E" w:rsidRPr="00CD1873">
        <w:rPr>
          <w:rFonts w:ascii="Arial" w:eastAsia="Calibri" w:hAnsi="Arial" w:cs="Times New Roman"/>
          <w:sz w:val="24"/>
          <w:lang w:val="en-ZA"/>
        </w:rPr>
        <w:t>,</w:t>
      </w:r>
      <w:r w:rsidR="00A60971" w:rsidRPr="00CD1873">
        <w:rPr>
          <w:rFonts w:ascii="Arial" w:eastAsia="Calibri" w:hAnsi="Arial" w:cs="Times New Roman"/>
          <w:sz w:val="24"/>
          <w:lang w:val="en-ZA"/>
        </w:rPr>
        <w:t xml:space="preserve"> substantial compliance</w:t>
      </w:r>
      <w:r w:rsidR="00691A25" w:rsidRPr="00CD1873">
        <w:rPr>
          <w:rFonts w:ascii="Arial" w:eastAsia="Calibri" w:hAnsi="Arial" w:cs="Times New Roman"/>
          <w:sz w:val="24"/>
          <w:lang w:val="en-ZA"/>
        </w:rPr>
        <w:t>s</w:t>
      </w:r>
      <w:r w:rsidR="00A60971" w:rsidRPr="00CD1873">
        <w:rPr>
          <w:rFonts w:ascii="Arial" w:eastAsia="Calibri" w:hAnsi="Arial" w:cs="Times New Roman"/>
          <w:sz w:val="24"/>
          <w:lang w:val="en-ZA"/>
        </w:rPr>
        <w:t xml:space="preserve"> with the rules</w:t>
      </w:r>
      <w:r w:rsidR="003C28E9" w:rsidRPr="00CD1873">
        <w:rPr>
          <w:rFonts w:ascii="Arial" w:eastAsia="Calibri" w:hAnsi="Arial" w:cs="Times New Roman"/>
          <w:sz w:val="24"/>
          <w:lang w:val="en-ZA"/>
        </w:rPr>
        <w:t>,</w:t>
      </w:r>
      <w:r w:rsidR="00A60971" w:rsidRPr="00CD1873">
        <w:rPr>
          <w:rFonts w:ascii="Arial" w:eastAsia="Calibri" w:hAnsi="Arial" w:cs="Times New Roman"/>
          <w:sz w:val="24"/>
          <w:lang w:val="en-ZA"/>
        </w:rPr>
        <w:t xml:space="preserve"> the purpose of </w:t>
      </w:r>
      <w:r w:rsidR="00142E5B" w:rsidRPr="00CD1873">
        <w:rPr>
          <w:rFonts w:ascii="Arial" w:eastAsia="Calibri" w:hAnsi="Arial" w:cs="Times New Roman"/>
          <w:sz w:val="24"/>
          <w:lang w:val="en-ZA"/>
        </w:rPr>
        <w:t xml:space="preserve">which </w:t>
      </w:r>
      <w:r w:rsidR="00F30FCF" w:rsidRPr="00CD1873">
        <w:rPr>
          <w:rFonts w:ascii="Arial" w:eastAsia="Calibri" w:hAnsi="Arial" w:cs="Times New Roman"/>
          <w:sz w:val="24"/>
          <w:lang w:val="en-ZA"/>
        </w:rPr>
        <w:t xml:space="preserve">would not </w:t>
      </w:r>
      <w:r w:rsidR="00A60971" w:rsidRPr="00CD1873">
        <w:rPr>
          <w:rFonts w:ascii="Arial" w:eastAsia="Calibri" w:hAnsi="Arial" w:cs="Times New Roman"/>
          <w:sz w:val="24"/>
          <w:lang w:val="en-ZA"/>
        </w:rPr>
        <w:t xml:space="preserve">be defeated if the relief sought by Old Mutual Life was </w:t>
      </w:r>
      <w:r w:rsidR="00142E5B" w:rsidRPr="00CD1873">
        <w:rPr>
          <w:rFonts w:ascii="Arial" w:eastAsia="Calibri" w:hAnsi="Arial" w:cs="Times New Roman"/>
          <w:sz w:val="24"/>
          <w:lang w:val="en-ZA"/>
        </w:rPr>
        <w:t>refused</w:t>
      </w:r>
      <w:r w:rsidR="00A60971" w:rsidRPr="00CD1873">
        <w:rPr>
          <w:rFonts w:ascii="Arial" w:eastAsia="Calibri" w:hAnsi="Arial" w:cs="Times New Roman"/>
          <w:sz w:val="24"/>
          <w:lang w:val="en-ZA"/>
        </w:rPr>
        <w:t>.</w:t>
      </w:r>
    </w:p>
    <w:p w14:paraId="5D6E0A33" w14:textId="77777777" w:rsidR="00A60971" w:rsidRPr="00A60971" w:rsidRDefault="00A60971" w:rsidP="00FD4ECB">
      <w:pPr>
        <w:pStyle w:val="ListParagraph"/>
        <w:spacing w:after="0" w:line="480" w:lineRule="auto"/>
        <w:rPr>
          <w:rFonts w:ascii="Arial" w:eastAsia="Calibri" w:hAnsi="Arial" w:cs="Times New Roman"/>
          <w:sz w:val="24"/>
          <w:lang w:val="en-ZA"/>
        </w:rPr>
      </w:pPr>
    </w:p>
    <w:p w14:paraId="618A2FA6" w14:textId="46F91738" w:rsidR="00A60971"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[17]</w:t>
      </w:r>
      <w:r>
        <w:rPr>
          <w:rFonts w:ascii="Arial" w:eastAsia="Calibri" w:hAnsi="Arial" w:cs="Times New Roman"/>
          <w:sz w:val="24"/>
          <w:szCs w:val="24"/>
          <w:lang w:val="en-ZA"/>
        </w:rPr>
        <w:tab/>
      </w:r>
      <w:r w:rsidR="00A60971" w:rsidRPr="00CD1873">
        <w:rPr>
          <w:rFonts w:ascii="Arial" w:eastAsia="Calibri" w:hAnsi="Arial" w:cs="Times New Roman"/>
          <w:sz w:val="24"/>
          <w:lang w:val="en-ZA"/>
        </w:rPr>
        <w:t>Mr H</w:t>
      </w:r>
      <w:r w:rsidR="00526057" w:rsidRPr="00CD1873">
        <w:rPr>
          <w:rFonts w:ascii="Arial" w:eastAsia="Calibri" w:hAnsi="Arial" w:cs="Times New Roman"/>
          <w:sz w:val="24"/>
          <w:lang w:val="en-ZA"/>
        </w:rPr>
        <w:t xml:space="preserve">arris further </w:t>
      </w:r>
      <w:r w:rsidR="00142E5B" w:rsidRPr="00CD1873">
        <w:rPr>
          <w:rFonts w:ascii="Arial" w:eastAsia="Calibri" w:hAnsi="Arial" w:cs="Times New Roman"/>
          <w:sz w:val="24"/>
          <w:lang w:val="en-ZA"/>
        </w:rPr>
        <w:t xml:space="preserve">contended </w:t>
      </w:r>
      <w:r w:rsidR="00A60971" w:rsidRPr="00CD1873">
        <w:rPr>
          <w:rFonts w:ascii="Arial" w:eastAsia="Calibri" w:hAnsi="Arial" w:cs="Times New Roman"/>
          <w:sz w:val="24"/>
          <w:lang w:val="en-ZA"/>
        </w:rPr>
        <w:t xml:space="preserve">that </w:t>
      </w:r>
      <w:r w:rsidR="00526057" w:rsidRPr="00CD1873">
        <w:rPr>
          <w:rFonts w:ascii="Arial" w:eastAsia="Calibri" w:hAnsi="Arial" w:cs="Times New Roman"/>
          <w:sz w:val="24"/>
          <w:lang w:val="en-ZA"/>
        </w:rPr>
        <w:t xml:space="preserve">the </w:t>
      </w:r>
      <w:r w:rsidR="001E04D7" w:rsidRPr="00CD1873">
        <w:rPr>
          <w:rFonts w:ascii="Arial" w:eastAsia="Calibri" w:hAnsi="Arial" w:cs="Times New Roman"/>
          <w:sz w:val="24"/>
          <w:lang w:val="en-ZA"/>
        </w:rPr>
        <w:t xml:space="preserve">court </w:t>
      </w:r>
      <w:r w:rsidR="001E04D7" w:rsidRPr="00CD1873">
        <w:rPr>
          <w:rFonts w:ascii="Arial" w:eastAsia="Calibri" w:hAnsi="Arial" w:cs="Times New Roman"/>
          <w:i/>
          <w:sz w:val="24"/>
          <w:lang w:val="en-ZA"/>
        </w:rPr>
        <w:t>a quo</w:t>
      </w:r>
      <w:r w:rsidR="00526057" w:rsidRPr="00CD1873">
        <w:rPr>
          <w:rFonts w:ascii="Arial" w:eastAsia="Calibri" w:hAnsi="Arial" w:cs="Times New Roman"/>
          <w:sz w:val="24"/>
          <w:lang w:val="en-ZA"/>
        </w:rPr>
        <w:t xml:space="preserve"> failed to give sufficient consideration to the affidavit of Mr Taswald Theo July, an authorised representative of FNB, who confirmed that the debt underlying the mortgage bond registered over </w:t>
      </w:r>
      <w:r w:rsidR="00526057" w:rsidRPr="00CD1873">
        <w:rPr>
          <w:rFonts w:ascii="Arial" w:eastAsia="Calibri" w:hAnsi="Arial" w:cs="Times New Roman"/>
          <w:sz w:val="24"/>
          <w:lang w:val="en-ZA"/>
        </w:rPr>
        <w:lastRenderedPageBreak/>
        <w:t xml:space="preserve">the property </w:t>
      </w:r>
      <w:r w:rsidR="00A64952" w:rsidRPr="00CD1873">
        <w:rPr>
          <w:rFonts w:ascii="Arial" w:eastAsia="Calibri" w:hAnsi="Arial" w:cs="Times New Roman"/>
          <w:sz w:val="24"/>
          <w:lang w:val="en-ZA"/>
        </w:rPr>
        <w:t>was</w:t>
      </w:r>
      <w:r w:rsidR="00526057" w:rsidRPr="00CD1873">
        <w:rPr>
          <w:rFonts w:ascii="Arial" w:eastAsia="Calibri" w:hAnsi="Arial" w:cs="Times New Roman"/>
          <w:sz w:val="24"/>
          <w:lang w:val="en-ZA"/>
        </w:rPr>
        <w:t xml:space="preserve"> extinguished by its payment and that FNB was therefore no longer a preferrent creditor.</w:t>
      </w:r>
    </w:p>
    <w:p w14:paraId="0D52ED71" w14:textId="77777777" w:rsidR="00526057" w:rsidRPr="00526057" w:rsidRDefault="00526057" w:rsidP="00FD4ECB">
      <w:pPr>
        <w:pStyle w:val="ListParagraph"/>
        <w:spacing w:after="0" w:line="480" w:lineRule="auto"/>
        <w:rPr>
          <w:rFonts w:ascii="Arial" w:eastAsia="Calibri" w:hAnsi="Arial" w:cs="Times New Roman"/>
          <w:sz w:val="24"/>
          <w:lang w:val="en-ZA"/>
        </w:rPr>
      </w:pPr>
    </w:p>
    <w:p w14:paraId="416BBE60" w14:textId="17F41B1A" w:rsidR="00A64952" w:rsidRPr="00CD1873" w:rsidRDefault="00CD1873" w:rsidP="00CD1873">
      <w:pPr>
        <w:shd w:val="clear" w:color="auto" w:fill="FFFFFF"/>
        <w:spacing w:after="0" w:line="480" w:lineRule="auto"/>
        <w:jc w:val="both"/>
        <w:rPr>
          <w:rFonts w:ascii="Arial" w:eastAsia="Calibri" w:hAnsi="Arial" w:cs="Times New Roman"/>
          <w:sz w:val="24"/>
          <w:lang w:val="en-ZA"/>
        </w:rPr>
      </w:pPr>
      <w:r w:rsidRPr="00C814AC">
        <w:rPr>
          <w:rFonts w:ascii="Arial" w:eastAsia="Calibri" w:hAnsi="Arial" w:cs="Times New Roman"/>
          <w:sz w:val="24"/>
          <w:szCs w:val="24"/>
          <w:lang w:val="en-ZA"/>
        </w:rPr>
        <w:t>[18]</w:t>
      </w:r>
      <w:r w:rsidRPr="00C814AC">
        <w:rPr>
          <w:rFonts w:ascii="Arial" w:eastAsia="Calibri" w:hAnsi="Arial" w:cs="Times New Roman"/>
          <w:sz w:val="24"/>
          <w:szCs w:val="24"/>
          <w:lang w:val="en-ZA"/>
        </w:rPr>
        <w:tab/>
      </w:r>
      <w:r w:rsidR="000E0368" w:rsidRPr="00CD1873">
        <w:rPr>
          <w:rFonts w:ascii="Arial" w:eastAsia="Calibri" w:hAnsi="Arial" w:cs="Times New Roman"/>
          <w:sz w:val="24"/>
          <w:lang w:val="en-ZA"/>
        </w:rPr>
        <w:t xml:space="preserve">Mr Harris furthermore asserted that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0E0368" w:rsidRPr="00CD1873">
        <w:rPr>
          <w:rFonts w:ascii="Arial" w:eastAsia="Calibri" w:hAnsi="Arial" w:cs="Times New Roman"/>
          <w:sz w:val="24"/>
          <w:lang w:val="en-ZA"/>
        </w:rPr>
        <w:t xml:space="preserve"> erred in not adopting a proper approach to factual disputes in motion proceedings as set out in </w:t>
      </w:r>
      <w:r w:rsidR="000E0368" w:rsidRPr="00CD1873">
        <w:rPr>
          <w:rFonts w:ascii="Arial" w:eastAsia="Calibri" w:hAnsi="Arial" w:cs="Times New Roman"/>
          <w:i/>
          <w:sz w:val="24"/>
          <w:lang w:val="en-ZA"/>
        </w:rPr>
        <w:t>Plascon Evans Paints Ltd v Van Riebeeck paints (Pty) Ltd</w:t>
      </w:r>
      <w:r w:rsidR="00EB36D2" w:rsidRPr="00CD1873">
        <w:rPr>
          <w:rFonts w:ascii="Arial" w:eastAsia="Calibri" w:hAnsi="Arial" w:cs="Times New Roman"/>
          <w:i/>
          <w:sz w:val="24"/>
          <w:lang w:val="en-ZA"/>
        </w:rPr>
        <w:t>.</w:t>
      </w:r>
      <w:r w:rsidR="000E0368" w:rsidRPr="000E0368">
        <w:rPr>
          <w:vertAlign w:val="superscript"/>
          <w:lang w:val="en-ZA"/>
        </w:rPr>
        <w:footnoteReference w:id="1"/>
      </w:r>
      <w:r w:rsidR="00EB36D2" w:rsidRPr="00CD1873">
        <w:rPr>
          <w:rFonts w:ascii="Arial" w:eastAsia="Calibri" w:hAnsi="Arial" w:cs="Times New Roman"/>
          <w:i/>
          <w:sz w:val="24"/>
          <w:lang w:val="en-ZA"/>
        </w:rPr>
        <w:t xml:space="preserve"> </w:t>
      </w:r>
      <w:r w:rsidR="00EB36D2" w:rsidRPr="00CD1873">
        <w:rPr>
          <w:rFonts w:ascii="Arial" w:eastAsia="Calibri" w:hAnsi="Arial" w:cs="Times New Roman"/>
          <w:sz w:val="24"/>
          <w:lang w:val="en-ZA"/>
        </w:rPr>
        <w:t xml:space="preserve">This, the court, allegedly did by not accepting the evidence of the </w:t>
      </w:r>
      <w:r w:rsidR="00AC21A0" w:rsidRPr="00CD1873">
        <w:rPr>
          <w:rFonts w:ascii="Arial" w:eastAsia="Calibri" w:hAnsi="Arial" w:cs="Times New Roman"/>
          <w:sz w:val="24"/>
          <w:lang w:val="en-ZA"/>
        </w:rPr>
        <w:t>Deputy-sheriff</w:t>
      </w:r>
      <w:r w:rsidR="00EB36D2" w:rsidRPr="00CD1873">
        <w:rPr>
          <w:rFonts w:ascii="Arial" w:eastAsia="Calibri" w:hAnsi="Arial" w:cs="Times New Roman"/>
          <w:sz w:val="24"/>
          <w:lang w:val="en-ZA"/>
        </w:rPr>
        <w:t xml:space="preserve"> that Old Mutual Life’s representatives at the sale in execution did no more than express their dissatisfaction </w:t>
      </w:r>
      <w:r w:rsidR="004C3910" w:rsidRPr="00CD1873">
        <w:rPr>
          <w:rFonts w:ascii="Arial" w:eastAsia="Calibri" w:hAnsi="Arial" w:cs="Times New Roman"/>
          <w:sz w:val="24"/>
          <w:lang w:val="en-ZA"/>
        </w:rPr>
        <w:t>that the property was sold to the highest bidder without a reserve price.</w:t>
      </w:r>
    </w:p>
    <w:p w14:paraId="6217FC57" w14:textId="77777777" w:rsidR="003C28E9" w:rsidRDefault="003C28E9" w:rsidP="00FD4ECB">
      <w:pPr>
        <w:shd w:val="clear" w:color="auto" w:fill="FFFFFF"/>
        <w:spacing w:after="0" w:line="480" w:lineRule="auto"/>
        <w:jc w:val="both"/>
        <w:rPr>
          <w:rFonts w:ascii="Arial" w:eastAsia="Calibri" w:hAnsi="Arial" w:cs="Times New Roman"/>
          <w:sz w:val="24"/>
          <w:u w:val="single"/>
          <w:lang w:val="en-ZA"/>
        </w:rPr>
      </w:pPr>
    </w:p>
    <w:p w14:paraId="296244F2" w14:textId="77777777" w:rsidR="001E04BA" w:rsidRPr="001E04BA" w:rsidRDefault="001C508E" w:rsidP="00FD4ECB">
      <w:pPr>
        <w:shd w:val="clear" w:color="auto" w:fill="FFFFFF"/>
        <w:spacing w:after="0" w:line="480" w:lineRule="auto"/>
        <w:jc w:val="both"/>
        <w:rPr>
          <w:rFonts w:ascii="Arial" w:eastAsia="Calibri" w:hAnsi="Arial" w:cs="Times New Roman"/>
          <w:sz w:val="24"/>
          <w:u w:val="single"/>
          <w:lang w:val="en-ZA"/>
        </w:rPr>
      </w:pPr>
      <w:r>
        <w:rPr>
          <w:rFonts w:ascii="Arial" w:eastAsia="Calibri" w:hAnsi="Arial" w:cs="Times New Roman"/>
          <w:sz w:val="24"/>
          <w:u w:val="single"/>
          <w:lang w:val="en-ZA"/>
        </w:rPr>
        <w:t>Submissions on appeal</w:t>
      </w:r>
    </w:p>
    <w:p w14:paraId="39FBB0EF" w14:textId="77777777" w:rsidR="001B50B1" w:rsidRPr="001B50B1" w:rsidRDefault="001B50B1" w:rsidP="00FD4ECB">
      <w:pPr>
        <w:pStyle w:val="ListParagraph"/>
        <w:spacing w:after="0" w:line="480" w:lineRule="auto"/>
        <w:ind w:left="0"/>
        <w:rPr>
          <w:rFonts w:ascii="Arial" w:eastAsia="Calibri" w:hAnsi="Arial" w:cs="Times New Roman"/>
          <w:i/>
          <w:sz w:val="24"/>
          <w:lang w:val="en-ZA"/>
        </w:rPr>
      </w:pPr>
      <w:r w:rsidRPr="001B50B1">
        <w:rPr>
          <w:rFonts w:ascii="Arial" w:eastAsia="Calibri" w:hAnsi="Arial" w:cs="Times New Roman"/>
          <w:i/>
          <w:sz w:val="24"/>
          <w:lang w:val="en-ZA"/>
        </w:rPr>
        <w:t xml:space="preserve">Submissions on behalf of Mr Harris </w:t>
      </w:r>
    </w:p>
    <w:p w14:paraId="07BFA36F" w14:textId="17CDCA88" w:rsidR="00234F51"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[19]</w:t>
      </w:r>
      <w:r>
        <w:rPr>
          <w:rFonts w:ascii="Arial" w:eastAsia="Calibri" w:hAnsi="Arial" w:cs="Times New Roman"/>
          <w:sz w:val="24"/>
          <w:szCs w:val="24"/>
          <w:lang w:val="en-ZA"/>
        </w:rPr>
        <w:tab/>
      </w:r>
      <w:r w:rsidR="003C768E" w:rsidRPr="00CD1873">
        <w:rPr>
          <w:rFonts w:ascii="Arial" w:eastAsia="Calibri" w:hAnsi="Arial" w:cs="Times New Roman"/>
          <w:sz w:val="24"/>
          <w:lang w:val="en-ZA"/>
        </w:rPr>
        <w:t xml:space="preserve">The </w:t>
      </w:r>
      <w:r w:rsidR="00402D9E" w:rsidRPr="00CD1873">
        <w:rPr>
          <w:rFonts w:ascii="Arial" w:eastAsia="Calibri" w:hAnsi="Arial" w:cs="Times New Roman"/>
          <w:sz w:val="24"/>
          <w:lang w:val="en-ZA"/>
        </w:rPr>
        <w:t xml:space="preserve">main thrust </w:t>
      </w:r>
      <w:r w:rsidR="003C768E" w:rsidRPr="00CD1873">
        <w:rPr>
          <w:rFonts w:ascii="Arial" w:eastAsia="Calibri" w:hAnsi="Arial" w:cs="Times New Roman"/>
          <w:sz w:val="24"/>
          <w:lang w:val="en-ZA"/>
        </w:rPr>
        <w:t xml:space="preserve">of the submissions made on behalf of Mr Harris </w:t>
      </w:r>
      <w:r w:rsidR="00402D9E" w:rsidRPr="00CD1873">
        <w:rPr>
          <w:rFonts w:ascii="Arial" w:eastAsia="Calibri" w:hAnsi="Arial" w:cs="Times New Roman"/>
          <w:sz w:val="24"/>
          <w:lang w:val="en-ZA"/>
        </w:rPr>
        <w:t xml:space="preserve">is </w:t>
      </w:r>
      <w:r w:rsidR="003C768E" w:rsidRPr="00CD1873">
        <w:rPr>
          <w:rFonts w:ascii="Arial" w:eastAsia="Calibri" w:hAnsi="Arial" w:cs="Times New Roman"/>
          <w:sz w:val="24"/>
          <w:lang w:val="en-ZA"/>
        </w:rPr>
        <w:t xml:space="preserve">that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3C768E" w:rsidRPr="00CD1873">
        <w:rPr>
          <w:rFonts w:ascii="Arial" w:eastAsia="Calibri" w:hAnsi="Arial" w:cs="Times New Roman"/>
          <w:sz w:val="24"/>
          <w:lang w:val="en-ZA"/>
        </w:rPr>
        <w:t xml:space="preserve"> </w:t>
      </w:r>
      <w:r w:rsidR="00F30FCF" w:rsidRPr="00CD1873">
        <w:rPr>
          <w:rFonts w:ascii="Arial" w:eastAsia="Calibri" w:hAnsi="Arial" w:cs="Times New Roman"/>
          <w:sz w:val="24"/>
          <w:lang w:val="en-ZA"/>
        </w:rPr>
        <w:t xml:space="preserve">erroneously </w:t>
      </w:r>
      <w:r w:rsidR="00386063" w:rsidRPr="00CD1873">
        <w:rPr>
          <w:rFonts w:ascii="Arial" w:eastAsia="Calibri" w:hAnsi="Arial" w:cs="Times New Roman"/>
          <w:sz w:val="24"/>
          <w:lang w:val="en-ZA"/>
        </w:rPr>
        <w:t>found as a fact</w:t>
      </w:r>
      <w:r w:rsidR="00276FA6" w:rsidRPr="00CD1873">
        <w:rPr>
          <w:rFonts w:ascii="Arial" w:eastAsia="Calibri" w:hAnsi="Arial" w:cs="Times New Roman"/>
          <w:sz w:val="24"/>
          <w:lang w:val="en-ZA"/>
        </w:rPr>
        <w:t>,</w:t>
      </w:r>
      <w:r w:rsidR="00386063" w:rsidRPr="00CD1873">
        <w:rPr>
          <w:rFonts w:ascii="Arial" w:eastAsia="Calibri" w:hAnsi="Arial" w:cs="Times New Roman"/>
          <w:sz w:val="24"/>
          <w:lang w:val="en-ZA"/>
        </w:rPr>
        <w:t xml:space="preserve"> that at the time of the sale in execution</w:t>
      </w:r>
      <w:r w:rsidR="00276FA6" w:rsidRPr="00CD1873">
        <w:rPr>
          <w:rFonts w:ascii="Arial" w:eastAsia="Calibri" w:hAnsi="Arial" w:cs="Times New Roman"/>
          <w:sz w:val="24"/>
          <w:lang w:val="en-ZA"/>
        </w:rPr>
        <w:t>,</w:t>
      </w:r>
      <w:r w:rsidR="00386063" w:rsidRPr="00CD1873">
        <w:rPr>
          <w:rFonts w:ascii="Arial" w:eastAsia="Calibri" w:hAnsi="Arial" w:cs="Times New Roman"/>
          <w:sz w:val="24"/>
          <w:lang w:val="en-ZA"/>
        </w:rPr>
        <w:t xml:space="preserve"> FNB was a bondholder. </w:t>
      </w:r>
      <w:r w:rsidR="00135C1F" w:rsidRPr="00CD1873">
        <w:rPr>
          <w:rFonts w:ascii="Arial" w:eastAsia="Calibri" w:hAnsi="Arial" w:cs="Times New Roman"/>
          <w:sz w:val="24"/>
          <w:lang w:val="en-ZA"/>
        </w:rPr>
        <w:t>In arriving at that finding</w:t>
      </w:r>
      <w:r w:rsidR="00276FA6" w:rsidRPr="00CD1873">
        <w:rPr>
          <w:rFonts w:ascii="Arial" w:eastAsia="Calibri" w:hAnsi="Arial" w:cs="Times New Roman"/>
          <w:sz w:val="24"/>
          <w:lang w:val="en-ZA"/>
        </w:rPr>
        <w:t>,</w:t>
      </w:r>
      <w:r w:rsidR="00386063" w:rsidRPr="00CD1873">
        <w:rPr>
          <w:rFonts w:ascii="Arial" w:eastAsia="Calibri" w:hAnsi="Arial" w:cs="Times New Roman"/>
          <w:sz w:val="24"/>
          <w:lang w:val="en-ZA"/>
        </w:rPr>
        <w:t xml:space="preserve"> </w:t>
      </w:r>
      <w:r w:rsidR="00135C1F" w:rsidRPr="00CD1873">
        <w:rPr>
          <w:rFonts w:ascii="Arial" w:eastAsia="Calibri" w:hAnsi="Arial" w:cs="Times New Roman"/>
          <w:sz w:val="24"/>
          <w:lang w:val="en-ZA"/>
        </w:rPr>
        <w:t>i</w:t>
      </w:r>
      <w:r w:rsidR="00386063" w:rsidRPr="00CD1873">
        <w:rPr>
          <w:rFonts w:ascii="Arial" w:eastAsia="Calibri" w:hAnsi="Arial" w:cs="Times New Roman"/>
          <w:sz w:val="24"/>
          <w:lang w:val="en-ZA"/>
        </w:rPr>
        <w:t xml:space="preserve">t erred </w:t>
      </w:r>
      <w:r w:rsidR="00402D9E" w:rsidRPr="00CD1873">
        <w:rPr>
          <w:rFonts w:ascii="Arial" w:eastAsia="Calibri" w:hAnsi="Arial" w:cs="Times New Roman"/>
          <w:sz w:val="24"/>
          <w:lang w:val="en-ZA"/>
        </w:rPr>
        <w:t>i</w:t>
      </w:r>
      <w:r w:rsidR="00386063" w:rsidRPr="00CD1873">
        <w:rPr>
          <w:rFonts w:ascii="Arial" w:eastAsia="Calibri" w:hAnsi="Arial" w:cs="Times New Roman"/>
          <w:sz w:val="24"/>
          <w:lang w:val="en-ZA"/>
        </w:rPr>
        <w:t>n fail</w:t>
      </w:r>
      <w:r w:rsidR="00402D9E" w:rsidRPr="00CD1873">
        <w:rPr>
          <w:rFonts w:ascii="Arial" w:eastAsia="Calibri" w:hAnsi="Arial" w:cs="Times New Roman"/>
          <w:sz w:val="24"/>
          <w:lang w:val="en-ZA"/>
        </w:rPr>
        <w:t>ing</w:t>
      </w:r>
      <w:r w:rsidR="00386063" w:rsidRPr="00CD1873">
        <w:rPr>
          <w:rFonts w:ascii="Arial" w:eastAsia="Calibri" w:hAnsi="Arial" w:cs="Times New Roman"/>
          <w:sz w:val="24"/>
          <w:lang w:val="en-ZA"/>
        </w:rPr>
        <w:t xml:space="preserve"> to </w:t>
      </w:r>
      <w:r w:rsidR="00135C1F" w:rsidRPr="00CD1873">
        <w:rPr>
          <w:rFonts w:ascii="Arial" w:eastAsia="Calibri" w:hAnsi="Arial" w:cs="Times New Roman"/>
          <w:sz w:val="24"/>
          <w:lang w:val="en-ZA"/>
        </w:rPr>
        <w:t>consider</w:t>
      </w:r>
      <w:r w:rsidR="00386063" w:rsidRPr="00CD1873">
        <w:rPr>
          <w:rFonts w:ascii="Arial" w:eastAsia="Calibri" w:hAnsi="Arial" w:cs="Times New Roman"/>
          <w:sz w:val="24"/>
          <w:lang w:val="en-ZA"/>
        </w:rPr>
        <w:t xml:space="preserve"> the affidavit filed on behalf </w:t>
      </w:r>
      <w:r w:rsidR="003C28E9" w:rsidRPr="00CD1873">
        <w:rPr>
          <w:rFonts w:ascii="Arial" w:eastAsia="Calibri" w:hAnsi="Arial" w:cs="Times New Roman"/>
          <w:sz w:val="24"/>
          <w:lang w:val="en-ZA"/>
        </w:rPr>
        <w:t xml:space="preserve">of </w:t>
      </w:r>
      <w:r w:rsidR="00386063" w:rsidRPr="00CD1873">
        <w:rPr>
          <w:rFonts w:ascii="Arial" w:eastAsia="Calibri" w:hAnsi="Arial" w:cs="Times New Roman"/>
          <w:sz w:val="24"/>
          <w:lang w:val="en-ZA"/>
        </w:rPr>
        <w:t xml:space="preserve">FNB. Mr Fitzgerald </w:t>
      </w:r>
      <w:r w:rsidR="00135C1F" w:rsidRPr="00CD1873">
        <w:rPr>
          <w:rFonts w:ascii="Arial" w:eastAsia="Calibri" w:hAnsi="Arial" w:cs="Times New Roman"/>
          <w:sz w:val="24"/>
          <w:lang w:val="en-ZA"/>
        </w:rPr>
        <w:t xml:space="preserve">SC </w:t>
      </w:r>
      <w:r w:rsidR="00386063" w:rsidRPr="00CD1873">
        <w:rPr>
          <w:rFonts w:ascii="Arial" w:eastAsia="Calibri" w:hAnsi="Arial" w:cs="Times New Roman"/>
          <w:sz w:val="24"/>
          <w:lang w:val="en-ZA"/>
        </w:rPr>
        <w:t>who appeared for Mr Harris argued that</w:t>
      </w:r>
      <w:r w:rsidR="008956BC" w:rsidRPr="00CD1873">
        <w:rPr>
          <w:rFonts w:ascii="Arial" w:eastAsia="Calibri" w:hAnsi="Arial" w:cs="Times New Roman"/>
          <w:sz w:val="24"/>
          <w:lang w:val="en-ZA"/>
        </w:rPr>
        <w:t>,</w:t>
      </w:r>
      <w:r w:rsidR="00386063" w:rsidRPr="00CD1873">
        <w:rPr>
          <w:rFonts w:ascii="Arial" w:eastAsia="Calibri" w:hAnsi="Arial" w:cs="Times New Roman"/>
          <w:sz w:val="24"/>
          <w:lang w:val="en-ZA"/>
        </w:rPr>
        <w:t xml:space="preserve"> had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386063" w:rsidRPr="00CD1873">
        <w:rPr>
          <w:rFonts w:ascii="Arial" w:eastAsia="Calibri" w:hAnsi="Arial" w:cs="Times New Roman"/>
          <w:sz w:val="24"/>
          <w:lang w:val="en-ZA"/>
        </w:rPr>
        <w:t xml:space="preserve"> properly analysed the facts contained in the founding affidavit read with the affidavit deposed to on behalf of FNB, the court should have found that FNB no longer enjoyed any substantive rights in respect of the property.</w:t>
      </w:r>
    </w:p>
    <w:p w14:paraId="5DED8E4C" w14:textId="77777777" w:rsidR="00740D96" w:rsidRDefault="00740D96" w:rsidP="00740D96">
      <w:pPr>
        <w:pStyle w:val="ListParagraph"/>
        <w:shd w:val="clear" w:color="auto" w:fill="FFFFFF"/>
        <w:spacing w:after="0" w:line="480" w:lineRule="auto"/>
        <w:ind w:left="0"/>
        <w:jc w:val="both"/>
        <w:rPr>
          <w:rFonts w:ascii="Arial" w:eastAsia="Calibri" w:hAnsi="Arial" w:cs="Times New Roman"/>
          <w:sz w:val="24"/>
          <w:lang w:val="en-ZA"/>
        </w:rPr>
      </w:pPr>
    </w:p>
    <w:p w14:paraId="7D78E38E" w14:textId="7F9990CC" w:rsidR="00234F51"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[20]</w:t>
      </w:r>
      <w:r>
        <w:rPr>
          <w:rFonts w:ascii="Arial" w:eastAsia="Calibri" w:hAnsi="Arial" w:cs="Times New Roman"/>
          <w:sz w:val="24"/>
          <w:szCs w:val="24"/>
          <w:lang w:val="en-ZA"/>
        </w:rPr>
        <w:tab/>
      </w:r>
      <w:r w:rsidR="00402D9E" w:rsidRPr="00CD1873">
        <w:rPr>
          <w:rFonts w:ascii="Arial" w:eastAsia="Calibri" w:hAnsi="Arial" w:cs="Times New Roman"/>
          <w:sz w:val="24"/>
          <w:lang w:val="en-ZA"/>
        </w:rPr>
        <w:t>Counsel</w:t>
      </w:r>
      <w:r w:rsidR="00386063" w:rsidRPr="00CD1873">
        <w:rPr>
          <w:rFonts w:ascii="Arial" w:eastAsia="Calibri" w:hAnsi="Arial" w:cs="Times New Roman"/>
          <w:sz w:val="24"/>
          <w:lang w:val="en-ZA"/>
        </w:rPr>
        <w:t xml:space="preserve"> argued that the mortgage bond which was registered in favour of FNB was registered in 201</w:t>
      </w:r>
      <w:r w:rsidR="00FA5371" w:rsidRPr="00CD1873">
        <w:rPr>
          <w:rFonts w:ascii="Arial" w:eastAsia="Calibri" w:hAnsi="Arial" w:cs="Times New Roman"/>
          <w:sz w:val="24"/>
          <w:lang w:val="en-ZA"/>
        </w:rPr>
        <w:t>4</w:t>
      </w:r>
      <w:r w:rsidR="00276FA6" w:rsidRPr="00CD1873">
        <w:rPr>
          <w:rFonts w:ascii="Arial" w:eastAsia="Calibri" w:hAnsi="Arial" w:cs="Times New Roman"/>
          <w:sz w:val="24"/>
          <w:lang w:val="en-ZA"/>
        </w:rPr>
        <w:t>,</w:t>
      </w:r>
      <w:r w:rsidR="00386063" w:rsidRPr="00CD1873">
        <w:rPr>
          <w:rFonts w:ascii="Arial" w:eastAsia="Calibri" w:hAnsi="Arial" w:cs="Times New Roman"/>
          <w:sz w:val="24"/>
          <w:lang w:val="en-ZA"/>
        </w:rPr>
        <w:t xml:space="preserve"> whereas the mortgage bond registered in favour of Old </w:t>
      </w:r>
      <w:r w:rsidR="00386063" w:rsidRPr="00CD1873">
        <w:rPr>
          <w:rFonts w:ascii="Arial" w:eastAsia="Calibri" w:hAnsi="Arial" w:cs="Times New Roman"/>
          <w:sz w:val="24"/>
          <w:lang w:val="en-ZA"/>
        </w:rPr>
        <w:lastRenderedPageBreak/>
        <w:t>Mutual Life was registered</w:t>
      </w:r>
      <w:r w:rsidR="00FA5371" w:rsidRPr="00CD1873">
        <w:rPr>
          <w:rFonts w:ascii="Arial" w:eastAsia="Calibri" w:hAnsi="Arial" w:cs="Times New Roman"/>
          <w:sz w:val="24"/>
          <w:lang w:val="en-ZA"/>
        </w:rPr>
        <w:t xml:space="preserve"> in 2013. </w:t>
      </w:r>
      <w:r w:rsidR="00402D9E" w:rsidRPr="00CD1873">
        <w:rPr>
          <w:rFonts w:ascii="Arial" w:eastAsia="Calibri" w:hAnsi="Arial" w:cs="Times New Roman"/>
          <w:sz w:val="24"/>
          <w:lang w:val="en-ZA"/>
        </w:rPr>
        <w:t xml:space="preserve">In counsel’s submission, </w:t>
      </w:r>
      <w:r w:rsidR="00FA5371" w:rsidRPr="00CD1873">
        <w:rPr>
          <w:rFonts w:ascii="Arial" w:eastAsia="Calibri" w:hAnsi="Arial" w:cs="Times New Roman"/>
          <w:sz w:val="24"/>
          <w:lang w:val="en-ZA"/>
        </w:rPr>
        <w:t xml:space="preserve">because the mortgage bond in favour of FNB was registered subsequent to the mortgage bond registered in favour of Old Mutual Life, rule 109(6) was not </w:t>
      </w:r>
      <w:r w:rsidR="00402D9E" w:rsidRPr="00CD1873">
        <w:rPr>
          <w:rFonts w:ascii="Arial" w:eastAsia="Calibri" w:hAnsi="Arial" w:cs="Times New Roman"/>
          <w:sz w:val="24"/>
          <w:lang w:val="en-ZA"/>
        </w:rPr>
        <w:t xml:space="preserve">of </w:t>
      </w:r>
      <w:r w:rsidR="00FA5371" w:rsidRPr="00CD1873">
        <w:rPr>
          <w:rFonts w:ascii="Arial" w:eastAsia="Calibri" w:hAnsi="Arial" w:cs="Times New Roman"/>
          <w:sz w:val="24"/>
          <w:lang w:val="en-ZA"/>
        </w:rPr>
        <w:t>applica</w:t>
      </w:r>
      <w:r w:rsidR="00402D9E" w:rsidRPr="00CD1873">
        <w:rPr>
          <w:rFonts w:ascii="Arial" w:eastAsia="Calibri" w:hAnsi="Arial" w:cs="Times New Roman"/>
          <w:sz w:val="24"/>
          <w:lang w:val="en-ZA"/>
        </w:rPr>
        <w:t>tion</w:t>
      </w:r>
      <w:r w:rsidR="00FA5371" w:rsidRPr="00CD1873">
        <w:rPr>
          <w:rFonts w:ascii="Arial" w:eastAsia="Calibri" w:hAnsi="Arial" w:cs="Times New Roman"/>
          <w:sz w:val="24"/>
          <w:lang w:val="en-ZA"/>
        </w:rPr>
        <w:t>.</w:t>
      </w:r>
    </w:p>
    <w:p w14:paraId="21BEB8A5" w14:textId="77777777" w:rsidR="00234F51" w:rsidRPr="00234F51" w:rsidRDefault="00234F51" w:rsidP="00FD4ECB">
      <w:pPr>
        <w:pStyle w:val="ListParagraph"/>
        <w:spacing w:after="0" w:line="480" w:lineRule="auto"/>
        <w:ind w:left="0"/>
        <w:jc w:val="both"/>
        <w:rPr>
          <w:rFonts w:ascii="Arial" w:eastAsia="Calibri" w:hAnsi="Arial" w:cs="Times New Roman"/>
          <w:sz w:val="24"/>
          <w:lang w:val="en-ZA"/>
        </w:rPr>
      </w:pPr>
    </w:p>
    <w:p w14:paraId="2CBE67BC" w14:textId="5EFB7D6C" w:rsidR="00F13029"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[21]</w:t>
      </w:r>
      <w:r>
        <w:rPr>
          <w:rFonts w:ascii="Arial" w:eastAsia="Calibri" w:hAnsi="Arial" w:cs="Times New Roman"/>
          <w:sz w:val="24"/>
          <w:szCs w:val="24"/>
          <w:lang w:val="en-ZA"/>
        </w:rPr>
        <w:tab/>
      </w:r>
      <w:r w:rsidR="00402D9E" w:rsidRPr="00CD1873">
        <w:rPr>
          <w:rFonts w:ascii="Arial" w:eastAsia="Calibri" w:hAnsi="Arial" w:cs="Times New Roman"/>
          <w:sz w:val="24"/>
          <w:lang w:val="en-ZA"/>
        </w:rPr>
        <w:t xml:space="preserve">Counsel contended </w:t>
      </w:r>
      <w:r w:rsidR="00FA5371" w:rsidRPr="00CD1873">
        <w:rPr>
          <w:rFonts w:ascii="Arial" w:eastAsia="Calibri" w:hAnsi="Arial" w:cs="Times New Roman"/>
          <w:sz w:val="24"/>
          <w:lang w:val="en-ZA"/>
        </w:rPr>
        <w:t xml:space="preserve">that even if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FA5371" w:rsidRPr="00CD1873">
        <w:rPr>
          <w:rFonts w:ascii="Arial" w:eastAsia="Calibri" w:hAnsi="Arial" w:cs="Times New Roman"/>
          <w:sz w:val="24"/>
          <w:lang w:val="en-ZA"/>
        </w:rPr>
        <w:t xml:space="preserve"> w</w:t>
      </w:r>
      <w:r w:rsidR="00402D9E" w:rsidRPr="00CD1873">
        <w:rPr>
          <w:rFonts w:ascii="Arial" w:eastAsia="Calibri" w:hAnsi="Arial" w:cs="Times New Roman"/>
          <w:sz w:val="24"/>
          <w:lang w:val="en-ZA"/>
        </w:rPr>
        <w:t>as</w:t>
      </w:r>
      <w:r w:rsidR="00FA5371" w:rsidRPr="00CD1873">
        <w:rPr>
          <w:rFonts w:ascii="Arial" w:eastAsia="Calibri" w:hAnsi="Arial" w:cs="Times New Roman"/>
          <w:sz w:val="24"/>
          <w:lang w:val="en-ZA"/>
        </w:rPr>
        <w:t xml:space="preserve"> correct </w:t>
      </w:r>
      <w:r w:rsidR="008956BC" w:rsidRPr="00CD1873">
        <w:rPr>
          <w:rFonts w:ascii="Arial" w:eastAsia="Calibri" w:hAnsi="Arial" w:cs="Times New Roman"/>
          <w:sz w:val="24"/>
          <w:lang w:val="en-ZA"/>
        </w:rPr>
        <w:t xml:space="preserve">in finding </w:t>
      </w:r>
      <w:r w:rsidR="00FA5371" w:rsidRPr="00CD1873">
        <w:rPr>
          <w:rFonts w:ascii="Arial" w:eastAsia="Calibri" w:hAnsi="Arial" w:cs="Times New Roman"/>
          <w:sz w:val="24"/>
          <w:lang w:val="en-ZA"/>
        </w:rPr>
        <w:t xml:space="preserve">that a mortgage </w:t>
      </w:r>
      <w:r w:rsidR="009B26ED" w:rsidRPr="00CD1873">
        <w:rPr>
          <w:rFonts w:ascii="Arial" w:eastAsia="Calibri" w:hAnsi="Arial" w:cs="Times New Roman"/>
          <w:sz w:val="24"/>
          <w:lang w:val="en-ZA"/>
        </w:rPr>
        <w:t xml:space="preserve">bond </w:t>
      </w:r>
      <w:r w:rsidR="008956BC" w:rsidRPr="00CD1873">
        <w:rPr>
          <w:rFonts w:ascii="Arial" w:eastAsia="Calibri" w:hAnsi="Arial" w:cs="Times New Roman"/>
          <w:sz w:val="24"/>
          <w:lang w:val="en-ZA"/>
        </w:rPr>
        <w:t>was registered in favour of FNB</w:t>
      </w:r>
      <w:r w:rsidR="00FA5371" w:rsidRPr="00CD1873">
        <w:rPr>
          <w:rFonts w:ascii="Arial" w:eastAsia="Calibri" w:hAnsi="Arial" w:cs="Times New Roman"/>
          <w:sz w:val="24"/>
          <w:lang w:val="en-ZA"/>
        </w:rPr>
        <w:t xml:space="preserve">, </w:t>
      </w:r>
      <w:r w:rsidR="00234F51" w:rsidRPr="00CD1873">
        <w:rPr>
          <w:rFonts w:ascii="Arial" w:eastAsia="Calibri" w:hAnsi="Arial" w:cs="Times New Roman"/>
          <w:sz w:val="24"/>
          <w:lang w:val="en-ZA"/>
        </w:rPr>
        <w:t xml:space="preserve">it erred by not </w:t>
      </w:r>
      <w:r w:rsidR="00402D9E" w:rsidRPr="00CD1873">
        <w:rPr>
          <w:rFonts w:ascii="Arial" w:eastAsia="Calibri" w:hAnsi="Arial" w:cs="Times New Roman"/>
          <w:sz w:val="24"/>
          <w:lang w:val="en-ZA"/>
        </w:rPr>
        <w:t xml:space="preserve">finding </w:t>
      </w:r>
      <w:r w:rsidR="008956BC" w:rsidRPr="00CD1873">
        <w:rPr>
          <w:rFonts w:ascii="Arial" w:eastAsia="Calibri" w:hAnsi="Arial" w:cs="Times New Roman"/>
          <w:sz w:val="24"/>
          <w:lang w:val="en-ZA"/>
        </w:rPr>
        <w:t xml:space="preserve">that the mortgage bond had, at the time of the sale in execution, </w:t>
      </w:r>
      <w:r w:rsidR="005205A1" w:rsidRPr="00CD1873">
        <w:rPr>
          <w:rFonts w:ascii="Arial" w:eastAsia="Calibri" w:hAnsi="Arial" w:cs="Times New Roman"/>
          <w:sz w:val="24"/>
          <w:lang w:val="en-ZA"/>
        </w:rPr>
        <w:t>been fully paid though</w:t>
      </w:r>
      <w:r w:rsidR="008956BC" w:rsidRPr="00CD1873">
        <w:rPr>
          <w:rFonts w:ascii="Arial" w:eastAsia="Calibri" w:hAnsi="Arial" w:cs="Times New Roman"/>
          <w:sz w:val="24"/>
          <w:lang w:val="en-ZA"/>
        </w:rPr>
        <w:t xml:space="preserve"> not yet cancelled</w:t>
      </w:r>
      <w:r w:rsidR="005205A1" w:rsidRPr="00CD1873">
        <w:rPr>
          <w:rFonts w:ascii="Arial" w:eastAsia="Calibri" w:hAnsi="Arial" w:cs="Times New Roman"/>
          <w:sz w:val="24"/>
          <w:lang w:val="en-ZA"/>
        </w:rPr>
        <w:t>,</w:t>
      </w:r>
      <w:r w:rsidR="008956BC" w:rsidRPr="00CD1873">
        <w:rPr>
          <w:rFonts w:ascii="Arial" w:eastAsia="Calibri" w:hAnsi="Arial" w:cs="Times New Roman"/>
          <w:sz w:val="24"/>
          <w:lang w:val="en-ZA"/>
        </w:rPr>
        <w:t xml:space="preserve"> and further </w:t>
      </w:r>
      <w:r w:rsidR="00402D9E" w:rsidRPr="00CD1873">
        <w:rPr>
          <w:rFonts w:ascii="Arial" w:eastAsia="Calibri" w:hAnsi="Arial" w:cs="Times New Roman"/>
          <w:sz w:val="24"/>
          <w:lang w:val="en-ZA"/>
        </w:rPr>
        <w:t xml:space="preserve">by </w:t>
      </w:r>
      <w:r w:rsidR="008956BC" w:rsidRPr="00CD1873">
        <w:rPr>
          <w:rFonts w:ascii="Arial" w:eastAsia="Calibri" w:hAnsi="Arial" w:cs="Times New Roman"/>
          <w:sz w:val="24"/>
          <w:lang w:val="en-ZA"/>
        </w:rPr>
        <w:t>fail</w:t>
      </w:r>
      <w:r w:rsidR="00402D9E" w:rsidRPr="00CD1873">
        <w:rPr>
          <w:rFonts w:ascii="Arial" w:eastAsia="Calibri" w:hAnsi="Arial" w:cs="Times New Roman"/>
          <w:sz w:val="24"/>
          <w:lang w:val="en-ZA"/>
        </w:rPr>
        <w:t>ing</w:t>
      </w:r>
      <w:r w:rsidR="008956BC" w:rsidRPr="00CD1873">
        <w:rPr>
          <w:rFonts w:ascii="Arial" w:eastAsia="Calibri" w:hAnsi="Arial" w:cs="Times New Roman"/>
          <w:sz w:val="24"/>
          <w:lang w:val="en-ZA"/>
        </w:rPr>
        <w:t xml:space="preserve"> to</w:t>
      </w:r>
      <w:r w:rsidR="00234F51" w:rsidRPr="00CD1873">
        <w:rPr>
          <w:rFonts w:ascii="Arial" w:eastAsia="Calibri" w:hAnsi="Arial" w:cs="Times New Roman"/>
          <w:sz w:val="24"/>
          <w:lang w:val="en-ZA"/>
        </w:rPr>
        <w:t xml:space="preserve"> set aside the sale in execution, particularly in view of FNB’s position that it had no interest in the </w:t>
      </w:r>
      <w:r w:rsidR="008956BC" w:rsidRPr="00CD1873">
        <w:rPr>
          <w:rFonts w:ascii="Arial" w:eastAsia="Calibri" w:hAnsi="Arial" w:cs="Times New Roman"/>
          <w:sz w:val="24"/>
          <w:lang w:val="en-ZA"/>
        </w:rPr>
        <w:t xml:space="preserve">property </w:t>
      </w:r>
      <w:r w:rsidR="00234F51" w:rsidRPr="00CD1873">
        <w:rPr>
          <w:rFonts w:ascii="Arial" w:eastAsia="Calibri" w:hAnsi="Arial" w:cs="Times New Roman"/>
          <w:sz w:val="24"/>
          <w:lang w:val="en-ZA"/>
        </w:rPr>
        <w:t>and was not prejudice</w:t>
      </w:r>
      <w:r w:rsidR="005205A1" w:rsidRPr="00CD1873">
        <w:rPr>
          <w:rFonts w:ascii="Arial" w:eastAsia="Calibri" w:hAnsi="Arial" w:cs="Times New Roman"/>
          <w:sz w:val="24"/>
          <w:lang w:val="en-ZA"/>
        </w:rPr>
        <w:t>d</w:t>
      </w:r>
      <w:r w:rsidR="00234F51" w:rsidRPr="00CD1873">
        <w:rPr>
          <w:rFonts w:ascii="Arial" w:eastAsia="Calibri" w:hAnsi="Arial" w:cs="Times New Roman"/>
          <w:sz w:val="24"/>
          <w:lang w:val="en-ZA"/>
        </w:rPr>
        <w:t xml:space="preserve"> by </w:t>
      </w:r>
      <w:r w:rsidR="00402D9E" w:rsidRPr="00CD1873">
        <w:rPr>
          <w:rFonts w:ascii="Arial" w:eastAsia="Calibri" w:hAnsi="Arial" w:cs="Times New Roman"/>
          <w:sz w:val="24"/>
          <w:lang w:val="en-ZA"/>
        </w:rPr>
        <w:t>i</w:t>
      </w:r>
      <w:r w:rsidR="00234F51" w:rsidRPr="00CD1873">
        <w:rPr>
          <w:rFonts w:ascii="Arial" w:eastAsia="Calibri" w:hAnsi="Arial" w:cs="Times New Roman"/>
          <w:sz w:val="24"/>
          <w:lang w:val="en-ZA"/>
        </w:rPr>
        <w:t>t</w:t>
      </w:r>
      <w:r w:rsidR="00402D9E" w:rsidRPr="00CD1873">
        <w:rPr>
          <w:rFonts w:ascii="Arial" w:eastAsia="Calibri" w:hAnsi="Arial" w:cs="Times New Roman"/>
          <w:sz w:val="24"/>
          <w:lang w:val="en-ZA"/>
        </w:rPr>
        <w:t>s</w:t>
      </w:r>
      <w:r w:rsidR="00234F51" w:rsidRPr="00CD1873">
        <w:rPr>
          <w:rFonts w:ascii="Arial" w:eastAsia="Calibri" w:hAnsi="Arial" w:cs="Times New Roman"/>
          <w:sz w:val="24"/>
          <w:lang w:val="en-ZA"/>
        </w:rPr>
        <w:t xml:space="preserve"> sale.</w:t>
      </w:r>
    </w:p>
    <w:p w14:paraId="1F9E7050" w14:textId="77777777" w:rsidR="00403D4B" w:rsidRPr="00403D4B" w:rsidRDefault="00403D4B" w:rsidP="00FD4ECB">
      <w:pPr>
        <w:pStyle w:val="ListParagraph"/>
        <w:spacing w:after="0" w:line="480" w:lineRule="auto"/>
        <w:ind w:left="0"/>
        <w:jc w:val="both"/>
        <w:rPr>
          <w:rFonts w:ascii="Arial" w:eastAsia="Calibri" w:hAnsi="Arial" w:cs="Times New Roman"/>
          <w:sz w:val="24"/>
          <w:lang w:val="en-ZA"/>
        </w:rPr>
      </w:pPr>
    </w:p>
    <w:p w14:paraId="1C477ED0" w14:textId="4468BFA0" w:rsidR="001B50B1" w:rsidRPr="00CD1873" w:rsidRDefault="00CD1873" w:rsidP="00CD1873">
      <w:pPr>
        <w:shd w:val="clear" w:color="auto" w:fill="FFFFFF"/>
        <w:spacing w:after="0" w:line="480" w:lineRule="auto"/>
        <w:jc w:val="both"/>
        <w:rPr>
          <w:rFonts w:ascii="Arial" w:eastAsia="Calibri" w:hAnsi="Arial" w:cs="Times New Roman"/>
          <w:i/>
          <w:sz w:val="24"/>
          <w:lang w:val="en-ZA"/>
        </w:rPr>
      </w:pPr>
      <w:r w:rsidRPr="001B50B1">
        <w:rPr>
          <w:rFonts w:ascii="Arial" w:eastAsia="Calibri" w:hAnsi="Arial" w:cs="Times New Roman"/>
          <w:sz w:val="24"/>
          <w:szCs w:val="24"/>
          <w:lang w:val="en-ZA"/>
        </w:rPr>
        <w:t>[22]</w:t>
      </w:r>
      <w:r w:rsidRPr="001B50B1">
        <w:rPr>
          <w:rFonts w:ascii="Arial" w:eastAsia="Calibri" w:hAnsi="Arial" w:cs="Times New Roman"/>
          <w:sz w:val="24"/>
          <w:szCs w:val="24"/>
          <w:lang w:val="en-ZA"/>
        </w:rPr>
        <w:tab/>
      </w:r>
      <w:r w:rsidR="00402D9E" w:rsidRPr="00CD1873">
        <w:rPr>
          <w:rFonts w:ascii="Arial" w:eastAsia="Calibri" w:hAnsi="Arial" w:cs="Times New Roman"/>
          <w:sz w:val="24"/>
          <w:lang w:val="en-ZA"/>
        </w:rPr>
        <w:t xml:space="preserve">Counsel </w:t>
      </w:r>
      <w:r w:rsidR="00A148B0" w:rsidRPr="00CD1873">
        <w:rPr>
          <w:rFonts w:ascii="Arial" w:eastAsia="Calibri" w:hAnsi="Arial" w:cs="Times New Roman"/>
          <w:sz w:val="24"/>
          <w:lang w:val="en-ZA"/>
        </w:rPr>
        <w:t xml:space="preserve">argued </w:t>
      </w:r>
      <w:r w:rsidR="00402D9E" w:rsidRPr="00CD1873">
        <w:rPr>
          <w:rFonts w:ascii="Arial" w:eastAsia="Calibri" w:hAnsi="Arial" w:cs="Times New Roman"/>
          <w:sz w:val="24"/>
          <w:lang w:val="en-ZA"/>
        </w:rPr>
        <w:t xml:space="preserve">furthermore </w:t>
      </w:r>
      <w:r w:rsidR="00A148B0" w:rsidRPr="00CD1873">
        <w:rPr>
          <w:rFonts w:ascii="Arial" w:eastAsia="Calibri" w:hAnsi="Arial" w:cs="Times New Roman"/>
          <w:sz w:val="24"/>
          <w:lang w:val="en-ZA"/>
        </w:rPr>
        <w:t xml:space="preserve">that had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A148B0" w:rsidRPr="00CD1873">
        <w:rPr>
          <w:rFonts w:ascii="Arial" w:eastAsia="Calibri" w:hAnsi="Arial" w:cs="Times New Roman"/>
          <w:i/>
          <w:sz w:val="24"/>
          <w:lang w:val="en-ZA"/>
        </w:rPr>
        <w:t xml:space="preserve"> </w:t>
      </w:r>
      <w:r w:rsidR="00A148B0" w:rsidRPr="00CD1873">
        <w:rPr>
          <w:rFonts w:ascii="Arial" w:eastAsia="Calibri" w:hAnsi="Arial" w:cs="Times New Roman"/>
          <w:sz w:val="24"/>
          <w:lang w:val="en-ZA"/>
        </w:rPr>
        <w:t>consid</w:t>
      </w:r>
      <w:r w:rsidR="005804E6" w:rsidRPr="00CD1873">
        <w:rPr>
          <w:rFonts w:ascii="Arial" w:eastAsia="Calibri" w:hAnsi="Arial" w:cs="Times New Roman"/>
          <w:sz w:val="24"/>
          <w:lang w:val="en-ZA"/>
        </w:rPr>
        <w:t xml:space="preserve">ered </w:t>
      </w:r>
      <w:r w:rsidR="00066147" w:rsidRPr="00CD1873">
        <w:rPr>
          <w:rFonts w:ascii="Arial" w:eastAsia="Calibri" w:hAnsi="Arial" w:cs="Times New Roman"/>
          <w:sz w:val="24"/>
          <w:lang w:val="en-ZA"/>
        </w:rPr>
        <w:t>various correspondence</w:t>
      </w:r>
      <w:r w:rsidR="005804E6" w:rsidRPr="00CD1873">
        <w:rPr>
          <w:rFonts w:ascii="Arial" w:eastAsia="Calibri" w:hAnsi="Arial" w:cs="Times New Roman"/>
          <w:sz w:val="24"/>
          <w:lang w:val="en-ZA"/>
        </w:rPr>
        <w:t xml:space="preserve"> that took place between</w:t>
      </w:r>
      <w:r w:rsidR="00A148B0" w:rsidRPr="00CD1873">
        <w:rPr>
          <w:rFonts w:ascii="Arial" w:eastAsia="Calibri" w:hAnsi="Arial" w:cs="Times New Roman"/>
          <w:sz w:val="24"/>
          <w:lang w:val="en-ZA"/>
        </w:rPr>
        <w:t xml:space="preserve"> October and N</w:t>
      </w:r>
      <w:r w:rsidR="0099047C" w:rsidRPr="00CD1873">
        <w:rPr>
          <w:rFonts w:ascii="Arial" w:eastAsia="Calibri" w:hAnsi="Arial" w:cs="Times New Roman"/>
          <w:sz w:val="24"/>
          <w:lang w:val="en-ZA"/>
        </w:rPr>
        <w:t>ovember 2018</w:t>
      </w:r>
      <w:r w:rsidR="006463FB" w:rsidRPr="00CD1873">
        <w:rPr>
          <w:rFonts w:ascii="Arial" w:eastAsia="Calibri" w:hAnsi="Arial" w:cs="Times New Roman"/>
          <w:sz w:val="24"/>
          <w:lang w:val="en-ZA"/>
        </w:rPr>
        <w:t xml:space="preserve"> regarding the dispute</w:t>
      </w:r>
      <w:r w:rsidR="0063607A" w:rsidRPr="00CD1873">
        <w:rPr>
          <w:rFonts w:ascii="Arial" w:eastAsia="Calibri" w:hAnsi="Arial" w:cs="Times New Roman"/>
          <w:sz w:val="24"/>
          <w:lang w:val="en-ZA"/>
        </w:rPr>
        <w:t>, it should have found that</w:t>
      </w:r>
      <w:r w:rsidR="00A148B0" w:rsidRPr="00CD1873">
        <w:rPr>
          <w:rFonts w:ascii="Arial" w:eastAsia="Calibri" w:hAnsi="Arial" w:cs="Times New Roman"/>
          <w:sz w:val="24"/>
          <w:lang w:val="en-ZA"/>
        </w:rPr>
        <w:t xml:space="preserve"> Etzold-Duvenhage</w:t>
      </w:r>
      <w:r w:rsidR="0063607A" w:rsidRPr="00CD1873">
        <w:rPr>
          <w:rFonts w:ascii="Arial" w:eastAsia="Calibri" w:hAnsi="Arial" w:cs="Times New Roman"/>
          <w:sz w:val="24"/>
          <w:lang w:val="en-ZA"/>
        </w:rPr>
        <w:t>,</w:t>
      </w:r>
      <w:r w:rsidR="000A191C" w:rsidRPr="00CD1873">
        <w:rPr>
          <w:rFonts w:ascii="Arial" w:eastAsia="Calibri" w:hAnsi="Arial" w:cs="Times New Roman"/>
          <w:sz w:val="24"/>
          <w:lang w:val="en-ZA"/>
        </w:rPr>
        <w:t xml:space="preserve"> who w</w:t>
      </w:r>
      <w:r w:rsidR="006463FB" w:rsidRPr="00CD1873">
        <w:rPr>
          <w:rFonts w:ascii="Arial" w:eastAsia="Calibri" w:hAnsi="Arial" w:cs="Times New Roman"/>
          <w:sz w:val="24"/>
          <w:lang w:val="en-ZA"/>
        </w:rPr>
        <w:t>ere</w:t>
      </w:r>
      <w:r w:rsidR="00A148B0" w:rsidRPr="00CD1873">
        <w:rPr>
          <w:rFonts w:ascii="Arial" w:eastAsia="Calibri" w:hAnsi="Arial" w:cs="Times New Roman"/>
          <w:sz w:val="24"/>
          <w:lang w:val="en-ZA"/>
        </w:rPr>
        <w:t xml:space="preserve"> acting as agents for Old Mutual L</w:t>
      </w:r>
      <w:r w:rsidR="0099047C" w:rsidRPr="00CD1873">
        <w:rPr>
          <w:rFonts w:ascii="Arial" w:eastAsia="Calibri" w:hAnsi="Arial" w:cs="Times New Roman"/>
          <w:sz w:val="24"/>
          <w:lang w:val="en-ZA"/>
        </w:rPr>
        <w:t xml:space="preserve">ife, expressly communicated to Mr Harris that the sale </w:t>
      </w:r>
      <w:r w:rsidR="00190ED5" w:rsidRPr="00CD1873">
        <w:rPr>
          <w:rFonts w:ascii="Arial" w:eastAsia="Calibri" w:hAnsi="Arial" w:cs="Times New Roman"/>
          <w:sz w:val="24"/>
          <w:lang w:val="en-ZA"/>
        </w:rPr>
        <w:t xml:space="preserve">in execution had not been cancelled. He further </w:t>
      </w:r>
      <w:r w:rsidR="006463FB" w:rsidRPr="00CD1873">
        <w:rPr>
          <w:rFonts w:ascii="Arial" w:eastAsia="Calibri" w:hAnsi="Arial" w:cs="Times New Roman"/>
          <w:sz w:val="24"/>
          <w:lang w:val="en-ZA"/>
        </w:rPr>
        <w:t xml:space="preserve">submitted </w:t>
      </w:r>
      <w:r w:rsidR="00190ED5" w:rsidRPr="00CD1873">
        <w:rPr>
          <w:rFonts w:ascii="Arial" w:eastAsia="Calibri" w:hAnsi="Arial" w:cs="Times New Roman"/>
          <w:sz w:val="24"/>
          <w:lang w:val="en-ZA"/>
        </w:rPr>
        <w:t xml:space="preserve">that the </w:t>
      </w:r>
      <w:r w:rsidR="001E04D7" w:rsidRPr="00CD1873">
        <w:rPr>
          <w:rFonts w:ascii="Arial" w:eastAsia="Calibri" w:hAnsi="Arial" w:cs="Times New Roman"/>
          <w:i/>
          <w:sz w:val="24"/>
          <w:lang w:val="en-ZA"/>
        </w:rPr>
        <w:t>court a quo</w:t>
      </w:r>
      <w:r w:rsidR="006463FB" w:rsidRPr="00CD1873">
        <w:rPr>
          <w:rFonts w:ascii="Arial" w:eastAsia="Calibri" w:hAnsi="Arial" w:cs="Times New Roman"/>
          <w:sz w:val="24"/>
          <w:lang w:val="en-ZA"/>
        </w:rPr>
        <w:t>’s</w:t>
      </w:r>
      <w:r w:rsidR="00190ED5" w:rsidRPr="00CD1873">
        <w:rPr>
          <w:rFonts w:ascii="Arial" w:eastAsia="Calibri" w:hAnsi="Arial" w:cs="Times New Roman"/>
          <w:sz w:val="24"/>
          <w:lang w:val="en-ZA"/>
        </w:rPr>
        <w:t xml:space="preserve"> f</w:t>
      </w:r>
      <w:r w:rsidR="006463FB" w:rsidRPr="00CD1873">
        <w:rPr>
          <w:rFonts w:ascii="Arial" w:eastAsia="Calibri" w:hAnsi="Arial" w:cs="Times New Roman"/>
          <w:sz w:val="24"/>
          <w:lang w:val="en-ZA"/>
        </w:rPr>
        <w:t xml:space="preserve">inding </w:t>
      </w:r>
      <w:r w:rsidR="00190ED5" w:rsidRPr="00CD1873">
        <w:rPr>
          <w:rFonts w:ascii="Arial" w:eastAsia="Calibri" w:hAnsi="Arial" w:cs="Times New Roman"/>
          <w:sz w:val="24"/>
          <w:lang w:val="en-ZA"/>
        </w:rPr>
        <w:t xml:space="preserve">that the sale in execution was cancelled prior to the sale taking place was erroneous because a genuine dispute of fact existed as regards that </w:t>
      </w:r>
      <w:r w:rsidR="00135C1F" w:rsidRPr="00CD1873">
        <w:rPr>
          <w:rFonts w:ascii="Arial" w:eastAsia="Calibri" w:hAnsi="Arial" w:cs="Times New Roman"/>
          <w:sz w:val="24"/>
          <w:lang w:val="en-ZA"/>
        </w:rPr>
        <w:t>issue</w:t>
      </w:r>
      <w:r w:rsidR="00190ED5" w:rsidRPr="00CD1873">
        <w:rPr>
          <w:rFonts w:ascii="Arial" w:eastAsia="Calibri" w:hAnsi="Arial" w:cs="Times New Roman"/>
          <w:sz w:val="24"/>
          <w:lang w:val="en-ZA"/>
        </w:rPr>
        <w:t>.</w:t>
      </w:r>
    </w:p>
    <w:p w14:paraId="7DD8AB8E" w14:textId="77777777" w:rsidR="001B50B1" w:rsidRDefault="001B50B1" w:rsidP="00FD4ECB">
      <w:pPr>
        <w:pStyle w:val="ListParagraph"/>
        <w:spacing w:after="0" w:line="480" w:lineRule="auto"/>
        <w:rPr>
          <w:rFonts w:ascii="Arial" w:eastAsia="Calibri" w:hAnsi="Arial" w:cs="Times New Roman"/>
          <w:i/>
          <w:sz w:val="24"/>
          <w:lang w:val="en-ZA"/>
        </w:rPr>
      </w:pPr>
    </w:p>
    <w:p w14:paraId="7C3A570D" w14:textId="77777777" w:rsidR="001B50B1" w:rsidRPr="0049694C" w:rsidRDefault="001B50B1" w:rsidP="00FD4ECB">
      <w:pPr>
        <w:pStyle w:val="ListParagraph"/>
        <w:spacing w:after="0" w:line="480" w:lineRule="auto"/>
        <w:ind w:left="0"/>
        <w:jc w:val="both"/>
        <w:rPr>
          <w:rFonts w:ascii="Arial" w:eastAsia="Calibri" w:hAnsi="Arial" w:cs="Times New Roman"/>
          <w:i/>
          <w:sz w:val="24"/>
          <w:lang w:val="en-ZA"/>
        </w:rPr>
      </w:pPr>
      <w:r w:rsidRPr="001B50B1">
        <w:rPr>
          <w:rFonts w:ascii="Arial" w:eastAsia="Calibri" w:hAnsi="Arial" w:cs="Times New Roman"/>
          <w:i/>
          <w:sz w:val="24"/>
          <w:lang w:val="en-ZA"/>
        </w:rPr>
        <w:t>Submissions on behalf of Old Mutual Life</w:t>
      </w:r>
    </w:p>
    <w:p w14:paraId="652A8049" w14:textId="73632372" w:rsidR="00206972"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FD4ECB">
        <w:rPr>
          <w:rFonts w:ascii="Arial" w:eastAsia="Calibri" w:hAnsi="Arial" w:cs="Times New Roman"/>
          <w:sz w:val="24"/>
          <w:szCs w:val="24"/>
          <w:lang w:val="en-ZA"/>
        </w:rPr>
        <w:t>[23]</w:t>
      </w:r>
      <w:r w:rsidRPr="00FD4ECB">
        <w:rPr>
          <w:rFonts w:ascii="Arial" w:eastAsia="Calibri" w:hAnsi="Arial" w:cs="Times New Roman"/>
          <w:sz w:val="24"/>
          <w:szCs w:val="24"/>
          <w:lang w:val="en-ZA"/>
        </w:rPr>
        <w:tab/>
      </w:r>
      <w:r w:rsidR="001B50B1" w:rsidRPr="00CD1873">
        <w:rPr>
          <w:rFonts w:ascii="Arial" w:hAnsi="Arial" w:cs="Arial"/>
          <w:iCs/>
          <w:color w:val="000000"/>
          <w:sz w:val="24"/>
          <w:szCs w:val="24"/>
        </w:rPr>
        <w:t>Ms Van der Westhuizen who appeared for Old Mutual Life</w:t>
      </w:r>
      <w:r w:rsidR="00206972" w:rsidRPr="00CD1873">
        <w:rPr>
          <w:rFonts w:ascii="Arial" w:hAnsi="Arial" w:cs="Arial"/>
          <w:iCs/>
          <w:color w:val="000000"/>
          <w:sz w:val="24"/>
          <w:szCs w:val="24"/>
        </w:rPr>
        <w:t>,</w:t>
      </w:r>
      <w:r w:rsidR="001B50B1" w:rsidRPr="00CD1873">
        <w:rPr>
          <w:rFonts w:ascii="Arial" w:hAnsi="Arial" w:cs="Arial"/>
          <w:iCs/>
          <w:color w:val="000000"/>
          <w:sz w:val="24"/>
          <w:szCs w:val="24"/>
        </w:rPr>
        <w:t xml:space="preserve"> in essence</w:t>
      </w:r>
      <w:r w:rsidR="00206972" w:rsidRPr="00CD1873">
        <w:rPr>
          <w:rFonts w:ascii="Arial" w:hAnsi="Arial" w:cs="Arial"/>
          <w:iCs/>
          <w:color w:val="000000"/>
          <w:sz w:val="24"/>
          <w:szCs w:val="24"/>
        </w:rPr>
        <w:t>,</w:t>
      </w:r>
      <w:r w:rsidR="001B50B1" w:rsidRPr="00CD1873">
        <w:rPr>
          <w:rFonts w:ascii="Arial" w:hAnsi="Arial" w:cs="Arial"/>
          <w:iCs/>
          <w:color w:val="000000"/>
          <w:sz w:val="24"/>
          <w:szCs w:val="24"/>
        </w:rPr>
        <w:t xml:space="preserve"> argued that the starting point in determining whether </w:t>
      </w:r>
      <w:r w:rsidR="0026237E" w:rsidRPr="00CD1873">
        <w:rPr>
          <w:rFonts w:ascii="Arial" w:hAnsi="Arial" w:cs="Arial"/>
          <w:iCs/>
          <w:color w:val="000000"/>
          <w:sz w:val="24"/>
          <w:szCs w:val="24"/>
        </w:rPr>
        <w:t xml:space="preserve">or not </w:t>
      </w:r>
      <w:r w:rsidR="001B50B1" w:rsidRPr="00CD1873">
        <w:rPr>
          <w:rFonts w:ascii="Arial" w:hAnsi="Arial" w:cs="Arial"/>
          <w:iCs/>
          <w:color w:val="000000"/>
          <w:sz w:val="24"/>
          <w:szCs w:val="24"/>
        </w:rPr>
        <w:t xml:space="preserve">the </w:t>
      </w:r>
      <w:r w:rsidR="001E04D7" w:rsidRPr="00CD1873">
        <w:rPr>
          <w:rFonts w:ascii="Arial" w:hAnsi="Arial" w:cs="Arial"/>
          <w:iCs/>
          <w:color w:val="000000"/>
          <w:sz w:val="24"/>
          <w:szCs w:val="24"/>
        </w:rPr>
        <w:t>court</w:t>
      </w:r>
      <w:r w:rsidR="001E04D7" w:rsidRPr="00CD1873">
        <w:rPr>
          <w:rFonts w:ascii="Arial" w:hAnsi="Arial" w:cs="Arial"/>
          <w:i/>
          <w:iCs/>
          <w:color w:val="000000"/>
          <w:sz w:val="24"/>
          <w:szCs w:val="24"/>
        </w:rPr>
        <w:t xml:space="preserve"> a quo</w:t>
      </w:r>
      <w:r w:rsidR="001B50B1" w:rsidRPr="00CD1873">
        <w:rPr>
          <w:rFonts w:ascii="Arial" w:hAnsi="Arial" w:cs="Arial"/>
          <w:i/>
          <w:iCs/>
          <w:color w:val="000000"/>
          <w:sz w:val="24"/>
          <w:szCs w:val="24"/>
        </w:rPr>
        <w:t xml:space="preserve"> </w:t>
      </w:r>
      <w:r w:rsidR="001B50B1" w:rsidRPr="00CD1873">
        <w:rPr>
          <w:rFonts w:ascii="Arial" w:hAnsi="Arial" w:cs="Arial"/>
          <w:iCs/>
          <w:color w:val="000000"/>
          <w:sz w:val="24"/>
          <w:szCs w:val="24"/>
        </w:rPr>
        <w:t xml:space="preserve">was correct in holding that rule 110(4) of the rules of court </w:t>
      </w:r>
      <w:r w:rsidR="009D4451" w:rsidRPr="00CD1873">
        <w:rPr>
          <w:rFonts w:ascii="Arial" w:hAnsi="Arial" w:cs="Arial"/>
          <w:iCs/>
          <w:color w:val="000000"/>
          <w:sz w:val="24"/>
          <w:szCs w:val="24"/>
        </w:rPr>
        <w:t xml:space="preserve">is peremptory and </w:t>
      </w:r>
      <w:r w:rsidR="003300F9" w:rsidRPr="00CD1873">
        <w:rPr>
          <w:rFonts w:ascii="Arial" w:hAnsi="Arial" w:cs="Arial"/>
          <w:iCs/>
          <w:color w:val="000000"/>
          <w:sz w:val="24"/>
          <w:szCs w:val="24"/>
        </w:rPr>
        <w:t xml:space="preserve">that non-compliance </w:t>
      </w:r>
      <w:r w:rsidR="0026237E" w:rsidRPr="00CD1873">
        <w:rPr>
          <w:rFonts w:ascii="Arial" w:hAnsi="Arial" w:cs="Arial"/>
          <w:iCs/>
          <w:color w:val="000000"/>
          <w:sz w:val="24"/>
          <w:szCs w:val="24"/>
        </w:rPr>
        <w:t>with that rule invalidates sale in execution</w:t>
      </w:r>
      <w:r w:rsidR="004749FF" w:rsidRPr="00CD1873">
        <w:rPr>
          <w:rFonts w:ascii="Arial" w:hAnsi="Arial" w:cs="Arial"/>
          <w:iCs/>
          <w:color w:val="000000"/>
          <w:sz w:val="24"/>
          <w:szCs w:val="24"/>
        </w:rPr>
        <w:t>,</w:t>
      </w:r>
      <w:r w:rsidR="00074DE1" w:rsidRPr="00CD1873">
        <w:rPr>
          <w:rFonts w:ascii="Arial" w:hAnsi="Arial" w:cs="Arial"/>
          <w:iCs/>
          <w:color w:val="000000"/>
          <w:sz w:val="24"/>
          <w:szCs w:val="24"/>
        </w:rPr>
        <w:t xml:space="preserve"> is</w:t>
      </w:r>
      <w:r w:rsidR="001B50B1" w:rsidRPr="00CD1873">
        <w:rPr>
          <w:rFonts w:ascii="Arial" w:hAnsi="Arial" w:cs="Arial"/>
          <w:iCs/>
          <w:color w:val="000000"/>
          <w:sz w:val="24"/>
          <w:szCs w:val="24"/>
        </w:rPr>
        <w:t xml:space="preserve"> to first determine what the purpose </w:t>
      </w:r>
      <w:r w:rsidR="000C5833" w:rsidRPr="00CD1873">
        <w:rPr>
          <w:rFonts w:ascii="Arial" w:hAnsi="Arial" w:cs="Arial"/>
          <w:iCs/>
          <w:color w:val="000000"/>
          <w:sz w:val="24"/>
          <w:szCs w:val="24"/>
        </w:rPr>
        <w:t xml:space="preserve">of </w:t>
      </w:r>
      <w:r w:rsidR="001B50B1" w:rsidRPr="00CD1873">
        <w:rPr>
          <w:rFonts w:ascii="Arial" w:hAnsi="Arial" w:cs="Arial"/>
          <w:iCs/>
          <w:color w:val="000000"/>
          <w:sz w:val="24"/>
          <w:szCs w:val="24"/>
        </w:rPr>
        <w:t xml:space="preserve">the </w:t>
      </w:r>
      <w:r w:rsidR="00206972" w:rsidRPr="00CD1873">
        <w:rPr>
          <w:rFonts w:ascii="Arial" w:hAnsi="Arial" w:cs="Arial"/>
          <w:iCs/>
          <w:color w:val="000000"/>
          <w:sz w:val="24"/>
          <w:szCs w:val="24"/>
        </w:rPr>
        <w:t>r</w:t>
      </w:r>
      <w:r w:rsidR="001B50B1" w:rsidRPr="00CD1873">
        <w:rPr>
          <w:rFonts w:ascii="Arial" w:hAnsi="Arial" w:cs="Arial"/>
          <w:iCs/>
          <w:color w:val="000000"/>
          <w:sz w:val="24"/>
          <w:szCs w:val="24"/>
        </w:rPr>
        <w:t>ule in question</w:t>
      </w:r>
      <w:r w:rsidR="00206972" w:rsidRPr="00CD1873">
        <w:rPr>
          <w:rFonts w:ascii="Arial" w:hAnsi="Arial" w:cs="Arial"/>
          <w:iCs/>
          <w:color w:val="000000"/>
          <w:sz w:val="24"/>
          <w:szCs w:val="24"/>
        </w:rPr>
        <w:t xml:space="preserve"> </w:t>
      </w:r>
      <w:r w:rsidR="000C5833" w:rsidRPr="00CD1873">
        <w:rPr>
          <w:rFonts w:ascii="Arial" w:hAnsi="Arial" w:cs="Arial"/>
          <w:iCs/>
          <w:color w:val="000000"/>
          <w:sz w:val="24"/>
          <w:szCs w:val="24"/>
        </w:rPr>
        <w:t>is</w:t>
      </w:r>
      <w:r w:rsidR="00382869" w:rsidRPr="00CD1873">
        <w:rPr>
          <w:rFonts w:ascii="Arial" w:hAnsi="Arial" w:cs="Arial"/>
          <w:iCs/>
          <w:color w:val="000000"/>
          <w:sz w:val="24"/>
          <w:szCs w:val="24"/>
        </w:rPr>
        <w:t>.</w:t>
      </w:r>
    </w:p>
    <w:p w14:paraId="2A886662" w14:textId="77777777" w:rsidR="003C2025" w:rsidRPr="00206972" w:rsidRDefault="003C2025" w:rsidP="00FD4ECB">
      <w:pPr>
        <w:pStyle w:val="ListParagraph"/>
        <w:shd w:val="clear" w:color="auto" w:fill="FFFFFF"/>
        <w:spacing w:after="0" w:line="480" w:lineRule="auto"/>
        <w:ind w:left="0"/>
        <w:jc w:val="both"/>
        <w:rPr>
          <w:rFonts w:ascii="Arial" w:eastAsia="Calibri" w:hAnsi="Arial" w:cs="Times New Roman"/>
          <w:i/>
          <w:sz w:val="24"/>
          <w:szCs w:val="24"/>
          <w:lang w:val="en-ZA"/>
        </w:rPr>
      </w:pPr>
    </w:p>
    <w:p w14:paraId="4DCC8CBA" w14:textId="6D635E85" w:rsidR="00074DE1"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074DE1">
        <w:rPr>
          <w:rFonts w:ascii="Arial" w:eastAsia="Calibri" w:hAnsi="Arial" w:cs="Times New Roman"/>
          <w:sz w:val="24"/>
          <w:szCs w:val="24"/>
          <w:lang w:val="en-ZA"/>
        </w:rPr>
        <w:t>[24]</w:t>
      </w:r>
      <w:r w:rsidRPr="00074DE1">
        <w:rPr>
          <w:rFonts w:ascii="Arial" w:eastAsia="Calibri" w:hAnsi="Arial" w:cs="Times New Roman"/>
          <w:sz w:val="24"/>
          <w:szCs w:val="24"/>
          <w:lang w:val="en-ZA"/>
        </w:rPr>
        <w:tab/>
      </w:r>
      <w:r w:rsidR="00206972" w:rsidRPr="00CD1873">
        <w:rPr>
          <w:rFonts w:ascii="Arial" w:hAnsi="Arial" w:cs="Arial"/>
          <w:iCs/>
          <w:color w:val="000000"/>
          <w:sz w:val="24"/>
          <w:szCs w:val="24"/>
        </w:rPr>
        <w:t xml:space="preserve">She argued </w:t>
      </w:r>
      <w:r w:rsidR="00135C1F" w:rsidRPr="00CD1873">
        <w:rPr>
          <w:rFonts w:ascii="Arial" w:hAnsi="Arial" w:cs="Arial"/>
          <w:iCs/>
          <w:color w:val="000000"/>
          <w:sz w:val="24"/>
          <w:szCs w:val="24"/>
        </w:rPr>
        <w:t xml:space="preserve">furthermore </w:t>
      </w:r>
      <w:r w:rsidR="00206972" w:rsidRPr="00CD1873">
        <w:rPr>
          <w:rFonts w:ascii="Arial" w:hAnsi="Arial" w:cs="Arial"/>
          <w:iCs/>
          <w:color w:val="000000"/>
          <w:sz w:val="24"/>
          <w:szCs w:val="24"/>
        </w:rPr>
        <w:t xml:space="preserve">that the </w:t>
      </w:r>
      <w:r w:rsidR="001B50B1" w:rsidRPr="00CD1873">
        <w:rPr>
          <w:rFonts w:ascii="Arial" w:hAnsi="Arial" w:cs="Arial"/>
          <w:sz w:val="24"/>
          <w:szCs w:val="24"/>
        </w:rPr>
        <w:t>aim</w:t>
      </w:r>
      <w:r w:rsidR="00206972" w:rsidRPr="00CD1873">
        <w:rPr>
          <w:rFonts w:ascii="Arial" w:hAnsi="Arial" w:cs="Arial"/>
          <w:sz w:val="24"/>
          <w:szCs w:val="24"/>
        </w:rPr>
        <w:t xml:space="preserve"> of the rules</w:t>
      </w:r>
      <w:r w:rsidR="00074DE1" w:rsidRPr="00CD1873">
        <w:rPr>
          <w:rFonts w:ascii="Arial" w:hAnsi="Arial" w:cs="Arial"/>
          <w:sz w:val="24"/>
          <w:szCs w:val="24"/>
        </w:rPr>
        <w:t xml:space="preserve"> relating to the sale of immovable property in execution </w:t>
      </w:r>
      <w:r w:rsidR="00206972" w:rsidRPr="00CD1873">
        <w:rPr>
          <w:rFonts w:ascii="Arial" w:hAnsi="Arial" w:cs="Arial"/>
          <w:sz w:val="24"/>
          <w:szCs w:val="24"/>
        </w:rPr>
        <w:t xml:space="preserve">is </w:t>
      </w:r>
      <w:r w:rsidR="001B50B1" w:rsidRPr="00CD1873">
        <w:rPr>
          <w:rFonts w:ascii="Arial" w:hAnsi="Arial" w:cs="Arial"/>
          <w:sz w:val="24"/>
          <w:szCs w:val="24"/>
        </w:rPr>
        <w:t xml:space="preserve">to safeguard the rights of various parties and to strictly regulate a process that dispossesses a </w:t>
      </w:r>
      <w:r w:rsidR="00B529D2" w:rsidRPr="00CD1873">
        <w:rPr>
          <w:rFonts w:ascii="Arial" w:hAnsi="Arial" w:cs="Arial"/>
          <w:sz w:val="24"/>
          <w:szCs w:val="24"/>
        </w:rPr>
        <w:t>judgment</w:t>
      </w:r>
      <w:r w:rsidR="003C28E9" w:rsidRPr="00CD1873">
        <w:rPr>
          <w:rFonts w:ascii="Arial" w:hAnsi="Arial" w:cs="Arial"/>
          <w:sz w:val="24"/>
          <w:szCs w:val="24"/>
        </w:rPr>
        <w:t xml:space="preserve"> debtor of his or </w:t>
      </w:r>
      <w:r w:rsidR="001B50B1" w:rsidRPr="00CD1873">
        <w:rPr>
          <w:rFonts w:ascii="Arial" w:hAnsi="Arial" w:cs="Arial"/>
          <w:sz w:val="24"/>
          <w:szCs w:val="24"/>
        </w:rPr>
        <w:t>her property.</w:t>
      </w:r>
      <w:r w:rsidR="001B50B1" w:rsidRPr="00CD1873">
        <w:rPr>
          <w:rFonts w:ascii="Arial" w:hAnsi="Arial" w:cs="Arial"/>
          <w:iCs/>
          <w:color w:val="000000"/>
          <w:sz w:val="24"/>
          <w:szCs w:val="24"/>
        </w:rPr>
        <w:t xml:space="preserve"> </w:t>
      </w:r>
      <w:r w:rsidR="00074DE1" w:rsidRPr="00CD1873">
        <w:rPr>
          <w:rFonts w:ascii="Arial" w:hAnsi="Arial" w:cs="Arial"/>
          <w:iCs/>
          <w:color w:val="000000"/>
          <w:sz w:val="24"/>
          <w:szCs w:val="24"/>
        </w:rPr>
        <w:t>She cont</w:t>
      </w:r>
      <w:r w:rsidR="00423B59" w:rsidRPr="00CD1873">
        <w:rPr>
          <w:rFonts w:ascii="Arial" w:hAnsi="Arial" w:cs="Arial"/>
          <w:iCs/>
          <w:color w:val="000000"/>
          <w:sz w:val="24"/>
          <w:szCs w:val="24"/>
        </w:rPr>
        <w:t xml:space="preserve">ended </w:t>
      </w:r>
      <w:r w:rsidR="00074DE1" w:rsidRPr="00CD1873">
        <w:rPr>
          <w:rFonts w:ascii="Arial" w:hAnsi="Arial" w:cs="Arial"/>
          <w:iCs/>
          <w:color w:val="000000"/>
          <w:sz w:val="24"/>
          <w:szCs w:val="24"/>
        </w:rPr>
        <w:t>that a</w:t>
      </w:r>
      <w:r w:rsidR="00206972" w:rsidRPr="00CD1873">
        <w:rPr>
          <w:rFonts w:ascii="Arial" w:hAnsi="Arial" w:cs="Arial"/>
          <w:iCs/>
          <w:color w:val="000000"/>
          <w:sz w:val="24"/>
          <w:szCs w:val="24"/>
        </w:rPr>
        <w:t>part from a due process</w:t>
      </w:r>
      <w:r w:rsidR="001B50B1" w:rsidRPr="00CD1873">
        <w:rPr>
          <w:rFonts w:ascii="Arial" w:hAnsi="Arial" w:cs="Arial"/>
          <w:iCs/>
          <w:color w:val="000000"/>
          <w:sz w:val="24"/>
          <w:szCs w:val="24"/>
        </w:rPr>
        <w:t xml:space="preserve">, the </w:t>
      </w:r>
      <w:r w:rsidR="00206972" w:rsidRPr="00CD1873">
        <w:rPr>
          <w:rFonts w:ascii="Arial" w:hAnsi="Arial" w:cs="Arial"/>
          <w:iCs/>
          <w:color w:val="000000"/>
          <w:sz w:val="24"/>
          <w:szCs w:val="24"/>
        </w:rPr>
        <w:t>r</w:t>
      </w:r>
      <w:r w:rsidR="001B50B1" w:rsidRPr="00CD1873">
        <w:rPr>
          <w:rFonts w:ascii="Arial" w:hAnsi="Arial" w:cs="Arial"/>
          <w:iCs/>
          <w:color w:val="000000"/>
          <w:sz w:val="24"/>
          <w:szCs w:val="24"/>
        </w:rPr>
        <w:t>ules further principally, seek to ensure proper prior publication and n</w:t>
      </w:r>
      <w:r w:rsidR="00646BA3" w:rsidRPr="00CD1873">
        <w:rPr>
          <w:rFonts w:ascii="Arial" w:hAnsi="Arial" w:cs="Arial"/>
          <w:iCs/>
          <w:color w:val="000000"/>
          <w:sz w:val="24"/>
          <w:szCs w:val="24"/>
        </w:rPr>
        <w:t>otification, with an emphasis</w:t>
      </w:r>
      <w:r w:rsidR="001B50B1" w:rsidRPr="00CD1873">
        <w:rPr>
          <w:rFonts w:ascii="Arial" w:hAnsi="Arial" w:cs="Arial"/>
          <w:iCs/>
          <w:color w:val="000000"/>
          <w:sz w:val="24"/>
          <w:szCs w:val="24"/>
        </w:rPr>
        <w:t xml:space="preserve"> on </w:t>
      </w:r>
      <w:r w:rsidR="00646BA3" w:rsidRPr="00CD1873">
        <w:rPr>
          <w:rFonts w:ascii="Arial" w:hAnsi="Arial" w:cs="Arial"/>
          <w:iCs/>
          <w:color w:val="000000"/>
          <w:sz w:val="24"/>
          <w:szCs w:val="24"/>
        </w:rPr>
        <w:t>‘</w:t>
      </w:r>
      <w:r w:rsidR="001B50B1" w:rsidRPr="00CD1873">
        <w:rPr>
          <w:rFonts w:ascii="Arial" w:hAnsi="Arial" w:cs="Arial"/>
          <w:color w:val="000000"/>
          <w:sz w:val="24"/>
          <w:szCs w:val="24"/>
        </w:rPr>
        <w:t>prior</w:t>
      </w:r>
      <w:r w:rsidR="00646BA3" w:rsidRPr="00CD1873">
        <w:rPr>
          <w:rFonts w:ascii="Arial" w:hAnsi="Arial" w:cs="Arial"/>
          <w:iCs/>
          <w:color w:val="000000"/>
          <w:sz w:val="24"/>
          <w:szCs w:val="24"/>
        </w:rPr>
        <w:t>’</w:t>
      </w:r>
      <w:r w:rsidR="00074DE1" w:rsidRPr="00CD1873">
        <w:rPr>
          <w:rFonts w:ascii="Arial" w:hAnsi="Arial" w:cs="Arial"/>
          <w:iCs/>
          <w:color w:val="000000"/>
          <w:sz w:val="24"/>
          <w:szCs w:val="24"/>
        </w:rPr>
        <w:t>.</w:t>
      </w:r>
    </w:p>
    <w:p w14:paraId="3B3F8E38" w14:textId="77777777" w:rsidR="00074DE1" w:rsidRPr="00074DE1" w:rsidRDefault="00074DE1" w:rsidP="00FD4ECB">
      <w:pPr>
        <w:pStyle w:val="ListParagraph"/>
        <w:spacing w:after="0" w:line="480" w:lineRule="auto"/>
        <w:ind w:left="0"/>
        <w:jc w:val="both"/>
        <w:rPr>
          <w:rFonts w:ascii="Arial" w:hAnsi="Arial" w:cs="Arial"/>
          <w:iCs/>
          <w:color w:val="000000"/>
          <w:sz w:val="24"/>
          <w:szCs w:val="24"/>
        </w:rPr>
      </w:pPr>
    </w:p>
    <w:p w14:paraId="103FBB3C" w14:textId="4ABD8DC0" w:rsidR="00074DE1"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3C28E9">
        <w:rPr>
          <w:rFonts w:ascii="Arial" w:eastAsia="Calibri" w:hAnsi="Arial" w:cs="Times New Roman"/>
          <w:sz w:val="24"/>
          <w:szCs w:val="24"/>
          <w:lang w:val="en-ZA"/>
        </w:rPr>
        <w:t>[25]</w:t>
      </w:r>
      <w:r w:rsidRPr="003C28E9">
        <w:rPr>
          <w:rFonts w:ascii="Arial" w:eastAsia="Calibri" w:hAnsi="Arial" w:cs="Times New Roman"/>
          <w:sz w:val="24"/>
          <w:szCs w:val="24"/>
          <w:lang w:val="en-ZA"/>
        </w:rPr>
        <w:tab/>
      </w:r>
      <w:r w:rsidR="00423B59" w:rsidRPr="00CD1873">
        <w:rPr>
          <w:rFonts w:ascii="Arial" w:hAnsi="Arial" w:cs="Arial"/>
          <w:iCs/>
          <w:color w:val="000000"/>
          <w:sz w:val="24"/>
          <w:szCs w:val="24"/>
        </w:rPr>
        <w:t xml:space="preserve">Counsel </w:t>
      </w:r>
      <w:r w:rsidR="00074DE1" w:rsidRPr="00CD1873">
        <w:rPr>
          <w:rFonts w:ascii="Arial" w:hAnsi="Arial" w:cs="Arial"/>
          <w:iCs/>
          <w:color w:val="000000"/>
          <w:sz w:val="24"/>
          <w:szCs w:val="24"/>
        </w:rPr>
        <w:t xml:space="preserve">argued that </w:t>
      </w:r>
      <w:r w:rsidR="001B50B1" w:rsidRPr="00CD1873">
        <w:rPr>
          <w:rFonts w:ascii="Arial" w:hAnsi="Arial" w:cs="Arial"/>
          <w:iCs/>
          <w:color w:val="000000"/>
          <w:sz w:val="24"/>
          <w:szCs w:val="24"/>
        </w:rPr>
        <w:t xml:space="preserve">prior publication and notification, in turn, </w:t>
      </w:r>
      <w:r w:rsidR="00423B59" w:rsidRPr="00CD1873">
        <w:rPr>
          <w:rFonts w:ascii="Arial" w:hAnsi="Arial" w:cs="Arial"/>
          <w:iCs/>
          <w:color w:val="000000"/>
          <w:sz w:val="24"/>
          <w:szCs w:val="24"/>
        </w:rPr>
        <w:t xml:space="preserve">serve </w:t>
      </w:r>
      <w:r w:rsidR="00074DE1" w:rsidRPr="00CD1873">
        <w:rPr>
          <w:rFonts w:ascii="Arial" w:hAnsi="Arial" w:cs="Arial"/>
          <w:iCs/>
          <w:color w:val="000000"/>
          <w:sz w:val="24"/>
          <w:szCs w:val="24"/>
        </w:rPr>
        <w:t xml:space="preserve">two very important purposes. </w:t>
      </w:r>
      <w:r w:rsidR="00423B59" w:rsidRPr="00CD1873">
        <w:rPr>
          <w:rFonts w:ascii="Arial" w:hAnsi="Arial" w:cs="Arial"/>
          <w:iCs/>
          <w:color w:val="000000"/>
          <w:sz w:val="24"/>
          <w:szCs w:val="24"/>
        </w:rPr>
        <w:t>F</w:t>
      </w:r>
      <w:r w:rsidR="001B50B1" w:rsidRPr="00CD1873">
        <w:rPr>
          <w:rFonts w:ascii="Arial" w:hAnsi="Arial" w:cs="Arial"/>
          <w:iCs/>
          <w:color w:val="000000"/>
          <w:sz w:val="24"/>
          <w:szCs w:val="24"/>
        </w:rPr>
        <w:t>irst</w:t>
      </w:r>
      <w:r w:rsidR="00423B59" w:rsidRPr="00CD1873">
        <w:rPr>
          <w:rFonts w:ascii="Arial" w:hAnsi="Arial" w:cs="Arial"/>
          <w:iCs/>
          <w:color w:val="000000"/>
          <w:sz w:val="24"/>
          <w:szCs w:val="24"/>
        </w:rPr>
        <w:t xml:space="preserve">, </w:t>
      </w:r>
      <w:r w:rsidR="001B50B1" w:rsidRPr="00CD1873">
        <w:rPr>
          <w:rFonts w:ascii="Arial" w:hAnsi="Arial" w:cs="Arial"/>
          <w:iCs/>
          <w:color w:val="000000"/>
          <w:sz w:val="24"/>
          <w:szCs w:val="24"/>
        </w:rPr>
        <w:t>it ensure</w:t>
      </w:r>
      <w:r w:rsidR="00423B59" w:rsidRPr="00CD1873">
        <w:rPr>
          <w:rFonts w:ascii="Arial" w:hAnsi="Arial" w:cs="Arial"/>
          <w:iCs/>
          <w:color w:val="000000"/>
          <w:sz w:val="24"/>
          <w:szCs w:val="24"/>
        </w:rPr>
        <w:t>s</w:t>
      </w:r>
      <w:r w:rsidR="001B50B1" w:rsidRPr="00CD1873">
        <w:rPr>
          <w:rFonts w:ascii="Arial" w:hAnsi="Arial" w:cs="Arial"/>
          <w:iCs/>
          <w:color w:val="000000"/>
          <w:sz w:val="24"/>
          <w:szCs w:val="24"/>
        </w:rPr>
        <w:t xml:space="preserve"> that a </w:t>
      </w:r>
      <w:r w:rsidR="001B50B1" w:rsidRPr="00CD1873">
        <w:rPr>
          <w:rFonts w:ascii="Arial" w:hAnsi="Arial" w:cs="Arial"/>
          <w:i/>
          <w:iCs/>
          <w:color w:val="000000"/>
          <w:sz w:val="24"/>
          <w:szCs w:val="24"/>
        </w:rPr>
        <w:t xml:space="preserve">genus </w:t>
      </w:r>
      <w:r w:rsidR="001B50B1" w:rsidRPr="00CD1873">
        <w:rPr>
          <w:rFonts w:ascii="Arial" w:hAnsi="Arial" w:cs="Arial"/>
          <w:iCs/>
          <w:color w:val="000000"/>
          <w:sz w:val="24"/>
          <w:szCs w:val="24"/>
        </w:rPr>
        <w:t xml:space="preserve">of </w:t>
      </w:r>
      <w:r w:rsidR="00074DE1" w:rsidRPr="00CD1873">
        <w:rPr>
          <w:rFonts w:ascii="Arial" w:hAnsi="Arial" w:cs="Arial"/>
          <w:iCs/>
          <w:color w:val="000000"/>
          <w:sz w:val="24"/>
          <w:szCs w:val="24"/>
        </w:rPr>
        <w:t>right holders</w:t>
      </w:r>
      <w:r w:rsidR="001B50B1" w:rsidRPr="00CD1873">
        <w:rPr>
          <w:rFonts w:ascii="Arial" w:hAnsi="Arial" w:cs="Arial"/>
          <w:iCs/>
          <w:color w:val="000000"/>
          <w:sz w:val="24"/>
          <w:szCs w:val="24"/>
        </w:rPr>
        <w:t xml:space="preserve"> who may be affected by the sale in execution </w:t>
      </w:r>
      <w:r w:rsidR="00074DE1" w:rsidRPr="00CD1873">
        <w:rPr>
          <w:rFonts w:ascii="Arial" w:hAnsi="Arial" w:cs="Arial"/>
          <w:iCs/>
          <w:color w:val="000000"/>
          <w:sz w:val="24"/>
          <w:szCs w:val="24"/>
        </w:rPr>
        <w:t xml:space="preserve">must </w:t>
      </w:r>
      <w:r w:rsidR="001B50B1" w:rsidRPr="00CD1873">
        <w:rPr>
          <w:rFonts w:ascii="Arial" w:hAnsi="Arial" w:cs="Arial"/>
          <w:iCs/>
          <w:color w:val="000000"/>
          <w:sz w:val="24"/>
          <w:szCs w:val="24"/>
        </w:rPr>
        <w:t>exercise their rights prior to the sale in execution and that they can, after the sale in execution</w:t>
      </w:r>
      <w:r w:rsidR="00382869" w:rsidRPr="00CD1873">
        <w:rPr>
          <w:rFonts w:ascii="Arial" w:hAnsi="Arial" w:cs="Arial"/>
          <w:iCs/>
          <w:color w:val="000000"/>
          <w:sz w:val="24"/>
          <w:szCs w:val="24"/>
        </w:rPr>
        <w:t>,</w:t>
      </w:r>
      <w:r w:rsidR="001B50B1" w:rsidRPr="00CD1873">
        <w:rPr>
          <w:rFonts w:ascii="Arial" w:hAnsi="Arial" w:cs="Arial"/>
          <w:iCs/>
          <w:color w:val="000000"/>
          <w:sz w:val="24"/>
          <w:szCs w:val="24"/>
        </w:rPr>
        <w:t xml:space="preserve"> be bound by the doct</w:t>
      </w:r>
      <w:r w:rsidR="0026237E" w:rsidRPr="00CD1873">
        <w:rPr>
          <w:rFonts w:ascii="Arial" w:hAnsi="Arial" w:cs="Arial"/>
          <w:iCs/>
          <w:color w:val="000000"/>
          <w:sz w:val="24"/>
          <w:szCs w:val="24"/>
        </w:rPr>
        <w:t xml:space="preserve">rine of notice. </w:t>
      </w:r>
      <w:r w:rsidR="00423B59" w:rsidRPr="00CD1873">
        <w:rPr>
          <w:rFonts w:ascii="Arial" w:hAnsi="Arial" w:cs="Arial"/>
          <w:iCs/>
          <w:color w:val="000000"/>
          <w:sz w:val="24"/>
          <w:szCs w:val="24"/>
        </w:rPr>
        <w:t>S</w:t>
      </w:r>
      <w:r w:rsidR="00074DE1" w:rsidRPr="00CD1873">
        <w:rPr>
          <w:rFonts w:ascii="Arial" w:hAnsi="Arial" w:cs="Arial"/>
          <w:iCs/>
          <w:color w:val="000000"/>
          <w:sz w:val="24"/>
          <w:szCs w:val="24"/>
        </w:rPr>
        <w:t>econd</w:t>
      </w:r>
      <w:r w:rsidR="00423B59" w:rsidRPr="00CD1873">
        <w:rPr>
          <w:rFonts w:ascii="Arial" w:hAnsi="Arial" w:cs="Arial"/>
          <w:iCs/>
          <w:color w:val="000000"/>
          <w:sz w:val="24"/>
          <w:szCs w:val="24"/>
        </w:rPr>
        <w:t>,</w:t>
      </w:r>
      <w:r w:rsidR="00074DE1" w:rsidRPr="00CD1873">
        <w:rPr>
          <w:rFonts w:ascii="Arial" w:hAnsi="Arial" w:cs="Arial"/>
          <w:iCs/>
          <w:color w:val="000000"/>
          <w:sz w:val="24"/>
          <w:szCs w:val="24"/>
        </w:rPr>
        <w:t xml:space="preserve"> i</w:t>
      </w:r>
      <w:r w:rsidR="00423B59" w:rsidRPr="00CD1873">
        <w:rPr>
          <w:rFonts w:ascii="Arial" w:hAnsi="Arial" w:cs="Arial"/>
          <w:iCs/>
          <w:color w:val="000000"/>
          <w:sz w:val="24"/>
          <w:szCs w:val="24"/>
        </w:rPr>
        <w:t xml:space="preserve">t </w:t>
      </w:r>
      <w:r w:rsidR="00074DE1" w:rsidRPr="00CD1873">
        <w:rPr>
          <w:rFonts w:ascii="Arial" w:hAnsi="Arial" w:cs="Arial"/>
          <w:iCs/>
          <w:color w:val="000000"/>
          <w:sz w:val="24"/>
          <w:szCs w:val="24"/>
        </w:rPr>
        <w:t>s</w:t>
      </w:r>
      <w:r w:rsidR="00423B59" w:rsidRPr="00CD1873">
        <w:rPr>
          <w:rFonts w:ascii="Arial" w:hAnsi="Arial" w:cs="Arial"/>
          <w:iCs/>
          <w:color w:val="000000"/>
          <w:sz w:val="24"/>
          <w:szCs w:val="24"/>
        </w:rPr>
        <w:t>erves</w:t>
      </w:r>
      <w:r w:rsidR="001B50B1" w:rsidRPr="00CD1873">
        <w:rPr>
          <w:rFonts w:ascii="Arial" w:hAnsi="Arial" w:cs="Arial"/>
          <w:iCs/>
          <w:color w:val="000000"/>
          <w:sz w:val="24"/>
          <w:szCs w:val="24"/>
        </w:rPr>
        <w:t xml:space="preserve"> to attract as many bidders as possible in order to obtain the highest possible price.</w:t>
      </w:r>
    </w:p>
    <w:p w14:paraId="019D1D62" w14:textId="77777777" w:rsidR="003C28E9" w:rsidRPr="002F51C4" w:rsidRDefault="003C28E9" w:rsidP="002F51C4">
      <w:pPr>
        <w:rPr>
          <w:rFonts w:ascii="Arial" w:eastAsia="Calibri" w:hAnsi="Arial" w:cs="Times New Roman"/>
          <w:i/>
          <w:sz w:val="24"/>
          <w:szCs w:val="24"/>
          <w:lang w:val="en-ZA"/>
        </w:rPr>
      </w:pPr>
    </w:p>
    <w:p w14:paraId="77FEABCF" w14:textId="58F0BD0F" w:rsidR="00234F51"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26237E">
        <w:rPr>
          <w:rFonts w:ascii="Arial" w:eastAsia="Calibri" w:hAnsi="Arial" w:cs="Times New Roman"/>
          <w:sz w:val="24"/>
          <w:szCs w:val="24"/>
          <w:lang w:val="en-ZA"/>
        </w:rPr>
        <w:t>[26]</w:t>
      </w:r>
      <w:r w:rsidRPr="0026237E">
        <w:rPr>
          <w:rFonts w:ascii="Arial" w:eastAsia="Calibri" w:hAnsi="Arial" w:cs="Times New Roman"/>
          <w:sz w:val="24"/>
          <w:szCs w:val="24"/>
          <w:lang w:val="en-ZA"/>
        </w:rPr>
        <w:tab/>
      </w:r>
      <w:r w:rsidR="00423B59" w:rsidRPr="00CD1873">
        <w:rPr>
          <w:rFonts w:ascii="Arial" w:hAnsi="Arial" w:cs="Arial"/>
          <w:iCs/>
          <w:color w:val="000000"/>
          <w:sz w:val="24"/>
          <w:szCs w:val="24"/>
        </w:rPr>
        <w:t>Counsel</w:t>
      </w:r>
      <w:r w:rsidR="00074DE1" w:rsidRPr="00CD1873">
        <w:rPr>
          <w:rFonts w:ascii="Arial" w:hAnsi="Arial" w:cs="Arial"/>
          <w:iCs/>
          <w:color w:val="000000"/>
          <w:sz w:val="24"/>
          <w:szCs w:val="24"/>
        </w:rPr>
        <w:t xml:space="preserve"> thus argued that in view of the purposes of rules </w:t>
      </w:r>
      <w:r w:rsidR="001B50B1" w:rsidRPr="00CD1873">
        <w:rPr>
          <w:rFonts w:ascii="Arial" w:hAnsi="Arial" w:cs="Arial"/>
          <w:sz w:val="24"/>
          <w:szCs w:val="24"/>
        </w:rPr>
        <w:t>109 and 110</w:t>
      </w:r>
      <w:r w:rsidR="00BF6C1A" w:rsidRPr="00CD1873">
        <w:rPr>
          <w:rFonts w:ascii="Arial" w:hAnsi="Arial" w:cs="Arial"/>
          <w:sz w:val="24"/>
          <w:szCs w:val="24"/>
        </w:rPr>
        <w:t>,</w:t>
      </w:r>
      <w:r w:rsidR="00074DE1" w:rsidRPr="00CD1873">
        <w:rPr>
          <w:rFonts w:ascii="Arial" w:hAnsi="Arial" w:cs="Arial"/>
          <w:sz w:val="24"/>
          <w:szCs w:val="24"/>
        </w:rPr>
        <w:t xml:space="preserve"> </w:t>
      </w:r>
      <w:r w:rsidR="0026237E" w:rsidRPr="00CD1873">
        <w:rPr>
          <w:rFonts w:ascii="Arial" w:hAnsi="Arial" w:cs="Arial"/>
          <w:sz w:val="24"/>
          <w:szCs w:val="24"/>
        </w:rPr>
        <w:t xml:space="preserve">which rules are couched in </w:t>
      </w:r>
      <w:r w:rsidR="001B50B1" w:rsidRPr="00CD1873">
        <w:rPr>
          <w:rFonts w:ascii="Arial" w:hAnsi="Arial" w:cs="Arial"/>
          <w:sz w:val="24"/>
          <w:szCs w:val="24"/>
        </w:rPr>
        <w:t>peremptory terms</w:t>
      </w:r>
      <w:r w:rsidR="00BF6C1A" w:rsidRPr="00CD1873">
        <w:rPr>
          <w:rFonts w:ascii="Arial" w:hAnsi="Arial" w:cs="Arial"/>
          <w:sz w:val="24"/>
          <w:szCs w:val="24"/>
        </w:rPr>
        <w:t>,</w:t>
      </w:r>
      <w:r w:rsidR="001B50B1" w:rsidRPr="00CD1873">
        <w:rPr>
          <w:rFonts w:ascii="Arial" w:hAnsi="Arial" w:cs="Arial"/>
          <w:sz w:val="24"/>
          <w:szCs w:val="24"/>
        </w:rPr>
        <w:t xml:space="preserve"> non-compliance therewith visit</w:t>
      </w:r>
      <w:r w:rsidR="0026237E" w:rsidRPr="00CD1873">
        <w:rPr>
          <w:rFonts w:ascii="Arial" w:hAnsi="Arial" w:cs="Arial"/>
          <w:sz w:val="24"/>
          <w:szCs w:val="24"/>
        </w:rPr>
        <w:t>s</w:t>
      </w:r>
      <w:r w:rsidR="001B50B1" w:rsidRPr="00CD1873">
        <w:rPr>
          <w:rFonts w:ascii="Arial" w:hAnsi="Arial" w:cs="Arial"/>
          <w:sz w:val="24"/>
          <w:szCs w:val="24"/>
        </w:rPr>
        <w:t xml:space="preserve"> the sale in execution with invalidity and entitles </w:t>
      </w:r>
      <w:r w:rsidR="007C3A10" w:rsidRPr="00CD1873">
        <w:rPr>
          <w:rFonts w:ascii="Arial" w:hAnsi="Arial" w:cs="Arial"/>
          <w:sz w:val="24"/>
          <w:szCs w:val="24"/>
        </w:rPr>
        <w:t>Old Mutual Life to have the sale set aside.</w:t>
      </w:r>
      <w:r w:rsidR="007C3A10" w:rsidRPr="00CD1873">
        <w:rPr>
          <w:rFonts w:ascii="Arial" w:hAnsi="Arial" w:cs="Arial"/>
          <w:iCs/>
          <w:color w:val="000000"/>
          <w:sz w:val="24"/>
          <w:szCs w:val="24"/>
        </w:rPr>
        <w:t xml:space="preserve"> </w:t>
      </w:r>
      <w:r w:rsidR="00423B59" w:rsidRPr="00CD1873">
        <w:rPr>
          <w:rFonts w:ascii="Arial" w:hAnsi="Arial" w:cs="Arial"/>
          <w:iCs/>
          <w:color w:val="000000"/>
          <w:sz w:val="24"/>
          <w:szCs w:val="24"/>
        </w:rPr>
        <w:t xml:space="preserve">According to counsel, </w:t>
      </w:r>
      <w:r w:rsidR="007C3A10" w:rsidRPr="00CD1873">
        <w:rPr>
          <w:rFonts w:ascii="Arial" w:hAnsi="Arial" w:cs="Arial"/>
          <w:iCs/>
          <w:color w:val="000000"/>
          <w:sz w:val="24"/>
          <w:szCs w:val="24"/>
        </w:rPr>
        <w:t xml:space="preserve">the </w:t>
      </w:r>
      <w:r w:rsidR="001B50B1" w:rsidRPr="00CD1873">
        <w:rPr>
          <w:rFonts w:ascii="Arial" w:hAnsi="Arial" w:cs="Arial"/>
          <w:sz w:val="24"/>
          <w:szCs w:val="24"/>
        </w:rPr>
        <w:t>test is objective.</w:t>
      </w:r>
      <w:r w:rsidR="007C3A10" w:rsidRPr="00CD1873">
        <w:rPr>
          <w:rFonts w:ascii="Arial" w:hAnsi="Arial" w:cs="Arial"/>
          <w:sz w:val="24"/>
          <w:szCs w:val="24"/>
        </w:rPr>
        <w:t xml:space="preserve"> </w:t>
      </w:r>
      <w:r w:rsidR="001B50B1" w:rsidRPr="00CD1873">
        <w:rPr>
          <w:rFonts w:ascii="Arial" w:hAnsi="Arial" w:cs="Arial"/>
          <w:sz w:val="24"/>
          <w:szCs w:val="24"/>
        </w:rPr>
        <w:t>It cannot be, as Mr Harris appears to suggest, that if a particular set of facts is more favourable</w:t>
      </w:r>
      <w:r w:rsidR="00BF6C1A" w:rsidRPr="00CD1873">
        <w:rPr>
          <w:rFonts w:ascii="Arial" w:hAnsi="Arial" w:cs="Arial"/>
          <w:sz w:val="24"/>
          <w:szCs w:val="24"/>
        </w:rPr>
        <w:t>,</w:t>
      </w:r>
      <w:r w:rsidR="001B50B1" w:rsidRPr="00CD1873">
        <w:rPr>
          <w:rFonts w:ascii="Arial" w:hAnsi="Arial" w:cs="Arial"/>
          <w:sz w:val="24"/>
          <w:szCs w:val="24"/>
        </w:rPr>
        <w:t xml:space="preserve"> non-compliance may be excused but in other circumstances, non-compliance will be fatal. Either non-compliance </w:t>
      </w:r>
      <w:r w:rsidR="0026237E" w:rsidRPr="00CD1873">
        <w:rPr>
          <w:rFonts w:ascii="Arial" w:hAnsi="Arial" w:cs="Arial"/>
          <w:sz w:val="24"/>
          <w:szCs w:val="24"/>
        </w:rPr>
        <w:t xml:space="preserve">with the rules </w:t>
      </w:r>
      <w:r w:rsidR="001B50B1" w:rsidRPr="00CD1873">
        <w:rPr>
          <w:rFonts w:ascii="Arial" w:hAnsi="Arial" w:cs="Arial"/>
          <w:sz w:val="24"/>
          <w:szCs w:val="24"/>
        </w:rPr>
        <w:t>visits the sale in execution with invalidity or it does not</w:t>
      </w:r>
      <w:r w:rsidR="0026237E" w:rsidRPr="00CD1873">
        <w:rPr>
          <w:rFonts w:ascii="Arial" w:hAnsi="Arial" w:cs="Arial"/>
          <w:sz w:val="24"/>
          <w:szCs w:val="24"/>
        </w:rPr>
        <w:t xml:space="preserve">, </w:t>
      </w:r>
      <w:r w:rsidR="00423B59" w:rsidRPr="00CD1873">
        <w:rPr>
          <w:rFonts w:ascii="Arial" w:hAnsi="Arial" w:cs="Arial"/>
          <w:sz w:val="24"/>
          <w:szCs w:val="24"/>
        </w:rPr>
        <w:t xml:space="preserve">so she </w:t>
      </w:r>
      <w:r w:rsidR="0026237E" w:rsidRPr="00CD1873">
        <w:rPr>
          <w:rFonts w:ascii="Arial" w:hAnsi="Arial" w:cs="Arial"/>
          <w:sz w:val="24"/>
          <w:szCs w:val="24"/>
        </w:rPr>
        <w:t>argued.</w:t>
      </w:r>
    </w:p>
    <w:p w14:paraId="00121B31" w14:textId="37D2FCF8" w:rsidR="002F51C4" w:rsidRDefault="002F51C4">
      <w:pPr>
        <w:spacing w:after="0" w:line="240" w:lineRule="auto"/>
        <w:rPr>
          <w:rFonts w:ascii="Arial" w:eastAsia="Calibri" w:hAnsi="Arial" w:cs="Times New Roman"/>
          <w:i/>
          <w:sz w:val="24"/>
          <w:szCs w:val="24"/>
          <w:lang w:val="en-ZA"/>
        </w:rPr>
      </w:pPr>
      <w:r>
        <w:rPr>
          <w:rFonts w:ascii="Arial" w:eastAsia="Calibri" w:hAnsi="Arial" w:cs="Times New Roman"/>
          <w:i/>
          <w:sz w:val="24"/>
          <w:szCs w:val="24"/>
          <w:lang w:val="en-ZA"/>
        </w:rPr>
        <w:br w:type="page"/>
      </w:r>
    </w:p>
    <w:p w14:paraId="51A9C4FF" w14:textId="77777777" w:rsidR="0026237E" w:rsidRPr="0026237E" w:rsidRDefault="0026237E" w:rsidP="00FD4ECB">
      <w:pPr>
        <w:pStyle w:val="ListParagraph"/>
        <w:shd w:val="clear" w:color="auto" w:fill="FFFFFF"/>
        <w:spacing w:after="0" w:line="480" w:lineRule="auto"/>
        <w:ind w:left="0"/>
        <w:jc w:val="both"/>
        <w:rPr>
          <w:rFonts w:ascii="Arial" w:eastAsia="Calibri" w:hAnsi="Arial" w:cs="Times New Roman"/>
          <w:sz w:val="24"/>
          <w:szCs w:val="24"/>
          <w:u w:val="single"/>
          <w:lang w:val="en-ZA"/>
        </w:rPr>
      </w:pPr>
      <w:r w:rsidRPr="0026237E">
        <w:rPr>
          <w:rFonts w:ascii="Arial" w:eastAsia="Calibri" w:hAnsi="Arial" w:cs="Times New Roman"/>
          <w:sz w:val="24"/>
          <w:szCs w:val="24"/>
          <w:u w:val="single"/>
          <w:lang w:val="en-ZA"/>
        </w:rPr>
        <w:lastRenderedPageBreak/>
        <w:t>Discussion</w:t>
      </w:r>
    </w:p>
    <w:p w14:paraId="78F74C31" w14:textId="0F310849" w:rsidR="008A1136" w:rsidRPr="00CD1873" w:rsidRDefault="00CD1873" w:rsidP="00CD1873">
      <w:pPr>
        <w:shd w:val="clear" w:color="auto" w:fill="FFFFFF"/>
        <w:spacing w:after="0" w:line="480" w:lineRule="auto"/>
        <w:jc w:val="both"/>
        <w:rPr>
          <w:rFonts w:ascii="Arial" w:eastAsia="Calibri" w:hAnsi="Arial" w:cs="Times New Roman"/>
          <w:sz w:val="24"/>
          <w:szCs w:val="24"/>
          <w:lang w:val="en-ZA"/>
        </w:rPr>
      </w:pPr>
      <w:r>
        <w:rPr>
          <w:rFonts w:ascii="Arial" w:eastAsia="Calibri" w:hAnsi="Arial" w:cs="Times New Roman"/>
          <w:sz w:val="24"/>
          <w:szCs w:val="24"/>
          <w:lang w:val="en-ZA"/>
        </w:rPr>
        <w:t>[27]</w:t>
      </w:r>
      <w:r>
        <w:rPr>
          <w:rFonts w:ascii="Arial" w:eastAsia="Calibri" w:hAnsi="Arial" w:cs="Times New Roman"/>
          <w:sz w:val="24"/>
          <w:szCs w:val="24"/>
          <w:lang w:val="en-ZA"/>
        </w:rPr>
        <w:tab/>
      </w:r>
      <w:r w:rsidR="0026237E" w:rsidRPr="00CD1873">
        <w:rPr>
          <w:rFonts w:ascii="Arial" w:eastAsia="Calibri" w:hAnsi="Arial" w:cs="Times New Roman"/>
          <w:sz w:val="24"/>
          <w:szCs w:val="24"/>
          <w:lang w:val="en-ZA"/>
        </w:rPr>
        <w:t xml:space="preserve">The </w:t>
      </w:r>
      <w:r w:rsidR="00423B59" w:rsidRPr="00CD1873">
        <w:rPr>
          <w:rFonts w:ascii="Arial" w:eastAsia="Calibri" w:hAnsi="Arial" w:cs="Times New Roman"/>
          <w:sz w:val="24"/>
          <w:szCs w:val="24"/>
          <w:lang w:val="en-ZA"/>
        </w:rPr>
        <w:t xml:space="preserve">judgment of the </w:t>
      </w:r>
      <w:r w:rsidR="001E04D7" w:rsidRPr="00CD1873">
        <w:rPr>
          <w:rFonts w:ascii="Arial" w:eastAsia="Calibri" w:hAnsi="Arial" w:cs="Times New Roman"/>
          <w:i/>
          <w:sz w:val="24"/>
          <w:szCs w:val="24"/>
          <w:lang w:val="en-ZA"/>
        </w:rPr>
        <w:t>court a quo</w:t>
      </w:r>
      <w:r w:rsidR="00BF0FBD" w:rsidRPr="00CD1873">
        <w:rPr>
          <w:rFonts w:ascii="Arial" w:eastAsia="Calibri" w:hAnsi="Arial" w:cs="Times New Roman"/>
          <w:sz w:val="24"/>
          <w:szCs w:val="24"/>
          <w:lang w:val="en-ZA"/>
        </w:rPr>
        <w:t>, in para</w:t>
      </w:r>
      <w:r w:rsidR="00382869" w:rsidRPr="00CD1873">
        <w:rPr>
          <w:rFonts w:ascii="Arial" w:eastAsia="Calibri" w:hAnsi="Arial" w:cs="Times New Roman"/>
          <w:sz w:val="24"/>
          <w:szCs w:val="24"/>
          <w:lang w:val="en-ZA"/>
        </w:rPr>
        <w:t>s 10 to 16,</w:t>
      </w:r>
      <w:r w:rsidR="0096189F" w:rsidRPr="00CD1873">
        <w:rPr>
          <w:rFonts w:ascii="Arial" w:eastAsia="Calibri" w:hAnsi="Arial" w:cs="Times New Roman"/>
          <w:sz w:val="24"/>
          <w:szCs w:val="24"/>
          <w:lang w:val="en-ZA"/>
        </w:rPr>
        <w:t xml:space="preserve"> </w:t>
      </w:r>
      <w:r w:rsidR="0026237E" w:rsidRPr="00CD1873">
        <w:rPr>
          <w:rFonts w:ascii="Arial" w:eastAsia="Calibri" w:hAnsi="Arial" w:cs="Times New Roman"/>
          <w:sz w:val="24"/>
          <w:szCs w:val="24"/>
          <w:lang w:val="en-ZA"/>
        </w:rPr>
        <w:t>correctly set</w:t>
      </w:r>
      <w:r w:rsidR="002911BE" w:rsidRPr="00CD1873">
        <w:rPr>
          <w:rFonts w:ascii="Arial" w:eastAsia="Calibri" w:hAnsi="Arial" w:cs="Times New Roman"/>
          <w:sz w:val="24"/>
          <w:szCs w:val="24"/>
          <w:lang w:val="en-ZA"/>
        </w:rPr>
        <w:t>s</w:t>
      </w:r>
      <w:r w:rsidR="0026237E" w:rsidRPr="00CD1873">
        <w:rPr>
          <w:rFonts w:ascii="Arial" w:eastAsia="Calibri" w:hAnsi="Arial" w:cs="Times New Roman"/>
          <w:sz w:val="24"/>
          <w:szCs w:val="24"/>
          <w:lang w:val="en-ZA"/>
        </w:rPr>
        <w:t xml:space="preserve"> out the legal framework </w:t>
      </w:r>
      <w:r w:rsidR="00066147" w:rsidRPr="00CD1873">
        <w:rPr>
          <w:rFonts w:ascii="Arial" w:eastAsia="Calibri" w:hAnsi="Arial" w:cs="Times New Roman"/>
          <w:sz w:val="24"/>
          <w:szCs w:val="24"/>
          <w:lang w:val="en-ZA"/>
        </w:rPr>
        <w:t>governing</w:t>
      </w:r>
      <w:r w:rsidR="0026237E" w:rsidRPr="00CD1873">
        <w:rPr>
          <w:rFonts w:ascii="Arial" w:eastAsia="Calibri" w:hAnsi="Arial" w:cs="Times New Roman"/>
          <w:sz w:val="24"/>
          <w:szCs w:val="24"/>
          <w:lang w:val="en-ZA"/>
        </w:rPr>
        <w:t xml:space="preserve"> sale</w:t>
      </w:r>
      <w:r w:rsidR="0096189F" w:rsidRPr="00CD1873">
        <w:rPr>
          <w:rFonts w:ascii="Arial" w:eastAsia="Calibri" w:hAnsi="Arial" w:cs="Times New Roman"/>
          <w:sz w:val="24"/>
          <w:szCs w:val="24"/>
          <w:lang w:val="en-ZA"/>
        </w:rPr>
        <w:t>s</w:t>
      </w:r>
      <w:r w:rsidR="0026237E" w:rsidRPr="00CD1873">
        <w:rPr>
          <w:rFonts w:ascii="Arial" w:eastAsia="Calibri" w:hAnsi="Arial" w:cs="Times New Roman"/>
          <w:sz w:val="24"/>
          <w:szCs w:val="24"/>
          <w:lang w:val="en-ZA"/>
        </w:rPr>
        <w:t xml:space="preserve"> in </w:t>
      </w:r>
      <w:r w:rsidR="006D3769" w:rsidRPr="00CD1873">
        <w:rPr>
          <w:rFonts w:ascii="Arial" w:eastAsia="Calibri" w:hAnsi="Arial" w:cs="Times New Roman"/>
          <w:sz w:val="24"/>
          <w:szCs w:val="24"/>
          <w:lang w:val="en-ZA"/>
        </w:rPr>
        <w:t>execution.</w:t>
      </w:r>
      <w:r w:rsidR="0096189F" w:rsidRPr="00CD1873">
        <w:rPr>
          <w:rFonts w:ascii="Arial" w:eastAsia="Calibri" w:hAnsi="Arial" w:cs="Times New Roman"/>
          <w:sz w:val="24"/>
          <w:szCs w:val="24"/>
          <w:lang w:val="en-ZA"/>
        </w:rPr>
        <w:t xml:space="preserve"> </w:t>
      </w:r>
      <w:r w:rsidR="00E54282" w:rsidRPr="00CD1873">
        <w:rPr>
          <w:rFonts w:ascii="Arial" w:eastAsia="Calibri" w:hAnsi="Arial" w:cs="Times New Roman"/>
          <w:sz w:val="24"/>
          <w:szCs w:val="24"/>
          <w:lang w:val="en-ZA"/>
        </w:rPr>
        <w:t xml:space="preserve">The legal framework is briefly this. Rules 109 and 110 </w:t>
      </w:r>
      <w:r w:rsidR="000C5833" w:rsidRPr="00CD1873">
        <w:rPr>
          <w:rFonts w:ascii="Arial" w:eastAsia="Calibri" w:hAnsi="Arial" w:cs="Times New Roman"/>
          <w:sz w:val="24"/>
          <w:szCs w:val="24"/>
          <w:lang w:val="en-ZA"/>
        </w:rPr>
        <w:t xml:space="preserve">are </w:t>
      </w:r>
      <w:r w:rsidR="0077098D" w:rsidRPr="00CD1873">
        <w:rPr>
          <w:rFonts w:ascii="Arial" w:eastAsia="Calibri" w:hAnsi="Arial" w:cs="Times New Roman"/>
          <w:sz w:val="24"/>
          <w:szCs w:val="24"/>
          <w:lang w:val="en-ZA"/>
        </w:rPr>
        <w:t>contained in part</w:t>
      </w:r>
      <w:r w:rsidR="00E54282" w:rsidRPr="00CD1873">
        <w:rPr>
          <w:rFonts w:ascii="Arial" w:eastAsia="Calibri" w:hAnsi="Arial" w:cs="Times New Roman"/>
          <w:sz w:val="24"/>
          <w:szCs w:val="24"/>
          <w:lang w:val="en-ZA"/>
        </w:rPr>
        <w:t xml:space="preserve"> 11 of the rules which deals with </w:t>
      </w:r>
      <w:r w:rsidR="00E54282" w:rsidRPr="00CD1873">
        <w:rPr>
          <w:rFonts w:ascii="Arial" w:eastAsia="Calibri" w:hAnsi="Arial" w:cs="Times New Roman"/>
          <w:sz w:val="24"/>
          <w:szCs w:val="24"/>
        </w:rPr>
        <w:t xml:space="preserve">Post-Trial or Post-Hearing matters. </w:t>
      </w:r>
      <w:r w:rsidR="00E54282" w:rsidRPr="00CD1873">
        <w:rPr>
          <w:rFonts w:ascii="Arial" w:eastAsia="Calibri" w:hAnsi="Arial" w:cs="Times New Roman"/>
          <w:sz w:val="24"/>
          <w:szCs w:val="24"/>
          <w:lang w:val="en-ZA"/>
        </w:rPr>
        <w:t xml:space="preserve">Rule 109(1) provides that a writ of execution must contain a full description of the nature and situation including the address of the property and must be accompanied by sufficiently detailed information to enable the </w:t>
      </w:r>
      <w:r w:rsidR="00AC21A0" w:rsidRPr="00CD1873">
        <w:rPr>
          <w:rFonts w:ascii="Arial" w:eastAsia="Calibri" w:hAnsi="Arial" w:cs="Times New Roman"/>
          <w:sz w:val="24"/>
          <w:szCs w:val="24"/>
          <w:lang w:val="en-ZA"/>
        </w:rPr>
        <w:t>deputy-sheriff</w:t>
      </w:r>
      <w:r w:rsidR="00E54282" w:rsidRPr="00CD1873">
        <w:rPr>
          <w:rFonts w:ascii="Arial" w:eastAsia="Calibri" w:hAnsi="Arial" w:cs="Times New Roman"/>
          <w:sz w:val="24"/>
          <w:szCs w:val="24"/>
          <w:lang w:val="en-ZA"/>
        </w:rPr>
        <w:t xml:space="preserve"> to trace</w:t>
      </w:r>
      <w:r w:rsidR="008A1136" w:rsidRPr="00CD1873">
        <w:rPr>
          <w:rFonts w:ascii="Arial" w:eastAsia="Calibri" w:hAnsi="Arial" w:cs="Times New Roman"/>
          <w:sz w:val="24"/>
          <w:szCs w:val="24"/>
          <w:lang w:val="en-ZA"/>
        </w:rPr>
        <w:t xml:space="preserve"> the property</w:t>
      </w:r>
      <w:r w:rsidR="00066D4D" w:rsidRPr="00CD1873">
        <w:rPr>
          <w:rFonts w:ascii="Arial" w:eastAsia="Calibri" w:hAnsi="Arial" w:cs="Times New Roman"/>
          <w:sz w:val="24"/>
          <w:szCs w:val="24"/>
          <w:lang w:val="en-ZA"/>
        </w:rPr>
        <w:t>.</w:t>
      </w:r>
    </w:p>
    <w:p w14:paraId="4232EE4F" w14:textId="77777777" w:rsidR="008A1136" w:rsidRDefault="008A1136" w:rsidP="00FD4ECB">
      <w:pPr>
        <w:pStyle w:val="ListParagraph"/>
        <w:shd w:val="clear" w:color="auto" w:fill="FFFFFF"/>
        <w:spacing w:after="0" w:line="480" w:lineRule="auto"/>
        <w:ind w:left="0"/>
        <w:jc w:val="both"/>
        <w:rPr>
          <w:rFonts w:ascii="Arial" w:eastAsia="Calibri" w:hAnsi="Arial" w:cs="Times New Roman"/>
          <w:sz w:val="24"/>
          <w:szCs w:val="24"/>
          <w:lang w:val="en-ZA"/>
        </w:rPr>
      </w:pPr>
    </w:p>
    <w:p w14:paraId="36ED25F1" w14:textId="2B3C5C70" w:rsidR="008A1136" w:rsidRPr="00CD1873" w:rsidRDefault="00CD1873" w:rsidP="00CD1873">
      <w:pPr>
        <w:shd w:val="clear" w:color="auto" w:fill="FFFFFF"/>
        <w:spacing w:after="0" w:line="480" w:lineRule="auto"/>
        <w:jc w:val="both"/>
        <w:rPr>
          <w:rFonts w:ascii="Arial" w:eastAsia="Calibri" w:hAnsi="Arial" w:cs="Times New Roman"/>
          <w:sz w:val="24"/>
          <w:szCs w:val="24"/>
          <w:lang w:val="en-ZA"/>
        </w:rPr>
      </w:pPr>
      <w:r w:rsidRPr="00FD4ECB">
        <w:rPr>
          <w:rFonts w:ascii="Arial" w:eastAsia="Calibri" w:hAnsi="Arial" w:cs="Times New Roman"/>
          <w:sz w:val="24"/>
          <w:szCs w:val="24"/>
          <w:lang w:val="en-ZA"/>
        </w:rPr>
        <w:t>[28]</w:t>
      </w:r>
      <w:r w:rsidRPr="00FD4ECB">
        <w:rPr>
          <w:rFonts w:ascii="Arial" w:eastAsia="Calibri" w:hAnsi="Arial" w:cs="Times New Roman"/>
          <w:sz w:val="24"/>
          <w:szCs w:val="24"/>
          <w:lang w:val="en-ZA"/>
        </w:rPr>
        <w:tab/>
      </w:r>
      <w:r w:rsidR="00E54282" w:rsidRPr="00CD1873">
        <w:rPr>
          <w:rFonts w:ascii="Arial" w:eastAsia="Calibri" w:hAnsi="Arial" w:cs="Times New Roman"/>
          <w:sz w:val="24"/>
          <w:szCs w:val="24"/>
        </w:rPr>
        <w:t>The deputy-sheriff of the district in which the property is situated or the deputy</w:t>
      </w:r>
      <w:r w:rsidR="0077098D" w:rsidRPr="00CD1873">
        <w:rPr>
          <w:rFonts w:ascii="Arial" w:eastAsia="Calibri" w:hAnsi="Arial" w:cs="Times New Roman"/>
          <w:sz w:val="24"/>
          <w:szCs w:val="24"/>
        </w:rPr>
        <w:t>-</w:t>
      </w:r>
      <w:r w:rsidR="00E54282" w:rsidRPr="00CD1873">
        <w:rPr>
          <w:rFonts w:ascii="Arial" w:eastAsia="Calibri" w:hAnsi="Arial" w:cs="Times New Roman"/>
          <w:sz w:val="24"/>
          <w:szCs w:val="24"/>
        </w:rPr>
        <w:t>sheriff of the district in which the office of the registrar of deeds or other officer charged with the registration of that property is situated must make the attachment on a writ on Form 25</w:t>
      </w:r>
      <w:r w:rsidR="0077098D" w:rsidRPr="00CD1873">
        <w:rPr>
          <w:rFonts w:ascii="Arial" w:eastAsia="Calibri" w:hAnsi="Arial" w:cs="Times New Roman"/>
          <w:sz w:val="24"/>
          <w:szCs w:val="24"/>
        </w:rPr>
        <w:t>.</w:t>
      </w:r>
      <w:r w:rsidR="000C5833">
        <w:rPr>
          <w:rStyle w:val="FootnoteReference"/>
          <w:rFonts w:ascii="Arial" w:eastAsia="Calibri" w:hAnsi="Arial" w:cs="Times New Roman"/>
          <w:sz w:val="24"/>
          <w:szCs w:val="24"/>
          <w:lang w:val="en-ZA"/>
        </w:rPr>
        <w:footnoteReference w:id="2"/>
      </w:r>
    </w:p>
    <w:p w14:paraId="42D54ED7" w14:textId="77777777" w:rsidR="008A1136" w:rsidRPr="00FD4ECB" w:rsidRDefault="008A1136" w:rsidP="00FD4ECB">
      <w:pPr>
        <w:pStyle w:val="ListParagraph"/>
        <w:spacing w:after="0" w:line="480" w:lineRule="auto"/>
        <w:ind w:left="0"/>
        <w:jc w:val="both"/>
        <w:rPr>
          <w:rFonts w:ascii="Arial" w:eastAsia="Calibri" w:hAnsi="Arial" w:cs="Times New Roman"/>
          <w:sz w:val="24"/>
          <w:szCs w:val="24"/>
          <w:lang w:val="en-ZA"/>
        </w:rPr>
      </w:pPr>
    </w:p>
    <w:p w14:paraId="0C3E621B" w14:textId="1EFD4F0A" w:rsidR="00B104EB" w:rsidRPr="00CD1873" w:rsidRDefault="00CD1873" w:rsidP="00CD1873">
      <w:pPr>
        <w:shd w:val="clear" w:color="auto" w:fill="FFFFFF"/>
        <w:tabs>
          <w:tab w:val="left" w:pos="284"/>
        </w:tabs>
        <w:spacing w:after="0" w:line="480" w:lineRule="auto"/>
        <w:jc w:val="both"/>
        <w:rPr>
          <w:rFonts w:ascii="Arial" w:eastAsia="Calibri" w:hAnsi="Arial" w:cs="Times New Roman"/>
          <w:sz w:val="24"/>
          <w:szCs w:val="24"/>
          <w:lang w:val="en-ZA"/>
        </w:rPr>
      </w:pPr>
      <w:r>
        <w:rPr>
          <w:rFonts w:ascii="Arial" w:eastAsia="Calibri" w:hAnsi="Arial" w:cs="Times New Roman"/>
          <w:sz w:val="24"/>
          <w:szCs w:val="24"/>
          <w:lang w:val="en-ZA"/>
        </w:rPr>
        <w:t>[29]</w:t>
      </w:r>
      <w:r>
        <w:rPr>
          <w:rFonts w:ascii="Arial" w:eastAsia="Calibri" w:hAnsi="Arial" w:cs="Times New Roman"/>
          <w:sz w:val="24"/>
          <w:szCs w:val="24"/>
          <w:lang w:val="en-ZA"/>
        </w:rPr>
        <w:tab/>
      </w:r>
      <w:r w:rsidR="00E54282" w:rsidRPr="00CD1873">
        <w:rPr>
          <w:rFonts w:ascii="Arial" w:eastAsia="Calibri" w:hAnsi="Arial" w:cs="Times New Roman"/>
          <w:sz w:val="24"/>
          <w:szCs w:val="24"/>
          <w:lang w:val="en-ZA"/>
        </w:rPr>
        <w:t>Upon receipt of a written instruction from the execution creditor to proceed with the sale, the deputy-sheriff must ascertain and record what bonds or other encumbrances are registered against the property together with the names and addresses of the persons in whose favour those bonds or encumbrances are so registered and must notify the execution creditor accordingly</w:t>
      </w:r>
      <w:r w:rsidR="0077098D" w:rsidRPr="00CD1873">
        <w:rPr>
          <w:rFonts w:ascii="Arial" w:eastAsia="Calibri" w:hAnsi="Arial" w:cs="Times New Roman"/>
          <w:sz w:val="24"/>
          <w:szCs w:val="24"/>
          <w:lang w:val="en-ZA"/>
        </w:rPr>
        <w:t>.</w:t>
      </w:r>
      <w:r w:rsidR="00B104EB">
        <w:rPr>
          <w:rStyle w:val="FootnoteReference"/>
          <w:rFonts w:ascii="Arial" w:eastAsia="Calibri" w:hAnsi="Arial" w:cs="Times New Roman"/>
          <w:sz w:val="24"/>
          <w:szCs w:val="24"/>
          <w:lang w:val="en-ZA"/>
        </w:rPr>
        <w:footnoteReference w:id="3"/>
      </w:r>
      <w:r w:rsidR="00E54282" w:rsidRPr="00CD1873">
        <w:rPr>
          <w:rFonts w:ascii="Arial" w:eastAsia="Calibri" w:hAnsi="Arial" w:cs="Times New Roman"/>
          <w:sz w:val="24"/>
          <w:szCs w:val="24"/>
          <w:lang w:val="en-ZA"/>
        </w:rPr>
        <w:t xml:space="preserve"> </w:t>
      </w:r>
    </w:p>
    <w:p w14:paraId="50464AAC" w14:textId="77777777" w:rsidR="00B104EB" w:rsidRPr="00FD4ECB" w:rsidRDefault="00B104EB" w:rsidP="00FD4ECB">
      <w:pPr>
        <w:pStyle w:val="ListParagraph"/>
        <w:spacing w:after="0" w:line="480" w:lineRule="auto"/>
        <w:ind w:left="0"/>
        <w:jc w:val="both"/>
        <w:rPr>
          <w:rFonts w:ascii="Arial" w:eastAsia="Calibri" w:hAnsi="Arial" w:cs="Times New Roman"/>
          <w:sz w:val="24"/>
          <w:szCs w:val="24"/>
          <w:lang w:val="en-ZA"/>
        </w:rPr>
      </w:pPr>
    </w:p>
    <w:p w14:paraId="56F676A6" w14:textId="171C0778" w:rsidR="001126D9" w:rsidRPr="00CD1873" w:rsidRDefault="00CD1873" w:rsidP="00CD1873">
      <w:pPr>
        <w:shd w:val="clear" w:color="auto" w:fill="FFFFFF"/>
        <w:spacing w:after="0" w:line="480" w:lineRule="auto"/>
        <w:jc w:val="both"/>
        <w:rPr>
          <w:rFonts w:ascii="Arial" w:eastAsia="Calibri" w:hAnsi="Arial" w:cs="Times New Roman"/>
          <w:sz w:val="24"/>
          <w:szCs w:val="24"/>
          <w:lang w:val="en-ZA"/>
        </w:rPr>
      </w:pPr>
      <w:r w:rsidRPr="00660B11">
        <w:rPr>
          <w:rFonts w:ascii="Arial" w:eastAsia="Calibri" w:hAnsi="Arial" w:cs="Times New Roman"/>
          <w:sz w:val="24"/>
          <w:szCs w:val="24"/>
          <w:lang w:val="en-ZA"/>
        </w:rPr>
        <w:t>[30]</w:t>
      </w:r>
      <w:r w:rsidRPr="00660B11">
        <w:rPr>
          <w:rFonts w:ascii="Arial" w:eastAsia="Calibri" w:hAnsi="Arial" w:cs="Times New Roman"/>
          <w:sz w:val="24"/>
          <w:szCs w:val="24"/>
          <w:lang w:val="en-ZA"/>
        </w:rPr>
        <w:tab/>
      </w:r>
      <w:r w:rsidR="001126D9" w:rsidRPr="00CD1873">
        <w:rPr>
          <w:rFonts w:ascii="Arial" w:eastAsia="Calibri" w:hAnsi="Arial" w:cs="Times New Roman"/>
          <w:sz w:val="24"/>
          <w:szCs w:val="24"/>
          <w:lang w:val="en-ZA"/>
        </w:rPr>
        <w:t>Subrule 109(6)(a)</w:t>
      </w:r>
      <w:r w:rsidR="001126D9" w:rsidRPr="00CD1873">
        <w:rPr>
          <w:rFonts w:ascii="Calibri" w:eastAsia="Calibri" w:hAnsi="Calibri" w:cs="Times New Roman"/>
        </w:rPr>
        <w:t xml:space="preserve"> </w:t>
      </w:r>
      <w:r w:rsidR="001126D9" w:rsidRPr="00CD1873">
        <w:rPr>
          <w:rFonts w:ascii="Arial" w:eastAsia="Calibri" w:hAnsi="Arial" w:cs="Times New Roman"/>
          <w:sz w:val="24"/>
          <w:szCs w:val="24"/>
        </w:rPr>
        <w:t xml:space="preserve">provides that an immovable property which is subject to a claim preferent to that of the execution creditor may not be sold in execution unless – the execution creditor has caused notice in writing of the intended sale to be </w:t>
      </w:r>
      <w:r w:rsidR="001126D9" w:rsidRPr="00CD1873">
        <w:rPr>
          <w:rFonts w:ascii="Arial" w:eastAsia="Calibri" w:hAnsi="Arial" w:cs="Times New Roman"/>
          <w:sz w:val="24"/>
          <w:szCs w:val="24"/>
        </w:rPr>
        <w:lastRenderedPageBreak/>
        <w:t xml:space="preserve">served by registered post on the preferent creditor, if the preferrent creditor’s address is known; and if the property is rateable, on the regional council or local authority council in whose area the property is situated calling on either or all of them to stipulate within 10 days of a date to be stated a reasonable reserve price or to agree in writing to a sale without reserve. The subrule further requires the judgement creditor to provide proof to the deputy-sheriff that the preferent creditor or the regional council or local authority council concerned has so stipulated or agreed that the property may be sold without a reserve price. </w:t>
      </w:r>
    </w:p>
    <w:p w14:paraId="4832B31E" w14:textId="77777777" w:rsidR="001126D9" w:rsidRPr="00D0502B" w:rsidRDefault="001126D9" w:rsidP="001126D9">
      <w:pPr>
        <w:shd w:val="clear" w:color="auto" w:fill="FFFFFF"/>
        <w:spacing w:after="0" w:line="480" w:lineRule="auto"/>
        <w:contextualSpacing/>
        <w:jc w:val="both"/>
        <w:rPr>
          <w:rFonts w:ascii="Arial" w:eastAsia="Calibri" w:hAnsi="Arial" w:cs="Times New Roman"/>
          <w:sz w:val="24"/>
          <w:szCs w:val="24"/>
          <w:lang w:val="en-ZA"/>
        </w:rPr>
      </w:pPr>
    </w:p>
    <w:p w14:paraId="5C0E668E" w14:textId="48619825" w:rsidR="001126D9" w:rsidRPr="00CD1873" w:rsidRDefault="00CD1873" w:rsidP="00CD1873">
      <w:pPr>
        <w:shd w:val="clear" w:color="auto" w:fill="FFFFFF"/>
        <w:spacing w:after="0" w:line="480" w:lineRule="auto"/>
        <w:jc w:val="both"/>
        <w:rPr>
          <w:rFonts w:ascii="Arial" w:eastAsia="Calibri" w:hAnsi="Arial" w:cs="Times New Roman"/>
          <w:sz w:val="24"/>
          <w:szCs w:val="24"/>
          <w:lang w:val="en-ZA"/>
        </w:rPr>
      </w:pPr>
      <w:r w:rsidRPr="00660B11">
        <w:rPr>
          <w:rFonts w:ascii="Arial" w:eastAsia="Calibri" w:hAnsi="Arial" w:cs="Times New Roman"/>
          <w:sz w:val="24"/>
          <w:szCs w:val="24"/>
          <w:lang w:val="en-ZA"/>
        </w:rPr>
        <w:t>[31]</w:t>
      </w:r>
      <w:r w:rsidRPr="00660B11">
        <w:rPr>
          <w:rFonts w:ascii="Arial" w:eastAsia="Calibri" w:hAnsi="Arial" w:cs="Times New Roman"/>
          <w:sz w:val="24"/>
          <w:szCs w:val="24"/>
          <w:lang w:val="en-ZA"/>
        </w:rPr>
        <w:tab/>
      </w:r>
      <w:r w:rsidR="001126D9" w:rsidRPr="00CD1873">
        <w:rPr>
          <w:rFonts w:ascii="Arial" w:eastAsia="Calibri" w:hAnsi="Arial" w:cs="Times New Roman"/>
          <w:sz w:val="24"/>
          <w:szCs w:val="24"/>
        </w:rPr>
        <w:t>In the alternative to the above, subrule 109(6)(b) provides that the sale may only take place if the deputy-sheriff is satisfied that it is impossible to notify any preferent creditor in terms of the rule of the proposed sale, or if the preferent creditor or the regional council or local authority council, having been notified, has failed or neglected to stipulate a reserve price or to agree in writing to a sale without reserve</w:t>
      </w:r>
      <w:r w:rsidR="001126D9" w:rsidRPr="00CD1873">
        <w:rPr>
          <w:rFonts w:ascii="Arial" w:eastAsia="Calibri" w:hAnsi="Arial" w:cs="Times New Roman"/>
          <w:sz w:val="24"/>
          <w:szCs w:val="24"/>
          <w:lang w:val="en-ZA"/>
        </w:rPr>
        <w:t>.</w:t>
      </w:r>
    </w:p>
    <w:p w14:paraId="10CB8558" w14:textId="77777777" w:rsidR="001D4E7A" w:rsidRPr="00FD4ECB" w:rsidRDefault="001D4E7A" w:rsidP="00FD4ECB">
      <w:pPr>
        <w:pStyle w:val="ListParagraph"/>
        <w:spacing w:after="0" w:line="480" w:lineRule="auto"/>
        <w:ind w:left="0"/>
        <w:jc w:val="both"/>
        <w:rPr>
          <w:rFonts w:ascii="Arial" w:eastAsia="Calibri" w:hAnsi="Arial" w:cs="Times New Roman"/>
          <w:sz w:val="24"/>
          <w:szCs w:val="24"/>
          <w:lang w:val="en-ZA"/>
        </w:rPr>
      </w:pPr>
    </w:p>
    <w:p w14:paraId="6AC742D4" w14:textId="6C6C6290" w:rsidR="003A282A" w:rsidRPr="00CD1873" w:rsidRDefault="00CD1873" w:rsidP="00CD1873">
      <w:pPr>
        <w:shd w:val="clear" w:color="auto" w:fill="FFFFFF"/>
        <w:spacing w:after="0" w:line="480" w:lineRule="auto"/>
        <w:jc w:val="both"/>
        <w:rPr>
          <w:rFonts w:ascii="Arial" w:eastAsia="Calibri" w:hAnsi="Arial" w:cs="Times New Roman"/>
          <w:sz w:val="24"/>
          <w:szCs w:val="24"/>
          <w:lang w:val="en-ZA"/>
        </w:rPr>
      </w:pPr>
      <w:r>
        <w:rPr>
          <w:rFonts w:ascii="Arial" w:eastAsia="Calibri" w:hAnsi="Arial" w:cs="Times New Roman"/>
          <w:sz w:val="24"/>
          <w:szCs w:val="24"/>
          <w:lang w:val="en-ZA"/>
        </w:rPr>
        <w:t>[32]</w:t>
      </w:r>
      <w:r>
        <w:rPr>
          <w:rFonts w:ascii="Arial" w:eastAsia="Calibri" w:hAnsi="Arial" w:cs="Times New Roman"/>
          <w:sz w:val="24"/>
          <w:szCs w:val="24"/>
          <w:lang w:val="en-ZA"/>
        </w:rPr>
        <w:tab/>
      </w:r>
      <w:r w:rsidR="00E54282" w:rsidRPr="00CD1873">
        <w:rPr>
          <w:rFonts w:ascii="Arial" w:eastAsia="Calibri" w:hAnsi="Arial" w:cs="Times New Roman"/>
          <w:sz w:val="24"/>
          <w:szCs w:val="24"/>
          <w:lang w:val="en-ZA"/>
        </w:rPr>
        <w:t>Rule 110(1) obliges the deputy-sheriff to appoint a day or place for the sale being a day not less than one month after the attachment was made. Rules 110(2) and (3) relate to the manner in which the notice of the sale must be published.</w:t>
      </w:r>
      <w:r w:rsidR="003A282A" w:rsidRPr="00CD1873">
        <w:rPr>
          <w:rFonts w:ascii="Arial" w:eastAsia="Calibri" w:hAnsi="Arial" w:cs="Times New Roman"/>
          <w:sz w:val="24"/>
          <w:szCs w:val="24"/>
          <w:lang w:val="en-ZA"/>
        </w:rPr>
        <w:t xml:space="preserve"> </w:t>
      </w:r>
      <w:r w:rsidR="00E54282" w:rsidRPr="00CD1873">
        <w:rPr>
          <w:rFonts w:ascii="Arial" w:eastAsia="Calibri" w:hAnsi="Arial" w:cs="Times New Roman"/>
          <w:sz w:val="24"/>
          <w:szCs w:val="24"/>
          <w:lang w:val="en-ZA"/>
        </w:rPr>
        <w:t xml:space="preserve">Rule 110(4) provides that the deputy-sheriff </w:t>
      </w:r>
      <w:r w:rsidR="00740D96" w:rsidRPr="00CD1873">
        <w:rPr>
          <w:rFonts w:ascii="Arial" w:eastAsia="Calibri" w:hAnsi="Arial" w:cs="Times New Roman"/>
          <w:sz w:val="24"/>
          <w:szCs w:val="24"/>
          <w:lang w:val="en-ZA"/>
        </w:rPr>
        <w:t xml:space="preserve">must, </w:t>
      </w:r>
      <w:r w:rsidR="00E54282" w:rsidRPr="00CD1873">
        <w:rPr>
          <w:rFonts w:ascii="Arial" w:eastAsia="Calibri" w:hAnsi="Arial" w:cs="Times New Roman"/>
          <w:sz w:val="24"/>
          <w:szCs w:val="24"/>
          <w:lang w:val="en-ZA"/>
        </w:rPr>
        <w:t>not</w:t>
      </w:r>
      <w:r w:rsidR="0077098D" w:rsidRPr="00CD1873">
        <w:rPr>
          <w:rFonts w:ascii="Arial" w:eastAsia="Calibri" w:hAnsi="Arial" w:cs="Times New Roman"/>
          <w:sz w:val="24"/>
          <w:szCs w:val="24"/>
          <w:lang w:val="en-ZA"/>
        </w:rPr>
        <w:t xml:space="preserve"> less than ten</w:t>
      </w:r>
      <w:r w:rsidR="00E54282" w:rsidRPr="00CD1873">
        <w:rPr>
          <w:rFonts w:ascii="Arial" w:eastAsia="Calibri" w:hAnsi="Arial" w:cs="Times New Roman"/>
          <w:sz w:val="24"/>
          <w:szCs w:val="24"/>
          <w:lang w:val="en-ZA"/>
        </w:rPr>
        <w:t xml:space="preserve"> days prior to the sale, forward by registered post a copy of notice of sale to every execution creditor who caused the immovable property to be attached and to every mortgagee of the property whose address is known. </w:t>
      </w:r>
    </w:p>
    <w:p w14:paraId="795BB241" w14:textId="77777777" w:rsidR="003A282A" w:rsidRPr="00FD4ECB" w:rsidRDefault="003A282A" w:rsidP="00FD4ECB">
      <w:pPr>
        <w:pStyle w:val="ListParagraph"/>
        <w:spacing w:after="0" w:line="480" w:lineRule="auto"/>
        <w:ind w:left="0"/>
        <w:jc w:val="both"/>
        <w:rPr>
          <w:rFonts w:ascii="Arial" w:eastAsia="Calibri" w:hAnsi="Arial" w:cs="Times New Roman"/>
          <w:sz w:val="24"/>
          <w:szCs w:val="24"/>
          <w:lang w:val="en-ZA"/>
        </w:rPr>
      </w:pPr>
    </w:p>
    <w:p w14:paraId="4DD24F8A" w14:textId="4D603924" w:rsidR="00835FA7"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835FA7">
        <w:rPr>
          <w:rFonts w:ascii="Arial" w:eastAsia="Calibri" w:hAnsi="Arial" w:cs="Times New Roman"/>
          <w:sz w:val="24"/>
          <w:szCs w:val="24"/>
          <w:lang w:val="en-ZA"/>
        </w:rPr>
        <w:t>[33]</w:t>
      </w:r>
      <w:r w:rsidRPr="00835FA7">
        <w:rPr>
          <w:rFonts w:ascii="Arial" w:eastAsia="Calibri" w:hAnsi="Arial" w:cs="Times New Roman"/>
          <w:sz w:val="24"/>
          <w:szCs w:val="24"/>
          <w:lang w:val="en-ZA"/>
        </w:rPr>
        <w:tab/>
      </w:r>
      <w:r w:rsidR="00E54282" w:rsidRPr="00CD1873">
        <w:rPr>
          <w:rFonts w:ascii="Arial" w:eastAsia="Calibri" w:hAnsi="Arial" w:cs="Times New Roman"/>
          <w:sz w:val="24"/>
          <w:szCs w:val="24"/>
          <w:lang w:val="en-ZA"/>
        </w:rPr>
        <w:t xml:space="preserve">It is against the backdrop of what </w:t>
      </w:r>
      <w:r w:rsidR="0077098D" w:rsidRPr="00CD1873">
        <w:rPr>
          <w:rFonts w:ascii="Arial" w:eastAsia="Calibri" w:hAnsi="Arial" w:cs="Times New Roman"/>
          <w:sz w:val="24"/>
          <w:szCs w:val="24"/>
          <w:lang w:val="en-ZA"/>
        </w:rPr>
        <w:t>r</w:t>
      </w:r>
      <w:r w:rsidR="00E54282" w:rsidRPr="00CD1873">
        <w:rPr>
          <w:rFonts w:ascii="Arial" w:eastAsia="Calibri" w:hAnsi="Arial" w:cs="Times New Roman"/>
          <w:sz w:val="24"/>
          <w:szCs w:val="24"/>
          <w:lang w:val="en-ZA"/>
        </w:rPr>
        <w:t xml:space="preserve">ules 109 and 110 require, that I </w:t>
      </w:r>
      <w:r w:rsidR="0096189F" w:rsidRPr="00CD1873">
        <w:rPr>
          <w:rFonts w:ascii="Arial" w:eastAsia="Calibri" w:hAnsi="Arial" w:cs="Times New Roman"/>
          <w:sz w:val="24"/>
          <w:szCs w:val="24"/>
          <w:lang w:val="en-ZA"/>
        </w:rPr>
        <w:t xml:space="preserve">commence this discussion with </w:t>
      </w:r>
      <w:r w:rsidR="00D26F8C" w:rsidRPr="00CD1873">
        <w:rPr>
          <w:rFonts w:ascii="Arial" w:eastAsia="Calibri" w:hAnsi="Arial" w:cs="Times New Roman"/>
          <w:sz w:val="24"/>
          <w:szCs w:val="24"/>
          <w:lang w:val="en-ZA"/>
        </w:rPr>
        <w:t xml:space="preserve">the </w:t>
      </w:r>
      <w:r w:rsidR="0096189F" w:rsidRPr="00CD1873">
        <w:rPr>
          <w:rFonts w:ascii="Arial" w:eastAsia="Calibri" w:hAnsi="Arial" w:cs="Times New Roman"/>
          <w:sz w:val="24"/>
          <w:szCs w:val="24"/>
          <w:lang w:val="en-ZA"/>
        </w:rPr>
        <w:t xml:space="preserve">argument </w:t>
      </w:r>
      <w:r w:rsidR="00D26F8C" w:rsidRPr="00CD1873">
        <w:rPr>
          <w:rFonts w:ascii="Arial" w:eastAsia="Calibri" w:hAnsi="Arial" w:cs="Times New Roman"/>
          <w:sz w:val="24"/>
          <w:szCs w:val="24"/>
          <w:lang w:val="en-ZA"/>
        </w:rPr>
        <w:t xml:space="preserve">by counsel for Mr Harris </w:t>
      </w:r>
      <w:r w:rsidR="0096189F" w:rsidRPr="00CD1873">
        <w:rPr>
          <w:rFonts w:ascii="Arial" w:eastAsia="Calibri" w:hAnsi="Arial" w:cs="Times New Roman"/>
          <w:sz w:val="24"/>
          <w:szCs w:val="24"/>
          <w:lang w:val="en-ZA"/>
        </w:rPr>
        <w:t xml:space="preserve">that because the </w:t>
      </w:r>
      <w:r w:rsidR="0096189F" w:rsidRPr="00CD1873">
        <w:rPr>
          <w:rFonts w:ascii="Arial" w:eastAsia="Calibri" w:hAnsi="Arial" w:cs="Times New Roman"/>
          <w:sz w:val="24"/>
          <w:szCs w:val="24"/>
          <w:lang w:val="en-ZA"/>
        </w:rPr>
        <w:lastRenderedPageBreak/>
        <w:t>mortgage bond in favour of FNB was</w:t>
      </w:r>
      <w:r w:rsidR="00571593" w:rsidRPr="00CD1873">
        <w:rPr>
          <w:rFonts w:ascii="Arial" w:eastAsia="Calibri" w:hAnsi="Arial" w:cs="Times New Roman"/>
          <w:sz w:val="24"/>
          <w:szCs w:val="24"/>
          <w:lang w:val="en-ZA"/>
        </w:rPr>
        <w:t xml:space="preserve"> fully paid</w:t>
      </w:r>
      <w:r w:rsidR="0096189F" w:rsidRPr="00CD1873">
        <w:rPr>
          <w:rFonts w:ascii="Arial" w:eastAsia="Calibri" w:hAnsi="Arial" w:cs="Times New Roman"/>
          <w:sz w:val="24"/>
          <w:szCs w:val="24"/>
          <w:lang w:val="en-ZA"/>
        </w:rPr>
        <w:t xml:space="preserve">, at the time of the sale in execution, FNB was at that stage no longer a mortgagee or creditor and the </w:t>
      </w:r>
      <w:r w:rsidR="001E04D7" w:rsidRPr="00CD1873">
        <w:rPr>
          <w:rFonts w:ascii="Arial" w:eastAsia="Calibri" w:hAnsi="Arial" w:cs="Times New Roman"/>
          <w:sz w:val="24"/>
          <w:szCs w:val="24"/>
          <w:lang w:val="en-ZA"/>
        </w:rPr>
        <w:t>court</w:t>
      </w:r>
      <w:r w:rsidR="001E04D7" w:rsidRPr="00CD1873">
        <w:rPr>
          <w:rFonts w:ascii="Arial" w:eastAsia="Calibri" w:hAnsi="Arial" w:cs="Times New Roman"/>
          <w:i/>
          <w:sz w:val="24"/>
          <w:szCs w:val="24"/>
          <w:lang w:val="en-ZA"/>
        </w:rPr>
        <w:t xml:space="preserve"> a quo</w:t>
      </w:r>
      <w:r w:rsidR="0096189F" w:rsidRPr="00CD1873">
        <w:rPr>
          <w:rFonts w:ascii="Arial" w:eastAsia="Calibri" w:hAnsi="Arial" w:cs="Times New Roman"/>
          <w:sz w:val="24"/>
          <w:szCs w:val="24"/>
          <w:lang w:val="en-ZA"/>
        </w:rPr>
        <w:t xml:space="preserve"> thus erred by not considering this aspect.</w:t>
      </w:r>
    </w:p>
    <w:p w14:paraId="18423894" w14:textId="77777777" w:rsidR="00835FA7" w:rsidRPr="00835FA7" w:rsidRDefault="00835FA7" w:rsidP="00FD4ECB">
      <w:pPr>
        <w:pStyle w:val="ListParagraph"/>
        <w:shd w:val="clear" w:color="auto" w:fill="FFFFFF"/>
        <w:spacing w:after="0" w:line="480" w:lineRule="auto"/>
        <w:ind w:left="0"/>
        <w:jc w:val="both"/>
        <w:rPr>
          <w:rFonts w:ascii="Arial" w:eastAsia="Calibri" w:hAnsi="Arial" w:cs="Times New Roman"/>
          <w:i/>
          <w:sz w:val="24"/>
          <w:szCs w:val="24"/>
          <w:lang w:val="en-ZA"/>
        </w:rPr>
      </w:pPr>
    </w:p>
    <w:p w14:paraId="3F813845" w14:textId="78F80932" w:rsidR="00835FA7" w:rsidRPr="00CD1873" w:rsidRDefault="00CD1873" w:rsidP="00CD1873">
      <w:pPr>
        <w:shd w:val="clear" w:color="auto" w:fill="FFFFFF"/>
        <w:spacing w:after="0" w:line="480" w:lineRule="auto"/>
        <w:jc w:val="both"/>
        <w:rPr>
          <w:rFonts w:ascii="Arial" w:eastAsia="Calibri" w:hAnsi="Arial" w:cs="Times New Roman"/>
          <w:i/>
          <w:sz w:val="24"/>
          <w:szCs w:val="24"/>
          <w:lang w:val="en-ZA"/>
        </w:rPr>
      </w:pPr>
      <w:r w:rsidRPr="00835FA7">
        <w:rPr>
          <w:rFonts w:ascii="Arial" w:eastAsia="Calibri" w:hAnsi="Arial" w:cs="Times New Roman"/>
          <w:sz w:val="24"/>
          <w:szCs w:val="24"/>
          <w:lang w:val="en-ZA"/>
        </w:rPr>
        <w:t>[34]</w:t>
      </w:r>
      <w:r w:rsidRPr="00835FA7">
        <w:rPr>
          <w:rFonts w:ascii="Arial" w:eastAsia="Calibri" w:hAnsi="Arial" w:cs="Times New Roman"/>
          <w:sz w:val="24"/>
          <w:szCs w:val="24"/>
          <w:lang w:val="en-ZA"/>
        </w:rPr>
        <w:tab/>
      </w:r>
      <w:r w:rsidR="00835FA7" w:rsidRPr="00CD1873">
        <w:rPr>
          <w:rFonts w:ascii="Arial" w:hAnsi="Arial" w:cs="Arial"/>
          <w:sz w:val="24"/>
          <w:szCs w:val="24"/>
        </w:rPr>
        <w:t xml:space="preserve">According to Silberberg and Schoeman’s </w:t>
      </w:r>
      <w:r w:rsidR="00835FA7" w:rsidRPr="00CD1873">
        <w:rPr>
          <w:rFonts w:ascii="Arial" w:hAnsi="Arial" w:cs="Arial"/>
          <w:i/>
          <w:sz w:val="24"/>
          <w:szCs w:val="24"/>
        </w:rPr>
        <w:t>The Law of Property</w:t>
      </w:r>
      <w:r w:rsidR="0077098D" w:rsidRPr="00CD1873">
        <w:rPr>
          <w:rFonts w:ascii="Arial" w:hAnsi="Arial" w:cs="Arial"/>
          <w:i/>
          <w:sz w:val="24"/>
          <w:szCs w:val="24"/>
        </w:rPr>
        <w:t>,</w:t>
      </w:r>
      <w:r w:rsidR="00835FA7" w:rsidRPr="00835FA7">
        <w:rPr>
          <w:rStyle w:val="FootnoteReference"/>
          <w:rFonts w:ascii="Arial" w:hAnsi="Arial" w:cs="Arial"/>
          <w:sz w:val="24"/>
          <w:szCs w:val="24"/>
        </w:rPr>
        <w:footnoteReference w:id="4"/>
      </w:r>
      <w:r w:rsidR="00835FA7" w:rsidRPr="00CD1873">
        <w:rPr>
          <w:rFonts w:ascii="Arial" w:hAnsi="Arial" w:cs="Arial"/>
          <w:sz w:val="24"/>
          <w:szCs w:val="24"/>
        </w:rPr>
        <w:t xml:space="preserve"> the term ‘mortgage’ is used in two senses.  The learned authors state </w:t>
      </w:r>
      <w:r w:rsidR="00D26F8C" w:rsidRPr="00CD1873">
        <w:rPr>
          <w:rFonts w:ascii="Arial" w:hAnsi="Arial" w:cs="Arial"/>
          <w:sz w:val="24"/>
          <w:szCs w:val="24"/>
        </w:rPr>
        <w:t xml:space="preserve">in this regard </w:t>
      </w:r>
      <w:r w:rsidR="00835FA7" w:rsidRPr="00CD1873">
        <w:rPr>
          <w:rFonts w:ascii="Arial" w:hAnsi="Arial" w:cs="Arial"/>
          <w:sz w:val="24"/>
          <w:szCs w:val="24"/>
        </w:rPr>
        <w:t>that:</w:t>
      </w:r>
    </w:p>
    <w:p w14:paraId="5B5872E0" w14:textId="77777777" w:rsidR="00835FA7" w:rsidRPr="00835FA7" w:rsidRDefault="00835FA7" w:rsidP="00FD4ECB">
      <w:pPr>
        <w:pStyle w:val="ListParagraph"/>
        <w:spacing w:after="0" w:line="480" w:lineRule="auto"/>
        <w:rPr>
          <w:rFonts w:ascii="Arial" w:hAnsi="Arial" w:cs="Arial"/>
        </w:rPr>
      </w:pPr>
    </w:p>
    <w:p w14:paraId="6B3BE3F9" w14:textId="77777777" w:rsidR="00835FA7" w:rsidRDefault="00835FA7" w:rsidP="0077098D">
      <w:pPr>
        <w:pStyle w:val="ListParagraph"/>
        <w:shd w:val="clear" w:color="auto" w:fill="FFFFFF"/>
        <w:spacing w:after="0" w:line="360" w:lineRule="auto"/>
        <w:ind w:left="709"/>
        <w:jc w:val="both"/>
        <w:rPr>
          <w:rFonts w:ascii="Arial" w:hAnsi="Arial" w:cs="Arial"/>
        </w:rPr>
      </w:pPr>
      <w:r w:rsidRPr="00835FA7">
        <w:rPr>
          <w:rFonts w:ascii="Arial" w:hAnsi="Arial" w:cs="Arial"/>
        </w:rPr>
        <w:t>‘As a generic term it covers every form of hypothecation of property and in this sense it includes every real right which one person has in and over another person’s property for the purposes of securing the payment of a debt or generally the performance of an obligation. In a more restricted sense the expression ‘mortgage’ signifies a special security over immovable property as opposed to a ‘pledge’ which denotes a special security over movable property. As a general rule, mortgages and pledges have their origin in an agreement between the parties, i.e. the creditor and the debtor.</w:t>
      </w:r>
      <w:r>
        <w:rPr>
          <w:rFonts w:ascii="Arial" w:hAnsi="Arial" w:cs="Arial"/>
        </w:rPr>
        <w:t xml:space="preserve"> </w:t>
      </w:r>
    </w:p>
    <w:p w14:paraId="117FDE54" w14:textId="77777777" w:rsidR="0077098D" w:rsidRDefault="0077098D" w:rsidP="0077098D">
      <w:pPr>
        <w:pStyle w:val="ListParagraph"/>
        <w:shd w:val="clear" w:color="auto" w:fill="FFFFFF"/>
        <w:spacing w:after="0" w:line="360" w:lineRule="auto"/>
        <w:ind w:left="709"/>
        <w:jc w:val="both"/>
        <w:rPr>
          <w:rFonts w:ascii="Arial" w:hAnsi="Arial" w:cs="Arial"/>
        </w:rPr>
      </w:pPr>
    </w:p>
    <w:p w14:paraId="73A5B72C" w14:textId="77777777" w:rsidR="00835FA7" w:rsidRDefault="00E64552" w:rsidP="0077098D">
      <w:pPr>
        <w:pStyle w:val="ListParagraph"/>
        <w:shd w:val="clear" w:color="auto" w:fill="FFFFFF"/>
        <w:spacing w:after="0" w:line="360" w:lineRule="auto"/>
        <w:ind w:left="709"/>
        <w:jc w:val="both"/>
        <w:rPr>
          <w:rFonts w:ascii="Arial" w:hAnsi="Arial" w:cs="Arial"/>
        </w:rPr>
      </w:pPr>
      <w:r>
        <w:rPr>
          <w:rFonts w:ascii="Arial" w:hAnsi="Arial" w:cs="Arial"/>
        </w:rPr>
        <w:t xml:space="preserve">. . . </w:t>
      </w:r>
      <w:r w:rsidR="00835FA7" w:rsidRPr="00835FA7">
        <w:rPr>
          <w:rFonts w:ascii="Arial" w:hAnsi="Arial" w:cs="Arial"/>
        </w:rPr>
        <w:t xml:space="preserve">The significance of mortgages, pledges, liens and all other forms of hypothecation lies in the fact that they provide the creditor with a “real security” for the payment of his claim; for, if the debtor is unable to raise the necessary funds to pay the debt which is thus secured, the creditor is entitled to demand that the property, i.e. the thing which is the subject-matter of his security, be sold </w:t>
      </w:r>
      <w:r w:rsidR="00835FA7">
        <w:rPr>
          <w:rFonts w:ascii="Arial" w:hAnsi="Arial" w:cs="Arial"/>
        </w:rPr>
        <w:t xml:space="preserve">and that the proceeds of such a sale are used for the satisfaction of his claim.’ </w:t>
      </w:r>
    </w:p>
    <w:p w14:paraId="37710C98" w14:textId="77777777" w:rsidR="00835FA7" w:rsidRDefault="00835FA7" w:rsidP="00FD4ECB">
      <w:pPr>
        <w:pStyle w:val="ListParagraph"/>
        <w:shd w:val="clear" w:color="auto" w:fill="FFFFFF"/>
        <w:spacing w:after="0" w:line="480" w:lineRule="auto"/>
        <w:ind w:left="709"/>
        <w:jc w:val="both"/>
        <w:rPr>
          <w:rFonts w:ascii="Arial" w:hAnsi="Arial" w:cs="Arial"/>
        </w:rPr>
      </w:pPr>
    </w:p>
    <w:p w14:paraId="06FCF592" w14:textId="6B2D701A" w:rsidR="0026237E" w:rsidRPr="00CD1873" w:rsidRDefault="00CD1873" w:rsidP="00CD1873">
      <w:pPr>
        <w:shd w:val="clear" w:color="auto" w:fill="FFFFFF"/>
        <w:spacing w:after="0" w:line="480" w:lineRule="auto"/>
        <w:ind w:left="142" w:firstLine="1"/>
        <w:jc w:val="both"/>
        <w:rPr>
          <w:rFonts w:ascii="Arial" w:eastAsia="Calibri" w:hAnsi="Arial" w:cs="Times New Roman"/>
          <w:i/>
          <w:sz w:val="24"/>
          <w:szCs w:val="24"/>
          <w:lang w:val="en-ZA"/>
        </w:rPr>
      </w:pPr>
      <w:r w:rsidRPr="00835FA7">
        <w:rPr>
          <w:rFonts w:ascii="Arial" w:eastAsia="Calibri" w:hAnsi="Arial" w:cs="Times New Roman"/>
          <w:sz w:val="24"/>
          <w:szCs w:val="24"/>
          <w:lang w:val="en-ZA"/>
        </w:rPr>
        <w:t>[35]</w:t>
      </w:r>
      <w:r w:rsidRPr="00835FA7">
        <w:rPr>
          <w:rFonts w:ascii="Arial" w:eastAsia="Calibri" w:hAnsi="Arial" w:cs="Times New Roman"/>
          <w:sz w:val="24"/>
          <w:szCs w:val="24"/>
          <w:lang w:val="en-ZA"/>
        </w:rPr>
        <w:tab/>
      </w:r>
      <w:r w:rsidR="00835FA7" w:rsidRPr="00CD1873">
        <w:rPr>
          <w:rFonts w:ascii="Arial" w:eastAsia="Calibri" w:hAnsi="Arial" w:cs="Times New Roman"/>
          <w:sz w:val="24"/>
          <w:szCs w:val="24"/>
          <w:lang w:val="en-ZA"/>
        </w:rPr>
        <w:t>Section 102 of the Deeds Registries Act</w:t>
      </w:r>
      <w:r w:rsidR="00EA645C" w:rsidRPr="00CD1873">
        <w:rPr>
          <w:rFonts w:ascii="Arial" w:eastAsia="Calibri" w:hAnsi="Arial" w:cs="Times New Roman"/>
          <w:sz w:val="24"/>
          <w:szCs w:val="24"/>
          <w:lang w:val="en-ZA"/>
        </w:rPr>
        <w:t xml:space="preserve"> </w:t>
      </w:r>
      <w:r w:rsidR="00EA645C" w:rsidRPr="00CD1873">
        <w:rPr>
          <w:rFonts w:ascii="Arial" w:eastAsia="Calibri" w:hAnsi="Arial" w:cs="Times New Roman"/>
          <w:sz w:val="24"/>
          <w:szCs w:val="24"/>
        </w:rPr>
        <w:t xml:space="preserve">47 of 1937 </w:t>
      </w:r>
      <w:r w:rsidR="00835FA7" w:rsidRPr="00CD1873">
        <w:rPr>
          <w:rFonts w:ascii="Arial" w:eastAsia="Calibri" w:hAnsi="Arial" w:cs="Times New Roman"/>
          <w:sz w:val="24"/>
          <w:szCs w:val="24"/>
          <w:lang w:val="en-ZA"/>
        </w:rPr>
        <w:t xml:space="preserve">defines a mortgage bond </w:t>
      </w:r>
      <w:r w:rsidR="00835FA7" w:rsidRPr="00CD1873">
        <w:rPr>
          <w:rFonts w:ascii="Arial" w:eastAsia="Calibri" w:hAnsi="Arial" w:cs="Arial"/>
          <w:sz w:val="24"/>
          <w:szCs w:val="24"/>
          <w:lang w:val="en-ZA"/>
        </w:rPr>
        <w:t xml:space="preserve">as </w:t>
      </w:r>
      <w:r w:rsidR="00EA645C" w:rsidRPr="00CD1873">
        <w:rPr>
          <w:rFonts w:ascii="Arial" w:eastAsia="Calibri" w:hAnsi="Arial" w:cs="Arial"/>
          <w:sz w:val="24"/>
          <w:szCs w:val="24"/>
          <w:lang w:val="en-ZA"/>
        </w:rPr>
        <w:t xml:space="preserve">a </w:t>
      </w:r>
      <w:r w:rsidR="00EA645C" w:rsidRPr="00CD1873">
        <w:rPr>
          <w:rFonts w:ascii="Arial" w:hAnsi="Arial" w:cs="Arial"/>
          <w:sz w:val="24"/>
          <w:szCs w:val="24"/>
        </w:rPr>
        <w:t>‘</w:t>
      </w:r>
      <w:r w:rsidR="00835FA7" w:rsidRPr="00CD1873">
        <w:rPr>
          <w:rFonts w:ascii="Arial" w:hAnsi="Arial" w:cs="Arial"/>
          <w:sz w:val="24"/>
          <w:szCs w:val="24"/>
        </w:rPr>
        <w:t>bond attested by the specially hypothecating immovable property</w:t>
      </w:r>
      <w:r w:rsidR="00EA645C" w:rsidRPr="00CD1873">
        <w:rPr>
          <w:rFonts w:ascii="Arial" w:hAnsi="Arial" w:cs="Arial"/>
          <w:sz w:val="24"/>
          <w:szCs w:val="24"/>
        </w:rPr>
        <w:t>’</w:t>
      </w:r>
      <w:r w:rsidR="0077098D" w:rsidRPr="00CD1873">
        <w:rPr>
          <w:rFonts w:ascii="Arial" w:hAnsi="Arial" w:cs="Arial"/>
          <w:sz w:val="24"/>
          <w:szCs w:val="24"/>
        </w:rPr>
        <w:t>.</w:t>
      </w:r>
      <w:r w:rsidR="00835FA7" w:rsidRPr="00CD1873">
        <w:rPr>
          <w:rFonts w:ascii="Arial" w:eastAsia="Calibri" w:hAnsi="Arial" w:cs="Times New Roman"/>
          <w:i/>
          <w:sz w:val="24"/>
          <w:szCs w:val="24"/>
          <w:lang w:val="en-ZA"/>
        </w:rPr>
        <w:t xml:space="preserve"> </w:t>
      </w:r>
      <w:r w:rsidR="00F30A1F" w:rsidRPr="00CD1873">
        <w:rPr>
          <w:rFonts w:ascii="Arial" w:hAnsi="Arial" w:cs="Arial"/>
          <w:sz w:val="24"/>
          <w:szCs w:val="24"/>
        </w:rPr>
        <w:t>Section 53 of the Deeds Registries Act, amplifies this definition by stating that:</w:t>
      </w:r>
    </w:p>
    <w:p w14:paraId="3165870E" w14:textId="77777777" w:rsidR="00F30A1F" w:rsidRPr="00DD1BF4" w:rsidRDefault="00F30A1F" w:rsidP="00FD4ECB">
      <w:pPr>
        <w:pStyle w:val="ListParagraph"/>
        <w:spacing w:after="0" w:line="480" w:lineRule="auto"/>
        <w:ind w:left="0"/>
        <w:jc w:val="both"/>
        <w:rPr>
          <w:rFonts w:ascii="Arial" w:eastAsia="Calibri" w:hAnsi="Arial" w:cs="Arial"/>
          <w:sz w:val="24"/>
          <w:szCs w:val="24"/>
          <w:lang w:val="en-ZA"/>
        </w:rPr>
      </w:pPr>
    </w:p>
    <w:p w14:paraId="1EFAF396" w14:textId="53354DC8" w:rsidR="00F30A1F" w:rsidRPr="00F30A1F" w:rsidRDefault="0077098D" w:rsidP="0077098D">
      <w:pPr>
        <w:pStyle w:val="ListParagraph"/>
        <w:shd w:val="clear" w:color="auto" w:fill="FFFFFF"/>
        <w:tabs>
          <w:tab w:val="left" w:pos="1701"/>
        </w:tabs>
        <w:spacing w:after="0" w:line="360" w:lineRule="auto"/>
        <w:ind w:left="709"/>
        <w:jc w:val="both"/>
        <w:rPr>
          <w:rFonts w:ascii="Arial" w:eastAsia="Calibri" w:hAnsi="Arial" w:cs="Arial"/>
          <w:lang w:val="en-ZA"/>
        </w:rPr>
      </w:pPr>
      <w:r>
        <w:rPr>
          <w:rFonts w:ascii="Arial" w:eastAsia="Calibri" w:hAnsi="Arial" w:cs="Arial"/>
        </w:rPr>
        <w:t xml:space="preserve">‘53 </w:t>
      </w:r>
      <w:r w:rsidR="00F30A1F" w:rsidRPr="00F30A1F">
        <w:rPr>
          <w:rFonts w:ascii="Arial" w:eastAsia="Calibri" w:hAnsi="Arial" w:cs="Arial"/>
        </w:rPr>
        <w:t>(1)</w:t>
      </w:r>
      <w:r>
        <w:rPr>
          <w:rFonts w:ascii="Arial" w:eastAsia="Calibri" w:hAnsi="Arial" w:cs="Arial"/>
        </w:rPr>
        <w:t xml:space="preserve"> </w:t>
      </w:r>
      <w:r w:rsidR="00F30A1F" w:rsidRPr="00F30A1F">
        <w:rPr>
          <w:rFonts w:ascii="Arial" w:eastAsia="Calibri" w:hAnsi="Arial" w:cs="Arial"/>
        </w:rPr>
        <w:t xml:space="preserve">Save as provided in any other law the registrar shall not attest any mortgage bond which purports to bind movable property or which contains the clause, </w:t>
      </w:r>
      <w:r w:rsidR="00F30A1F" w:rsidRPr="00F30A1F">
        <w:rPr>
          <w:rFonts w:ascii="Arial" w:eastAsia="Calibri" w:hAnsi="Arial" w:cs="Arial"/>
        </w:rPr>
        <w:lastRenderedPageBreak/>
        <w:t>commonly known as the general clause, purporting to bind generally all the immovable or movable property of the debtor or both and shall not register any notarial bond which purports to bind immovable property.</w:t>
      </w:r>
      <w:r w:rsidR="005C55A9">
        <w:rPr>
          <w:rFonts w:ascii="Arial" w:eastAsia="Calibri" w:hAnsi="Arial" w:cs="Arial"/>
        </w:rPr>
        <w:t>’</w:t>
      </w:r>
    </w:p>
    <w:p w14:paraId="1C5F909E" w14:textId="77777777" w:rsidR="00F30A1F" w:rsidRPr="007C2336" w:rsidRDefault="00F30A1F" w:rsidP="00FD4ECB">
      <w:pPr>
        <w:pStyle w:val="ListParagraph"/>
        <w:spacing w:after="0" w:line="480" w:lineRule="auto"/>
        <w:rPr>
          <w:rFonts w:ascii="Arial" w:eastAsia="Calibri" w:hAnsi="Arial" w:cs="Arial"/>
          <w:sz w:val="24"/>
          <w:szCs w:val="24"/>
          <w:lang w:val="en-ZA"/>
        </w:rPr>
      </w:pPr>
    </w:p>
    <w:p w14:paraId="193BD00C" w14:textId="7821D5AA" w:rsidR="007C2336" w:rsidRPr="00CD1873" w:rsidRDefault="00CD1873" w:rsidP="00CD1873">
      <w:pPr>
        <w:shd w:val="clear" w:color="auto" w:fill="FFFFFF"/>
        <w:spacing w:after="0" w:line="480" w:lineRule="auto"/>
        <w:jc w:val="both"/>
        <w:rPr>
          <w:rFonts w:ascii="Arial" w:eastAsia="Calibri" w:hAnsi="Arial" w:cs="Arial"/>
          <w:sz w:val="24"/>
          <w:szCs w:val="24"/>
          <w:lang w:val="en-ZA"/>
        </w:rPr>
      </w:pPr>
      <w:r>
        <w:rPr>
          <w:rFonts w:ascii="Arial" w:eastAsia="Calibri" w:hAnsi="Arial" w:cs="Arial"/>
          <w:sz w:val="24"/>
          <w:szCs w:val="24"/>
          <w:lang w:val="en-ZA"/>
        </w:rPr>
        <w:t>[36]</w:t>
      </w:r>
      <w:r>
        <w:rPr>
          <w:rFonts w:ascii="Arial" w:eastAsia="Calibri" w:hAnsi="Arial" w:cs="Arial"/>
          <w:sz w:val="24"/>
          <w:szCs w:val="24"/>
          <w:lang w:val="en-ZA"/>
        </w:rPr>
        <w:tab/>
      </w:r>
      <w:r w:rsidR="007C2336" w:rsidRPr="00CD1873">
        <w:rPr>
          <w:rFonts w:ascii="Arial" w:eastAsia="Calibri" w:hAnsi="Arial" w:cs="Arial"/>
          <w:sz w:val="24"/>
          <w:szCs w:val="24"/>
          <w:lang w:val="en-ZA"/>
        </w:rPr>
        <w:t>From the above it can thus be stated that a mortgage bond is an instrument hypothecating landed property to secure an existing debt or a future debt or both existing and future debts</w:t>
      </w:r>
      <w:r w:rsidR="0077098D" w:rsidRPr="00CD1873">
        <w:rPr>
          <w:rFonts w:ascii="Arial" w:eastAsia="Calibri" w:hAnsi="Arial" w:cs="Arial"/>
          <w:sz w:val="24"/>
          <w:szCs w:val="24"/>
          <w:lang w:val="en-ZA"/>
        </w:rPr>
        <w:t>.</w:t>
      </w:r>
      <w:r w:rsidR="007C2336">
        <w:rPr>
          <w:rStyle w:val="FootnoteReference"/>
          <w:rFonts w:ascii="Arial" w:eastAsia="Calibri" w:hAnsi="Arial" w:cs="Arial"/>
          <w:sz w:val="24"/>
          <w:szCs w:val="24"/>
          <w:lang w:val="en-ZA"/>
        </w:rPr>
        <w:footnoteReference w:id="5"/>
      </w:r>
      <w:r w:rsidR="007C2336" w:rsidRPr="00CD1873">
        <w:rPr>
          <w:rFonts w:ascii="Arial" w:eastAsia="Calibri" w:hAnsi="Arial" w:cs="Arial"/>
          <w:sz w:val="24"/>
          <w:szCs w:val="24"/>
          <w:lang w:val="en-ZA"/>
        </w:rPr>
        <w:t xml:space="preserve"> Where a bond is intended to secure an existing debt</w:t>
      </w:r>
      <w:r w:rsidR="005C55A9" w:rsidRPr="00CD1873">
        <w:rPr>
          <w:rFonts w:ascii="Arial" w:eastAsia="Calibri" w:hAnsi="Arial" w:cs="Arial"/>
          <w:sz w:val="24"/>
          <w:szCs w:val="24"/>
          <w:lang w:val="en-ZA"/>
        </w:rPr>
        <w:t>,</w:t>
      </w:r>
      <w:r w:rsidR="007C2336" w:rsidRPr="00CD1873">
        <w:rPr>
          <w:rFonts w:ascii="Arial" w:eastAsia="Calibri" w:hAnsi="Arial" w:cs="Arial"/>
          <w:sz w:val="24"/>
          <w:szCs w:val="24"/>
          <w:lang w:val="en-ZA"/>
        </w:rPr>
        <w:t xml:space="preserve"> it is inevitable that the amount of such debt must</w:t>
      </w:r>
      <w:r w:rsidR="00DD1BF4" w:rsidRPr="00CD1873">
        <w:rPr>
          <w:rFonts w:ascii="Arial" w:eastAsia="Calibri" w:hAnsi="Arial" w:cs="Arial"/>
          <w:sz w:val="24"/>
          <w:szCs w:val="24"/>
          <w:lang w:val="en-ZA"/>
        </w:rPr>
        <w:t xml:space="preserve"> be acknowledged in the bond</w:t>
      </w:r>
      <w:r w:rsidR="007C2336" w:rsidRPr="00CD1873">
        <w:rPr>
          <w:rFonts w:ascii="Arial" w:eastAsia="Calibri" w:hAnsi="Arial" w:cs="Arial"/>
          <w:sz w:val="24"/>
          <w:szCs w:val="24"/>
          <w:lang w:val="en-ZA"/>
        </w:rPr>
        <w:t xml:space="preserve"> and it is also essential that the maximum amount of future debts secured by the bond must be indicated.</w:t>
      </w:r>
    </w:p>
    <w:p w14:paraId="26A91D40" w14:textId="77777777" w:rsidR="007C2336" w:rsidRDefault="007C2336" w:rsidP="00FD4ECB">
      <w:pPr>
        <w:pStyle w:val="ListParagraph"/>
        <w:shd w:val="clear" w:color="auto" w:fill="FFFFFF"/>
        <w:spacing w:after="0" w:line="480" w:lineRule="auto"/>
        <w:ind w:left="0"/>
        <w:jc w:val="both"/>
        <w:rPr>
          <w:rFonts w:ascii="Arial" w:eastAsia="Calibri" w:hAnsi="Arial" w:cs="Arial"/>
          <w:sz w:val="24"/>
          <w:szCs w:val="24"/>
          <w:lang w:val="en-ZA"/>
        </w:rPr>
      </w:pPr>
    </w:p>
    <w:p w14:paraId="40D3DF44" w14:textId="0934179C" w:rsidR="007C2336" w:rsidRPr="00CD1873" w:rsidRDefault="00CD1873" w:rsidP="00CD1873">
      <w:pPr>
        <w:shd w:val="clear" w:color="auto" w:fill="FFFFFF"/>
        <w:spacing w:after="0" w:line="480" w:lineRule="auto"/>
        <w:ind w:firstLine="1"/>
        <w:jc w:val="both"/>
        <w:rPr>
          <w:rFonts w:ascii="Arial" w:eastAsia="Calibri" w:hAnsi="Arial" w:cs="Arial"/>
          <w:sz w:val="24"/>
          <w:szCs w:val="24"/>
          <w:lang w:val="en-ZA"/>
        </w:rPr>
      </w:pPr>
      <w:r w:rsidRPr="007C2336">
        <w:rPr>
          <w:rFonts w:ascii="Arial" w:eastAsia="Calibri" w:hAnsi="Arial" w:cs="Arial"/>
          <w:sz w:val="24"/>
          <w:szCs w:val="24"/>
          <w:lang w:val="en-ZA"/>
        </w:rPr>
        <w:t>[37]</w:t>
      </w:r>
      <w:r w:rsidRPr="007C2336">
        <w:rPr>
          <w:rFonts w:ascii="Arial" w:eastAsia="Calibri" w:hAnsi="Arial" w:cs="Arial"/>
          <w:sz w:val="24"/>
          <w:szCs w:val="24"/>
          <w:lang w:val="en-ZA"/>
        </w:rPr>
        <w:tab/>
      </w:r>
      <w:r w:rsidR="007C2336" w:rsidRPr="00CD1873">
        <w:rPr>
          <w:rFonts w:ascii="Arial" w:eastAsia="Calibri" w:hAnsi="Arial" w:cs="Arial"/>
          <w:sz w:val="24"/>
          <w:szCs w:val="24"/>
          <w:lang w:val="en-ZA"/>
        </w:rPr>
        <w:t>In</w:t>
      </w:r>
      <w:r w:rsidR="007C2336" w:rsidRPr="007C2336">
        <w:t xml:space="preserve"> </w:t>
      </w:r>
      <w:r w:rsidR="007C2336" w:rsidRPr="00CD1873">
        <w:rPr>
          <w:rFonts w:ascii="Arial" w:eastAsia="Calibri" w:hAnsi="Arial" w:cs="Arial"/>
          <w:i/>
          <w:sz w:val="24"/>
          <w:szCs w:val="24"/>
          <w:lang w:val="en-ZA"/>
        </w:rPr>
        <w:t>Lief NO v Dettmann</w:t>
      </w:r>
      <w:r w:rsidR="007C2336">
        <w:rPr>
          <w:rStyle w:val="FootnoteReference"/>
          <w:rFonts w:ascii="Arial" w:eastAsia="Calibri" w:hAnsi="Arial" w:cs="Arial"/>
          <w:i/>
          <w:sz w:val="24"/>
          <w:szCs w:val="24"/>
          <w:lang w:val="en-ZA"/>
        </w:rPr>
        <w:footnoteReference w:id="6"/>
      </w:r>
      <w:r w:rsidR="007C2336" w:rsidRPr="00CD1873">
        <w:rPr>
          <w:rFonts w:ascii="Arial" w:eastAsia="Calibri" w:hAnsi="Arial" w:cs="Arial"/>
          <w:i/>
          <w:sz w:val="24"/>
          <w:szCs w:val="24"/>
          <w:lang w:val="en-ZA"/>
        </w:rPr>
        <w:t xml:space="preserve">  </w:t>
      </w:r>
      <w:r w:rsidR="007C2336" w:rsidRPr="00CD1873">
        <w:rPr>
          <w:rFonts w:ascii="Arial" w:eastAsia="Calibri" w:hAnsi="Arial" w:cs="Arial"/>
          <w:sz w:val="24"/>
          <w:szCs w:val="24"/>
          <w:lang w:val="en-ZA"/>
        </w:rPr>
        <w:t>the then Appellate Division of the Supreme Court of South Africa held that:</w:t>
      </w:r>
      <w:r w:rsidR="007C2336" w:rsidRPr="00CD1873">
        <w:rPr>
          <w:rFonts w:ascii="Arial" w:eastAsia="Calibri" w:hAnsi="Arial" w:cs="Arial"/>
          <w:i/>
          <w:sz w:val="24"/>
          <w:szCs w:val="24"/>
          <w:lang w:val="en-ZA"/>
        </w:rPr>
        <w:t xml:space="preserve"> </w:t>
      </w:r>
    </w:p>
    <w:p w14:paraId="1B290454" w14:textId="77777777" w:rsidR="007C2336" w:rsidRPr="007C2336" w:rsidRDefault="007C2336" w:rsidP="00FD4ECB">
      <w:pPr>
        <w:pStyle w:val="ListParagraph"/>
        <w:spacing w:after="0" w:line="480" w:lineRule="auto"/>
        <w:rPr>
          <w:rFonts w:ascii="Arial" w:eastAsia="Calibri" w:hAnsi="Arial" w:cs="Arial"/>
          <w:sz w:val="24"/>
          <w:szCs w:val="24"/>
          <w:lang w:val="en-ZA"/>
        </w:rPr>
      </w:pPr>
    </w:p>
    <w:p w14:paraId="0F97CF14" w14:textId="77777777" w:rsidR="00234F51" w:rsidRDefault="007C2336" w:rsidP="0077098D">
      <w:pPr>
        <w:pStyle w:val="ListParagraph"/>
        <w:shd w:val="clear" w:color="auto" w:fill="FFFFFF"/>
        <w:spacing w:after="0" w:line="360" w:lineRule="auto"/>
        <w:ind w:left="709"/>
        <w:jc w:val="both"/>
        <w:rPr>
          <w:rFonts w:ascii="Arial" w:eastAsia="Calibri" w:hAnsi="Arial" w:cs="Arial"/>
          <w:sz w:val="24"/>
          <w:szCs w:val="24"/>
          <w:lang w:val="en-ZA"/>
        </w:rPr>
      </w:pPr>
      <w:r>
        <w:rPr>
          <w:rFonts w:ascii="Arial" w:eastAsia="Calibri" w:hAnsi="Arial" w:cs="Arial"/>
          <w:lang w:val="en-ZA"/>
        </w:rPr>
        <w:t>‘</w:t>
      </w:r>
      <w:r w:rsidRPr="007C2336">
        <w:rPr>
          <w:rFonts w:ascii="Arial" w:eastAsia="Calibri" w:hAnsi="Arial" w:cs="Arial"/>
          <w:lang w:val="en-ZA"/>
        </w:rPr>
        <w:t>The</w:t>
      </w:r>
      <w:r>
        <w:rPr>
          <w:rFonts w:ascii="Arial" w:eastAsia="Calibri" w:hAnsi="Arial" w:cs="Arial"/>
          <w:lang w:val="en-ZA"/>
        </w:rPr>
        <w:t xml:space="preserve"> bond is registered in the </w:t>
      </w:r>
      <w:r w:rsidRPr="007C2336">
        <w:rPr>
          <w:rFonts w:ascii="Arial" w:eastAsia="Calibri" w:hAnsi="Arial" w:cs="Arial"/>
          <w:lang w:val="en-ZA"/>
        </w:rPr>
        <w:t>Deeds Office so that the world should have knowledge of the fact that there is a charge against the mortgagor's property; the object is not to notify the world that the mortgagor owes the mortgagee a specific sum of money. Creditors of the mortgagee cannot rely on the acknowledgment of indebtedness in the bond as correctly reflecting the debt owed to the mortgagee by the mortgagor at any pa</w:t>
      </w:r>
      <w:r w:rsidR="000706D1">
        <w:rPr>
          <w:rFonts w:ascii="Arial" w:eastAsia="Calibri" w:hAnsi="Arial" w:cs="Arial"/>
          <w:lang w:val="en-ZA"/>
        </w:rPr>
        <w:t>rticular time subsequent to</w:t>
      </w:r>
      <w:r w:rsidRPr="007C2336">
        <w:rPr>
          <w:rFonts w:ascii="Arial" w:eastAsia="Calibri" w:hAnsi="Arial" w:cs="Arial"/>
          <w:lang w:val="en-ZA"/>
        </w:rPr>
        <w:t xml:space="preserve"> registration. The only real rights in favour of the mortgagee created by the registration of the bond are rights in respect of the mortgaged property, e.g. the right to restrain its alienation and the right to claim a preference in respect of its proceeds on insolvency of the mortgagor</w:t>
      </w:r>
      <w:r w:rsidRPr="007C2336">
        <w:rPr>
          <w:rFonts w:ascii="Arial" w:eastAsia="Calibri" w:hAnsi="Arial" w:cs="Arial"/>
          <w:sz w:val="24"/>
          <w:szCs w:val="24"/>
          <w:lang w:val="en-ZA"/>
        </w:rPr>
        <w:t>.</w:t>
      </w:r>
      <w:r w:rsidR="000A0E23">
        <w:rPr>
          <w:rFonts w:ascii="Arial" w:eastAsia="Calibri" w:hAnsi="Arial" w:cs="Arial"/>
          <w:sz w:val="24"/>
          <w:szCs w:val="24"/>
          <w:lang w:val="en-ZA"/>
        </w:rPr>
        <w:t>’</w:t>
      </w:r>
    </w:p>
    <w:p w14:paraId="4DEFED75" w14:textId="77777777" w:rsidR="007C2336" w:rsidRPr="007C2336" w:rsidRDefault="007C2336" w:rsidP="00FD4ECB">
      <w:pPr>
        <w:pStyle w:val="ListParagraph"/>
        <w:spacing w:after="0" w:line="480" w:lineRule="auto"/>
        <w:rPr>
          <w:rFonts w:ascii="Arial" w:eastAsia="Calibri" w:hAnsi="Arial" w:cs="Arial"/>
          <w:sz w:val="24"/>
          <w:szCs w:val="24"/>
          <w:lang w:val="en-ZA"/>
        </w:rPr>
      </w:pPr>
    </w:p>
    <w:p w14:paraId="08758E61" w14:textId="006D6C22" w:rsidR="00066528" w:rsidRPr="00CD1873" w:rsidRDefault="00CD1873" w:rsidP="00CD1873">
      <w:pPr>
        <w:shd w:val="clear" w:color="auto" w:fill="FFFFFF"/>
        <w:spacing w:after="0" w:line="480" w:lineRule="auto"/>
        <w:ind w:firstLine="1"/>
        <w:jc w:val="both"/>
        <w:rPr>
          <w:rFonts w:ascii="Arial" w:eastAsia="Calibri" w:hAnsi="Arial" w:cs="Arial"/>
          <w:sz w:val="24"/>
          <w:szCs w:val="24"/>
          <w:lang w:val="en-ZA"/>
        </w:rPr>
      </w:pPr>
      <w:r w:rsidRPr="0077098D">
        <w:rPr>
          <w:rFonts w:ascii="Arial" w:eastAsia="Calibri" w:hAnsi="Arial" w:cs="Arial"/>
          <w:sz w:val="24"/>
          <w:szCs w:val="24"/>
          <w:lang w:val="en-ZA"/>
        </w:rPr>
        <w:t>[38]</w:t>
      </w:r>
      <w:r w:rsidRPr="0077098D">
        <w:rPr>
          <w:rFonts w:ascii="Arial" w:eastAsia="Calibri" w:hAnsi="Arial" w:cs="Arial"/>
          <w:sz w:val="24"/>
          <w:szCs w:val="24"/>
          <w:lang w:val="en-ZA"/>
        </w:rPr>
        <w:tab/>
      </w:r>
      <w:r w:rsidR="0099656D" w:rsidRPr="00CD1873">
        <w:rPr>
          <w:rFonts w:ascii="Arial" w:eastAsia="Calibri" w:hAnsi="Arial" w:cs="Times New Roman"/>
          <w:sz w:val="24"/>
        </w:rPr>
        <w:t xml:space="preserve">In his affidavit filed in the </w:t>
      </w:r>
      <w:r w:rsidR="001E04D7" w:rsidRPr="00CD1873">
        <w:rPr>
          <w:rFonts w:ascii="Arial" w:eastAsia="Calibri" w:hAnsi="Arial" w:cs="Times New Roman"/>
          <w:sz w:val="24"/>
        </w:rPr>
        <w:t>court</w:t>
      </w:r>
      <w:r w:rsidR="001E04D7" w:rsidRPr="00CD1873">
        <w:rPr>
          <w:rFonts w:ascii="Arial" w:eastAsia="Calibri" w:hAnsi="Arial" w:cs="Times New Roman"/>
          <w:i/>
          <w:sz w:val="24"/>
        </w:rPr>
        <w:t xml:space="preserve"> a quo</w:t>
      </w:r>
      <w:r w:rsidR="0099656D" w:rsidRPr="00CD1873">
        <w:rPr>
          <w:rFonts w:ascii="Arial" w:eastAsia="Calibri" w:hAnsi="Arial" w:cs="Times New Roman"/>
          <w:sz w:val="24"/>
        </w:rPr>
        <w:t xml:space="preserve"> the </w:t>
      </w:r>
      <w:r w:rsidR="002F51C4" w:rsidRPr="00CD1873">
        <w:rPr>
          <w:rFonts w:ascii="Arial" w:eastAsia="Calibri" w:hAnsi="Arial" w:cs="Times New Roman"/>
          <w:sz w:val="24"/>
        </w:rPr>
        <w:t>d</w:t>
      </w:r>
      <w:r w:rsidR="00AC21A0" w:rsidRPr="00CD1873">
        <w:rPr>
          <w:rFonts w:ascii="Arial" w:eastAsia="Calibri" w:hAnsi="Arial" w:cs="Times New Roman"/>
          <w:sz w:val="24"/>
        </w:rPr>
        <w:t>eputy-sheriff</w:t>
      </w:r>
      <w:r w:rsidR="0099656D" w:rsidRPr="00CD1873">
        <w:rPr>
          <w:rFonts w:ascii="Arial" w:eastAsia="Calibri" w:hAnsi="Arial" w:cs="Times New Roman"/>
          <w:sz w:val="24"/>
        </w:rPr>
        <w:t xml:space="preserve"> indicated that when he conducted an electronic search at the Deeds Office he di</w:t>
      </w:r>
      <w:r w:rsidR="0077098D" w:rsidRPr="00CD1873">
        <w:rPr>
          <w:rFonts w:ascii="Arial" w:eastAsia="Calibri" w:hAnsi="Arial" w:cs="Times New Roman"/>
          <w:sz w:val="24"/>
        </w:rPr>
        <w:t>d not pick up the fact that FNB’</w:t>
      </w:r>
      <w:r w:rsidR="0099656D" w:rsidRPr="00CD1873">
        <w:rPr>
          <w:rFonts w:ascii="Arial" w:eastAsia="Calibri" w:hAnsi="Arial" w:cs="Times New Roman"/>
          <w:sz w:val="24"/>
        </w:rPr>
        <w:t xml:space="preserve">s bond was endorsed on the Title Deed of the property. </w:t>
      </w:r>
      <w:r w:rsidR="0088313B" w:rsidRPr="00CD1873">
        <w:rPr>
          <w:rFonts w:ascii="Arial" w:eastAsia="Calibri" w:hAnsi="Arial" w:cs="Times New Roman"/>
          <w:sz w:val="24"/>
        </w:rPr>
        <w:t>Section 13</w:t>
      </w:r>
      <w:r w:rsidR="00162748" w:rsidRPr="00CD1873">
        <w:rPr>
          <w:rFonts w:ascii="Arial" w:eastAsia="Calibri" w:hAnsi="Arial" w:cs="Times New Roman"/>
          <w:sz w:val="24"/>
        </w:rPr>
        <w:t xml:space="preserve">(1) of </w:t>
      </w:r>
      <w:r w:rsidR="00162748" w:rsidRPr="00CD1873">
        <w:rPr>
          <w:rFonts w:ascii="Arial" w:eastAsia="Calibri" w:hAnsi="Arial" w:cs="Times New Roman"/>
          <w:sz w:val="24"/>
        </w:rPr>
        <w:lastRenderedPageBreak/>
        <w:t>the Deeds Registries Act</w:t>
      </w:r>
      <w:r w:rsidR="0088313B" w:rsidRPr="00CD1873">
        <w:rPr>
          <w:rFonts w:ascii="Arial" w:eastAsia="Calibri" w:hAnsi="Arial" w:cs="Times New Roman"/>
          <w:sz w:val="24"/>
        </w:rPr>
        <w:t xml:space="preserve"> provide</w:t>
      </w:r>
      <w:r w:rsidR="00162748" w:rsidRPr="00CD1873">
        <w:rPr>
          <w:rFonts w:ascii="Arial" w:eastAsia="Calibri" w:hAnsi="Arial" w:cs="Times New Roman"/>
          <w:sz w:val="24"/>
        </w:rPr>
        <w:t>s</w:t>
      </w:r>
      <w:r w:rsidR="0088313B" w:rsidRPr="00CD1873">
        <w:rPr>
          <w:rFonts w:ascii="Arial" w:eastAsia="Calibri" w:hAnsi="Arial" w:cs="Times New Roman"/>
          <w:sz w:val="24"/>
        </w:rPr>
        <w:t xml:space="preserve"> that deeds executed or attested by a registrar</w:t>
      </w:r>
      <w:r w:rsidR="009C5A3D">
        <w:rPr>
          <w:rStyle w:val="FootnoteReference"/>
          <w:rFonts w:ascii="Arial" w:eastAsia="Calibri" w:hAnsi="Arial" w:cs="Times New Roman"/>
          <w:sz w:val="24"/>
        </w:rPr>
        <w:footnoteReference w:id="7"/>
      </w:r>
      <w:r w:rsidR="0088313B" w:rsidRPr="00CD1873">
        <w:rPr>
          <w:rFonts w:ascii="Arial" w:eastAsia="Calibri" w:hAnsi="Arial" w:cs="Times New Roman"/>
          <w:sz w:val="24"/>
        </w:rPr>
        <w:t xml:space="preserve"> shall be deemed to be registered upon the affixing of the registrar’s signature thereto. It follows that </w:t>
      </w:r>
      <w:r w:rsidR="000C5833" w:rsidRPr="00CD1873">
        <w:rPr>
          <w:rFonts w:ascii="Arial" w:eastAsia="Calibri" w:hAnsi="Arial" w:cs="Times New Roman"/>
          <w:sz w:val="24"/>
        </w:rPr>
        <w:t xml:space="preserve">on the basis of the deeming clause in </w:t>
      </w:r>
      <w:r w:rsidR="0088313B" w:rsidRPr="00CD1873">
        <w:rPr>
          <w:rFonts w:ascii="Arial" w:eastAsia="Calibri" w:hAnsi="Arial" w:cs="Times New Roman"/>
          <w:sz w:val="24"/>
        </w:rPr>
        <w:t>s 13(1) of the Deeds Reg</w:t>
      </w:r>
      <w:r w:rsidR="00773172" w:rsidRPr="00CD1873">
        <w:rPr>
          <w:rFonts w:ascii="Arial" w:eastAsia="Calibri" w:hAnsi="Arial" w:cs="Times New Roman"/>
          <w:sz w:val="24"/>
        </w:rPr>
        <w:t>istries Act, the fact that the R</w:t>
      </w:r>
      <w:r w:rsidR="0088313B" w:rsidRPr="00CD1873">
        <w:rPr>
          <w:rFonts w:ascii="Arial" w:eastAsia="Calibri" w:hAnsi="Arial" w:cs="Times New Roman"/>
          <w:sz w:val="24"/>
        </w:rPr>
        <w:t xml:space="preserve">egistrar of Deeds has failed to endorse a title deed of </w:t>
      </w:r>
      <w:r w:rsidR="00740D96" w:rsidRPr="00CD1873">
        <w:rPr>
          <w:rFonts w:ascii="Arial" w:eastAsia="Calibri" w:hAnsi="Arial" w:cs="Times New Roman"/>
          <w:sz w:val="24"/>
        </w:rPr>
        <w:t xml:space="preserve">a </w:t>
      </w:r>
      <w:r w:rsidR="0088313B" w:rsidRPr="00CD1873">
        <w:rPr>
          <w:rFonts w:ascii="Arial" w:eastAsia="Calibri" w:hAnsi="Arial" w:cs="Times New Roman"/>
          <w:sz w:val="24"/>
        </w:rPr>
        <w:t>property</w:t>
      </w:r>
      <w:r w:rsidR="00CB2107" w:rsidRPr="00CD1873">
        <w:rPr>
          <w:rFonts w:ascii="Arial" w:eastAsia="Calibri" w:hAnsi="Arial" w:cs="Times New Roman"/>
          <w:sz w:val="24"/>
        </w:rPr>
        <w:t xml:space="preserve"> </w:t>
      </w:r>
      <w:r w:rsidR="0088313B" w:rsidRPr="00CD1873">
        <w:rPr>
          <w:rFonts w:ascii="Arial" w:eastAsia="Calibri" w:hAnsi="Arial" w:cs="Times New Roman"/>
          <w:sz w:val="24"/>
        </w:rPr>
        <w:t>that</w:t>
      </w:r>
      <w:r w:rsidR="000C5833" w:rsidRPr="00CD1873">
        <w:rPr>
          <w:rFonts w:ascii="Arial" w:eastAsia="Calibri" w:hAnsi="Arial" w:cs="Times New Roman"/>
          <w:sz w:val="24"/>
        </w:rPr>
        <w:t xml:space="preserve"> the property in question is mortgage that</w:t>
      </w:r>
      <w:r w:rsidR="0088313B" w:rsidRPr="00CD1873">
        <w:rPr>
          <w:rFonts w:ascii="Arial" w:eastAsia="Calibri" w:hAnsi="Arial" w:cs="Times New Roman"/>
          <w:sz w:val="24"/>
        </w:rPr>
        <w:t xml:space="preserve"> </w:t>
      </w:r>
      <w:r w:rsidR="000C5833" w:rsidRPr="00CD1873">
        <w:rPr>
          <w:rFonts w:ascii="Arial" w:eastAsia="Calibri" w:hAnsi="Arial" w:cs="Times New Roman"/>
          <w:sz w:val="24"/>
        </w:rPr>
        <w:t>failure does</w:t>
      </w:r>
      <w:r w:rsidR="0088313B" w:rsidRPr="00CD1873">
        <w:rPr>
          <w:rFonts w:ascii="Arial" w:eastAsia="Calibri" w:hAnsi="Arial" w:cs="Times New Roman"/>
          <w:sz w:val="24"/>
        </w:rPr>
        <w:t xml:space="preserve"> </w:t>
      </w:r>
      <w:r w:rsidR="00CB2107" w:rsidRPr="00CD1873">
        <w:rPr>
          <w:rFonts w:ascii="Arial" w:eastAsia="Calibri" w:hAnsi="Arial" w:cs="Times New Roman"/>
          <w:sz w:val="24"/>
        </w:rPr>
        <w:t>not in</w:t>
      </w:r>
      <w:r w:rsidR="0088313B" w:rsidRPr="00CD1873">
        <w:rPr>
          <w:rFonts w:ascii="Arial" w:eastAsia="Calibri" w:hAnsi="Arial" w:cs="Times New Roman"/>
          <w:sz w:val="24"/>
        </w:rPr>
        <w:t>validate the mortgage bond</w:t>
      </w:r>
      <w:r w:rsidR="00D05838" w:rsidRPr="00CD1873">
        <w:rPr>
          <w:rFonts w:ascii="Arial" w:eastAsia="Calibri" w:hAnsi="Arial" w:cs="Times New Roman"/>
          <w:sz w:val="24"/>
        </w:rPr>
        <w:t>.</w:t>
      </w:r>
      <w:r w:rsidR="0088313B" w:rsidRPr="00BE1111">
        <w:rPr>
          <w:rStyle w:val="FootnoteReference"/>
          <w:rFonts w:ascii="Arial" w:eastAsia="Calibri" w:hAnsi="Arial" w:cs="Times New Roman"/>
          <w:sz w:val="24"/>
          <w:lang w:val="en-ZA"/>
        </w:rPr>
        <w:footnoteReference w:id="8"/>
      </w:r>
      <w:r w:rsidR="0099656D" w:rsidRPr="00CD1873">
        <w:rPr>
          <w:rFonts w:ascii="Arial" w:eastAsia="Calibri" w:hAnsi="Arial" w:cs="Times New Roman"/>
          <w:sz w:val="24"/>
        </w:rPr>
        <w:t xml:space="preserve"> </w:t>
      </w:r>
    </w:p>
    <w:p w14:paraId="33A31935" w14:textId="77777777" w:rsidR="0077098D" w:rsidRPr="00875639" w:rsidRDefault="0077098D" w:rsidP="0077098D">
      <w:pPr>
        <w:pStyle w:val="ListParagraph"/>
        <w:shd w:val="clear" w:color="auto" w:fill="FFFFFF"/>
        <w:spacing w:after="0" w:line="480" w:lineRule="auto"/>
        <w:ind w:left="1"/>
        <w:jc w:val="both"/>
        <w:rPr>
          <w:rFonts w:ascii="Arial" w:eastAsia="Calibri" w:hAnsi="Arial" w:cs="Arial"/>
          <w:sz w:val="24"/>
          <w:szCs w:val="24"/>
          <w:lang w:val="en-ZA"/>
        </w:rPr>
      </w:pPr>
    </w:p>
    <w:p w14:paraId="20E3CFCB" w14:textId="3FDE738A" w:rsidR="00A32A03" w:rsidRPr="00CD1873" w:rsidRDefault="00CD1873" w:rsidP="00CD1873">
      <w:pPr>
        <w:shd w:val="clear" w:color="auto" w:fill="FFFFFF"/>
        <w:spacing w:after="0" w:line="480" w:lineRule="auto"/>
        <w:ind w:firstLine="1"/>
        <w:jc w:val="both"/>
        <w:rPr>
          <w:rFonts w:ascii="Arial" w:eastAsia="Calibri" w:hAnsi="Arial" w:cs="Arial"/>
          <w:sz w:val="24"/>
          <w:szCs w:val="24"/>
          <w:lang w:val="en-ZA"/>
        </w:rPr>
      </w:pPr>
      <w:r>
        <w:rPr>
          <w:rFonts w:ascii="Arial" w:eastAsia="Calibri" w:hAnsi="Arial" w:cs="Arial"/>
          <w:sz w:val="24"/>
          <w:szCs w:val="24"/>
          <w:lang w:val="en-ZA"/>
        </w:rPr>
        <w:t>[39]</w:t>
      </w:r>
      <w:r>
        <w:rPr>
          <w:rFonts w:ascii="Arial" w:eastAsia="Calibri" w:hAnsi="Arial" w:cs="Arial"/>
          <w:sz w:val="24"/>
          <w:szCs w:val="24"/>
          <w:lang w:val="en-ZA"/>
        </w:rPr>
        <w:tab/>
      </w:r>
      <w:r w:rsidR="00835FA7" w:rsidRPr="00CD1873">
        <w:rPr>
          <w:rFonts w:ascii="Arial" w:eastAsia="Calibri" w:hAnsi="Arial" w:cs="Arial"/>
          <w:sz w:val="24"/>
          <w:szCs w:val="24"/>
          <w:lang w:val="en-ZA"/>
        </w:rPr>
        <w:t>I thus find that</w:t>
      </w:r>
      <w:r w:rsidR="00A75F11" w:rsidRPr="00CD1873">
        <w:rPr>
          <w:rFonts w:ascii="Arial" w:eastAsia="Calibri" w:hAnsi="Arial" w:cs="Arial"/>
          <w:sz w:val="24"/>
          <w:szCs w:val="24"/>
          <w:lang w:val="en-ZA"/>
        </w:rPr>
        <w:t>,</w:t>
      </w:r>
      <w:r w:rsidR="00835FA7" w:rsidRPr="00CD1873">
        <w:rPr>
          <w:rFonts w:ascii="Arial" w:eastAsia="Calibri" w:hAnsi="Arial" w:cs="Arial"/>
          <w:sz w:val="24"/>
          <w:szCs w:val="24"/>
          <w:lang w:val="en-ZA"/>
        </w:rPr>
        <w:t xml:space="preserve"> the argument advanced </w:t>
      </w:r>
      <w:r w:rsidR="005C55A9" w:rsidRPr="00CD1873">
        <w:rPr>
          <w:rFonts w:ascii="Arial" w:eastAsia="Calibri" w:hAnsi="Arial" w:cs="Arial"/>
          <w:sz w:val="24"/>
          <w:szCs w:val="24"/>
          <w:lang w:val="en-ZA"/>
        </w:rPr>
        <w:t>on behalf of Mr Harris</w:t>
      </w:r>
      <w:r w:rsidR="00835FA7" w:rsidRPr="00CD1873">
        <w:rPr>
          <w:rFonts w:ascii="Arial" w:eastAsia="Calibri" w:hAnsi="Arial" w:cs="Arial"/>
          <w:sz w:val="24"/>
          <w:szCs w:val="24"/>
          <w:lang w:val="en-ZA"/>
        </w:rPr>
        <w:t xml:space="preserve"> as regards th</w:t>
      </w:r>
      <w:r w:rsidR="00BD7A13" w:rsidRPr="00CD1873">
        <w:rPr>
          <w:rFonts w:ascii="Arial" w:eastAsia="Calibri" w:hAnsi="Arial" w:cs="Arial"/>
          <w:sz w:val="24"/>
          <w:szCs w:val="24"/>
          <w:lang w:val="en-ZA"/>
        </w:rPr>
        <w:t>e</w:t>
      </w:r>
      <w:r w:rsidR="00835FA7" w:rsidRPr="00CD1873">
        <w:rPr>
          <w:rFonts w:ascii="Arial" w:eastAsia="Calibri" w:hAnsi="Arial" w:cs="Arial"/>
          <w:sz w:val="24"/>
          <w:szCs w:val="24"/>
          <w:lang w:val="en-ZA"/>
        </w:rPr>
        <w:t xml:space="preserve"> status of FNB at the time of the sale of the property in execution, </w:t>
      </w:r>
      <w:r w:rsidR="0099656D" w:rsidRPr="00CD1873">
        <w:rPr>
          <w:rFonts w:ascii="Arial" w:eastAsia="Calibri" w:hAnsi="Arial" w:cs="Arial"/>
          <w:sz w:val="24"/>
          <w:szCs w:val="24"/>
          <w:lang w:val="en-ZA"/>
        </w:rPr>
        <w:t>cannot be</w:t>
      </w:r>
      <w:r w:rsidR="009C5A3D" w:rsidRPr="00CD1873">
        <w:rPr>
          <w:rFonts w:ascii="Arial" w:eastAsia="Calibri" w:hAnsi="Arial" w:cs="Arial"/>
          <w:sz w:val="24"/>
          <w:szCs w:val="24"/>
          <w:lang w:val="en-ZA"/>
        </w:rPr>
        <w:t xml:space="preserve"> accepted as correct</w:t>
      </w:r>
      <w:r w:rsidR="00571593" w:rsidRPr="00CD1873">
        <w:rPr>
          <w:rFonts w:ascii="Arial" w:eastAsia="Calibri" w:hAnsi="Arial" w:cs="Arial"/>
          <w:sz w:val="24"/>
          <w:szCs w:val="24"/>
          <w:lang w:val="en-ZA"/>
        </w:rPr>
        <w:t xml:space="preserve"> </w:t>
      </w:r>
      <w:r w:rsidR="00835FA7" w:rsidRPr="00CD1873">
        <w:rPr>
          <w:rFonts w:ascii="Arial" w:eastAsia="Calibri" w:hAnsi="Arial" w:cs="Arial"/>
          <w:sz w:val="24"/>
          <w:szCs w:val="24"/>
          <w:lang w:val="en-ZA"/>
        </w:rPr>
        <w:t>for</w:t>
      </w:r>
      <w:r w:rsidR="00BD7A13" w:rsidRPr="00CD1873">
        <w:rPr>
          <w:rFonts w:ascii="Arial" w:eastAsia="Calibri" w:hAnsi="Arial" w:cs="Arial"/>
          <w:sz w:val="24"/>
          <w:szCs w:val="24"/>
          <w:lang w:val="en-ZA"/>
        </w:rPr>
        <w:t xml:space="preserve"> the simple reason that at that</w:t>
      </w:r>
      <w:r w:rsidR="00835FA7" w:rsidRPr="00CD1873">
        <w:rPr>
          <w:rFonts w:ascii="Arial" w:eastAsia="Calibri" w:hAnsi="Arial" w:cs="Arial"/>
          <w:sz w:val="24"/>
          <w:szCs w:val="24"/>
          <w:lang w:val="en-ZA"/>
        </w:rPr>
        <w:t xml:space="preserve"> time</w:t>
      </w:r>
      <w:r w:rsidR="00BD7A13" w:rsidRPr="00CD1873">
        <w:rPr>
          <w:rFonts w:ascii="Arial" w:eastAsia="Calibri" w:hAnsi="Arial" w:cs="Arial"/>
          <w:sz w:val="24"/>
          <w:szCs w:val="24"/>
          <w:lang w:val="en-ZA"/>
        </w:rPr>
        <w:t xml:space="preserve"> when the property was sold in execution</w:t>
      </w:r>
      <w:r w:rsidR="004E5808" w:rsidRPr="00CD1873">
        <w:rPr>
          <w:rFonts w:ascii="Arial" w:eastAsia="Calibri" w:hAnsi="Arial" w:cs="Arial"/>
          <w:sz w:val="24"/>
          <w:szCs w:val="24"/>
          <w:lang w:val="en-ZA"/>
        </w:rPr>
        <w:t>,</w:t>
      </w:r>
      <w:r w:rsidR="00354C7A" w:rsidRPr="00CD1873">
        <w:rPr>
          <w:rFonts w:ascii="Arial" w:eastAsia="Calibri" w:hAnsi="Arial" w:cs="Arial"/>
          <w:sz w:val="24"/>
          <w:szCs w:val="24"/>
          <w:lang w:val="en-ZA"/>
        </w:rPr>
        <w:t xml:space="preserve"> FNB had a valid</w:t>
      </w:r>
      <w:r w:rsidR="00BD7A13" w:rsidRPr="00CD1873">
        <w:rPr>
          <w:rFonts w:ascii="Arial" w:eastAsia="Calibri" w:hAnsi="Arial" w:cs="Arial"/>
          <w:sz w:val="24"/>
          <w:szCs w:val="24"/>
          <w:lang w:val="en-ZA"/>
        </w:rPr>
        <w:t xml:space="preserve"> mortgage bond registered in its favour over the property</w:t>
      </w:r>
      <w:r w:rsidR="004E5808" w:rsidRPr="00CD1873">
        <w:rPr>
          <w:rFonts w:ascii="Arial" w:eastAsia="Calibri" w:hAnsi="Arial" w:cs="Arial"/>
          <w:sz w:val="24"/>
          <w:szCs w:val="24"/>
          <w:lang w:val="en-ZA"/>
        </w:rPr>
        <w:t>,</w:t>
      </w:r>
      <w:r w:rsidR="00BD7A13" w:rsidRPr="00CD1873">
        <w:rPr>
          <w:rFonts w:ascii="Arial" w:eastAsia="Calibri" w:hAnsi="Arial" w:cs="Arial"/>
          <w:sz w:val="24"/>
          <w:szCs w:val="24"/>
          <w:lang w:val="en-ZA"/>
        </w:rPr>
        <w:t xml:space="preserve"> and FNB was thus a mortgagee in respect of t</w:t>
      </w:r>
      <w:r w:rsidR="004E5808" w:rsidRPr="00CD1873">
        <w:rPr>
          <w:rFonts w:ascii="Arial" w:eastAsia="Calibri" w:hAnsi="Arial" w:cs="Arial"/>
          <w:sz w:val="24"/>
          <w:szCs w:val="24"/>
          <w:lang w:val="en-ZA"/>
        </w:rPr>
        <w:t xml:space="preserve">hat property. The fact that </w:t>
      </w:r>
      <w:r w:rsidR="00BD7A13" w:rsidRPr="00CD1873">
        <w:rPr>
          <w:rFonts w:ascii="Arial" w:eastAsia="Calibri" w:hAnsi="Arial" w:cs="Arial"/>
          <w:sz w:val="24"/>
          <w:szCs w:val="24"/>
          <w:lang w:val="en-ZA"/>
        </w:rPr>
        <w:t>Hendricks CC had ful</w:t>
      </w:r>
      <w:r w:rsidR="004E5808" w:rsidRPr="00CD1873">
        <w:rPr>
          <w:rFonts w:ascii="Arial" w:eastAsia="Calibri" w:hAnsi="Arial" w:cs="Arial"/>
          <w:sz w:val="24"/>
          <w:szCs w:val="24"/>
          <w:lang w:val="en-ZA"/>
        </w:rPr>
        <w:t xml:space="preserve">ly repaid its loan to FNB and </w:t>
      </w:r>
      <w:r w:rsidR="00BD7A13" w:rsidRPr="00CD1873">
        <w:rPr>
          <w:rFonts w:ascii="Arial" w:eastAsia="Calibri" w:hAnsi="Arial" w:cs="Arial"/>
          <w:sz w:val="24"/>
          <w:szCs w:val="24"/>
          <w:lang w:val="en-ZA"/>
        </w:rPr>
        <w:t>FNB was not a creditor of Hendricks CC</w:t>
      </w:r>
      <w:r w:rsidR="004E5808" w:rsidRPr="00CD1873">
        <w:rPr>
          <w:rFonts w:ascii="Arial" w:eastAsia="Calibri" w:hAnsi="Arial" w:cs="Arial"/>
          <w:sz w:val="24"/>
          <w:szCs w:val="24"/>
          <w:lang w:val="en-ZA"/>
        </w:rPr>
        <w:t>,</w:t>
      </w:r>
      <w:r w:rsidR="00BD7A13" w:rsidRPr="00CD1873">
        <w:rPr>
          <w:rFonts w:ascii="Arial" w:eastAsia="Calibri" w:hAnsi="Arial" w:cs="Arial"/>
          <w:sz w:val="24"/>
          <w:szCs w:val="24"/>
          <w:lang w:val="en-ZA"/>
        </w:rPr>
        <w:t xml:space="preserve"> is of no moment</w:t>
      </w:r>
      <w:r w:rsidR="00BD7A13" w:rsidRPr="00CD1873">
        <w:rPr>
          <w:sz w:val="24"/>
          <w:szCs w:val="24"/>
        </w:rPr>
        <w:t xml:space="preserve"> </w:t>
      </w:r>
      <w:r w:rsidR="00BD7A13" w:rsidRPr="00CD1873">
        <w:rPr>
          <w:rFonts w:ascii="Arial" w:eastAsia="Calibri" w:hAnsi="Arial" w:cs="Arial"/>
          <w:sz w:val="24"/>
          <w:szCs w:val="24"/>
          <w:lang w:val="en-ZA"/>
        </w:rPr>
        <w:t xml:space="preserve">because the object of registering a mortgage bond is not to notify the world that Hendricks CC owes FNB a specific sum of money. </w:t>
      </w:r>
    </w:p>
    <w:p w14:paraId="5EA76D32" w14:textId="77777777" w:rsidR="00A32A03" w:rsidRPr="00A32A03" w:rsidRDefault="00A32A03" w:rsidP="00FD4ECB">
      <w:pPr>
        <w:pStyle w:val="ListParagraph"/>
        <w:spacing w:after="0" w:line="480" w:lineRule="auto"/>
        <w:ind w:left="0"/>
        <w:jc w:val="both"/>
        <w:rPr>
          <w:rFonts w:ascii="Arial" w:eastAsia="Calibri" w:hAnsi="Arial" w:cs="Arial"/>
          <w:sz w:val="24"/>
          <w:szCs w:val="24"/>
          <w:lang w:val="en-ZA"/>
        </w:rPr>
      </w:pPr>
    </w:p>
    <w:p w14:paraId="5814F7D2" w14:textId="57687F95" w:rsidR="00875639" w:rsidRPr="00CD1873" w:rsidRDefault="00CD1873" w:rsidP="00CD1873">
      <w:pPr>
        <w:shd w:val="clear" w:color="auto" w:fill="FFFFFF"/>
        <w:spacing w:after="0" w:line="480" w:lineRule="auto"/>
        <w:ind w:firstLine="1"/>
        <w:jc w:val="both"/>
        <w:rPr>
          <w:rFonts w:ascii="Arial" w:eastAsia="Calibri" w:hAnsi="Arial" w:cs="Arial"/>
          <w:sz w:val="24"/>
          <w:szCs w:val="24"/>
          <w:lang w:val="en-ZA"/>
        </w:rPr>
      </w:pPr>
      <w:r>
        <w:rPr>
          <w:rFonts w:ascii="Arial" w:eastAsia="Calibri" w:hAnsi="Arial" w:cs="Arial"/>
          <w:sz w:val="24"/>
          <w:szCs w:val="24"/>
          <w:lang w:val="en-ZA"/>
        </w:rPr>
        <w:t>[40]</w:t>
      </w:r>
      <w:r>
        <w:rPr>
          <w:rFonts w:ascii="Arial" w:eastAsia="Calibri" w:hAnsi="Arial" w:cs="Arial"/>
          <w:sz w:val="24"/>
          <w:szCs w:val="24"/>
          <w:lang w:val="en-ZA"/>
        </w:rPr>
        <w:tab/>
      </w:r>
      <w:r w:rsidR="00A32A03" w:rsidRPr="00CD1873">
        <w:rPr>
          <w:rFonts w:ascii="Arial" w:eastAsia="Calibri" w:hAnsi="Arial" w:cs="Arial"/>
          <w:sz w:val="24"/>
          <w:szCs w:val="24"/>
          <w:lang w:val="en-ZA"/>
        </w:rPr>
        <w:t xml:space="preserve">The </w:t>
      </w:r>
      <w:r w:rsidR="00BD7A13" w:rsidRPr="00CD1873">
        <w:rPr>
          <w:rFonts w:ascii="Arial" w:eastAsia="Calibri" w:hAnsi="Arial" w:cs="Arial"/>
          <w:sz w:val="24"/>
          <w:szCs w:val="24"/>
          <w:lang w:val="en-ZA"/>
        </w:rPr>
        <w:t>registration of the</w:t>
      </w:r>
      <w:r w:rsidR="00A32A03" w:rsidRPr="00CD1873">
        <w:rPr>
          <w:rFonts w:ascii="Arial" w:eastAsia="Calibri" w:hAnsi="Arial" w:cs="Arial"/>
          <w:sz w:val="24"/>
          <w:szCs w:val="24"/>
          <w:lang w:val="en-ZA"/>
        </w:rPr>
        <w:t xml:space="preserve"> mortgage bond in favour of FNB was to create certain real rights </w:t>
      </w:r>
      <w:r w:rsidR="00BD7A13" w:rsidRPr="00CD1873">
        <w:rPr>
          <w:rFonts w:ascii="Arial" w:eastAsia="Calibri" w:hAnsi="Arial" w:cs="Arial"/>
          <w:sz w:val="24"/>
          <w:szCs w:val="24"/>
          <w:lang w:val="en-ZA"/>
        </w:rPr>
        <w:t>in respec</w:t>
      </w:r>
      <w:r w:rsidR="00902063" w:rsidRPr="00CD1873">
        <w:rPr>
          <w:rFonts w:ascii="Arial" w:eastAsia="Calibri" w:hAnsi="Arial" w:cs="Arial"/>
          <w:sz w:val="24"/>
          <w:szCs w:val="24"/>
          <w:lang w:val="en-ZA"/>
        </w:rPr>
        <w:t>t of the mortgaged property, ie</w:t>
      </w:r>
      <w:r w:rsidR="00BD7A13" w:rsidRPr="00CD1873">
        <w:rPr>
          <w:rFonts w:ascii="Arial" w:eastAsia="Calibri" w:hAnsi="Arial" w:cs="Arial"/>
          <w:sz w:val="24"/>
          <w:szCs w:val="24"/>
          <w:lang w:val="en-ZA"/>
        </w:rPr>
        <w:t xml:space="preserve"> the right to restrain </w:t>
      </w:r>
      <w:r w:rsidR="00A32A03" w:rsidRPr="00CD1873">
        <w:rPr>
          <w:rFonts w:ascii="Arial" w:eastAsia="Calibri" w:hAnsi="Arial" w:cs="Arial"/>
          <w:sz w:val="24"/>
          <w:szCs w:val="24"/>
          <w:lang w:val="en-ZA"/>
        </w:rPr>
        <w:t xml:space="preserve">the </w:t>
      </w:r>
      <w:r w:rsidR="00BD7A13" w:rsidRPr="00CD1873">
        <w:rPr>
          <w:rFonts w:ascii="Arial" w:eastAsia="Calibri" w:hAnsi="Arial" w:cs="Arial"/>
          <w:sz w:val="24"/>
          <w:szCs w:val="24"/>
          <w:lang w:val="en-ZA"/>
        </w:rPr>
        <w:t>alienation</w:t>
      </w:r>
      <w:r w:rsidR="00A32A03" w:rsidRPr="00CD1873">
        <w:rPr>
          <w:rFonts w:ascii="Arial" w:eastAsia="Calibri" w:hAnsi="Arial" w:cs="Arial"/>
          <w:sz w:val="24"/>
          <w:szCs w:val="24"/>
          <w:lang w:val="en-ZA"/>
        </w:rPr>
        <w:t xml:space="preserve"> of the property without its consent</w:t>
      </w:r>
      <w:r w:rsidR="00BD7A13" w:rsidRPr="00CD1873">
        <w:rPr>
          <w:rFonts w:ascii="Arial" w:eastAsia="Calibri" w:hAnsi="Arial" w:cs="Arial"/>
          <w:sz w:val="24"/>
          <w:szCs w:val="24"/>
          <w:lang w:val="en-ZA"/>
        </w:rPr>
        <w:t>.</w:t>
      </w:r>
      <w:r w:rsidR="00A32A03" w:rsidRPr="00CD1873">
        <w:rPr>
          <w:rFonts w:ascii="Arial" w:eastAsia="Calibri" w:hAnsi="Arial" w:cs="Arial"/>
          <w:sz w:val="24"/>
          <w:szCs w:val="24"/>
          <w:lang w:val="en-ZA"/>
        </w:rPr>
        <w:t xml:space="preserve"> I</w:t>
      </w:r>
      <w:r w:rsidR="00D05838" w:rsidRPr="00CD1873">
        <w:rPr>
          <w:rFonts w:ascii="Arial" w:eastAsia="Calibri" w:hAnsi="Arial" w:cs="Arial"/>
          <w:sz w:val="24"/>
          <w:szCs w:val="24"/>
          <w:lang w:val="en-ZA"/>
        </w:rPr>
        <w:t>,</w:t>
      </w:r>
      <w:r w:rsidR="00A32A03" w:rsidRPr="00CD1873">
        <w:rPr>
          <w:rFonts w:ascii="Arial" w:eastAsia="Calibri" w:hAnsi="Arial" w:cs="Arial"/>
          <w:sz w:val="24"/>
          <w:szCs w:val="24"/>
          <w:lang w:val="en-ZA"/>
        </w:rPr>
        <w:t xml:space="preserve"> accordingly</w:t>
      </w:r>
      <w:r w:rsidR="00D05838" w:rsidRPr="00CD1873">
        <w:rPr>
          <w:rFonts w:ascii="Arial" w:eastAsia="Calibri" w:hAnsi="Arial" w:cs="Arial"/>
          <w:sz w:val="24"/>
          <w:szCs w:val="24"/>
          <w:lang w:val="en-ZA"/>
        </w:rPr>
        <w:t>,</w:t>
      </w:r>
      <w:r w:rsidR="00A32A03" w:rsidRPr="00CD1873">
        <w:rPr>
          <w:rFonts w:ascii="Arial" w:eastAsia="Calibri" w:hAnsi="Arial" w:cs="Arial"/>
          <w:sz w:val="24"/>
          <w:szCs w:val="24"/>
          <w:lang w:val="en-ZA"/>
        </w:rPr>
        <w:t xml:space="preserve"> reject the argument that FNB was not a mortgagee in respect of the property at the time that the property was sold in execution.</w:t>
      </w:r>
    </w:p>
    <w:p w14:paraId="37741944" w14:textId="77777777" w:rsidR="00A32A03" w:rsidRPr="00A32A03" w:rsidRDefault="00A32A03" w:rsidP="00FD4ECB">
      <w:pPr>
        <w:pStyle w:val="ListParagraph"/>
        <w:spacing w:after="0" w:line="480" w:lineRule="auto"/>
        <w:ind w:left="0"/>
        <w:jc w:val="both"/>
        <w:rPr>
          <w:rFonts w:ascii="Arial" w:eastAsia="Calibri" w:hAnsi="Arial" w:cs="Arial"/>
          <w:sz w:val="24"/>
          <w:szCs w:val="24"/>
          <w:lang w:val="en-ZA"/>
        </w:rPr>
      </w:pPr>
    </w:p>
    <w:p w14:paraId="7BFA27B5" w14:textId="1003F079" w:rsidR="00A32A03" w:rsidRPr="00CD1873" w:rsidRDefault="00CD1873" w:rsidP="00CD1873">
      <w:pPr>
        <w:shd w:val="clear" w:color="auto" w:fill="FFFFFF"/>
        <w:spacing w:after="0" w:line="480" w:lineRule="auto"/>
        <w:ind w:firstLine="1"/>
        <w:jc w:val="both"/>
        <w:rPr>
          <w:rFonts w:ascii="Arial" w:eastAsia="Calibri" w:hAnsi="Arial" w:cs="Arial"/>
          <w:sz w:val="24"/>
          <w:szCs w:val="24"/>
          <w:lang w:val="en-ZA"/>
        </w:rPr>
      </w:pPr>
      <w:r>
        <w:rPr>
          <w:rFonts w:ascii="Arial" w:eastAsia="Calibri" w:hAnsi="Arial" w:cs="Arial"/>
          <w:sz w:val="24"/>
          <w:szCs w:val="24"/>
          <w:lang w:val="en-ZA"/>
        </w:rPr>
        <w:t>[41]</w:t>
      </w:r>
      <w:r>
        <w:rPr>
          <w:rFonts w:ascii="Arial" w:eastAsia="Calibri" w:hAnsi="Arial" w:cs="Arial"/>
          <w:sz w:val="24"/>
          <w:szCs w:val="24"/>
          <w:lang w:val="en-ZA"/>
        </w:rPr>
        <w:tab/>
      </w:r>
      <w:r w:rsidR="00A32A03" w:rsidRPr="00CD1873">
        <w:rPr>
          <w:rFonts w:ascii="Arial" w:eastAsia="Calibri" w:hAnsi="Arial" w:cs="Arial"/>
          <w:sz w:val="24"/>
          <w:szCs w:val="24"/>
          <w:lang w:val="en-ZA"/>
        </w:rPr>
        <w:t>Having</w:t>
      </w:r>
      <w:r w:rsidR="000E3018" w:rsidRPr="00CD1873">
        <w:rPr>
          <w:rFonts w:ascii="Arial" w:eastAsia="Calibri" w:hAnsi="Arial" w:cs="Arial"/>
          <w:sz w:val="24"/>
          <w:szCs w:val="24"/>
          <w:lang w:val="en-ZA"/>
        </w:rPr>
        <w:t xml:space="preserve"> found that FNB was a mortgagee</w:t>
      </w:r>
      <w:r w:rsidR="00A32A03" w:rsidRPr="00CD1873">
        <w:rPr>
          <w:rFonts w:ascii="Arial" w:eastAsia="Calibri" w:hAnsi="Arial" w:cs="Arial"/>
          <w:sz w:val="24"/>
          <w:szCs w:val="24"/>
          <w:lang w:val="en-ZA"/>
        </w:rPr>
        <w:t xml:space="preserve"> in respect of the property at the time the property was sold in execution</w:t>
      </w:r>
      <w:r w:rsidR="000E3018" w:rsidRPr="00CD1873">
        <w:rPr>
          <w:rFonts w:ascii="Arial" w:eastAsia="Calibri" w:hAnsi="Arial" w:cs="Arial"/>
          <w:sz w:val="24"/>
          <w:szCs w:val="24"/>
          <w:lang w:val="en-ZA"/>
        </w:rPr>
        <w:t>,</w:t>
      </w:r>
      <w:r w:rsidR="00A32A03" w:rsidRPr="00CD1873">
        <w:rPr>
          <w:rFonts w:ascii="Arial" w:eastAsia="Calibri" w:hAnsi="Arial" w:cs="Arial"/>
          <w:sz w:val="24"/>
          <w:szCs w:val="24"/>
          <w:lang w:val="en-ZA"/>
        </w:rPr>
        <w:t xml:space="preserve"> I turn to the finding by the </w:t>
      </w:r>
      <w:r w:rsidR="001E04D7" w:rsidRPr="00CD1873">
        <w:rPr>
          <w:rFonts w:ascii="Arial" w:eastAsia="Calibri" w:hAnsi="Arial" w:cs="Arial"/>
          <w:sz w:val="24"/>
          <w:szCs w:val="24"/>
          <w:lang w:val="en-ZA"/>
        </w:rPr>
        <w:t>court</w:t>
      </w:r>
      <w:r w:rsidR="001E04D7" w:rsidRPr="00CD1873">
        <w:rPr>
          <w:rFonts w:ascii="Arial" w:eastAsia="Calibri" w:hAnsi="Arial" w:cs="Arial"/>
          <w:i/>
          <w:sz w:val="24"/>
          <w:szCs w:val="24"/>
          <w:lang w:val="en-ZA"/>
        </w:rPr>
        <w:t xml:space="preserve"> a quo</w:t>
      </w:r>
      <w:r w:rsidR="00A32A03" w:rsidRPr="00CD1873">
        <w:rPr>
          <w:rFonts w:ascii="Arial" w:eastAsia="Calibri" w:hAnsi="Arial" w:cs="Arial"/>
          <w:sz w:val="24"/>
          <w:szCs w:val="24"/>
          <w:lang w:val="en-ZA"/>
        </w:rPr>
        <w:t xml:space="preserve"> that non-compliance with rule 110(4) invalidates the sale in execution. Rule 110(4) provides that:</w:t>
      </w:r>
    </w:p>
    <w:p w14:paraId="1025A79D" w14:textId="77777777" w:rsidR="002F51C4" w:rsidRPr="002F51C4" w:rsidRDefault="002F51C4" w:rsidP="002F51C4">
      <w:pPr>
        <w:pStyle w:val="ListParagraph"/>
        <w:rPr>
          <w:rFonts w:ascii="Arial" w:eastAsia="Calibri" w:hAnsi="Arial" w:cs="Arial"/>
          <w:sz w:val="24"/>
          <w:szCs w:val="24"/>
          <w:lang w:val="en-ZA"/>
        </w:rPr>
      </w:pPr>
    </w:p>
    <w:p w14:paraId="46D23B12" w14:textId="77777777" w:rsidR="00A32A03" w:rsidRDefault="00E9325F" w:rsidP="0077098D">
      <w:pPr>
        <w:pStyle w:val="ListParagraph"/>
        <w:spacing w:after="0" w:line="360" w:lineRule="auto"/>
        <w:ind w:left="851"/>
        <w:jc w:val="both"/>
        <w:rPr>
          <w:rFonts w:ascii="Arial" w:eastAsia="Calibri" w:hAnsi="Arial" w:cs="Arial"/>
        </w:rPr>
      </w:pPr>
      <w:r w:rsidRPr="00E9325F">
        <w:rPr>
          <w:rFonts w:ascii="Arial" w:eastAsia="Calibri" w:hAnsi="Arial" w:cs="Arial"/>
        </w:rPr>
        <w:t>‘</w:t>
      </w:r>
      <w:r w:rsidR="00A32A03" w:rsidRPr="00E9325F">
        <w:rPr>
          <w:rFonts w:ascii="Arial" w:eastAsia="Calibri" w:hAnsi="Arial" w:cs="Arial"/>
        </w:rPr>
        <w:t>(4)</w:t>
      </w:r>
      <w:r w:rsidRPr="00E9325F">
        <w:rPr>
          <w:rFonts w:ascii="Arial" w:eastAsia="Calibri" w:hAnsi="Arial" w:cs="Arial"/>
        </w:rPr>
        <w:tab/>
      </w:r>
      <w:r w:rsidR="00A32A03" w:rsidRPr="00E9325F">
        <w:rPr>
          <w:rFonts w:ascii="Arial" w:eastAsia="Calibri" w:hAnsi="Arial" w:cs="Arial"/>
        </w:rPr>
        <w:t>The deputy-sheriff must, not less than 10 days before the date of the sale, forward by registered post a copy of the notice of sale referred to in subrule (2)(a) to every execution creditor who has caused the immovable property to be attached and to every mortgagee of the property whose address is known.</w:t>
      </w:r>
      <w:r w:rsidRPr="00E9325F">
        <w:rPr>
          <w:rFonts w:ascii="Arial" w:eastAsia="Calibri" w:hAnsi="Arial" w:cs="Arial"/>
        </w:rPr>
        <w:t>’</w:t>
      </w:r>
    </w:p>
    <w:p w14:paraId="0A31062C" w14:textId="77777777" w:rsidR="00E9325F" w:rsidRPr="00E9325F" w:rsidRDefault="00E9325F" w:rsidP="00FD4ECB">
      <w:pPr>
        <w:pStyle w:val="ListParagraph"/>
        <w:spacing w:after="0" w:line="480" w:lineRule="auto"/>
        <w:ind w:left="709"/>
        <w:jc w:val="both"/>
        <w:rPr>
          <w:rFonts w:ascii="Arial" w:eastAsia="Calibri" w:hAnsi="Arial" w:cs="Arial"/>
          <w:lang w:val="en-ZA"/>
        </w:rPr>
      </w:pPr>
    </w:p>
    <w:p w14:paraId="15C6774A" w14:textId="6FBC721B" w:rsidR="007A4A04" w:rsidRPr="00CD1873" w:rsidRDefault="00CD1873" w:rsidP="00CD1873">
      <w:pPr>
        <w:shd w:val="clear" w:color="auto" w:fill="FFFFFF"/>
        <w:spacing w:after="0" w:line="480" w:lineRule="auto"/>
        <w:ind w:left="1" w:firstLine="1"/>
        <w:jc w:val="both"/>
        <w:rPr>
          <w:rFonts w:ascii="Arial" w:eastAsia="Calibri" w:hAnsi="Arial" w:cs="Arial"/>
          <w:sz w:val="24"/>
          <w:szCs w:val="24"/>
          <w:lang w:val="en-ZA"/>
        </w:rPr>
      </w:pPr>
      <w:r>
        <w:rPr>
          <w:rFonts w:ascii="Arial" w:eastAsia="Calibri" w:hAnsi="Arial" w:cs="Arial"/>
          <w:sz w:val="24"/>
          <w:szCs w:val="24"/>
          <w:lang w:val="en-ZA"/>
        </w:rPr>
        <w:t>[42]</w:t>
      </w:r>
      <w:r>
        <w:rPr>
          <w:rFonts w:ascii="Arial" w:eastAsia="Calibri" w:hAnsi="Arial" w:cs="Arial"/>
          <w:sz w:val="24"/>
          <w:szCs w:val="24"/>
          <w:lang w:val="en-ZA"/>
        </w:rPr>
        <w:tab/>
      </w:r>
      <w:r w:rsidR="007D72C5" w:rsidRPr="00CD1873">
        <w:rPr>
          <w:rFonts w:ascii="Arial" w:eastAsia="Calibri" w:hAnsi="Arial" w:cs="Arial"/>
          <w:sz w:val="24"/>
          <w:szCs w:val="24"/>
          <w:lang w:val="en-ZA"/>
        </w:rPr>
        <w:t xml:space="preserve">In </w:t>
      </w:r>
      <w:r w:rsidR="007D72C5" w:rsidRPr="00CD1873">
        <w:rPr>
          <w:rFonts w:ascii="Arial" w:eastAsia="Calibri" w:hAnsi="Arial" w:cs="Arial"/>
          <w:i/>
          <w:sz w:val="24"/>
          <w:szCs w:val="24"/>
          <w:lang w:val="en-ZA"/>
        </w:rPr>
        <w:t>Total Namibia (Pty) Ltd v OBM Engineering and Petroleum Distributors CC</w:t>
      </w:r>
      <w:r w:rsidR="007D72C5" w:rsidRPr="0077098D">
        <w:rPr>
          <w:rStyle w:val="FootnoteReference"/>
          <w:rFonts w:ascii="Arial" w:eastAsia="Calibri" w:hAnsi="Arial" w:cs="Arial"/>
          <w:sz w:val="24"/>
          <w:szCs w:val="24"/>
          <w:lang w:val="en-ZA"/>
        </w:rPr>
        <w:footnoteReference w:id="9"/>
      </w:r>
      <w:r w:rsidR="007D72C5" w:rsidRPr="00CD1873">
        <w:rPr>
          <w:rFonts w:ascii="Arial" w:eastAsia="Calibri" w:hAnsi="Arial" w:cs="Arial"/>
          <w:sz w:val="24"/>
          <w:szCs w:val="24"/>
          <w:lang w:val="en-ZA"/>
        </w:rPr>
        <w:t xml:space="preserve"> </w:t>
      </w:r>
      <w:r w:rsidR="000E3018" w:rsidRPr="00CD1873">
        <w:rPr>
          <w:rFonts w:ascii="Arial" w:eastAsia="Calibri" w:hAnsi="Arial" w:cs="Arial"/>
          <w:sz w:val="24"/>
          <w:szCs w:val="24"/>
          <w:lang w:val="en-ZA"/>
        </w:rPr>
        <w:t xml:space="preserve">it was </w:t>
      </w:r>
      <w:r w:rsidR="007D72C5" w:rsidRPr="00CD1873">
        <w:rPr>
          <w:rFonts w:ascii="Arial" w:eastAsia="Calibri" w:hAnsi="Arial" w:cs="Arial"/>
          <w:sz w:val="24"/>
          <w:szCs w:val="24"/>
          <w:lang w:val="en-ZA"/>
        </w:rPr>
        <w:t>held that:</w:t>
      </w:r>
    </w:p>
    <w:p w14:paraId="79DB1949" w14:textId="77777777" w:rsidR="007A4A04" w:rsidRDefault="007A4A04" w:rsidP="00FD4ECB">
      <w:pPr>
        <w:pStyle w:val="ListParagraph"/>
        <w:shd w:val="clear" w:color="auto" w:fill="FFFFFF"/>
        <w:spacing w:after="0" w:line="480" w:lineRule="auto"/>
        <w:ind w:left="2"/>
        <w:jc w:val="both"/>
        <w:rPr>
          <w:rFonts w:ascii="Arial" w:eastAsia="Calibri" w:hAnsi="Arial" w:cs="Arial"/>
          <w:sz w:val="24"/>
          <w:szCs w:val="24"/>
          <w:lang w:val="en-ZA"/>
        </w:rPr>
      </w:pPr>
    </w:p>
    <w:p w14:paraId="656609B1" w14:textId="77777777" w:rsidR="007A4A04" w:rsidRDefault="007D72C5" w:rsidP="0077098D">
      <w:pPr>
        <w:pStyle w:val="ListParagraph"/>
        <w:shd w:val="clear" w:color="auto" w:fill="FFFFFF"/>
        <w:spacing w:after="0" w:line="360" w:lineRule="auto"/>
        <w:ind w:left="851"/>
        <w:jc w:val="both"/>
        <w:rPr>
          <w:rFonts w:ascii="Arial" w:eastAsia="Calibri" w:hAnsi="Arial" w:cs="Arial"/>
          <w:lang w:val="en-ZA"/>
        </w:rPr>
      </w:pPr>
      <w:r w:rsidRPr="007A4A04">
        <w:rPr>
          <w:rFonts w:ascii="Arial" w:eastAsia="Calibri" w:hAnsi="Arial" w:cs="Arial"/>
          <w:lang w:val="en-ZA"/>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w:t>
      </w:r>
      <w:r w:rsidR="007A4A04" w:rsidRPr="007A4A04">
        <w:rPr>
          <w:rFonts w:ascii="Arial" w:eastAsia="Calibri" w:hAnsi="Arial" w:cs="Arial"/>
          <w:lang w:val="en-ZA"/>
        </w:rPr>
        <w:t xml:space="preserve">s must be alert to, and guard </w:t>
      </w:r>
      <w:r w:rsidRPr="007A4A04">
        <w:rPr>
          <w:rFonts w:ascii="Arial" w:eastAsia="Calibri" w:hAnsi="Arial" w:cs="Arial"/>
          <w:lang w:val="en-ZA"/>
        </w:rPr>
        <w:t>against, the temptation to substitute what they regard as reasonable, sensible or businesslike for the words actually used.'</w:t>
      </w:r>
    </w:p>
    <w:p w14:paraId="168EB507" w14:textId="77777777" w:rsidR="007A4A04" w:rsidRPr="007A4A04" w:rsidRDefault="007A4A04" w:rsidP="00FD4ECB">
      <w:pPr>
        <w:pStyle w:val="ListParagraph"/>
        <w:shd w:val="clear" w:color="auto" w:fill="FFFFFF"/>
        <w:spacing w:after="0" w:line="480" w:lineRule="auto"/>
        <w:ind w:left="709"/>
        <w:jc w:val="both"/>
        <w:rPr>
          <w:rFonts w:ascii="Arial" w:eastAsia="Calibri" w:hAnsi="Arial" w:cs="Arial"/>
          <w:sz w:val="24"/>
          <w:szCs w:val="24"/>
          <w:lang w:val="en-ZA"/>
        </w:rPr>
      </w:pPr>
    </w:p>
    <w:p w14:paraId="7BC38C54" w14:textId="592CC75F" w:rsidR="007A4A04" w:rsidRPr="00CD1873" w:rsidRDefault="00CD1873" w:rsidP="00CD1873">
      <w:pPr>
        <w:shd w:val="clear" w:color="auto" w:fill="FFFFFF"/>
        <w:spacing w:after="0" w:line="480" w:lineRule="auto"/>
        <w:ind w:left="1" w:firstLine="1"/>
        <w:jc w:val="both"/>
        <w:rPr>
          <w:rFonts w:ascii="Arial" w:eastAsia="Calibri" w:hAnsi="Arial" w:cs="Arial"/>
          <w:sz w:val="24"/>
          <w:szCs w:val="24"/>
          <w:lang w:val="en-ZA"/>
        </w:rPr>
      </w:pPr>
      <w:r>
        <w:rPr>
          <w:rFonts w:ascii="Arial" w:eastAsia="Calibri" w:hAnsi="Arial" w:cs="Arial"/>
          <w:sz w:val="24"/>
          <w:szCs w:val="24"/>
          <w:lang w:val="en-ZA"/>
        </w:rPr>
        <w:lastRenderedPageBreak/>
        <w:t>[43]</w:t>
      </w:r>
      <w:r>
        <w:rPr>
          <w:rFonts w:ascii="Arial" w:eastAsia="Calibri" w:hAnsi="Arial" w:cs="Arial"/>
          <w:sz w:val="24"/>
          <w:szCs w:val="24"/>
          <w:lang w:val="en-ZA"/>
        </w:rPr>
        <w:tab/>
      </w:r>
      <w:r w:rsidR="007A4A04" w:rsidRPr="00CD1873">
        <w:rPr>
          <w:rFonts w:ascii="Arial" w:eastAsia="Calibri" w:hAnsi="Arial" w:cs="Arial"/>
          <w:sz w:val="24"/>
          <w:szCs w:val="24"/>
          <w:lang w:val="en-ZA"/>
        </w:rPr>
        <w:t>Justice O’Regan</w:t>
      </w:r>
      <w:r w:rsidR="00D05838" w:rsidRPr="00CD1873">
        <w:rPr>
          <w:rFonts w:ascii="Arial" w:eastAsia="Calibri" w:hAnsi="Arial" w:cs="Arial"/>
          <w:sz w:val="24"/>
          <w:szCs w:val="24"/>
          <w:lang w:val="en-ZA"/>
        </w:rPr>
        <w:t>,</w:t>
      </w:r>
      <w:r w:rsidR="007A4A04" w:rsidRPr="00CD1873">
        <w:rPr>
          <w:rFonts w:ascii="Arial" w:eastAsia="Calibri" w:hAnsi="Arial" w:cs="Arial"/>
          <w:sz w:val="24"/>
          <w:szCs w:val="24"/>
          <w:lang w:val="en-ZA"/>
        </w:rPr>
        <w:t xml:space="preserve"> who authored the </w:t>
      </w:r>
      <w:r w:rsidR="0015226A" w:rsidRPr="00CD1873">
        <w:rPr>
          <w:rFonts w:ascii="Arial" w:eastAsia="Calibri" w:hAnsi="Arial" w:cs="Arial"/>
          <w:sz w:val="24"/>
          <w:szCs w:val="24"/>
          <w:lang w:val="en-ZA"/>
        </w:rPr>
        <w:t xml:space="preserve">above </w:t>
      </w:r>
      <w:r w:rsidR="007A4A04" w:rsidRPr="00CD1873">
        <w:rPr>
          <w:rFonts w:ascii="Arial" w:eastAsia="Calibri" w:hAnsi="Arial" w:cs="Arial"/>
          <w:sz w:val="24"/>
          <w:szCs w:val="24"/>
          <w:lang w:val="en-ZA"/>
        </w:rPr>
        <w:t>judgment</w:t>
      </w:r>
      <w:r w:rsidR="00D05838" w:rsidRPr="00CD1873">
        <w:rPr>
          <w:rFonts w:ascii="Arial" w:eastAsia="Calibri" w:hAnsi="Arial" w:cs="Arial"/>
          <w:sz w:val="24"/>
          <w:szCs w:val="24"/>
          <w:lang w:val="en-ZA"/>
        </w:rPr>
        <w:t>,</w:t>
      </w:r>
      <w:r w:rsidR="007A4A04" w:rsidRPr="00CD1873">
        <w:rPr>
          <w:rFonts w:ascii="Arial" w:eastAsia="Calibri" w:hAnsi="Arial" w:cs="Arial"/>
          <w:sz w:val="24"/>
          <w:szCs w:val="24"/>
          <w:lang w:val="en-ZA"/>
        </w:rPr>
        <w:t xml:space="preserve"> </w:t>
      </w:r>
      <w:r w:rsidR="0042024D" w:rsidRPr="00CD1873">
        <w:rPr>
          <w:rFonts w:ascii="Arial" w:eastAsia="Calibri" w:hAnsi="Arial" w:cs="Arial"/>
          <w:sz w:val="24"/>
          <w:szCs w:val="24"/>
          <w:lang w:val="en-ZA"/>
        </w:rPr>
        <w:t xml:space="preserve">further </w:t>
      </w:r>
      <w:r w:rsidR="007A4A04" w:rsidRPr="00CD1873">
        <w:rPr>
          <w:rFonts w:ascii="Arial" w:eastAsia="Calibri" w:hAnsi="Arial" w:cs="Arial"/>
          <w:sz w:val="24"/>
          <w:szCs w:val="24"/>
          <w:lang w:val="en-ZA"/>
        </w:rPr>
        <w:t xml:space="preserve">reasoned  that what is clear is that courts have accepted that the context in which a document is drafted is relevant to its construction in all circumstances, not only when the language of the </w:t>
      </w:r>
      <w:r w:rsidR="009C5A3D" w:rsidRPr="00CD1873">
        <w:rPr>
          <w:rFonts w:ascii="Arial" w:eastAsia="Calibri" w:hAnsi="Arial" w:cs="Arial"/>
          <w:sz w:val="24"/>
          <w:szCs w:val="24"/>
          <w:lang w:val="en-ZA"/>
        </w:rPr>
        <w:t xml:space="preserve">document </w:t>
      </w:r>
      <w:r w:rsidR="007A4A04" w:rsidRPr="00CD1873">
        <w:rPr>
          <w:rFonts w:ascii="Arial" w:eastAsia="Calibri" w:hAnsi="Arial" w:cs="Arial"/>
          <w:sz w:val="24"/>
          <w:szCs w:val="24"/>
          <w:lang w:val="en-ZA"/>
        </w:rPr>
        <w:t xml:space="preserve">appears ambiguous. She continued </w:t>
      </w:r>
      <w:r w:rsidR="008B6899" w:rsidRPr="00CD1873">
        <w:rPr>
          <w:rFonts w:ascii="Arial" w:eastAsia="Calibri" w:hAnsi="Arial" w:cs="Arial"/>
          <w:sz w:val="24"/>
          <w:szCs w:val="24"/>
          <w:lang w:val="en-ZA"/>
        </w:rPr>
        <w:t xml:space="preserve">to state </w:t>
      </w:r>
      <w:r w:rsidR="007A4A04" w:rsidRPr="00CD1873">
        <w:rPr>
          <w:rFonts w:ascii="Arial" w:eastAsia="Calibri" w:hAnsi="Arial" w:cs="Arial"/>
          <w:sz w:val="24"/>
          <w:szCs w:val="24"/>
          <w:lang w:val="en-ZA"/>
        </w:rPr>
        <w:t>that</w:t>
      </w:r>
      <w:r w:rsidR="0015226A" w:rsidRPr="00CD1873">
        <w:rPr>
          <w:rFonts w:ascii="Arial" w:eastAsia="Calibri" w:hAnsi="Arial" w:cs="Arial"/>
          <w:sz w:val="24"/>
          <w:szCs w:val="24"/>
          <w:lang w:val="en-ZA"/>
        </w:rPr>
        <w:t>,</w:t>
      </w:r>
      <w:r w:rsidR="007A4A04" w:rsidRPr="00CD1873">
        <w:rPr>
          <w:rFonts w:ascii="Arial" w:eastAsia="Calibri" w:hAnsi="Arial" w:cs="Arial"/>
          <w:sz w:val="24"/>
          <w:szCs w:val="24"/>
          <w:lang w:val="en-ZA"/>
        </w:rPr>
        <w:t xml:space="preserve"> that approach is consistent with our common-sense understanding that the meaning of words is, to a significant extent, determined by the context in which they are uttered.</w:t>
      </w:r>
    </w:p>
    <w:p w14:paraId="17EB7AF6" w14:textId="77777777" w:rsidR="007A4A04" w:rsidRPr="007A4A04" w:rsidRDefault="007A4A04" w:rsidP="00FD4ECB">
      <w:pPr>
        <w:pStyle w:val="ListParagraph"/>
        <w:shd w:val="clear" w:color="auto" w:fill="FFFFFF"/>
        <w:spacing w:after="0" w:line="480" w:lineRule="auto"/>
        <w:ind w:left="2"/>
        <w:jc w:val="both"/>
        <w:rPr>
          <w:rFonts w:ascii="Arial" w:eastAsia="Calibri" w:hAnsi="Arial" w:cs="Arial"/>
          <w:sz w:val="24"/>
          <w:szCs w:val="24"/>
          <w:lang w:val="en-ZA"/>
        </w:rPr>
      </w:pPr>
    </w:p>
    <w:p w14:paraId="3FD9005D" w14:textId="715F9DE5" w:rsidR="00582C96" w:rsidRPr="00CD1873" w:rsidRDefault="00CD1873" w:rsidP="00CD1873">
      <w:pPr>
        <w:shd w:val="clear" w:color="auto" w:fill="FFFFFF"/>
        <w:spacing w:after="0" w:line="480" w:lineRule="auto"/>
        <w:jc w:val="both"/>
        <w:rPr>
          <w:rFonts w:ascii="Arial" w:eastAsia="Calibri" w:hAnsi="Arial" w:cs="Times New Roman"/>
          <w:sz w:val="24"/>
          <w:u w:val="single"/>
          <w:lang w:val="en-ZA"/>
        </w:rPr>
      </w:pPr>
      <w:r w:rsidRPr="00582C96">
        <w:rPr>
          <w:rFonts w:ascii="Arial" w:eastAsia="Calibri" w:hAnsi="Arial" w:cs="Times New Roman"/>
          <w:sz w:val="24"/>
          <w:szCs w:val="24"/>
          <w:lang w:val="en-ZA"/>
        </w:rPr>
        <w:t>[44]</w:t>
      </w:r>
      <w:r w:rsidRPr="00582C96">
        <w:rPr>
          <w:rFonts w:ascii="Arial" w:eastAsia="Calibri" w:hAnsi="Arial" w:cs="Times New Roman"/>
          <w:sz w:val="24"/>
          <w:szCs w:val="24"/>
          <w:lang w:val="en-ZA"/>
        </w:rPr>
        <w:tab/>
      </w:r>
      <w:r w:rsidR="007A4A04" w:rsidRPr="00CD1873">
        <w:rPr>
          <w:rFonts w:ascii="Arial" w:eastAsia="Calibri" w:hAnsi="Arial" w:cs="Arial"/>
          <w:sz w:val="24"/>
          <w:szCs w:val="24"/>
          <w:lang w:val="en-ZA"/>
        </w:rPr>
        <w:t xml:space="preserve">The context in which rule 110(4) </w:t>
      </w:r>
      <w:r w:rsidR="003554E1" w:rsidRPr="00CD1873">
        <w:rPr>
          <w:rFonts w:ascii="Arial" w:eastAsia="Calibri" w:hAnsi="Arial" w:cs="Arial"/>
          <w:sz w:val="24"/>
          <w:szCs w:val="24"/>
          <w:lang w:val="en-ZA"/>
        </w:rPr>
        <w:t xml:space="preserve">appears is the following: </w:t>
      </w:r>
      <w:r w:rsidR="00A75F11" w:rsidRPr="00CD1873">
        <w:rPr>
          <w:rFonts w:ascii="Arial" w:eastAsia="Calibri" w:hAnsi="Arial" w:cs="Arial"/>
          <w:sz w:val="24"/>
          <w:szCs w:val="24"/>
          <w:lang w:val="en-ZA"/>
        </w:rPr>
        <w:t>A</w:t>
      </w:r>
      <w:r w:rsidR="0042024D" w:rsidRPr="00CD1873">
        <w:rPr>
          <w:rFonts w:ascii="Arial" w:eastAsia="Calibri" w:hAnsi="Arial" w:cs="Arial"/>
          <w:sz w:val="24"/>
          <w:szCs w:val="24"/>
          <w:lang w:val="en-ZA"/>
        </w:rPr>
        <w:t xml:space="preserve">rticle 1(1) of the Namibian Constitution </w:t>
      </w:r>
      <w:r w:rsidR="0042024D" w:rsidRPr="00CD1873">
        <w:rPr>
          <w:rFonts w:ascii="Arial" w:eastAsia="Calibri" w:hAnsi="Arial" w:cs="Arial"/>
          <w:sz w:val="24"/>
          <w:szCs w:val="24"/>
        </w:rPr>
        <w:t xml:space="preserve">establishes the Republic of Namibia as a sovereign, secular, democratic and unitary State founded upon the principles of democracy, </w:t>
      </w:r>
      <w:r w:rsidR="0042024D" w:rsidRPr="00CD1873">
        <w:rPr>
          <w:rFonts w:ascii="Arial" w:eastAsia="Calibri" w:hAnsi="Arial" w:cs="Arial"/>
          <w:i/>
          <w:sz w:val="24"/>
          <w:szCs w:val="24"/>
        </w:rPr>
        <w:t>the rule of law and justice for all.</w:t>
      </w:r>
      <w:r w:rsidR="0042024D" w:rsidRPr="00CD1873">
        <w:rPr>
          <w:rFonts w:ascii="Arial" w:eastAsia="Calibri" w:hAnsi="Arial" w:cs="Arial"/>
          <w:sz w:val="24"/>
          <w:szCs w:val="24"/>
        </w:rPr>
        <w:t xml:space="preserve"> Article 5 enjoins </w:t>
      </w:r>
      <w:r w:rsidR="0042024D" w:rsidRPr="00CD1873">
        <w:rPr>
          <w:rFonts w:ascii="Arial" w:hAnsi="Arial" w:cs="Arial"/>
          <w:sz w:val="24"/>
          <w:szCs w:val="24"/>
        </w:rPr>
        <w:t>the Executive, Legislature and Judiciary and all organs of the Govern</w:t>
      </w:r>
      <w:r w:rsidR="00D05838" w:rsidRPr="00CD1873">
        <w:rPr>
          <w:rFonts w:ascii="Arial" w:hAnsi="Arial" w:cs="Arial"/>
          <w:sz w:val="24"/>
          <w:szCs w:val="24"/>
        </w:rPr>
        <w:t>ment and its agencies and</w:t>
      </w:r>
      <w:r w:rsidR="0042024D" w:rsidRPr="00CD1873">
        <w:rPr>
          <w:rFonts w:ascii="Arial" w:hAnsi="Arial" w:cs="Arial"/>
          <w:sz w:val="24"/>
          <w:szCs w:val="24"/>
        </w:rPr>
        <w:t xml:space="preserve"> where applicable to them, by all natural and legal persons in Namibia</w:t>
      </w:r>
      <w:r w:rsidR="00D05838" w:rsidRPr="00CD1873">
        <w:rPr>
          <w:rFonts w:ascii="Arial" w:hAnsi="Arial" w:cs="Arial"/>
          <w:sz w:val="24"/>
          <w:szCs w:val="24"/>
        </w:rPr>
        <w:t>,</w:t>
      </w:r>
      <w:r w:rsidR="0042024D" w:rsidRPr="00CD1873">
        <w:rPr>
          <w:rFonts w:ascii="Arial" w:hAnsi="Arial" w:cs="Arial"/>
          <w:sz w:val="24"/>
          <w:szCs w:val="24"/>
        </w:rPr>
        <w:t xml:space="preserve"> to respect and uphold the fundamental rights and freedoms enshrined in the </w:t>
      </w:r>
      <w:r w:rsidR="008E53DE" w:rsidRPr="00CD1873">
        <w:rPr>
          <w:rFonts w:ascii="Arial" w:eastAsia="Calibri" w:hAnsi="Arial" w:cs="Arial"/>
          <w:sz w:val="24"/>
          <w:szCs w:val="24"/>
          <w:lang w:val="en-ZA"/>
        </w:rPr>
        <w:t>Constitution</w:t>
      </w:r>
      <w:r w:rsidR="0042024D" w:rsidRPr="00CD1873">
        <w:rPr>
          <w:rFonts w:ascii="Arial" w:hAnsi="Arial" w:cs="Arial"/>
          <w:sz w:val="24"/>
          <w:szCs w:val="24"/>
        </w:rPr>
        <w:t>.</w:t>
      </w:r>
      <w:r w:rsidR="00582C96" w:rsidRPr="00CD1873">
        <w:rPr>
          <w:rFonts w:ascii="Arial" w:hAnsi="Arial" w:cs="Arial"/>
          <w:sz w:val="24"/>
          <w:szCs w:val="24"/>
        </w:rPr>
        <w:t xml:space="preserve"> Article 16 grants to all persons the right to acquire, own and dispose of all forms of immovable and movable property. </w:t>
      </w:r>
    </w:p>
    <w:p w14:paraId="02EFD731" w14:textId="77777777" w:rsidR="00582C96" w:rsidRPr="00582C96" w:rsidRDefault="00582C96" w:rsidP="00FD4ECB">
      <w:pPr>
        <w:pStyle w:val="ListParagraph"/>
        <w:spacing w:after="0" w:line="480" w:lineRule="auto"/>
        <w:ind w:left="0"/>
        <w:jc w:val="both"/>
        <w:rPr>
          <w:rFonts w:ascii="Arial" w:eastAsia="Calibri" w:hAnsi="Arial" w:cs="Times New Roman"/>
          <w:sz w:val="24"/>
          <w:u w:val="single"/>
          <w:lang w:val="en-ZA"/>
        </w:rPr>
      </w:pPr>
    </w:p>
    <w:p w14:paraId="461F1964" w14:textId="7C583E3E" w:rsidR="00582C96" w:rsidRPr="00CD1873" w:rsidRDefault="00CD1873" w:rsidP="00CD1873">
      <w:pPr>
        <w:shd w:val="clear" w:color="auto" w:fill="FFFFFF"/>
        <w:spacing w:after="0" w:line="480" w:lineRule="auto"/>
        <w:jc w:val="both"/>
        <w:rPr>
          <w:rFonts w:ascii="Arial" w:eastAsia="Calibri" w:hAnsi="Arial" w:cs="Times New Roman"/>
          <w:sz w:val="24"/>
          <w:lang w:val="en-ZA"/>
        </w:rPr>
      </w:pPr>
      <w:r w:rsidRPr="00D05838">
        <w:rPr>
          <w:rFonts w:ascii="Arial" w:eastAsia="Calibri" w:hAnsi="Arial" w:cs="Times New Roman"/>
          <w:sz w:val="24"/>
          <w:szCs w:val="24"/>
          <w:lang w:val="en-ZA"/>
        </w:rPr>
        <w:t>[45]</w:t>
      </w:r>
      <w:r w:rsidRPr="00D05838">
        <w:rPr>
          <w:rFonts w:ascii="Arial" w:eastAsia="Calibri" w:hAnsi="Arial" w:cs="Times New Roman"/>
          <w:sz w:val="24"/>
          <w:szCs w:val="24"/>
          <w:lang w:val="en-ZA"/>
        </w:rPr>
        <w:tab/>
      </w:r>
      <w:r w:rsidR="000E165D" w:rsidRPr="00CD1873">
        <w:rPr>
          <w:rFonts w:ascii="Arial" w:eastAsia="Calibri" w:hAnsi="Arial" w:cs="Times New Roman"/>
          <w:sz w:val="24"/>
        </w:rPr>
        <w:t>A further context under which the rules were enacted is provided by the rules</w:t>
      </w:r>
      <w:r w:rsidR="00D05838" w:rsidRPr="00CD1873">
        <w:rPr>
          <w:rFonts w:ascii="Arial" w:eastAsia="Calibri" w:hAnsi="Arial" w:cs="Times New Roman"/>
          <w:sz w:val="24"/>
        </w:rPr>
        <w:t>. R</w:t>
      </w:r>
      <w:r w:rsidR="00582C96" w:rsidRPr="00CD1873">
        <w:rPr>
          <w:rFonts w:ascii="Arial" w:eastAsia="Calibri" w:hAnsi="Arial" w:cs="Times New Roman"/>
          <w:sz w:val="24"/>
        </w:rPr>
        <w:t>ule 3</w:t>
      </w:r>
      <w:r w:rsidR="000E165D" w:rsidRPr="00CD1873">
        <w:rPr>
          <w:rFonts w:ascii="Arial" w:eastAsia="Calibri" w:hAnsi="Arial" w:cs="Times New Roman"/>
          <w:sz w:val="24"/>
        </w:rPr>
        <w:t>(1)</w:t>
      </w:r>
      <w:r w:rsidR="00582C96" w:rsidRPr="00CD1873">
        <w:rPr>
          <w:rFonts w:ascii="Arial" w:eastAsia="Calibri" w:hAnsi="Arial" w:cs="Times New Roman"/>
          <w:sz w:val="24"/>
        </w:rPr>
        <w:t xml:space="preserve"> provides </w:t>
      </w:r>
      <w:r w:rsidR="00D05838" w:rsidRPr="00CD1873">
        <w:rPr>
          <w:rFonts w:ascii="Arial" w:eastAsia="Calibri" w:hAnsi="Arial" w:cs="Times New Roman"/>
          <w:sz w:val="24"/>
        </w:rPr>
        <w:t xml:space="preserve">that </w:t>
      </w:r>
      <w:r w:rsidR="00582C96" w:rsidRPr="00CD1873">
        <w:rPr>
          <w:rFonts w:ascii="Arial" w:eastAsia="Calibri" w:hAnsi="Arial" w:cs="Times New Roman"/>
          <w:sz w:val="24"/>
        </w:rPr>
        <w:t xml:space="preserve">the rules </w:t>
      </w:r>
      <w:r w:rsidR="00D05838" w:rsidRPr="00CD1873">
        <w:rPr>
          <w:rFonts w:ascii="Arial" w:eastAsia="Calibri" w:hAnsi="Arial" w:cs="Times New Roman"/>
          <w:sz w:val="24"/>
        </w:rPr>
        <w:t xml:space="preserve">were </w:t>
      </w:r>
      <w:r w:rsidR="00582C96" w:rsidRPr="00CD1873">
        <w:rPr>
          <w:rFonts w:ascii="Arial" w:eastAsia="Calibri" w:hAnsi="Arial" w:cs="Times New Roman"/>
          <w:sz w:val="24"/>
        </w:rPr>
        <w:t>enacted for t</w:t>
      </w:r>
      <w:r w:rsidR="00D05838" w:rsidRPr="00CD1873">
        <w:rPr>
          <w:rFonts w:ascii="Arial" w:eastAsia="Calibri" w:hAnsi="Arial" w:cs="Times New Roman"/>
          <w:sz w:val="24"/>
        </w:rPr>
        <w:t>he conduct of proceedings in</w:t>
      </w:r>
      <w:r w:rsidR="00582C96" w:rsidRPr="00CD1873">
        <w:rPr>
          <w:rFonts w:ascii="Arial" w:eastAsia="Calibri" w:hAnsi="Arial" w:cs="Times New Roman"/>
          <w:sz w:val="24"/>
        </w:rPr>
        <w:t xml:space="preserve"> court and for giving effect to the provisions of Art</w:t>
      </w:r>
      <w:r w:rsidR="0077098D" w:rsidRPr="00CD1873">
        <w:rPr>
          <w:rFonts w:ascii="Arial" w:eastAsia="Calibri" w:hAnsi="Arial" w:cs="Times New Roman"/>
          <w:sz w:val="24"/>
        </w:rPr>
        <w:t xml:space="preserve"> </w:t>
      </w:r>
      <w:r w:rsidR="00582C96" w:rsidRPr="00CD1873">
        <w:rPr>
          <w:rFonts w:ascii="Arial" w:eastAsia="Calibri" w:hAnsi="Arial" w:cs="Times New Roman"/>
          <w:sz w:val="24"/>
        </w:rPr>
        <w:t>12(1) of the Namibian Constitution</w:t>
      </w:r>
      <w:r w:rsidR="000E165D" w:rsidRPr="00CD1873">
        <w:rPr>
          <w:rFonts w:ascii="Arial" w:eastAsia="Calibri" w:hAnsi="Arial" w:cs="Times New Roman"/>
          <w:sz w:val="24"/>
        </w:rPr>
        <w:t>. Rule 3(5) urges legal practitioners and litigants to comply with the rules and all practice directions issued under the rules</w:t>
      </w:r>
      <w:r w:rsidR="00D05838" w:rsidRPr="00CD1873">
        <w:rPr>
          <w:rFonts w:ascii="Arial" w:eastAsia="Calibri" w:hAnsi="Arial" w:cs="Times New Roman"/>
          <w:sz w:val="24"/>
        </w:rPr>
        <w:t>,</w:t>
      </w:r>
      <w:r w:rsidR="000E165D" w:rsidRPr="00CD1873">
        <w:rPr>
          <w:rFonts w:ascii="Arial" w:eastAsia="Calibri" w:hAnsi="Arial" w:cs="Times New Roman"/>
          <w:sz w:val="24"/>
        </w:rPr>
        <w:t xml:space="preserve"> and failure to </w:t>
      </w:r>
      <w:r w:rsidR="008B6899" w:rsidRPr="00CD1873">
        <w:rPr>
          <w:rFonts w:ascii="Arial" w:eastAsia="Calibri" w:hAnsi="Arial" w:cs="Times New Roman"/>
          <w:sz w:val="24"/>
        </w:rPr>
        <w:t xml:space="preserve">do </w:t>
      </w:r>
      <w:r w:rsidR="000E165D" w:rsidRPr="00CD1873">
        <w:rPr>
          <w:rFonts w:ascii="Arial" w:eastAsia="Calibri" w:hAnsi="Arial" w:cs="Times New Roman"/>
          <w:sz w:val="24"/>
        </w:rPr>
        <w:t>so may attract sanctions.</w:t>
      </w:r>
    </w:p>
    <w:p w14:paraId="321DD9B6" w14:textId="77777777" w:rsidR="000E165D" w:rsidRPr="000E165D" w:rsidRDefault="000E165D" w:rsidP="00FD4ECB">
      <w:pPr>
        <w:pStyle w:val="ListParagraph"/>
        <w:spacing w:after="0" w:line="480" w:lineRule="auto"/>
        <w:ind w:left="0"/>
        <w:jc w:val="both"/>
        <w:rPr>
          <w:rFonts w:ascii="Arial" w:eastAsia="Calibri" w:hAnsi="Arial" w:cs="Times New Roman"/>
          <w:sz w:val="24"/>
          <w:u w:val="single"/>
          <w:lang w:val="en-ZA"/>
        </w:rPr>
      </w:pPr>
    </w:p>
    <w:p w14:paraId="3E35F76E" w14:textId="19B82EEE" w:rsidR="005B69A5"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[46]</w:t>
      </w:r>
      <w:r>
        <w:rPr>
          <w:rFonts w:ascii="Arial" w:eastAsia="Calibri" w:hAnsi="Arial" w:cs="Times New Roman"/>
          <w:sz w:val="24"/>
          <w:szCs w:val="24"/>
          <w:lang w:val="en-ZA"/>
        </w:rPr>
        <w:tab/>
      </w:r>
      <w:r w:rsidR="000E165D" w:rsidRPr="00CD1873">
        <w:rPr>
          <w:rFonts w:ascii="Arial" w:eastAsia="Calibri" w:hAnsi="Arial" w:cs="Times New Roman"/>
          <w:sz w:val="24"/>
          <w:lang w:val="en-ZA"/>
        </w:rPr>
        <w:t xml:space="preserve">In light of </w:t>
      </w:r>
      <w:r w:rsidR="005B69A5" w:rsidRPr="00CD1873">
        <w:rPr>
          <w:rFonts w:ascii="Arial" w:eastAsia="Calibri" w:hAnsi="Arial" w:cs="Times New Roman"/>
          <w:sz w:val="24"/>
          <w:lang w:val="en-ZA"/>
        </w:rPr>
        <w:t xml:space="preserve">what I regard as </w:t>
      </w:r>
      <w:r w:rsidR="000E165D" w:rsidRPr="00CD1873">
        <w:rPr>
          <w:rFonts w:ascii="Arial" w:eastAsia="Calibri" w:hAnsi="Arial" w:cs="Times New Roman"/>
          <w:sz w:val="24"/>
          <w:lang w:val="en-ZA"/>
        </w:rPr>
        <w:t>the context in which the rules were enacted</w:t>
      </w:r>
      <w:r w:rsidR="002C0615" w:rsidRPr="00CD1873">
        <w:rPr>
          <w:rFonts w:ascii="Arial" w:eastAsia="Calibri" w:hAnsi="Arial" w:cs="Times New Roman"/>
          <w:sz w:val="24"/>
          <w:lang w:val="en-ZA"/>
        </w:rPr>
        <w:t>,</w:t>
      </w:r>
      <w:r w:rsidR="000E165D" w:rsidRPr="00CD1873">
        <w:rPr>
          <w:rFonts w:ascii="Arial" w:eastAsia="Calibri" w:hAnsi="Arial" w:cs="Times New Roman"/>
          <w:sz w:val="24"/>
          <w:lang w:val="en-ZA"/>
        </w:rPr>
        <w:t xml:space="preserve"> I now turn to the purpose of the rules.</w:t>
      </w:r>
      <w:r w:rsidR="005B69A5" w:rsidRPr="00CD1873">
        <w:rPr>
          <w:rFonts w:ascii="Arial" w:eastAsia="Calibri" w:hAnsi="Arial" w:cs="Times New Roman"/>
          <w:sz w:val="24"/>
          <w:lang w:val="en-ZA"/>
        </w:rPr>
        <w:t xml:space="preserve"> What cannot be disputed is that proceedings in execution are inroads upon the constitutional rights and property of the individual. I </w:t>
      </w:r>
      <w:r w:rsidR="005B69A5" w:rsidRPr="00CD1873">
        <w:rPr>
          <w:rFonts w:ascii="Arial" w:eastAsia="Calibri" w:hAnsi="Arial" w:cs="Times New Roman"/>
          <w:sz w:val="24"/>
          <w:lang w:val="en-ZA"/>
        </w:rPr>
        <w:lastRenderedPageBreak/>
        <w:t xml:space="preserve">therefore agree with </w:t>
      </w:r>
      <w:r w:rsidR="008B6899" w:rsidRPr="00CD1873">
        <w:rPr>
          <w:rFonts w:ascii="Arial" w:eastAsia="Calibri" w:hAnsi="Arial" w:cs="Times New Roman"/>
          <w:sz w:val="24"/>
          <w:lang w:val="en-ZA"/>
        </w:rPr>
        <w:t>counsel for Old Mutual Life</w:t>
      </w:r>
      <w:r w:rsidR="005B69A5" w:rsidRPr="00CD1873">
        <w:rPr>
          <w:rFonts w:ascii="Arial" w:eastAsia="Calibri" w:hAnsi="Arial" w:cs="Times New Roman"/>
          <w:sz w:val="24"/>
          <w:lang w:val="en-ZA"/>
        </w:rPr>
        <w:t xml:space="preserve"> that rules 109 and 110 were conceived in the interests of the judgment debtor and the judgment creditor. Disobedience </w:t>
      </w:r>
      <w:r w:rsidR="008B6899" w:rsidRPr="00CD1873">
        <w:rPr>
          <w:rFonts w:ascii="Arial" w:eastAsia="Calibri" w:hAnsi="Arial" w:cs="Times New Roman"/>
          <w:sz w:val="24"/>
          <w:lang w:val="en-ZA"/>
        </w:rPr>
        <w:t xml:space="preserve">of </w:t>
      </w:r>
      <w:r w:rsidR="00994BA7" w:rsidRPr="00CD1873">
        <w:rPr>
          <w:rFonts w:ascii="Arial" w:eastAsia="Calibri" w:hAnsi="Arial" w:cs="Times New Roman"/>
          <w:sz w:val="24"/>
          <w:lang w:val="en-ZA"/>
        </w:rPr>
        <w:t xml:space="preserve">the </w:t>
      </w:r>
      <w:r w:rsidR="005B69A5" w:rsidRPr="00CD1873">
        <w:rPr>
          <w:rFonts w:ascii="Arial" w:eastAsia="Calibri" w:hAnsi="Arial" w:cs="Times New Roman"/>
          <w:sz w:val="24"/>
          <w:lang w:val="en-ZA"/>
        </w:rPr>
        <w:t xml:space="preserve">directions </w:t>
      </w:r>
      <w:r w:rsidR="008B6899" w:rsidRPr="00CD1873">
        <w:rPr>
          <w:rFonts w:ascii="Arial" w:eastAsia="Calibri" w:hAnsi="Arial" w:cs="Times New Roman"/>
          <w:sz w:val="24"/>
          <w:lang w:val="en-ZA"/>
        </w:rPr>
        <w:t xml:space="preserve">set by </w:t>
      </w:r>
      <w:r w:rsidR="00994BA7" w:rsidRPr="00CD1873">
        <w:rPr>
          <w:rFonts w:ascii="Arial" w:eastAsia="Calibri" w:hAnsi="Arial" w:cs="Times New Roman"/>
          <w:sz w:val="24"/>
          <w:lang w:val="en-ZA"/>
        </w:rPr>
        <w:t xml:space="preserve">the rules </w:t>
      </w:r>
      <w:r w:rsidR="005B69A5" w:rsidRPr="00CD1873">
        <w:rPr>
          <w:rFonts w:ascii="Arial" w:eastAsia="Calibri" w:hAnsi="Arial" w:cs="Times New Roman"/>
          <w:sz w:val="24"/>
          <w:lang w:val="en-ZA"/>
        </w:rPr>
        <w:t xml:space="preserve">may cause </w:t>
      </w:r>
      <w:r w:rsidR="00994BA7" w:rsidRPr="00CD1873">
        <w:rPr>
          <w:rFonts w:ascii="Arial" w:eastAsia="Calibri" w:hAnsi="Arial" w:cs="Times New Roman"/>
          <w:sz w:val="24"/>
          <w:lang w:val="en-ZA"/>
        </w:rPr>
        <w:t>a</w:t>
      </w:r>
      <w:r w:rsidR="005B69A5" w:rsidRPr="00CD1873">
        <w:rPr>
          <w:rFonts w:ascii="Arial" w:eastAsia="Calibri" w:hAnsi="Arial" w:cs="Times New Roman"/>
          <w:sz w:val="24"/>
          <w:lang w:val="en-ZA"/>
        </w:rPr>
        <w:t xml:space="preserve"> debtor to be despoiled without a corresponding reduction of his or her liabilities and satisfaction of his or her creditors</w:t>
      </w:r>
      <w:r w:rsidR="00994BA7" w:rsidRPr="00CD1873">
        <w:rPr>
          <w:rFonts w:ascii="Arial" w:eastAsia="Calibri" w:hAnsi="Arial" w:cs="Times New Roman"/>
          <w:sz w:val="24"/>
          <w:lang w:val="en-ZA"/>
        </w:rPr>
        <w:t xml:space="preserve"> and not in accordance with the command of the law</w:t>
      </w:r>
      <w:r w:rsidR="005B69A5" w:rsidRPr="00CD1873">
        <w:rPr>
          <w:rFonts w:ascii="Arial" w:eastAsia="Calibri" w:hAnsi="Arial" w:cs="Times New Roman"/>
          <w:sz w:val="24"/>
          <w:lang w:val="en-ZA"/>
        </w:rPr>
        <w:t xml:space="preserve">. </w:t>
      </w:r>
    </w:p>
    <w:p w14:paraId="37620869" w14:textId="77777777" w:rsidR="005B69A5" w:rsidRPr="005B69A5" w:rsidRDefault="005B69A5" w:rsidP="00FD4ECB">
      <w:pPr>
        <w:pStyle w:val="ListParagraph"/>
        <w:spacing w:after="0" w:line="480" w:lineRule="auto"/>
        <w:ind w:left="0"/>
        <w:jc w:val="both"/>
        <w:rPr>
          <w:rFonts w:ascii="Arial" w:eastAsia="Calibri" w:hAnsi="Arial" w:cs="Times New Roman"/>
          <w:sz w:val="24"/>
          <w:lang w:val="en-ZA"/>
        </w:rPr>
      </w:pPr>
    </w:p>
    <w:p w14:paraId="46E968A1" w14:textId="44D94555" w:rsidR="00A27B94" w:rsidRPr="00CD1873" w:rsidRDefault="00CD1873" w:rsidP="00CD1873">
      <w:pPr>
        <w:shd w:val="clear" w:color="auto" w:fill="FFFFFF"/>
        <w:spacing w:after="0" w:line="480" w:lineRule="auto"/>
        <w:jc w:val="both"/>
        <w:rPr>
          <w:rFonts w:ascii="Arial" w:eastAsia="Calibri" w:hAnsi="Arial" w:cs="Times New Roman"/>
          <w:i/>
          <w:sz w:val="24"/>
          <w:lang w:val="en-ZA"/>
        </w:rPr>
      </w:pPr>
      <w:r w:rsidRPr="00C07CB1">
        <w:rPr>
          <w:rFonts w:ascii="Arial" w:eastAsia="Calibri" w:hAnsi="Arial" w:cs="Times New Roman"/>
          <w:sz w:val="24"/>
          <w:szCs w:val="24"/>
          <w:lang w:val="en-ZA"/>
        </w:rPr>
        <w:t>[47]</w:t>
      </w:r>
      <w:r w:rsidRPr="00C07CB1">
        <w:rPr>
          <w:rFonts w:ascii="Arial" w:eastAsia="Calibri" w:hAnsi="Arial" w:cs="Times New Roman"/>
          <w:sz w:val="24"/>
          <w:szCs w:val="24"/>
          <w:lang w:val="en-ZA"/>
        </w:rPr>
        <w:tab/>
      </w:r>
      <w:r w:rsidR="00247D17" w:rsidRPr="00CD1873">
        <w:rPr>
          <w:rFonts w:ascii="Arial" w:eastAsia="Calibri" w:hAnsi="Arial" w:cs="Times New Roman"/>
          <w:sz w:val="24"/>
          <w:lang w:val="en-ZA"/>
        </w:rPr>
        <w:t>In</w:t>
      </w:r>
      <w:r w:rsidR="00C54A1E" w:rsidRPr="00CD1873">
        <w:rPr>
          <w:rFonts w:ascii="Arial" w:eastAsia="Calibri" w:hAnsi="Arial" w:cs="Times New Roman"/>
          <w:sz w:val="24"/>
          <w:lang w:val="en-ZA"/>
        </w:rPr>
        <w:t xml:space="preserve"> light of the context and purpose for which rules 109 and 110 were enacted</w:t>
      </w:r>
      <w:r w:rsidR="00266C05" w:rsidRPr="00CD1873">
        <w:rPr>
          <w:rFonts w:ascii="Arial" w:eastAsia="Calibri" w:hAnsi="Arial" w:cs="Times New Roman"/>
          <w:sz w:val="24"/>
          <w:lang w:val="en-ZA"/>
        </w:rPr>
        <w:t>,</w:t>
      </w:r>
      <w:r w:rsidR="00C54A1E" w:rsidRPr="00CD1873">
        <w:rPr>
          <w:rFonts w:ascii="Arial" w:eastAsia="Calibri" w:hAnsi="Arial" w:cs="Times New Roman"/>
          <w:sz w:val="24"/>
          <w:lang w:val="en-ZA"/>
        </w:rPr>
        <w:t xml:space="preserve"> I proceed to inquire what remedy is, in the contemplation of the </w:t>
      </w:r>
      <w:r w:rsidR="00FD4ECB" w:rsidRPr="00CD1873">
        <w:rPr>
          <w:rFonts w:ascii="Arial" w:eastAsia="Calibri" w:hAnsi="Arial" w:cs="Times New Roman"/>
          <w:sz w:val="24"/>
          <w:lang w:val="en-ZA"/>
        </w:rPr>
        <w:t>drafters</w:t>
      </w:r>
      <w:r w:rsidR="008B6899" w:rsidRPr="00CD1873">
        <w:rPr>
          <w:rFonts w:ascii="Arial" w:eastAsia="Calibri" w:hAnsi="Arial" w:cs="Times New Roman"/>
          <w:sz w:val="24"/>
          <w:lang w:val="en-ZA"/>
        </w:rPr>
        <w:t xml:space="preserve"> </w:t>
      </w:r>
      <w:r w:rsidR="00C54A1E" w:rsidRPr="00CD1873">
        <w:rPr>
          <w:rFonts w:ascii="Arial" w:eastAsia="Calibri" w:hAnsi="Arial" w:cs="Times New Roman"/>
          <w:sz w:val="24"/>
          <w:lang w:val="en-ZA"/>
        </w:rPr>
        <w:t>of rule 110(4), avail</w:t>
      </w:r>
      <w:r w:rsidR="00701501" w:rsidRPr="00CD1873">
        <w:rPr>
          <w:rFonts w:ascii="Arial" w:eastAsia="Calibri" w:hAnsi="Arial" w:cs="Times New Roman"/>
          <w:sz w:val="24"/>
          <w:lang w:val="en-ZA"/>
        </w:rPr>
        <w:t>able to a judgment debtor in</w:t>
      </w:r>
      <w:r w:rsidR="00C54A1E" w:rsidRPr="00CD1873">
        <w:rPr>
          <w:rFonts w:ascii="Arial" w:eastAsia="Calibri" w:hAnsi="Arial" w:cs="Times New Roman"/>
          <w:sz w:val="24"/>
          <w:lang w:val="en-ZA"/>
        </w:rPr>
        <w:t xml:space="preserve"> circumstances such </w:t>
      </w:r>
      <w:r w:rsidR="00701501" w:rsidRPr="00CD1873">
        <w:rPr>
          <w:rFonts w:ascii="Arial" w:eastAsia="Calibri" w:hAnsi="Arial" w:cs="Times New Roman"/>
          <w:sz w:val="24"/>
          <w:lang w:val="en-ZA"/>
        </w:rPr>
        <w:t>as these</w:t>
      </w:r>
      <w:r w:rsidR="00C54A1E" w:rsidRPr="00CD1873">
        <w:rPr>
          <w:rFonts w:ascii="Arial" w:eastAsia="Calibri" w:hAnsi="Arial" w:cs="Times New Roman"/>
          <w:sz w:val="24"/>
          <w:lang w:val="en-ZA"/>
        </w:rPr>
        <w:t xml:space="preserve"> wh</w:t>
      </w:r>
      <w:r w:rsidR="00407094" w:rsidRPr="00CD1873">
        <w:rPr>
          <w:rFonts w:ascii="Arial" w:eastAsia="Calibri" w:hAnsi="Arial" w:cs="Times New Roman"/>
          <w:sz w:val="24"/>
          <w:lang w:val="en-ZA"/>
        </w:rPr>
        <w:t xml:space="preserve">ere </w:t>
      </w:r>
      <w:r w:rsidR="00C54A1E" w:rsidRPr="00CD1873">
        <w:rPr>
          <w:rFonts w:ascii="Arial" w:eastAsia="Calibri" w:hAnsi="Arial" w:cs="Times New Roman"/>
          <w:sz w:val="24"/>
          <w:lang w:val="en-ZA"/>
        </w:rPr>
        <w:t xml:space="preserve">it is not disputed </w:t>
      </w:r>
      <w:r w:rsidR="00C45A4C" w:rsidRPr="00CD1873">
        <w:rPr>
          <w:rFonts w:ascii="Arial" w:eastAsia="Calibri" w:hAnsi="Arial" w:cs="Times New Roman"/>
          <w:sz w:val="24"/>
          <w:lang w:val="en-ZA"/>
        </w:rPr>
        <w:t xml:space="preserve">that </w:t>
      </w:r>
      <w:r w:rsidR="00701501" w:rsidRPr="00CD1873">
        <w:rPr>
          <w:rFonts w:ascii="Arial" w:eastAsia="Calibri" w:hAnsi="Arial" w:cs="Times New Roman"/>
          <w:sz w:val="24"/>
          <w:lang w:val="en-ZA"/>
        </w:rPr>
        <w:t>a mortgagee</w:t>
      </w:r>
      <w:r w:rsidR="00C54A1E" w:rsidRPr="00CD1873">
        <w:rPr>
          <w:rFonts w:ascii="Arial" w:eastAsia="Calibri" w:hAnsi="Arial" w:cs="Times New Roman"/>
          <w:sz w:val="24"/>
          <w:lang w:val="en-ZA"/>
        </w:rPr>
        <w:t xml:space="preserve"> was </w:t>
      </w:r>
      <w:r w:rsidR="00407094" w:rsidRPr="00CD1873">
        <w:rPr>
          <w:rFonts w:ascii="Arial" w:eastAsia="Calibri" w:hAnsi="Arial" w:cs="Times New Roman"/>
          <w:sz w:val="24"/>
          <w:lang w:val="en-ZA"/>
        </w:rPr>
        <w:t>not notified</w:t>
      </w:r>
      <w:r w:rsidR="00701501" w:rsidRPr="00CD1873">
        <w:rPr>
          <w:rFonts w:ascii="Arial" w:eastAsia="Calibri" w:hAnsi="Arial" w:cs="Times New Roman"/>
          <w:sz w:val="24"/>
        </w:rPr>
        <w:t xml:space="preserve"> by the </w:t>
      </w:r>
      <w:r w:rsidR="002F51C4" w:rsidRPr="00CD1873">
        <w:rPr>
          <w:rFonts w:ascii="Arial" w:eastAsia="Calibri" w:hAnsi="Arial" w:cs="Times New Roman"/>
          <w:sz w:val="24"/>
        </w:rPr>
        <w:t>d</w:t>
      </w:r>
      <w:r w:rsidR="00AC21A0" w:rsidRPr="00CD1873">
        <w:rPr>
          <w:rFonts w:ascii="Arial" w:eastAsia="Calibri" w:hAnsi="Arial" w:cs="Times New Roman"/>
          <w:sz w:val="24"/>
        </w:rPr>
        <w:t>eputy-sheriff</w:t>
      </w:r>
      <w:r w:rsidR="00A27B94" w:rsidRPr="00CD1873">
        <w:rPr>
          <w:rFonts w:ascii="Arial" w:eastAsia="Calibri" w:hAnsi="Arial" w:cs="Times New Roman"/>
          <w:sz w:val="24"/>
        </w:rPr>
        <w:t xml:space="preserve"> of the notice of sale </w:t>
      </w:r>
      <w:r w:rsidR="00701501" w:rsidRPr="00CD1873">
        <w:rPr>
          <w:rFonts w:ascii="Arial" w:eastAsia="Calibri" w:hAnsi="Arial" w:cs="Times New Roman"/>
          <w:sz w:val="24"/>
        </w:rPr>
        <w:t xml:space="preserve">in </w:t>
      </w:r>
      <w:r w:rsidR="00A27B94" w:rsidRPr="00CD1873">
        <w:rPr>
          <w:rFonts w:ascii="Arial" w:eastAsia="Calibri" w:hAnsi="Arial" w:cs="Times New Roman"/>
          <w:sz w:val="24"/>
        </w:rPr>
        <w:t xml:space="preserve">execution. </w:t>
      </w:r>
      <w:r w:rsidR="00C54A1E" w:rsidRPr="00CD1873">
        <w:rPr>
          <w:rFonts w:ascii="Arial" w:eastAsia="Calibri" w:hAnsi="Arial" w:cs="Times New Roman"/>
          <w:sz w:val="24"/>
          <w:lang w:val="en-ZA"/>
        </w:rPr>
        <w:t>In the first place</w:t>
      </w:r>
      <w:r w:rsidR="008B6F2B" w:rsidRPr="00CD1873">
        <w:rPr>
          <w:rFonts w:ascii="Arial" w:eastAsia="Calibri" w:hAnsi="Arial" w:cs="Times New Roman"/>
          <w:sz w:val="24"/>
          <w:lang w:val="en-ZA"/>
        </w:rPr>
        <w:t xml:space="preserve">, </w:t>
      </w:r>
      <w:r w:rsidR="00C54A1E" w:rsidRPr="00CD1873">
        <w:rPr>
          <w:rFonts w:ascii="Arial" w:eastAsia="Calibri" w:hAnsi="Arial" w:cs="Times New Roman"/>
          <w:sz w:val="24"/>
          <w:lang w:val="en-ZA"/>
        </w:rPr>
        <w:t xml:space="preserve">rule </w:t>
      </w:r>
      <w:r w:rsidR="00C45A4C" w:rsidRPr="00CD1873">
        <w:rPr>
          <w:rFonts w:ascii="Arial" w:eastAsia="Calibri" w:hAnsi="Arial" w:cs="Times New Roman"/>
          <w:sz w:val="24"/>
          <w:lang w:val="en-ZA"/>
        </w:rPr>
        <w:t>110(4)</w:t>
      </w:r>
      <w:r w:rsidR="00C54A1E" w:rsidRPr="00CD1873">
        <w:rPr>
          <w:rFonts w:ascii="Arial" w:eastAsia="Calibri" w:hAnsi="Arial" w:cs="Times New Roman"/>
          <w:sz w:val="24"/>
          <w:lang w:val="en-ZA"/>
        </w:rPr>
        <w:t xml:space="preserve"> </w:t>
      </w:r>
      <w:r w:rsidR="00C45A4C" w:rsidRPr="00CD1873">
        <w:rPr>
          <w:rFonts w:ascii="Arial" w:eastAsia="Calibri" w:hAnsi="Arial" w:cs="Times New Roman"/>
          <w:sz w:val="24"/>
          <w:lang w:val="en-ZA"/>
        </w:rPr>
        <w:t xml:space="preserve">is couched in peremptory </w:t>
      </w:r>
      <w:r w:rsidR="008B6F2B" w:rsidRPr="00CD1873">
        <w:rPr>
          <w:rFonts w:ascii="Arial" w:eastAsia="Calibri" w:hAnsi="Arial" w:cs="Times New Roman"/>
          <w:sz w:val="24"/>
          <w:lang w:val="en-ZA"/>
        </w:rPr>
        <w:t>terms. I</w:t>
      </w:r>
      <w:r w:rsidR="00C45A4C" w:rsidRPr="00CD1873">
        <w:rPr>
          <w:rFonts w:ascii="Arial" w:eastAsia="Calibri" w:hAnsi="Arial" w:cs="Times New Roman"/>
          <w:sz w:val="24"/>
          <w:lang w:val="en-ZA"/>
        </w:rPr>
        <w:t>t provides that</w:t>
      </w:r>
      <w:r w:rsidR="008B6F2B" w:rsidRPr="00CD1873">
        <w:rPr>
          <w:rFonts w:ascii="Arial" w:eastAsia="Calibri" w:hAnsi="Arial" w:cs="Times New Roman"/>
          <w:sz w:val="24"/>
          <w:lang w:val="en-ZA"/>
        </w:rPr>
        <w:t xml:space="preserve"> </w:t>
      </w:r>
      <w:r w:rsidR="00C54A1E" w:rsidRPr="00CD1873">
        <w:rPr>
          <w:rFonts w:ascii="Arial" w:eastAsia="Calibri" w:hAnsi="Arial" w:cs="Times New Roman"/>
          <w:i/>
          <w:sz w:val="24"/>
          <w:lang w:val="en-ZA"/>
        </w:rPr>
        <w:t>'</w:t>
      </w:r>
      <w:r w:rsidR="008B6899" w:rsidRPr="00CD1873">
        <w:rPr>
          <w:rFonts w:ascii="Arial" w:eastAsia="Calibri" w:hAnsi="Arial" w:cs="Times New Roman"/>
          <w:i/>
          <w:sz w:val="24"/>
          <w:lang w:val="en-ZA"/>
        </w:rPr>
        <w:t>[</w:t>
      </w:r>
      <w:r w:rsidR="008B6899" w:rsidRPr="00CD1873">
        <w:rPr>
          <w:rFonts w:ascii="Arial" w:eastAsia="Calibri" w:hAnsi="Arial" w:cs="Arial"/>
          <w:i/>
          <w:sz w:val="24"/>
          <w:szCs w:val="24"/>
        </w:rPr>
        <w:t>t]</w:t>
      </w:r>
      <w:r w:rsidR="008B6F2B" w:rsidRPr="00CD1873">
        <w:rPr>
          <w:rFonts w:ascii="Arial" w:eastAsia="Calibri" w:hAnsi="Arial" w:cs="Arial"/>
          <w:i/>
          <w:sz w:val="24"/>
          <w:szCs w:val="24"/>
        </w:rPr>
        <w:t>he deputy-sheriff must</w:t>
      </w:r>
      <w:r w:rsidR="00067B95" w:rsidRPr="00CD1873">
        <w:rPr>
          <w:rFonts w:ascii="Arial" w:eastAsia="Calibri" w:hAnsi="Arial" w:cs="Arial"/>
          <w:i/>
          <w:sz w:val="24"/>
          <w:szCs w:val="24"/>
        </w:rPr>
        <w:t xml:space="preserve"> . . . </w:t>
      </w:r>
      <w:r w:rsidR="00A27B94" w:rsidRPr="00CD1873">
        <w:rPr>
          <w:rFonts w:ascii="Arial" w:eastAsia="Calibri" w:hAnsi="Arial" w:cs="Arial"/>
          <w:i/>
          <w:sz w:val="24"/>
          <w:szCs w:val="24"/>
        </w:rPr>
        <w:t>forward by registered pos</w:t>
      </w:r>
      <w:r w:rsidR="008B6F2B" w:rsidRPr="00CD1873">
        <w:rPr>
          <w:rFonts w:ascii="Arial" w:eastAsia="Calibri" w:hAnsi="Arial" w:cs="Arial"/>
          <w:i/>
          <w:sz w:val="24"/>
          <w:szCs w:val="24"/>
        </w:rPr>
        <w:t>t a cop</w:t>
      </w:r>
      <w:r w:rsidR="00067B95" w:rsidRPr="00CD1873">
        <w:rPr>
          <w:rFonts w:ascii="Arial" w:eastAsia="Calibri" w:hAnsi="Arial" w:cs="Arial"/>
          <w:i/>
          <w:sz w:val="24"/>
          <w:szCs w:val="24"/>
        </w:rPr>
        <w:t>y of the notice of sale . . .</w:t>
      </w:r>
      <w:r w:rsidR="00A27B94" w:rsidRPr="00CD1873">
        <w:rPr>
          <w:rFonts w:ascii="Arial" w:eastAsia="Calibri" w:hAnsi="Arial" w:cs="Arial"/>
          <w:i/>
          <w:sz w:val="24"/>
          <w:szCs w:val="24"/>
        </w:rPr>
        <w:t xml:space="preserve"> to every mortgagee of the pr</w:t>
      </w:r>
      <w:r w:rsidR="00701501" w:rsidRPr="00CD1873">
        <w:rPr>
          <w:rFonts w:ascii="Arial" w:eastAsia="Calibri" w:hAnsi="Arial" w:cs="Arial"/>
          <w:i/>
          <w:sz w:val="24"/>
          <w:szCs w:val="24"/>
        </w:rPr>
        <w:t>operty whose address is known’</w:t>
      </w:r>
      <w:r w:rsidR="003664C7" w:rsidRPr="00CD1873">
        <w:rPr>
          <w:rFonts w:ascii="Arial" w:eastAsia="Calibri" w:hAnsi="Arial" w:cs="Arial"/>
          <w:i/>
          <w:sz w:val="24"/>
          <w:szCs w:val="24"/>
        </w:rPr>
        <w:t>.</w:t>
      </w:r>
    </w:p>
    <w:p w14:paraId="035FC315" w14:textId="77777777" w:rsidR="00A27B94" w:rsidRPr="00A27B94" w:rsidRDefault="00A27B94" w:rsidP="00FD4ECB">
      <w:pPr>
        <w:pStyle w:val="ListParagraph"/>
        <w:spacing w:after="0" w:line="480" w:lineRule="auto"/>
        <w:ind w:left="0"/>
        <w:jc w:val="both"/>
        <w:rPr>
          <w:rFonts w:ascii="Arial" w:eastAsia="Calibri" w:hAnsi="Arial" w:cs="Times New Roman"/>
          <w:sz w:val="24"/>
          <w:szCs w:val="24"/>
          <w:lang w:val="en-ZA"/>
        </w:rPr>
      </w:pPr>
    </w:p>
    <w:p w14:paraId="0BCBA0E6" w14:textId="784EF7EA" w:rsidR="00A27B94" w:rsidRPr="00CD1873" w:rsidRDefault="00CD1873" w:rsidP="00CD1873">
      <w:pPr>
        <w:shd w:val="clear" w:color="auto" w:fill="FFFFFF"/>
        <w:spacing w:after="0" w:line="480" w:lineRule="auto"/>
        <w:jc w:val="both"/>
        <w:rPr>
          <w:rFonts w:ascii="Arial" w:eastAsia="Calibri" w:hAnsi="Arial" w:cs="Times New Roman"/>
          <w:sz w:val="24"/>
          <w:lang w:val="en-ZA"/>
        </w:rPr>
      </w:pPr>
      <w:r>
        <w:rPr>
          <w:rFonts w:ascii="Arial" w:eastAsia="Calibri" w:hAnsi="Arial" w:cs="Times New Roman"/>
          <w:sz w:val="24"/>
          <w:szCs w:val="24"/>
          <w:lang w:val="en-ZA"/>
        </w:rPr>
        <w:t>[48]</w:t>
      </w:r>
      <w:r>
        <w:rPr>
          <w:rFonts w:ascii="Arial" w:eastAsia="Calibri" w:hAnsi="Arial" w:cs="Times New Roman"/>
          <w:sz w:val="24"/>
          <w:szCs w:val="24"/>
          <w:lang w:val="en-ZA"/>
        </w:rPr>
        <w:tab/>
      </w:r>
      <w:r w:rsidR="00A27B94" w:rsidRPr="00CD1873">
        <w:rPr>
          <w:rFonts w:ascii="Arial" w:eastAsia="Calibri" w:hAnsi="Arial" w:cs="Times New Roman"/>
          <w:sz w:val="24"/>
          <w:szCs w:val="24"/>
          <w:lang w:val="en-ZA"/>
        </w:rPr>
        <w:t xml:space="preserve">In </w:t>
      </w:r>
      <w:r w:rsidR="00A27B94" w:rsidRPr="00CD1873">
        <w:rPr>
          <w:rFonts w:ascii="Arial" w:eastAsia="Calibri" w:hAnsi="Arial" w:cs="Times New Roman"/>
          <w:i/>
          <w:sz w:val="24"/>
          <w:szCs w:val="24"/>
          <w:lang w:val="en-ZA"/>
        </w:rPr>
        <w:t>Messenger of the Magistrate's Court, Durban v Pillay</w:t>
      </w:r>
      <w:r w:rsidR="00A27B94" w:rsidRPr="00CD1873">
        <w:rPr>
          <w:rFonts w:ascii="Arial" w:eastAsia="Calibri" w:hAnsi="Arial" w:cs="Times New Roman"/>
          <w:sz w:val="24"/>
          <w:szCs w:val="24"/>
          <w:lang w:val="en-ZA"/>
        </w:rPr>
        <w:t> </w:t>
      </w:r>
      <w:r w:rsidR="00A27B94">
        <w:rPr>
          <w:rStyle w:val="FootnoteReference"/>
          <w:rFonts w:ascii="Arial" w:eastAsia="Calibri" w:hAnsi="Arial" w:cs="Times New Roman"/>
          <w:sz w:val="24"/>
          <w:szCs w:val="24"/>
          <w:lang w:val="en-ZA"/>
        </w:rPr>
        <w:footnoteReference w:id="10"/>
      </w:r>
      <w:r w:rsidR="00A27B94" w:rsidRPr="00CD1873">
        <w:rPr>
          <w:rFonts w:ascii="Arial" w:eastAsia="Calibri" w:hAnsi="Arial" w:cs="Times New Roman"/>
          <w:sz w:val="24"/>
          <w:szCs w:val="24"/>
          <w:lang w:val="en-ZA"/>
        </w:rPr>
        <w:t xml:space="preserve"> the court held that if </w:t>
      </w:r>
      <w:r w:rsidR="00C54A1E" w:rsidRPr="00CD1873">
        <w:rPr>
          <w:rFonts w:ascii="Arial" w:eastAsia="Calibri" w:hAnsi="Arial" w:cs="Times New Roman"/>
          <w:sz w:val="24"/>
          <w:szCs w:val="24"/>
          <w:lang w:val="en-ZA"/>
        </w:rPr>
        <w:t xml:space="preserve"> a statutory command is couched in such peremptory terms it is a strong indication, in the absence of considerations pointing to another conclusion, that the issuer of the command intended disobedience to be visited with nullity.</w:t>
      </w:r>
      <w:r w:rsidR="00A27B94" w:rsidRPr="00CD1873">
        <w:rPr>
          <w:rFonts w:ascii="Arial" w:eastAsia="Calibri" w:hAnsi="Arial" w:cs="Times New Roman"/>
          <w:sz w:val="24"/>
          <w:lang w:val="en-ZA"/>
        </w:rPr>
        <w:t xml:space="preserve"> The court further referred to  </w:t>
      </w:r>
      <w:r w:rsidR="00A27B94" w:rsidRPr="00CD1873">
        <w:rPr>
          <w:rFonts w:ascii="Arial" w:eastAsia="Calibri" w:hAnsi="Arial" w:cs="Times New Roman"/>
          <w:i/>
          <w:sz w:val="24"/>
          <w:lang w:val="en-ZA"/>
        </w:rPr>
        <w:t>Maxwell on</w:t>
      </w:r>
      <w:r w:rsidR="00A27B94" w:rsidRPr="00CD1873">
        <w:rPr>
          <w:rFonts w:ascii="Arial" w:eastAsia="Calibri" w:hAnsi="Arial" w:cs="Times New Roman"/>
          <w:sz w:val="24"/>
          <w:lang w:val="en-ZA"/>
        </w:rPr>
        <w:t xml:space="preserve"> </w:t>
      </w:r>
      <w:r w:rsidR="00A27B94" w:rsidRPr="00CD1873">
        <w:rPr>
          <w:rFonts w:ascii="Arial" w:eastAsia="Calibri" w:hAnsi="Arial" w:cs="Times New Roman"/>
          <w:i/>
          <w:sz w:val="24"/>
          <w:lang w:val="en-ZA"/>
        </w:rPr>
        <w:t>Interpretation of Statutes</w:t>
      </w:r>
      <w:r w:rsidR="003664C7" w:rsidRPr="00CD1873">
        <w:rPr>
          <w:rFonts w:ascii="Arial" w:eastAsia="Calibri" w:hAnsi="Arial" w:cs="Times New Roman"/>
          <w:i/>
          <w:sz w:val="24"/>
          <w:lang w:val="en-ZA"/>
        </w:rPr>
        <w:t>,</w:t>
      </w:r>
      <w:r w:rsidR="003456F0">
        <w:rPr>
          <w:rStyle w:val="FootnoteReference"/>
          <w:rFonts w:ascii="Arial" w:eastAsia="Calibri" w:hAnsi="Arial" w:cs="Times New Roman"/>
          <w:sz w:val="24"/>
          <w:lang w:val="en-ZA"/>
        </w:rPr>
        <w:footnoteReference w:id="11"/>
      </w:r>
      <w:r w:rsidR="00A27B94" w:rsidRPr="00CD1873">
        <w:rPr>
          <w:rFonts w:ascii="Arial" w:eastAsia="Calibri" w:hAnsi="Arial" w:cs="Times New Roman"/>
          <w:sz w:val="24"/>
          <w:lang w:val="en-ZA"/>
        </w:rPr>
        <w:t xml:space="preserve"> who argued that:</w:t>
      </w:r>
    </w:p>
    <w:p w14:paraId="1DE847BC" w14:textId="77777777" w:rsidR="00A27B94" w:rsidRPr="00A27B94" w:rsidRDefault="00A27B94" w:rsidP="00FD4ECB">
      <w:pPr>
        <w:pStyle w:val="ListParagraph"/>
        <w:spacing w:after="0" w:line="480" w:lineRule="auto"/>
        <w:ind w:left="0"/>
        <w:jc w:val="both"/>
        <w:rPr>
          <w:rFonts w:ascii="Arial" w:eastAsia="Calibri" w:hAnsi="Arial" w:cs="Times New Roman"/>
          <w:sz w:val="24"/>
          <w:lang w:val="en-ZA"/>
        </w:rPr>
      </w:pPr>
    </w:p>
    <w:p w14:paraId="7314C944" w14:textId="77777777" w:rsidR="00A27B94" w:rsidRDefault="002B362F" w:rsidP="003664C7">
      <w:pPr>
        <w:pStyle w:val="ListParagraph"/>
        <w:shd w:val="clear" w:color="auto" w:fill="FFFFFF"/>
        <w:spacing w:after="0" w:line="360" w:lineRule="auto"/>
        <w:ind w:left="709"/>
        <w:jc w:val="both"/>
        <w:rPr>
          <w:rFonts w:ascii="Arial" w:eastAsia="Calibri" w:hAnsi="Arial" w:cs="Times New Roman"/>
          <w:lang w:val="en-ZA"/>
        </w:rPr>
      </w:pPr>
      <w:r>
        <w:rPr>
          <w:rFonts w:ascii="Arial" w:eastAsia="Calibri" w:hAnsi="Arial" w:cs="Times New Roman"/>
          <w:lang w:val="en-ZA"/>
        </w:rPr>
        <w:t xml:space="preserve">'Where powers are . . . </w:t>
      </w:r>
      <w:r w:rsidR="00C54A1E" w:rsidRPr="00A27B94">
        <w:rPr>
          <w:rFonts w:ascii="Arial" w:eastAsia="Calibri" w:hAnsi="Arial" w:cs="Times New Roman"/>
          <w:lang w:val="en-ZA"/>
        </w:rPr>
        <w:t>granted with a direction that certain regulations, formalities or conditions shall be complied with it seems neither unjust nor inconvenient to exact a rigorous observance of them as esse</w:t>
      </w:r>
      <w:r w:rsidR="00C45A4C">
        <w:rPr>
          <w:rFonts w:ascii="Arial" w:eastAsia="Calibri" w:hAnsi="Arial" w:cs="Times New Roman"/>
          <w:lang w:val="en-ZA"/>
        </w:rPr>
        <w:t>nt</w:t>
      </w:r>
      <w:r>
        <w:rPr>
          <w:rFonts w:ascii="Arial" w:eastAsia="Calibri" w:hAnsi="Arial" w:cs="Times New Roman"/>
          <w:lang w:val="en-ZA"/>
        </w:rPr>
        <w:t xml:space="preserve">ial to the acquisition of the . . . </w:t>
      </w:r>
      <w:r w:rsidR="00C54A1E" w:rsidRPr="00A27B94">
        <w:rPr>
          <w:rFonts w:ascii="Arial" w:eastAsia="Calibri" w:hAnsi="Arial" w:cs="Times New Roman"/>
          <w:lang w:val="en-ZA"/>
        </w:rPr>
        <w:t>authority conferred, and it is therefore probable that such was the intention of the Legislature.'</w:t>
      </w:r>
    </w:p>
    <w:p w14:paraId="7F7A2AF6" w14:textId="77777777" w:rsidR="00A27B94" w:rsidRDefault="00A27B94" w:rsidP="00FD4ECB">
      <w:pPr>
        <w:shd w:val="clear" w:color="auto" w:fill="FFFFFF"/>
        <w:spacing w:after="0" w:line="480" w:lineRule="auto"/>
        <w:jc w:val="both"/>
        <w:rPr>
          <w:rFonts w:ascii="Arial" w:eastAsia="Calibri" w:hAnsi="Arial" w:cs="Times New Roman"/>
          <w:sz w:val="24"/>
          <w:lang w:val="en-ZA"/>
        </w:rPr>
      </w:pPr>
    </w:p>
    <w:p w14:paraId="0CCF29EA" w14:textId="33A6BCD9" w:rsidR="00D909B3" w:rsidRPr="00CD1873" w:rsidRDefault="00CD1873" w:rsidP="00CD1873">
      <w:pPr>
        <w:shd w:val="clear" w:color="auto" w:fill="FFFFFF"/>
        <w:spacing w:after="0" w:line="480" w:lineRule="auto"/>
        <w:ind w:firstLine="1"/>
        <w:jc w:val="both"/>
        <w:rPr>
          <w:rFonts w:ascii="Arial" w:eastAsia="Calibri" w:hAnsi="Arial" w:cs="Times New Roman"/>
          <w:sz w:val="24"/>
          <w:lang w:val="en-ZA"/>
        </w:rPr>
      </w:pPr>
      <w:r>
        <w:rPr>
          <w:rFonts w:ascii="Arial" w:eastAsia="Calibri" w:hAnsi="Arial" w:cs="Times New Roman"/>
          <w:sz w:val="24"/>
          <w:szCs w:val="24"/>
          <w:lang w:val="en-ZA"/>
        </w:rPr>
        <w:t>[49]</w:t>
      </w:r>
      <w:r>
        <w:rPr>
          <w:rFonts w:ascii="Arial" w:eastAsia="Calibri" w:hAnsi="Arial" w:cs="Times New Roman"/>
          <w:sz w:val="24"/>
          <w:szCs w:val="24"/>
          <w:lang w:val="en-ZA"/>
        </w:rPr>
        <w:tab/>
      </w:r>
      <w:r w:rsidR="00C45A4C" w:rsidRPr="00CD1873">
        <w:rPr>
          <w:rFonts w:ascii="Arial" w:eastAsia="Calibri" w:hAnsi="Arial" w:cs="Times New Roman"/>
          <w:sz w:val="24"/>
          <w:lang w:val="en-ZA"/>
        </w:rPr>
        <w:t>Another reason that persuade</w:t>
      </w:r>
      <w:r w:rsidR="00D909B3" w:rsidRPr="00CD1873">
        <w:rPr>
          <w:rFonts w:ascii="Arial" w:eastAsia="Calibri" w:hAnsi="Arial" w:cs="Times New Roman"/>
          <w:sz w:val="24"/>
          <w:lang w:val="en-ZA"/>
        </w:rPr>
        <w:t>s</w:t>
      </w:r>
      <w:r w:rsidR="00C45A4C" w:rsidRPr="00CD1873">
        <w:rPr>
          <w:rFonts w:ascii="Arial" w:eastAsia="Calibri" w:hAnsi="Arial" w:cs="Times New Roman"/>
          <w:sz w:val="24"/>
          <w:lang w:val="en-ZA"/>
        </w:rPr>
        <w:t xml:space="preserve"> me</w:t>
      </w:r>
      <w:r w:rsidR="00D909B3" w:rsidRPr="00CD1873">
        <w:rPr>
          <w:rFonts w:ascii="Arial" w:eastAsia="Calibri" w:hAnsi="Arial" w:cs="Times New Roman"/>
          <w:sz w:val="24"/>
          <w:lang w:val="en-ZA"/>
        </w:rPr>
        <w:t xml:space="preserve"> to the conclusion </w:t>
      </w:r>
      <w:r w:rsidR="00C45A4C" w:rsidRPr="00CD1873">
        <w:rPr>
          <w:rFonts w:ascii="Arial" w:eastAsia="Calibri" w:hAnsi="Arial" w:cs="Times New Roman"/>
          <w:sz w:val="24"/>
          <w:lang w:val="en-ZA"/>
        </w:rPr>
        <w:t>that non</w:t>
      </w:r>
      <w:r w:rsidR="00A50C2C" w:rsidRPr="00CD1873">
        <w:rPr>
          <w:rFonts w:ascii="Arial" w:eastAsia="Calibri" w:hAnsi="Arial" w:cs="Times New Roman"/>
          <w:sz w:val="24"/>
          <w:lang w:val="en-ZA"/>
        </w:rPr>
        <w:t>-</w:t>
      </w:r>
      <w:r w:rsidR="00C45A4C" w:rsidRPr="00CD1873">
        <w:rPr>
          <w:rFonts w:ascii="Arial" w:eastAsia="Calibri" w:hAnsi="Arial" w:cs="Times New Roman"/>
          <w:sz w:val="24"/>
          <w:lang w:val="en-ZA"/>
        </w:rPr>
        <w:t>compliance with the directions set out in</w:t>
      </w:r>
      <w:r w:rsidR="00AB4798" w:rsidRPr="00CD1873">
        <w:rPr>
          <w:rFonts w:ascii="Arial" w:eastAsia="Calibri" w:hAnsi="Arial" w:cs="Times New Roman"/>
          <w:sz w:val="24"/>
          <w:lang w:val="en-ZA"/>
        </w:rPr>
        <w:t xml:space="preserve"> rule 110(4) will result in </w:t>
      </w:r>
      <w:r w:rsidR="00C45A4C" w:rsidRPr="00CD1873">
        <w:rPr>
          <w:rFonts w:ascii="Arial" w:eastAsia="Calibri" w:hAnsi="Arial" w:cs="Times New Roman"/>
          <w:sz w:val="24"/>
          <w:lang w:val="en-ZA"/>
        </w:rPr>
        <w:t xml:space="preserve">nullity of </w:t>
      </w:r>
      <w:r w:rsidR="00D909B3" w:rsidRPr="00CD1873">
        <w:rPr>
          <w:rFonts w:ascii="Arial" w:eastAsia="Calibri" w:hAnsi="Arial" w:cs="Times New Roman"/>
          <w:sz w:val="24"/>
          <w:lang w:val="en-ZA"/>
        </w:rPr>
        <w:t xml:space="preserve">the act performed contrary to the directions set out in that </w:t>
      </w:r>
      <w:r w:rsidR="00A50C2C" w:rsidRPr="00CD1873">
        <w:rPr>
          <w:rFonts w:ascii="Arial" w:eastAsia="Calibri" w:hAnsi="Arial" w:cs="Times New Roman"/>
          <w:sz w:val="24"/>
          <w:lang w:val="en-ZA"/>
        </w:rPr>
        <w:t>subrule,</w:t>
      </w:r>
      <w:r w:rsidR="00D909B3" w:rsidRPr="00CD1873">
        <w:rPr>
          <w:rFonts w:ascii="Arial" w:eastAsia="Calibri" w:hAnsi="Arial" w:cs="Times New Roman"/>
          <w:sz w:val="24"/>
          <w:lang w:val="en-ZA"/>
        </w:rPr>
        <w:t xml:space="preserve"> is the guidance by this Court </w:t>
      </w:r>
      <w:r w:rsidR="008B6899" w:rsidRPr="00CD1873">
        <w:rPr>
          <w:rFonts w:ascii="Arial" w:eastAsia="Calibri" w:hAnsi="Arial" w:cs="Times New Roman"/>
          <w:sz w:val="24"/>
          <w:lang w:val="en-ZA"/>
        </w:rPr>
        <w:t xml:space="preserve">in </w:t>
      </w:r>
      <w:r w:rsidR="008B6899" w:rsidRPr="00CD1873">
        <w:rPr>
          <w:rFonts w:ascii="Arial" w:eastAsia="Calibri" w:hAnsi="Arial" w:cs="Times New Roman"/>
          <w:i/>
          <w:sz w:val="24"/>
          <w:lang w:val="en-ZA"/>
        </w:rPr>
        <w:t>Total Namibia</w:t>
      </w:r>
      <w:r w:rsidR="008B6899" w:rsidRPr="00CD1873">
        <w:rPr>
          <w:rFonts w:ascii="Arial" w:eastAsia="Calibri" w:hAnsi="Arial" w:cs="Times New Roman"/>
          <w:sz w:val="24"/>
          <w:lang w:val="en-ZA"/>
        </w:rPr>
        <w:t xml:space="preserve"> </w:t>
      </w:r>
      <w:r w:rsidR="00D909B3" w:rsidRPr="00CD1873">
        <w:rPr>
          <w:rFonts w:ascii="Arial" w:eastAsia="Calibri" w:hAnsi="Arial" w:cs="Times New Roman"/>
          <w:sz w:val="24"/>
          <w:lang w:val="en-ZA"/>
        </w:rPr>
        <w:t>that</w:t>
      </w:r>
      <w:r w:rsidR="00031FF0" w:rsidRPr="00CD1873">
        <w:rPr>
          <w:rFonts w:ascii="Arial" w:eastAsia="Calibri" w:hAnsi="Arial" w:cs="Times New Roman"/>
          <w:sz w:val="24"/>
          <w:lang w:val="en-ZA"/>
        </w:rPr>
        <w:t>,</w:t>
      </w:r>
      <w:r w:rsidR="00D909B3" w:rsidRPr="00CD1873">
        <w:rPr>
          <w:rFonts w:ascii="Arial" w:eastAsia="Calibri" w:hAnsi="Arial" w:cs="Times New Roman"/>
          <w:sz w:val="24"/>
          <w:lang w:val="en-ZA"/>
        </w:rPr>
        <w:t xml:space="preserve"> w</w:t>
      </w:r>
      <w:r w:rsidR="007D72C5" w:rsidRPr="00CD1873">
        <w:rPr>
          <w:rFonts w:ascii="Arial" w:eastAsia="Calibri" w:hAnsi="Arial" w:cs="Times New Roman"/>
          <w:sz w:val="24"/>
          <w:lang w:val="en-ZA"/>
        </w:rPr>
        <w:t xml:space="preserve">here more than one meaning is possible, each possibility must </w:t>
      </w:r>
      <w:r w:rsidR="00031FF0" w:rsidRPr="00CD1873">
        <w:rPr>
          <w:rFonts w:ascii="Arial" w:eastAsia="Calibri" w:hAnsi="Arial" w:cs="Times New Roman"/>
          <w:sz w:val="24"/>
          <w:lang w:val="en-ZA"/>
        </w:rPr>
        <w:t>be weigh</w:t>
      </w:r>
      <w:r w:rsidR="00730EC7" w:rsidRPr="00CD1873">
        <w:rPr>
          <w:rFonts w:ascii="Arial" w:eastAsia="Calibri" w:hAnsi="Arial" w:cs="Times New Roman"/>
          <w:sz w:val="24"/>
          <w:lang w:val="en-ZA"/>
        </w:rPr>
        <w:t>ed</w:t>
      </w:r>
      <w:r w:rsidR="0035492A" w:rsidRPr="00CD1873">
        <w:rPr>
          <w:rFonts w:ascii="Arial" w:eastAsia="Calibri" w:hAnsi="Arial" w:cs="Times New Roman"/>
          <w:sz w:val="24"/>
          <w:lang w:val="en-ZA"/>
        </w:rPr>
        <w:t xml:space="preserve"> in</w:t>
      </w:r>
      <w:r w:rsidR="00D909B3" w:rsidRPr="00CD1873">
        <w:rPr>
          <w:rFonts w:ascii="Arial" w:eastAsia="Calibri" w:hAnsi="Arial" w:cs="Times New Roman"/>
          <w:sz w:val="24"/>
          <w:lang w:val="en-ZA"/>
        </w:rPr>
        <w:t xml:space="preserve"> light of the context and circumstance</w:t>
      </w:r>
      <w:r w:rsidR="0035492A" w:rsidRPr="00CD1873">
        <w:rPr>
          <w:rFonts w:ascii="Arial" w:eastAsia="Calibri" w:hAnsi="Arial" w:cs="Times New Roman"/>
          <w:sz w:val="24"/>
          <w:lang w:val="en-ZA"/>
        </w:rPr>
        <w:t>s</w:t>
      </w:r>
      <w:r w:rsidR="00D909B3" w:rsidRPr="00CD1873">
        <w:rPr>
          <w:rFonts w:ascii="Arial" w:eastAsia="Calibri" w:hAnsi="Arial" w:cs="Times New Roman"/>
          <w:sz w:val="24"/>
          <w:lang w:val="en-ZA"/>
        </w:rPr>
        <w:t xml:space="preserve"> in which the rule was enacted</w:t>
      </w:r>
      <w:r w:rsidR="0035492A" w:rsidRPr="00CD1873">
        <w:rPr>
          <w:rFonts w:ascii="Arial" w:eastAsia="Calibri" w:hAnsi="Arial" w:cs="Times New Roman"/>
          <w:sz w:val="24"/>
          <w:lang w:val="en-ZA"/>
        </w:rPr>
        <w:t>;</w:t>
      </w:r>
      <w:r w:rsidR="00D909B3" w:rsidRPr="00CD1873">
        <w:rPr>
          <w:rFonts w:ascii="Arial" w:eastAsia="Calibri" w:hAnsi="Arial" w:cs="Times New Roman"/>
          <w:sz w:val="24"/>
          <w:lang w:val="en-ZA"/>
        </w:rPr>
        <w:t xml:space="preserve"> and that a</w:t>
      </w:r>
      <w:r w:rsidR="007D72C5" w:rsidRPr="00CD1873">
        <w:rPr>
          <w:rFonts w:ascii="Arial" w:eastAsia="Calibri" w:hAnsi="Arial" w:cs="Times New Roman"/>
          <w:sz w:val="24"/>
          <w:lang w:val="en-ZA"/>
        </w:rPr>
        <w:t xml:space="preserve"> sensible meaning </w:t>
      </w:r>
      <w:r w:rsidR="00D909B3" w:rsidRPr="00CD1873">
        <w:rPr>
          <w:rFonts w:ascii="Arial" w:eastAsia="Calibri" w:hAnsi="Arial" w:cs="Times New Roman"/>
          <w:sz w:val="24"/>
          <w:lang w:val="en-ZA"/>
        </w:rPr>
        <w:t xml:space="preserve">must </w:t>
      </w:r>
      <w:r w:rsidR="007D72C5" w:rsidRPr="00CD1873">
        <w:rPr>
          <w:rFonts w:ascii="Arial" w:eastAsia="Calibri" w:hAnsi="Arial" w:cs="Times New Roman"/>
          <w:sz w:val="24"/>
          <w:lang w:val="en-ZA"/>
        </w:rPr>
        <w:t>be preferred to one that leads to insensible or unbusinesslike results or undermines the apparent purpose of the document</w:t>
      </w:r>
      <w:r w:rsidR="00994BA7" w:rsidRPr="00CD1873">
        <w:rPr>
          <w:rFonts w:ascii="Arial" w:eastAsia="Calibri" w:hAnsi="Arial" w:cs="Times New Roman"/>
          <w:sz w:val="24"/>
          <w:lang w:val="en-ZA"/>
        </w:rPr>
        <w:t>. I have no doubt that an interpretation that</w:t>
      </w:r>
      <w:r w:rsidR="0035492A" w:rsidRPr="00CD1873">
        <w:rPr>
          <w:rFonts w:ascii="Arial" w:eastAsia="Calibri" w:hAnsi="Arial" w:cs="Times New Roman"/>
          <w:sz w:val="24"/>
          <w:lang w:val="en-ZA"/>
        </w:rPr>
        <w:t xml:space="preserve"> the </w:t>
      </w:r>
      <w:r w:rsidR="00D909B3" w:rsidRPr="00CD1873">
        <w:rPr>
          <w:rFonts w:ascii="Arial" w:eastAsia="Calibri" w:hAnsi="Arial" w:cs="Times New Roman"/>
          <w:sz w:val="24"/>
          <w:lang w:val="en-ZA"/>
        </w:rPr>
        <w:t xml:space="preserve">injunction contained in </w:t>
      </w:r>
      <w:r w:rsidR="00994BA7" w:rsidRPr="00CD1873">
        <w:rPr>
          <w:rFonts w:ascii="Arial" w:eastAsia="Calibri" w:hAnsi="Arial" w:cs="Times New Roman"/>
          <w:sz w:val="24"/>
          <w:lang w:val="en-ZA"/>
        </w:rPr>
        <w:t>sub</w:t>
      </w:r>
      <w:r w:rsidR="0035492A" w:rsidRPr="00CD1873">
        <w:rPr>
          <w:rFonts w:ascii="Arial" w:eastAsia="Calibri" w:hAnsi="Arial" w:cs="Times New Roman"/>
          <w:sz w:val="24"/>
          <w:lang w:val="en-ZA"/>
        </w:rPr>
        <w:t>rule</w:t>
      </w:r>
      <w:r w:rsidR="00D909B3" w:rsidRPr="00CD1873">
        <w:rPr>
          <w:rFonts w:ascii="Arial" w:eastAsia="Calibri" w:hAnsi="Arial" w:cs="Times New Roman"/>
          <w:sz w:val="24"/>
          <w:lang w:val="en-ZA"/>
        </w:rPr>
        <w:t xml:space="preserve"> </w:t>
      </w:r>
      <w:r w:rsidR="00994BA7" w:rsidRPr="00CD1873">
        <w:rPr>
          <w:rFonts w:ascii="Arial" w:eastAsia="Calibri" w:hAnsi="Arial" w:cs="Times New Roman"/>
          <w:sz w:val="24"/>
          <w:lang w:val="en-ZA"/>
        </w:rPr>
        <w:t>110(4) is merely directory and may or may not be complied with</w:t>
      </w:r>
      <w:r w:rsidR="0035492A" w:rsidRPr="00CD1873">
        <w:rPr>
          <w:rFonts w:ascii="Arial" w:eastAsia="Calibri" w:hAnsi="Arial" w:cs="Times New Roman"/>
          <w:sz w:val="24"/>
          <w:lang w:val="en-ZA"/>
        </w:rPr>
        <w:t>,</w:t>
      </w:r>
      <w:r w:rsidR="00D909B3" w:rsidRPr="00CD1873">
        <w:rPr>
          <w:rFonts w:ascii="Arial" w:eastAsia="Calibri" w:hAnsi="Arial" w:cs="Times New Roman"/>
          <w:sz w:val="24"/>
          <w:lang w:val="en-ZA"/>
        </w:rPr>
        <w:t xml:space="preserve"> undermine</w:t>
      </w:r>
      <w:r w:rsidR="00994BA7" w:rsidRPr="00CD1873">
        <w:rPr>
          <w:rFonts w:ascii="Arial" w:eastAsia="Calibri" w:hAnsi="Arial" w:cs="Times New Roman"/>
          <w:sz w:val="24"/>
          <w:lang w:val="en-ZA"/>
        </w:rPr>
        <w:t>s</w:t>
      </w:r>
      <w:r w:rsidR="00D909B3" w:rsidRPr="00CD1873">
        <w:rPr>
          <w:rFonts w:ascii="Arial" w:eastAsia="Calibri" w:hAnsi="Arial" w:cs="Times New Roman"/>
          <w:sz w:val="24"/>
          <w:lang w:val="en-ZA"/>
        </w:rPr>
        <w:t xml:space="preserve"> the protection afforded to mortgagees.</w:t>
      </w:r>
      <w:r w:rsidR="00994BA7" w:rsidRPr="00CD1873">
        <w:rPr>
          <w:rFonts w:ascii="Arial" w:eastAsia="Calibri" w:hAnsi="Arial" w:cs="Times New Roman"/>
          <w:sz w:val="24"/>
          <w:lang w:val="en-ZA"/>
        </w:rPr>
        <w:t xml:space="preserve">  That interpretation must therefore be avoided.</w:t>
      </w:r>
    </w:p>
    <w:p w14:paraId="0287A3F1" w14:textId="77777777" w:rsidR="00FD4ECB" w:rsidRDefault="00FD4ECB" w:rsidP="00FD4ECB">
      <w:pPr>
        <w:pStyle w:val="ListParagraph"/>
        <w:shd w:val="clear" w:color="auto" w:fill="FFFFFF"/>
        <w:spacing w:after="0" w:line="480" w:lineRule="auto"/>
        <w:ind w:left="1"/>
        <w:jc w:val="both"/>
        <w:rPr>
          <w:rFonts w:ascii="Arial" w:eastAsia="Calibri" w:hAnsi="Arial" w:cs="Times New Roman"/>
          <w:sz w:val="24"/>
          <w:lang w:val="en-ZA"/>
        </w:rPr>
      </w:pPr>
    </w:p>
    <w:p w14:paraId="28A9154A" w14:textId="7950B2B9" w:rsidR="00663661" w:rsidRPr="00CD1873" w:rsidRDefault="00CD1873" w:rsidP="00CD1873">
      <w:pPr>
        <w:shd w:val="clear" w:color="auto" w:fill="FFFFFF"/>
        <w:spacing w:after="0" w:line="480" w:lineRule="auto"/>
        <w:ind w:firstLine="1"/>
        <w:jc w:val="both"/>
        <w:rPr>
          <w:rFonts w:ascii="Arial" w:eastAsia="Calibri" w:hAnsi="Arial" w:cs="Times New Roman"/>
          <w:sz w:val="24"/>
          <w:u w:val="single"/>
          <w:lang w:val="en-ZA"/>
        </w:rPr>
      </w:pPr>
      <w:r w:rsidRPr="00663661">
        <w:rPr>
          <w:rFonts w:ascii="Arial" w:eastAsia="Calibri" w:hAnsi="Arial" w:cs="Times New Roman"/>
          <w:sz w:val="24"/>
          <w:szCs w:val="24"/>
          <w:lang w:val="en-ZA"/>
        </w:rPr>
        <w:t>[50]</w:t>
      </w:r>
      <w:r w:rsidRPr="00663661">
        <w:rPr>
          <w:rFonts w:ascii="Arial" w:eastAsia="Calibri" w:hAnsi="Arial" w:cs="Times New Roman"/>
          <w:sz w:val="24"/>
          <w:szCs w:val="24"/>
          <w:lang w:val="en-ZA"/>
        </w:rPr>
        <w:tab/>
      </w:r>
      <w:r w:rsidR="00730EC7" w:rsidRPr="00CD1873">
        <w:rPr>
          <w:rFonts w:ascii="Arial" w:eastAsia="Calibri" w:hAnsi="Arial" w:cs="Times New Roman"/>
          <w:sz w:val="24"/>
          <w:lang w:val="en-ZA"/>
        </w:rPr>
        <w:t xml:space="preserve">The </w:t>
      </w:r>
      <w:r w:rsidR="00D909B3" w:rsidRPr="00CD1873">
        <w:rPr>
          <w:rFonts w:ascii="Arial" w:eastAsia="Calibri" w:hAnsi="Arial" w:cs="Times New Roman"/>
          <w:sz w:val="24"/>
          <w:lang w:val="en-ZA"/>
        </w:rPr>
        <w:t>s</w:t>
      </w:r>
      <w:r w:rsidR="0094022E" w:rsidRPr="00CD1873">
        <w:rPr>
          <w:rFonts w:ascii="Arial" w:eastAsia="Calibri" w:hAnsi="Arial" w:cs="Times New Roman"/>
          <w:sz w:val="24"/>
          <w:lang w:val="en-ZA"/>
        </w:rPr>
        <w:t xml:space="preserve">uggestion </w:t>
      </w:r>
      <w:r w:rsidR="00730EC7" w:rsidRPr="00CD1873">
        <w:rPr>
          <w:rFonts w:ascii="Arial" w:eastAsia="Calibri" w:hAnsi="Arial" w:cs="Times New Roman"/>
          <w:sz w:val="24"/>
          <w:lang w:val="en-ZA"/>
        </w:rPr>
        <w:t xml:space="preserve">by counsel for Mr Harris </w:t>
      </w:r>
      <w:r w:rsidR="0094022E" w:rsidRPr="00CD1873">
        <w:rPr>
          <w:rFonts w:ascii="Arial" w:eastAsia="Calibri" w:hAnsi="Arial" w:cs="Times New Roman"/>
          <w:sz w:val="24"/>
          <w:lang w:val="en-ZA"/>
        </w:rPr>
        <w:t xml:space="preserve">in argument that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D909B3" w:rsidRPr="00CD1873">
        <w:rPr>
          <w:rFonts w:ascii="Arial" w:eastAsia="Calibri" w:hAnsi="Arial" w:cs="Times New Roman"/>
          <w:sz w:val="24"/>
          <w:lang w:val="en-ZA"/>
        </w:rPr>
        <w:t xml:space="preserve"> s</w:t>
      </w:r>
      <w:r w:rsidR="0094022E" w:rsidRPr="00CD1873">
        <w:rPr>
          <w:rFonts w:ascii="Arial" w:eastAsia="Calibri" w:hAnsi="Arial" w:cs="Times New Roman"/>
          <w:sz w:val="24"/>
          <w:lang w:val="en-ZA"/>
        </w:rPr>
        <w:t>hould have had regard to the affidavit</w:t>
      </w:r>
      <w:r w:rsidR="00D909B3" w:rsidRPr="00CD1873">
        <w:rPr>
          <w:rFonts w:ascii="Arial" w:eastAsia="Calibri" w:hAnsi="Arial" w:cs="Times New Roman"/>
          <w:sz w:val="24"/>
          <w:lang w:val="en-ZA"/>
        </w:rPr>
        <w:t xml:space="preserve"> deposed to on behalf of FNB</w:t>
      </w:r>
      <w:r w:rsidR="0094022E" w:rsidRPr="00CD1873">
        <w:rPr>
          <w:rFonts w:ascii="Arial" w:eastAsia="Calibri" w:hAnsi="Arial" w:cs="Times New Roman"/>
          <w:sz w:val="24"/>
          <w:lang w:val="en-ZA"/>
        </w:rPr>
        <w:t>,</w:t>
      </w:r>
      <w:r w:rsidR="00D909B3" w:rsidRPr="00CD1873">
        <w:rPr>
          <w:rFonts w:ascii="Arial" w:eastAsia="Calibri" w:hAnsi="Arial" w:cs="Times New Roman"/>
          <w:sz w:val="24"/>
          <w:lang w:val="en-ZA"/>
        </w:rPr>
        <w:t xml:space="preserve"> misses the point that the conduct of the Deputy Sherriff must be judge</w:t>
      </w:r>
      <w:r w:rsidR="00730EC7" w:rsidRPr="00CD1873">
        <w:rPr>
          <w:rFonts w:ascii="Arial" w:eastAsia="Calibri" w:hAnsi="Arial" w:cs="Times New Roman"/>
          <w:sz w:val="24"/>
          <w:lang w:val="en-ZA"/>
        </w:rPr>
        <w:t>d</w:t>
      </w:r>
      <w:r w:rsidR="00D909B3" w:rsidRPr="00CD1873">
        <w:rPr>
          <w:rFonts w:ascii="Arial" w:eastAsia="Calibri" w:hAnsi="Arial" w:cs="Times New Roman"/>
          <w:sz w:val="24"/>
          <w:lang w:val="en-ZA"/>
        </w:rPr>
        <w:t xml:space="preserve"> prospectively and </w:t>
      </w:r>
      <w:r w:rsidR="00994BA7" w:rsidRPr="00CD1873">
        <w:rPr>
          <w:rFonts w:ascii="Arial" w:eastAsia="Calibri" w:hAnsi="Arial" w:cs="Times New Roman"/>
          <w:sz w:val="24"/>
          <w:lang w:val="en-ZA"/>
        </w:rPr>
        <w:t xml:space="preserve">not </w:t>
      </w:r>
      <w:r w:rsidR="00D909B3" w:rsidRPr="00CD1873">
        <w:rPr>
          <w:rFonts w:ascii="Arial" w:eastAsia="Calibri" w:hAnsi="Arial" w:cs="Times New Roman"/>
          <w:i/>
          <w:sz w:val="24"/>
          <w:lang w:val="en-ZA"/>
        </w:rPr>
        <w:t>ex post facto</w:t>
      </w:r>
      <w:r w:rsidR="00D909B3" w:rsidRPr="00CD1873">
        <w:rPr>
          <w:rFonts w:ascii="Arial" w:eastAsia="Calibri" w:hAnsi="Arial" w:cs="Times New Roman"/>
          <w:sz w:val="24"/>
          <w:lang w:val="en-ZA"/>
        </w:rPr>
        <w:t xml:space="preserve"> or after the occurrence of the events. I thus have no doubt that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D909B3" w:rsidRPr="00CD1873">
        <w:rPr>
          <w:rFonts w:ascii="Arial" w:eastAsia="Calibri" w:hAnsi="Arial" w:cs="Times New Roman"/>
          <w:sz w:val="24"/>
          <w:lang w:val="en-ZA"/>
        </w:rPr>
        <w:t xml:space="preserve"> was correct when it concluded </w:t>
      </w:r>
      <w:r w:rsidR="00663661" w:rsidRPr="00CD1873">
        <w:rPr>
          <w:rFonts w:ascii="Arial" w:eastAsia="Calibri" w:hAnsi="Arial" w:cs="Times New Roman"/>
          <w:sz w:val="24"/>
          <w:lang w:val="en-ZA"/>
        </w:rPr>
        <w:t xml:space="preserve">that </w:t>
      </w:r>
      <w:r w:rsidR="00663661" w:rsidRPr="00CD1873">
        <w:rPr>
          <w:rFonts w:ascii="Arial" w:hAnsi="Arial" w:cs="Arial"/>
          <w:sz w:val="24"/>
          <w:szCs w:val="24"/>
        </w:rPr>
        <w:t>rules 109 and 110</w:t>
      </w:r>
      <w:r w:rsidR="0094022E" w:rsidRPr="00CD1873">
        <w:rPr>
          <w:rFonts w:ascii="Arial" w:hAnsi="Arial" w:cs="Arial"/>
          <w:sz w:val="24"/>
          <w:szCs w:val="24"/>
        </w:rPr>
        <w:t>,</w:t>
      </w:r>
      <w:r w:rsidR="00994BA7" w:rsidRPr="00CD1873">
        <w:rPr>
          <w:rFonts w:ascii="Arial" w:hAnsi="Arial" w:cs="Arial"/>
          <w:sz w:val="24"/>
          <w:szCs w:val="24"/>
        </w:rPr>
        <w:t xml:space="preserve"> insofar as they relate to bond</w:t>
      </w:r>
      <w:r w:rsidR="00663661" w:rsidRPr="00CD1873">
        <w:rPr>
          <w:rFonts w:ascii="Arial" w:hAnsi="Arial" w:cs="Arial"/>
          <w:sz w:val="24"/>
          <w:szCs w:val="24"/>
        </w:rPr>
        <w:t>holders o</w:t>
      </w:r>
      <w:r w:rsidR="0094022E" w:rsidRPr="00CD1873">
        <w:rPr>
          <w:rFonts w:ascii="Arial" w:hAnsi="Arial" w:cs="Arial"/>
          <w:sz w:val="24"/>
          <w:szCs w:val="24"/>
        </w:rPr>
        <w:t xml:space="preserve">r local or regional authorities, </w:t>
      </w:r>
      <w:r w:rsidR="00663661" w:rsidRPr="00CD1873">
        <w:rPr>
          <w:rFonts w:ascii="Arial" w:hAnsi="Arial" w:cs="Arial"/>
          <w:sz w:val="24"/>
          <w:szCs w:val="24"/>
        </w:rPr>
        <w:t>were drafted to ensure adequate protection of their rights as a pre-emptive measure</w:t>
      </w:r>
      <w:r w:rsidR="00994BA7" w:rsidRPr="00CD1873">
        <w:rPr>
          <w:rFonts w:ascii="Arial" w:hAnsi="Arial" w:cs="Arial"/>
          <w:sz w:val="24"/>
          <w:szCs w:val="24"/>
        </w:rPr>
        <w:t xml:space="preserve">. I therefore find no fault with the conclusion of the </w:t>
      </w:r>
      <w:r w:rsidR="001E04D7" w:rsidRPr="00CD1873">
        <w:rPr>
          <w:rFonts w:ascii="Arial" w:hAnsi="Arial" w:cs="Arial"/>
          <w:sz w:val="24"/>
          <w:szCs w:val="24"/>
        </w:rPr>
        <w:t xml:space="preserve">court </w:t>
      </w:r>
      <w:r w:rsidR="001E04D7" w:rsidRPr="00CD1873">
        <w:rPr>
          <w:rFonts w:ascii="Arial" w:hAnsi="Arial" w:cs="Arial"/>
          <w:i/>
          <w:sz w:val="24"/>
          <w:szCs w:val="24"/>
        </w:rPr>
        <w:t>a quo</w:t>
      </w:r>
      <w:r w:rsidR="00663661" w:rsidRPr="00CD1873">
        <w:rPr>
          <w:rFonts w:ascii="Arial" w:hAnsi="Arial" w:cs="Arial"/>
          <w:sz w:val="24"/>
          <w:szCs w:val="24"/>
        </w:rPr>
        <w:t xml:space="preserve"> that non-compliance </w:t>
      </w:r>
      <w:r w:rsidR="00994BA7" w:rsidRPr="00CD1873">
        <w:rPr>
          <w:rFonts w:ascii="Arial" w:hAnsi="Arial" w:cs="Arial"/>
          <w:sz w:val="24"/>
          <w:szCs w:val="24"/>
        </w:rPr>
        <w:t xml:space="preserve">with rule 110(4) </w:t>
      </w:r>
      <w:r w:rsidR="00663661" w:rsidRPr="00CD1873">
        <w:rPr>
          <w:rFonts w:ascii="Arial" w:hAnsi="Arial" w:cs="Arial"/>
          <w:sz w:val="24"/>
          <w:szCs w:val="24"/>
        </w:rPr>
        <w:t xml:space="preserve">will defeat the object and intention of the Rules </w:t>
      </w:r>
      <w:r w:rsidR="001D74C2" w:rsidRPr="00CD1873">
        <w:rPr>
          <w:rFonts w:ascii="Arial" w:hAnsi="Arial" w:cs="Arial"/>
          <w:sz w:val="24"/>
          <w:szCs w:val="24"/>
        </w:rPr>
        <w:t xml:space="preserve">of Court </w:t>
      </w:r>
      <w:r w:rsidR="00663661" w:rsidRPr="00CD1873">
        <w:rPr>
          <w:rFonts w:ascii="Arial" w:hAnsi="Arial" w:cs="Arial"/>
          <w:sz w:val="24"/>
          <w:szCs w:val="24"/>
        </w:rPr>
        <w:t>and will lead to a nullity in the case of non-compliance.</w:t>
      </w:r>
    </w:p>
    <w:p w14:paraId="79A28F53" w14:textId="77777777" w:rsidR="00663661" w:rsidRPr="00663661" w:rsidRDefault="00663661" w:rsidP="00FD4ECB">
      <w:pPr>
        <w:pStyle w:val="ListParagraph"/>
        <w:spacing w:after="0" w:line="480" w:lineRule="auto"/>
        <w:rPr>
          <w:rFonts w:ascii="Arial" w:eastAsia="Calibri" w:hAnsi="Arial" w:cs="Times New Roman"/>
          <w:sz w:val="24"/>
          <w:u w:val="single"/>
          <w:lang w:val="en-ZA"/>
        </w:rPr>
      </w:pPr>
    </w:p>
    <w:p w14:paraId="6C615305" w14:textId="13A6B886" w:rsidR="00663661" w:rsidRPr="00CD1873" w:rsidRDefault="00CD1873" w:rsidP="00CD1873">
      <w:pPr>
        <w:shd w:val="clear" w:color="auto" w:fill="FFFFFF"/>
        <w:spacing w:after="0" w:line="480" w:lineRule="auto"/>
        <w:ind w:left="1" w:firstLine="1"/>
        <w:jc w:val="both"/>
        <w:rPr>
          <w:rFonts w:ascii="Arial" w:eastAsia="Calibri" w:hAnsi="Arial" w:cs="Times New Roman"/>
          <w:sz w:val="24"/>
          <w:u w:val="single"/>
          <w:lang w:val="en-ZA"/>
        </w:rPr>
      </w:pPr>
      <w:r w:rsidRPr="00663661">
        <w:rPr>
          <w:rFonts w:ascii="Arial" w:eastAsia="Calibri" w:hAnsi="Arial" w:cs="Times New Roman"/>
          <w:sz w:val="24"/>
          <w:szCs w:val="24"/>
          <w:lang w:val="en-ZA"/>
        </w:rPr>
        <w:lastRenderedPageBreak/>
        <w:t>[51]</w:t>
      </w:r>
      <w:r w:rsidRPr="00663661">
        <w:rPr>
          <w:rFonts w:ascii="Arial" w:eastAsia="Calibri" w:hAnsi="Arial" w:cs="Times New Roman"/>
          <w:sz w:val="24"/>
          <w:szCs w:val="24"/>
          <w:lang w:val="en-ZA"/>
        </w:rPr>
        <w:tab/>
      </w:r>
      <w:r w:rsidR="00663661" w:rsidRPr="00CD1873">
        <w:rPr>
          <w:rFonts w:ascii="Arial" w:eastAsia="Calibri" w:hAnsi="Arial" w:cs="Times New Roman"/>
          <w:sz w:val="24"/>
          <w:lang w:val="en-ZA"/>
        </w:rPr>
        <w:t xml:space="preserve">Having concluded that the </w:t>
      </w:r>
      <w:r w:rsidR="001E04D7" w:rsidRPr="00CD1873">
        <w:rPr>
          <w:rFonts w:ascii="Arial" w:eastAsia="Calibri" w:hAnsi="Arial" w:cs="Times New Roman"/>
          <w:sz w:val="24"/>
          <w:lang w:val="en-ZA"/>
        </w:rPr>
        <w:t>court</w:t>
      </w:r>
      <w:r w:rsidR="001E04D7" w:rsidRPr="00CD1873">
        <w:rPr>
          <w:rFonts w:ascii="Arial" w:eastAsia="Calibri" w:hAnsi="Arial" w:cs="Times New Roman"/>
          <w:i/>
          <w:sz w:val="24"/>
          <w:lang w:val="en-ZA"/>
        </w:rPr>
        <w:t xml:space="preserve"> a quo</w:t>
      </w:r>
      <w:r w:rsidR="00663661" w:rsidRPr="00CD1873">
        <w:rPr>
          <w:rFonts w:ascii="Arial" w:eastAsia="Calibri" w:hAnsi="Arial" w:cs="Times New Roman"/>
          <w:sz w:val="24"/>
          <w:lang w:val="en-ZA"/>
        </w:rPr>
        <w:t xml:space="preserve"> was correct in its conclusion that non-compliance with rule 110(4) results in a nullity, I do not find it necessary to deal with the other grounds of appeal</w:t>
      </w:r>
      <w:r w:rsidR="00FB4832" w:rsidRPr="00CD1873">
        <w:rPr>
          <w:rFonts w:ascii="Arial" w:eastAsia="Calibri" w:hAnsi="Arial" w:cs="Times New Roman"/>
          <w:sz w:val="24"/>
          <w:lang w:val="en-ZA"/>
        </w:rPr>
        <w:t xml:space="preserve"> or arguments raised at the hearing of the appeal</w:t>
      </w:r>
      <w:r w:rsidR="00663661" w:rsidRPr="00CD1873">
        <w:rPr>
          <w:rFonts w:ascii="Arial" w:eastAsia="Calibri" w:hAnsi="Arial" w:cs="Times New Roman"/>
          <w:sz w:val="24"/>
          <w:lang w:val="en-ZA"/>
        </w:rPr>
        <w:t xml:space="preserve">. </w:t>
      </w:r>
    </w:p>
    <w:p w14:paraId="6CBAC7FF" w14:textId="77777777" w:rsidR="00663661" w:rsidRPr="00663661" w:rsidRDefault="00663661" w:rsidP="00FD4ECB">
      <w:pPr>
        <w:pStyle w:val="ListParagraph"/>
        <w:spacing w:after="0" w:line="480" w:lineRule="auto"/>
        <w:rPr>
          <w:rFonts w:ascii="Arial" w:eastAsia="Calibri" w:hAnsi="Arial" w:cs="Times New Roman"/>
          <w:sz w:val="24"/>
          <w:u w:val="single"/>
          <w:lang w:val="en-ZA"/>
        </w:rPr>
      </w:pPr>
    </w:p>
    <w:p w14:paraId="5497721A" w14:textId="55057960" w:rsidR="00663661" w:rsidRPr="00A87300" w:rsidRDefault="009E231D" w:rsidP="00FD4ECB">
      <w:pPr>
        <w:pStyle w:val="ListParagraph"/>
        <w:shd w:val="clear" w:color="auto" w:fill="FFFFFF"/>
        <w:spacing w:after="0" w:line="480" w:lineRule="auto"/>
        <w:ind w:left="1"/>
        <w:jc w:val="both"/>
        <w:rPr>
          <w:rFonts w:ascii="Arial" w:hAnsi="Arial" w:cs="Arial"/>
          <w:sz w:val="24"/>
          <w:szCs w:val="24"/>
        </w:rPr>
      </w:pPr>
      <w:r w:rsidRPr="00663661">
        <w:rPr>
          <w:rFonts w:ascii="Arial" w:eastAsia="Calibri" w:hAnsi="Arial" w:cs="Times New Roman"/>
          <w:sz w:val="24"/>
          <w:u w:val="single"/>
          <w:lang w:val="en-ZA"/>
        </w:rPr>
        <w:t>Costs</w:t>
      </w:r>
    </w:p>
    <w:p w14:paraId="51014203" w14:textId="0F49A767" w:rsidR="0029722A" w:rsidRPr="00CD1873" w:rsidRDefault="00CD1873" w:rsidP="00CD1873">
      <w:pPr>
        <w:shd w:val="clear" w:color="auto" w:fill="FFFFFF"/>
        <w:spacing w:after="0" w:line="480" w:lineRule="auto"/>
        <w:jc w:val="both"/>
        <w:rPr>
          <w:rFonts w:ascii="Arial" w:hAnsi="Arial" w:cs="Arial"/>
          <w:sz w:val="24"/>
          <w:szCs w:val="24"/>
        </w:rPr>
      </w:pPr>
      <w:r w:rsidRPr="00663661">
        <w:rPr>
          <w:rFonts w:ascii="Arial" w:hAnsi="Arial" w:cs="Arial"/>
          <w:sz w:val="24"/>
          <w:szCs w:val="24"/>
        </w:rPr>
        <w:t>[52]</w:t>
      </w:r>
      <w:r w:rsidRPr="00663661">
        <w:rPr>
          <w:rFonts w:ascii="Arial" w:hAnsi="Arial" w:cs="Arial"/>
          <w:sz w:val="24"/>
          <w:szCs w:val="24"/>
        </w:rPr>
        <w:tab/>
      </w:r>
      <w:r w:rsidR="00663661" w:rsidRPr="00CD1873">
        <w:rPr>
          <w:rFonts w:ascii="Arial" w:hAnsi="Arial" w:cs="Arial"/>
          <w:sz w:val="24"/>
          <w:szCs w:val="24"/>
          <w:lang w:val="en-GB"/>
        </w:rPr>
        <w:t xml:space="preserve">There is no reason to depart from the general rule that costs must follow the result.  </w:t>
      </w:r>
      <w:r w:rsidR="00F977AB" w:rsidRPr="00CD1873">
        <w:rPr>
          <w:rFonts w:ascii="Arial" w:hAnsi="Arial" w:cs="Arial"/>
          <w:sz w:val="24"/>
          <w:szCs w:val="24"/>
          <w:lang w:val="en-GB"/>
        </w:rPr>
        <w:t>Mr Harris must</w:t>
      </w:r>
      <w:r w:rsidR="00663661" w:rsidRPr="00CD1873">
        <w:rPr>
          <w:rFonts w:ascii="Arial" w:hAnsi="Arial" w:cs="Arial"/>
          <w:sz w:val="24"/>
          <w:szCs w:val="24"/>
          <w:lang w:val="en-GB"/>
        </w:rPr>
        <w:t xml:space="preserve"> therefore pay the first respondent’s costs both in this </w:t>
      </w:r>
      <w:r w:rsidR="0041077B" w:rsidRPr="00CD1873">
        <w:rPr>
          <w:rFonts w:ascii="Arial" w:hAnsi="Arial" w:cs="Arial"/>
          <w:sz w:val="24"/>
          <w:szCs w:val="24"/>
          <w:lang w:val="en-GB"/>
        </w:rPr>
        <w:t xml:space="preserve">Court and </w:t>
      </w:r>
      <w:r w:rsidR="003664C7" w:rsidRPr="00CD1873">
        <w:rPr>
          <w:rFonts w:ascii="Arial" w:hAnsi="Arial" w:cs="Arial"/>
          <w:sz w:val="24"/>
          <w:szCs w:val="24"/>
          <w:lang w:val="en-GB"/>
        </w:rPr>
        <w:t xml:space="preserve">in </w:t>
      </w:r>
      <w:r w:rsidR="0041077B" w:rsidRPr="00CD1873">
        <w:rPr>
          <w:rFonts w:ascii="Arial" w:hAnsi="Arial" w:cs="Arial"/>
          <w:sz w:val="24"/>
          <w:szCs w:val="24"/>
          <w:lang w:val="en-GB"/>
        </w:rPr>
        <w:t xml:space="preserve">the </w:t>
      </w:r>
      <w:r w:rsidR="001E04D7" w:rsidRPr="00CD1873">
        <w:rPr>
          <w:rFonts w:ascii="Arial" w:hAnsi="Arial" w:cs="Arial"/>
          <w:i/>
          <w:sz w:val="24"/>
          <w:szCs w:val="24"/>
          <w:lang w:val="en-GB"/>
        </w:rPr>
        <w:t>court a quo</w:t>
      </w:r>
      <w:r w:rsidR="0041077B" w:rsidRPr="00CD1873">
        <w:rPr>
          <w:rFonts w:ascii="Arial" w:hAnsi="Arial" w:cs="Arial"/>
          <w:sz w:val="24"/>
          <w:szCs w:val="24"/>
          <w:lang w:val="en-GB"/>
        </w:rPr>
        <w:t>.</w:t>
      </w:r>
    </w:p>
    <w:p w14:paraId="384E3C84" w14:textId="77777777" w:rsidR="00663661" w:rsidRDefault="00663661" w:rsidP="00FD4ECB">
      <w:pPr>
        <w:spacing w:after="0" w:line="480" w:lineRule="auto"/>
        <w:jc w:val="both"/>
        <w:rPr>
          <w:rFonts w:ascii="Arial" w:hAnsi="Arial" w:cs="Arial"/>
          <w:sz w:val="24"/>
          <w:szCs w:val="24"/>
          <w:u w:val="single"/>
        </w:rPr>
      </w:pPr>
    </w:p>
    <w:p w14:paraId="2C745C1C" w14:textId="77777777" w:rsidR="009B54EA" w:rsidRPr="00A87300" w:rsidRDefault="00C213BF" w:rsidP="00FD4ECB">
      <w:pPr>
        <w:spacing w:after="0" w:line="480" w:lineRule="auto"/>
        <w:jc w:val="both"/>
        <w:rPr>
          <w:rFonts w:ascii="Arial" w:hAnsi="Arial" w:cs="Arial"/>
          <w:sz w:val="24"/>
          <w:szCs w:val="24"/>
          <w:u w:val="single"/>
        </w:rPr>
      </w:pPr>
      <w:r w:rsidRPr="00276985">
        <w:rPr>
          <w:rFonts w:ascii="Arial" w:hAnsi="Arial" w:cs="Arial"/>
          <w:sz w:val="24"/>
          <w:szCs w:val="24"/>
          <w:u w:val="single"/>
        </w:rPr>
        <w:t>Order</w:t>
      </w:r>
    </w:p>
    <w:p w14:paraId="06FE74F1" w14:textId="7BA7671E" w:rsidR="009E555E" w:rsidRPr="00CD1873" w:rsidRDefault="00CD1873" w:rsidP="00CD1873">
      <w:pPr>
        <w:shd w:val="clear" w:color="auto" w:fill="FFFFFF"/>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9E555E" w:rsidRPr="00CD1873">
        <w:rPr>
          <w:rFonts w:ascii="Arial" w:hAnsi="Arial" w:cs="Arial"/>
          <w:sz w:val="24"/>
          <w:szCs w:val="24"/>
        </w:rPr>
        <w:t xml:space="preserve">In the result, the following order is </w:t>
      </w:r>
      <w:r w:rsidR="00313D45" w:rsidRPr="00CD1873">
        <w:rPr>
          <w:rFonts w:ascii="Arial" w:hAnsi="Arial" w:cs="Arial"/>
          <w:sz w:val="24"/>
          <w:szCs w:val="24"/>
        </w:rPr>
        <w:t>made:</w:t>
      </w:r>
    </w:p>
    <w:p w14:paraId="6AD90210" w14:textId="77777777" w:rsidR="00412499" w:rsidRDefault="00412499" w:rsidP="00FD4ECB">
      <w:pPr>
        <w:spacing w:after="0" w:line="480" w:lineRule="auto"/>
        <w:jc w:val="both"/>
        <w:rPr>
          <w:rFonts w:ascii="Arial" w:hAnsi="Arial" w:cs="Arial"/>
          <w:b/>
          <w:sz w:val="24"/>
          <w:szCs w:val="24"/>
        </w:rPr>
      </w:pPr>
    </w:p>
    <w:p w14:paraId="223108B7" w14:textId="2910E304" w:rsidR="009B54EA" w:rsidRPr="00CD1873" w:rsidRDefault="00CD1873" w:rsidP="00CD1873">
      <w:pPr>
        <w:spacing w:after="0" w:line="480" w:lineRule="auto"/>
        <w:ind w:left="1080" w:hanging="360"/>
        <w:jc w:val="both"/>
        <w:rPr>
          <w:rFonts w:ascii="Arial" w:hAnsi="Arial" w:cs="Arial"/>
          <w:sz w:val="24"/>
          <w:szCs w:val="24"/>
        </w:rPr>
      </w:pPr>
      <w:r w:rsidRPr="0088462E">
        <w:rPr>
          <w:rFonts w:ascii="Arial" w:hAnsi="Arial" w:cs="Arial"/>
          <w:sz w:val="24"/>
          <w:szCs w:val="24"/>
        </w:rPr>
        <w:t>(a)</w:t>
      </w:r>
      <w:r w:rsidRPr="0088462E">
        <w:rPr>
          <w:rFonts w:ascii="Arial" w:hAnsi="Arial" w:cs="Arial"/>
          <w:sz w:val="24"/>
          <w:szCs w:val="24"/>
        </w:rPr>
        <w:tab/>
      </w:r>
      <w:r w:rsidR="009B54EA" w:rsidRPr="00CD1873">
        <w:rPr>
          <w:rFonts w:ascii="Arial" w:hAnsi="Arial" w:cs="Arial"/>
          <w:sz w:val="24"/>
          <w:szCs w:val="24"/>
          <w:lang w:val="en-GB"/>
        </w:rPr>
        <w:t>The appeal is dismissed with costs, such costs to include the costs of one instructing and one instructed legal practitioner.</w:t>
      </w:r>
    </w:p>
    <w:p w14:paraId="4E281358" w14:textId="77777777" w:rsidR="00F977AB" w:rsidRDefault="00F977AB" w:rsidP="00FD4ECB">
      <w:pPr>
        <w:spacing w:after="0" w:line="480" w:lineRule="auto"/>
        <w:jc w:val="both"/>
        <w:rPr>
          <w:rFonts w:ascii="Arial" w:hAnsi="Arial" w:cs="Arial"/>
          <w:b/>
          <w:sz w:val="24"/>
          <w:szCs w:val="24"/>
          <w:lang w:val="en-GB"/>
        </w:rPr>
      </w:pPr>
    </w:p>
    <w:p w14:paraId="727B0004" w14:textId="77777777" w:rsidR="00FB4633" w:rsidRDefault="00FB4633" w:rsidP="0088462E">
      <w:pPr>
        <w:spacing w:after="0" w:line="240" w:lineRule="auto"/>
        <w:jc w:val="both"/>
        <w:rPr>
          <w:rFonts w:ascii="Arial" w:hAnsi="Arial" w:cs="Arial"/>
          <w:b/>
          <w:sz w:val="24"/>
          <w:szCs w:val="24"/>
          <w:lang w:val="en-GB"/>
        </w:rPr>
      </w:pPr>
    </w:p>
    <w:p w14:paraId="53F866EA" w14:textId="77777777" w:rsidR="0088462E" w:rsidRDefault="0088462E" w:rsidP="0088462E">
      <w:pPr>
        <w:spacing w:after="0" w:line="240" w:lineRule="auto"/>
        <w:jc w:val="both"/>
        <w:rPr>
          <w:rFonts w:ascii="Arial" w:hAnsi="Arial" w:cs="Arial"/>
          <w:b/>
          <w:sz w:val="24"/>
          <w:szCs w:val="24"/>
          <w:lang w:val="en-GB"/>
        </w:rPr>
      </w:pPr>
    </w:p>
    <w:p w14:paraId="73BC8C9D" w14:textId="77777777" w:rsidR="009B54EA" w:rsidRPr="009B54EA" w:rsidRDefault="009B54EA" w:rsidP="0088462E">
      <w:pPr>
        <w:spacing w:after="0" w:line="276" w:lineRule="auto"/>
        <w:jc w:val="both"/>
        <w:rPr>
          <w:rFonts w:ascii="Arial" w:hAnsi="Arial" w:cs="Arial"/>
          <w:b/>
          <w:sz w:val="24"/>
          <w:szCs w:val="24"/>
          <w:lang w:val="en-GB"/>
        </w:rPr>
      </w:pPr>
      <w:r w:rsidRPr="009B54EA">
        <w:rPr>
          <w:rFonts w:ascii="Arial" w:hAnsi="Arial" w:cs="Arial"/>
          <w:b/>
          <w:sz w:val="24"/>
          <w:szCs w:val="24"/>
          <w:lang w:val="en-GB"/>
        </w:rPr>
        <w:t>_____________________</w:t>
      </w:r>
    </w:p>
    <w:p w14:paraId="236B6A48" w14:textId="77777777" w:rsidR="009B54EA" w:rsidRPr="009B54EA" w:rsidRDefault="00FB4832" w:rsidP="0088462E">
      <w:pPr>
        <w:spacing w:after="0" w:line="276" w:lineRule="auto"/>
        <w:jc w:val="both"/>
        <w:rPr>
          <w:rFonts w:ascii="Arial" w:hAnsi="Arial" w:cs="Arial"/>
          <w:b/>
          <w:sz w:val="24"/>
          <w:szCs w:val="24"/>
          <w:lang w:val="en-GB"/>
        </w:rPr>
      </w:pPr>
      <w:r>
        <w:rPr>
          <w:rFonts w:ascii="Arial" w:hAnsi="Arial" w:cs="Arial"/>
          <w:b/>
          <w:sz w:val="24"/>
          <w:szCs w:val="24"/>
          <w:lang w:val="en-GB"/>
        </w:rPr>
        <w:t xml:space="preserve">UEITELE </w:t>
      </w:r>
      <w:r w:rsidRPr="009B54EA">
        <w:rPr>
          <w:rFonts w:ascii="Arial" w:hAnsi="Arial" w:cs="Arial"/>
          <w:b/>
          <w:sz w:val="24"/>
          <w:szCs w:val="24"/>
          <w:lang w:val="en-GB"/>
        </w:rPr>
        <w:t>AJA</w:t>
      </w:r>
    </w:p>
    <w:p w14:paraId="6AD920BF" w14:textId="77777777" w:rsidR="00412499" w:rsidRDefault="00412499" w:rsidP="0088462E">
      <w:pPr>
        <w:spacing w:after="0" w:line="240" w:lineRule="auto"/>
        <w:jc w:val="both"/>
        <w:rPr>
          <w:rFonts w:ascii="Arial" w:hAnsi="Arial" w:cs="Arial"/>
          <w:b/>
          <w:sz w:val="24"/>
          <w:szCs w:val="24"/>
        </w:rPr>
      </w:pPr>
    </w:p>
    <w:p w14:paraId="0E0C833E" w14:textId="77777777" w:rsidR="0088462E" w:rsidRDefault="0088462E" w:rsidP="0088462E">
      <w:pPr>
        <w:spacing w:after="0" w:line="240" w:lineRule="auto"/>
        <w:jc w:val="both"/>
        <w:rPr>
          <w:rFonts w:ascii="Arial" w:hAnsi="Arial" w:cs="Arial"/>
          <w:b/>
          <w:sz w:val="24"/>
          <w:szCs w:val="24"/>
        </w:rPr>
      </w:pPr>
    </w:p>
    <w:p w14:paraId="1113A4BD" w14:textId="77777777" w:rsidR="0088462E" w:rsidRDefault="0088462E" w:rsidP="0088462E">
      <w:pPr>
        <w:spacing w:after="0" w:line="240" w:lineRule="auto"/>
        <w:jc w:val="both"/>
        <w:rPr>
          <w:rFonts w:ascii="Arial" w:hAnsi="Arial" w:cs="Arial"/>
          <w:b/>
          <w:sz w:val="24"/>
          <w:szCs w:val="24"/>
        </w:rPr>
      </w:pPr>
    </w:p>
    <w:p w14:paraId="26CA425D" w14:textId="77777777" w:rsidR="00FB4633" w:rsidRDefault="00FB4633" w:rsidP="0088462E">
      <w:pPr>
        <w:spacing w:after="0" w:line="240" w:lineRule="auto"/>
        <w:jc w:val="both"/>
        <w:rPr>
          <w:rFonts w:ascii="Arial" w:hAnsi="Arial" w:cs="Arial"/>
          <w:b/>
          <w:sz w:val="24"/>
          <w:szCs w:val="24"/>
        </w:rPr>
      </w:pPr>
    </w:p>
    <w:p w14:paraId="3860B0BE" w14:textId="6671D715" w:rsidR="009B54EA" w:rsidRPr="009B54EA" w:rsidRDefault="0088462E" w:rsidP="0088462E">
      <w:pPr>
        <w:spacing w:after="0" w:line="276" w:lineRule="auto"/>
        <w:jc w:val="both"/>
        <w:rPr>
          <w:rFonts w:ascii="Arial" w:hAnsi="Arial" w:cs="Arial"/>
          <w:b/>
          <w:sz w:val="24"/>
          <w:szCs w:val="24"/>
          <w:lang w:val="en-GB"/>
        </w:rPr>
      </w:pPr>
      <w:r>
        <w:rPr>
          <w:rFonts w:ascii="Arial" w:hAnsi="Arial" w:cs="Arial"/>
          <w:b/>
          <w:sz w:val="24"/>
          <w:szCs w:val="24"/>
          <w:lang w:val="en-GB"/>
        </w:rPr>
        <w:t>_____________________</w:t>
      </w:r>
    </w:p>
    <w:p w14:paraId="70694362" w14:textId="77777777" w:rsidR="009B54EA" w:rsidRPr="009B54EA" w:rsidRDefault="009B54EA" w:rsidP="0088462E">
      <w:pPr>
        <w:spacing w:after="0" w:line="276" w:lineRule="auto"/>
        <w:jc w:val="both"/>
        <w:rPr>
          <w:rFonts w:ascii="Arial" w:hAnsi="Arial" w:cs="Arial"/>
          <w:b/>
          <w:sz w:val="24"/>
          <w:szCs w:val="24"/>
          <w:lang w:val="en-GB"/>
        </w:rPr>
      </w:pPr>
      <w:r w:rsidRPr="009B54EA">
        <w:rPr>
          <w:rFonts w:ascii="Arial" w:hAnsi="Arial" w:cs="Arial"/>
          <w:b/>
          <w:sz w:val="24"/>
          <w:szCs w:val="24"/>
          <w:lang w:val="en-GB"/>
        </w:rPr>
        <w:t>SHIVUTE CJ</w:t>
      </w:r>
    </w:p>
    <w:p w14:paraId="06A71AB5" w14:textId="60126EC8" w:rsidR="009B54EA" w:rsidRDefault="009B54EA" w:rsidP="0088462E">
      <w:pPr>
        <w:spacing w:after="0" w:line="240" w:lineRule="auto"/>
        <w:jc w:val="both"/>
        <w:rPr>
          <w:rFonts w:ascii="Arial" w:hAnsi="Arial" w:cs="Arial"/>
          <w:b/>
          <w:noProof/>
          <w:sz w:val="24"/>
          <w:szCs w:val="24"/>
          <w:lang w:val="en-ZA" w:eastAsia="en-ZA"/>
        </w:rPr>
      </w:pPr>
    </w:p>
    <w:p w14:paraId="3E30CAD2" w14:textId="77777777" w:rsidR="006525AC" w:rsidRDefault="006525AC" w:rsidP="0088462E">
      <w:pPr>
        <w:spacing w:after="0" w:line="240" w:lineRule="auto"/>
        <w:jc w:val="both"/>
        <w:rPr>
          <w:rFonts w:ascii="Arial" w:hAnsi="Arial" w:cs="Arial"/>
          <w:b/>
          <w:noProof/>
          <w:sz w:val="24"/>
          <w:szCs w:val="24"/>
          <w:lang w:val="en-ZA" w:eastAsia="en-ZA"/>
        </w:rPr>
      </w:pPr>
    </w:p>
    <w:p w14:paraId="44AF145E" w14:textId="77777777" w:rsidR="006525AC" w:rsidRDefault="006525AC" w:rsidP="0088462E">
      <w:pPr>
        <w:spacing w:after="0" w:line="240" w:lineRule="auto"/>
        <w:jc w:val="both"/>
        <w:rPr>
          <w:rFonts w:ascii="Arial" w:hAnsi="Arial" w:cs="Arial"/>
          <w:b/>
          <w:noProof/>
          <w:sz w:val="24"/>
          <w:szCs w:val="24"/>
          <w:lang w:val="en-ZA" w:eastAsia="en-ZA"/>
        </w:rPr>
      </w:pPr>
    </w:p>
    <w:p w14:paraId="0BAD2BD3" w14:textId="77777777" w:rsidR="006525AC" w:rsidRDefault="006525AC" w:rsidP="0088462E">
      <w:pPr>
        <w:spacing w:after="0" w:line="240" w:lineRule="auto"/>
        <w:jc w:val="both"/>
        <w:rPr>
          <w:rFonts w:ascii="Arial" w:hAnsi="Arial" w:cs="Arial"/>
          <w:b/>
          <w:sz w:val="24"/>
          <w:szCs w:val="24"/>
          <w:lang w:val="en-GB"/>
        </w:rPr>
      </w:pPr>
    </w:p>
    <w:p w14:paraId="53B84335" w14:textId="77777777" w:rsidR="009B54EA" w:rsidRPr="009B54EA" w:rsidRDefault="009B54EA" w:rsidP="0088462E">
      <w:pPr>
        <w:spacing w:after="0" w:line="276" w:lineRule="auto"/>
        <w:jc w:val="both"/>
        <w:rPr>
          <w:rFonts w:ascii="Arial" w:hAnsi="Arial" w:cs="Arial"/>
          <w:b/>
          <w:sz w:val="24"/>
          <w:szCs w:val="24"/>
          <w:lang w:val="en-GB"/>
        </w:rPr>
      </w:pPr>
      <w:r w:rsidRPr="009B54EA">
        <w:rPr>
          <w:rFonts w:ascii="Arial" w:hAnsi="Arial" w:cs="Arial"/>
          <w:b/>
          <w:sz w:val="24"/>
          <w:szCs w:val="24"/>
          <w:lang w:val="en-GB"/>
        </w:rPr>
        <w:t>____________________</w:t>
      </w:r>
    </w:p>
    <w:p w14:paraId="5EF71D98" w14:textId="77777777" w:rsidR="009B54EA" w:rsidRPr="009B54EA" w:rsidRDefault="009B54EA" w:rsidP="0088462E">
      <w:pPr>
        <w:spacing w:after="0" w:line="276" w:lineRule="auto"/>
        <w:jc w:val="both"/>
        <w:rPr>
          <w:rFonts w:ascii="Arial" w:hAnsi="Arial" w:cs="Arial"/>
          <w:b/>
          <w:sz w:val="24"/>
          <w:szCs w:val="24"/>
          <w:lang w:val="en-GB"/>
        </w:rPr>
      </w:pPr>
      <w:r w:rsidRPr="009B54EA">
        <w:rPr>
          <w:rFonts w:ascii="Arial" w:hAnsi="Arial" w:cs="Arial"/>
          <w:b/>
          <w:sz w:val="24"/>
          <w:szCs w:val="24"/>
          <w:lang w:val="en-GB"/>
        </w:rPr>
        <w:t>DAMASEB DCJ</w:t>
      </w:r>
    </w:p>
    <w:p w14:paraId="49374C26" w14:textId="77777777" w:rsidR="009B54EA" w:rsidRPr="009B54EA" w:rsidRDefault="009B54EA" w:rsidP="0088462E">
      <w:pPr>
        <w:spacing w:after="0" w:line="240" w:lineRule="auto"/>
        <w:jc w:val="both"/>
        <w:rPr>
          <w:rFonts w:ascii="Arial" w:hAnsi="Arial" w:cs="Arial"/>
          <w:b/>
          <w:sz w:val="24"/>
          <w:szCs w:val="24"/>
          <w:lang w:val="en-GB"/>
        </w:rPr>
      </w:pPr>
    </w:p>
    <w:p w14:paraId="3788D9E7" w14:textId="5DC4DDAA" w:rsidR="00D519FD" w:rsidRPr="00276985" w:rsidRDefault="00D519FD" w:rsidP="0088462E">
      <w:pPr>
        <w:spacing w:after="0" w:line="240" w:lineRule="auto"/>
      </w:pPr>
    </w:p>
    <w:tbl>
      <w:tblPr>
        <w:tblW w:w="9214" w:type="dxa"/>
        <w:tblLook w:val="04A0" w:firstRow="1" w:lastRow="0" w:firstColumn="1" w:lastColumn="0" w:noHBand="0" w:noVBand="1"/>
      </w:tblPr>
      <w:tblGrid>
        <w:gridCol w:w="4536"/>
        <w:gridCol w:w="4678"/>
      </w:tblGrid>
      <w:tr w:rsidR="00276985" w:rsidRPr="00276985" w14:paraId="1F5AF9C9" w14:textId="77777777" w:rsidTr="00421DD4">
        <w:tc>
          <w:tcPr>
            <w:tcW w:w="4536" w:type="dxa"/>
            <w:shd w:val="clear" w:color="auto" w:fill="auto"/>
          </w:tcPr>
          <w:p w14:paraId="181C5228" w14:textId="011139FD" w:rsidR="00007E5E" w:rsidRPr="00276985" w:rsidRDefault="002F51C4"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lastRenderedPageBreak/>
              <w:t>A</w:t>
            </w:r>
            <w:r w:rsidR="00007E5E" w:rsidRPr="00276985">
              <w:rPr>
                <w:rFonts w:ascii="Arial" w:eastAsia="Calibri" w:hAnsi="Arial" w:cs="Arial"/>
                <w:sz w:val="24"/>
                <w:lang w:val="en-ZA"/>
              </w:rPr>
              <w:t>PPEARANCES</w:t>
            </w:r>
          </w:p>
          <w:p w14:paraId="118876D7"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p>
          <w:p w14:paraId="3B43D353"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APPELLANT:</w:t>
            </w:r>
          </w:p>
        </w:tc>
        <w:tc>
          <w:tcPr>
            <w:tcW w:w="4678" w:type="dxa"/>
            <w:shd w:val="clear" w:color="auto" w:fill="auto"/>
          </w:tcPr>
          <w:p w14:paraId="340ED9FD"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p>
          <w:p w14:paraId="38CD99A6"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p>
          <w:p w14:paraId="428C4DDF" w14:textId="7847E9CB" w:rsidR="00466BDA" w:rsidRPr="00276985" w:rsidRDefault="009B54EA"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M</w:t>
            </w:r>
            <w:r w:rsidR="0088462E">
              <w:rPr>
                <w:rFonts w:ascii="Arial" w:eastAsia="Calibri" w:hAnsi="Arial" w:cs="Arial"/>
                <w:sz w:val="24"/>
                <w:lang w:val="en-ZA"/>
              </w:rPr>
              <w:t xml:space="preserve"> J</w:t>
            </w:r>
            <w:r>
              <w:rPr>
                <w:rFonts w:ascii="Arial" w:eastAsia="Calibri" w:hAnsi="Arial" w:cs="Arial"/>
                <w:sz w:val="24"/>
                <w:lang w:val="en-ZA"/>
              </w:rPr>
              <w:t xml:space="preserve"> Fitzgerald </w:t>
            </w:r>
            <w:r w:rsidR="00730EC7">
              <w:rPr>
                <w:rFonts w:ascii="Arial" w:eastAsia="Calibri" w:hAnsi="Arial" w:cs="Arial"/>
                <w:sz w:val="24"/>
                <w:lang w:val="en-ZA"/>
              </w:rPr>
              <w:t xml:space="preserve">SC </w:t>
            </w:r>
            <w:r>
              <w:rPr>
                <w:rFonts w:ascii="Arial" w:eastAsia="Calibri" w:hAnsi="Arial" w:cs="Arial"/>
                <w:sz w:val="24"/>
                <w:lang w:val="en-ZA"/>
              </w:rPr>
              <w:t>(with him T Chibwana)</w:t>
            </w:r>
          </w:p>
          <w:p w14:paraId="1B943250" w14:textId="709AA8BA" w:rsidR="00007E5E" w:rsidRPr="00276985" w:rsidRDefault="009B54EA" w:rsidP="002F51C4">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 xml:space="preserve">Instructed by </w:t>
            </w:r>
            <w:r>
              <w:rPr>
                <w:rFonts w:ascii="Arial" w:eastAsia="Calibri" w:hAnsi="Arial" w:cs="Arial"/>
                <w:sz w:val="24"/>
                <w:lang w:val="en-ZA"/>
              </w:rPr>
              <w:t>Koep &amp; Partners</w:t>
            </w:r>
          </w:p>
        </w:tc>
      </w:tr>
      <w:tr w:rsidR="00276985" w:rsidRPr="00276985" w14:paraId="64BBF4D9" w14:textId="77777777" w:rsidTr="00421DD4">
        <w:tc>
          <w:tcPr>
            <w:tcW w:w="4536" w:type="dxa"/>
            <w:shd w:val="clear" w:color="auto" w:fill="auto"/>
          </w:tcPr>
          <w:p w14:paraId="002D5BE1"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p>
        </w:tc>
        <w:tc>
          <w:tcPr>
            <w:tcW w:w="4678" w:type="dxa"/>
            <w:shd w:val="clear" w:color="auto" w:fill="auto"/>
          </w:tcPr>
          <w:p w14:paraId="672A81A1" w14:textId="77777777" w:rsidR="00007E5E" w:rsidRPr="00276985" w:rsidRDefault="00007E5E" w:rsidP="002F51C4">
            <w:pPr>
              <w:autoSpaceDE w:val="0"/>
              <w:autoSpaceDN w:val="0"/>
              <w:adjustRightInd w:val="0"/>
              <w:spacing w:after="0" w:line="480" w:lineRule="auto"/>
              <w:jc w:val="both"/>
              <w:rPr>
                <w:rFonts w:ascii="Arial" w:eastAsia="Calibri" w:hAnsi="Arial" w:cs="Arial"/>
                <w:sz w:val="24"/>
                <w:lang w:val="en-ZA"/>
              </w:rPr>
            </w:pPr>
          </w:p>
        </w:tc>
      </w:tr>
      <w:tr w:rsidR="00276985" w:rsidRPr="00276985" w14:paraId="26807DC2" w14:textId="77777777" w:rsidTr="00421DD4">
        <w:tc>
          <w:tcPr>
            <w:tcW w:w="4536" w:type="dxa"/>
            <w:shd w:val="clear" w:color="auto" w:fill="auto"/>
          </w:tcPr>
          <w:p w14:paraId="19AD1E9F" w14:textId="458C4591" w:rsidR="00007E5E" w:rsidRPr="00276985" w:rsidRDefault="009B54EA"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 xml:space="preserve">FIRST </w:t>
            </w:r>
            <w:r w:rsidRPr="00276985">
              <w:rPr>
                <w:rFonts w:ascii="Arial" w:eastAsia="Calibri" w:hAnsi="Arial" w:cs="Arial"/>
                <w:sz w:val="24"/>
                <w:lang w:val="en-ZA"/>
              </w:rPr>
              <w:t>RESPONDENT</w:t>
            </w:r>
            <w:r w:rsidR="00007E5E" w:rsidRPr="00276985">
              <w:rPr>
                <w:rFonts w:ascii="Arial" w:eastAsia="Calibri" w:hAnsi="Arial" w:cs="Arial"/>
                <w:sz w:val="24"/>
                <w:lang w:val="en-ZA"/>
              </w:rPr>
              <w:t>:</w:t>
            </w:r>
          </w:p>
        </w:tc>
        <w:tc>
          <w:tcPr>
            <w:tcW w:w="4678" w:type="dxa"/>
            <w:shd w:val="clear" w:color="auto" w:fill="auto"/>
          </w:tcPr>
          <w:p w14:paraId="217C81EB" w14:textId="77777777" w:rsidR="009B20C5" w:rsidRPr="00276985" w:rsidRDefault="009B54EA"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C Van Der Westhuizen</w:t>
            </w:r>
          </w:p>
          <w:p w14:paraId="4090EB23" w14:textId="3155A092" w:rsidR="00007E5E" w:rsidRDefault="00EC30B6" w:rsidP="002F51C4">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 xml:space="preserve">Instructed by </w:t>
            </w:r>
            <w:r w:rsidR="009B54EA">
              <w:rPr>
                <w:rFonts w:ascii="Arial" w:eastAsia="Calibri" w:hAnsi="Arial" w:cs="Arial"/>
                <w:sz w:val="24"/>
                <w:lang w:val="en-ZA"/>
              </w:rPr>
              <w:t>Dr Weder, Kauta &amp; Hoveka</w:t>
            </w:r>
          </w:p>
          <w:p w14:paraId="12998498" w14:textId="77777777" w:rsidR="00421DD4" w:rsidRPr="00276985" w:rsidRDefault="00421DD4" w:rsidP="002F51C4">
            <w:pPr>
              <w:autoSpaceDE w:val="0"/>
              <w:autoSpaceDN w:val="0"/>
              <w:adjustRightInd w:val="0"/>
              <w:spacing w:after="0" w:line="480" w:lineRule="auto"/>
              <w:jc w:val="both"/>
              <w:rPr>
                <w:rFonts w:ascii="Arial" w:eastAsia="Calibri" w:hAnsi="Arial" w:cs="Arial"/>
                <w:sz w:val="24"/>
                <w:lang w:val="en-ZA"/>
              </w:rPr>
            </w:pPr>
          </w:p>
        </w:tc>
      </w:tr>
      <w:tr w:rsidR="00421DD4" w:rsidRPr="00276985" w14:paraId="18CB6DD6" w14:textId="77777777" w:rsidTr="00421DD4">
        <w:tc>
          <w:tcPr>
            <w:tcW w:w="4536" w:type="dxa"/>
            <w:shd w:val="clear" w:color="auto" w:fill="auto"/>
          </w:tcPr>
          <w:p w14:paraId="2A653A58" w14:textId="6D4D3236" w:rsidR="00421DD4" w:rsidRDefault="00421DD4"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SECOND TO SIXTH RESPOND</w:t>
            </w:r>
            <w:r w:rsidR="0088462E">
              <w:rPr>
                <w:rFonts w:ascii="Arial" w:eastAsia="Calibri" w:hAnsi="Arial" w:cs="Arial"/>
                <w:sz w:val="24"/>
                <w:lang w:val="en-ZA"/>
              </w:rPr>
              <w:t>ENT</w:t>
            </w:r>
            <w:r>
              <w:rPr>
                <w:rFonts w:ascii="Arial" w:eastAsia="Calibri" w:hAnsi="Arial" w:cs="Arial"/>
                <w:sz w:val="24"/>
                <w:lang w:val="en-ZA"/>
              </w:rPr>
              <w:t>S</w:t>
            </w:r>
            <w:r w:rsidR="00F44892">
              <w:rPr>
                <w:rFonts w:ascii="Arial" w:eastAsia="Calibri" w:hAnsi="Arial" w:cs="Arial"/>
                <w:sz w:val="24"/>
                <w:lang w:val="en-ZA"/>
              </w:rPr>
              <w:t>:</w:t>
            </w:r>
          </w:p>
        </w:tc>
        <w:tc>
          <w:tcPr>
            <w:tcW w:w="4678" w:type="dxa"/>
            <w:shd w:val="clear" w:color="auto" w:fill="auto"/>
          </w:tcPr>
          <w:p w14:paraId="087C04A9" w14:textId="77777777" w:rsidR="00421DD4" w:rsidRDefault="00F44892" w:rsidP="002F51C4">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No appearance</w:t>
            </w:r>
          </w:p>
        </w:tc>
      </w:tr>
      <w:tr w:rsidR="00421DD4" w:rsidRPr="00276985" w14:paraId="461356AD" w14:textId="77777777" w:rsidTr="00421DD4">
        <w:tc>
          <w:tcPr>
            <w:tcW w:w="4536" w:type="dxa"/>
            <w:shd w:val="clear" w:color="auto" w:fill="auto"/>
          </w:tcPr>
          <w:p w14:paraId="4F416530" w14:textId="77777777" w:rsidR="00421DD4" w:rsidRDefault="00421DD4" w:rsidP="002F51C4">
            <w:pPr>
              <w:autoSpaceDE w:val="0"/>
              <w:autoSpaceDN w:val="0"/>
              <w:adjustRightInd w:val="0"/>
              <w:spacing w:after="0" w:line="480" w:lineRule="auto"/>
              <w:ind w:right="-250"/>
              <w:jc w:val="both"/>
              <w:rPr>
                <w:rFonts w:ascii="Arial" w:eastAsia="Calibri" w:hAnsi="Arial" w:cs="Arial"/>
                <w:sz w:val="24"/>
                <w:lang w:val="en-ZA"/>
              </w:rPr>
            </w:pPr>
          </w:p>
        </w:tc>
        <w:tc>
          <w:tcPr>
            <w:tcW w:w="4678" w:type="dxa"/>
            <w:shd w:val="clear" w:color="auto" w:fill="auto"/>
          </w:tcPr>
          <w:p w14:paraId="1AD3AFFE" w14:textId="77777777" w:rsidR="00421DD4" w:rsidRDefault="00421DD4" w:rsidP="002F51C4">
            <w:pPr>
              <w:autoSpaceDE w:val="0"/>
              <w:autoSpaceDN w:val="0"/>
              <w:adjustRightInd w:val="0"/>
              <w:spacing w:after="0" w:line="480" w:lineRule="auto"/>
              <w:jc w:val="both"/>
              <w:rPr>
                <w:rFonts w:ascii="Arial" w:eastAsia="Calibri" w:hAnsi="Arial" w:cs="Arial"/>
                <w:sz w:val="24"/>
                <w:lang w:val="en-ZA"/>
              </w:rPr>
            </w:pPr>
          </w:p>
        </w:tc>
      </w:tr>
    </w:tbl>
    <w:p w14:paraId="6EF0F58C" w14:textId="77777777" w:rsidR="004F2D97" w:rsidRPr="00276985" w:rsidRDefault="004F2D97" w:rsidP="002F51C4">
      <w:pPr>
        <w:spacing w:after="0" w:line="480" w:lineRule="auto"/>
        <w:rPr>
          <w:rFonts w:ascii="Arial" w:hAnsi="Arial" w:cs="Arial"/>
        </w:rPr>
      </w:pPr>
    </w:p>
    <w:sectPr w:rsidR="004F2D97" w:rsidRPr="00276985" w:rsidSect="00AC21A0">
      <w:headerReference w:type="default" r:id="rId12"/>
      <w:pgSz w:w="11900" w:h="16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9235" w14:textId="77777777" w:rsidR="002A7274" w:rsidRDefault="002A7274">
      <w:pPr>
        <w:spacing w:after="0" w:line="240" w:lineRule="auto"/>
      </w:pPr>
      <w:r>
        <w:separator/>
      </w:r>
    </w:p>
  </w:endnote>
  <w:endnote w:type="continuationSeparator" w:id="0">
    <w:p w14:paraId="18A7B399" w14:textId="77777777" w:rsidR="002A7274" w:rsidRDefault="002A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F1E6" w14:textId="77777777" w:rsidR="002A7274" w:rsidRDefault="002A7274">
      <w:pPr>
        <w:spacing w:after="0" w:line="240" w:lineRule="auto"/>
      </w:pPr>
      <w:r>
        <w:separator/>
      </w:r>
    </w:p>
  </w:footnote>
  <w:footnote w:type="continuationSeparator" w:id="0">
    <w:p w14:paraId="38A934BF" w14:textId="77777777" w:rsidR="002A7274" w:rsidRDefault="002A7274">
      <w:pPr>
        <w:spacing w:after="0" w:line="240" w:lineRule="auto"/>
      </w:pPr>
      <w:r>
        <w:continuationSeparator/>
      </w:r>
    </w:p>
  </w:footnote>
  <w:footnote w:id="1">
    <w:p w14:paraId="1BFEF9F9" w14:textId="77777777" w:rsidR="000E0368" w:rsidRPr="003C28E9" w:rsidRDefault="000E0368" w:rsidP="000E0368">
      <w:pPr>
        <w:pStyle w:val="FootnoteText"/>
        <w:rPr>
          <w:sz w:val="20"/>
          <w:szCs w:val="20"/>
        </w:rPr>
      </w:pPr>
      <w:r w:rsidRPr="003C28E9">
        <w:rPr>
          <w:rStyle w:val="FootnoteReference"/>
          <w:rFonts w:ascii="Arial" w:hAnsi="Arial" w:cs="Arial"/>
          <w:sz w:val="20"/>
          <w:szCs w:val="20"/>
        </w:rPr>
        <w:footnoteRef/>
      </w:r>
      <w:r w:rsidRPr="003C28E9">
        <w:rPr>
          <w:rFonts w:ascii="Arial" w:hAnsi="Arial" w:cs="Arial"/>
          <w:sz w:val="20"/>
          <w:szCs w:val="20"/>
        </w:rPr>
        <w:t xml:space="preserve"> </w:t>
      </w:r>
      <w:r w:rsidRPr="003C28E9">
        <w:rPr>
          <w:rFonts w:ascii="Arial" w:hAnsi="Arial" w:cs="Arial"/>
          <w:i/>
          <w:sz w:val="20"/>
          <w:szCs w:val="20"/>
        </w:rPr>
        <w:t>Plascon Evans Paints v Van Riebeeck Paints (Pty) Ltd</w:t>
      </w:r>
      <w:r w:rsidRPr="003C28E9">
        <w:rPr>
          <w:rFonts w:ascii="Arial" w:hAnsi="Arial" w:cs="Arial"/>
          <w:sz w:val="20"/>
          <w:szCs w:val="20"/>
        </w:rPr>
        <w:t xml:space="preserve"> 1984 (3) SA 623 (A).</w:t>
      </w:r>
    </w:p>
  </w:footnote>
  <w:footnote w:id="2">
    <w:p w14:paraId="1FC8763D" w14:textId="77777777" w:rsidR="000C5833" w:rsidRPr="00FD4ECB" w:rsidRDefault="000C5833" w:rsidP="000C5833">
      <w:pPr>
        <w:pStyle w:val="FootnoteText"/>
        <w:tabs>
          <w:tab w:val="left" w:pos="284"/>
        </w:tabs>
        <w:rPr>
          <w:rFonts w:ascii="Arial" w:hAnsi="Arial" w:cs="Arial"/>
          <w:sz w:val="20"/>
          <w:szCs w:val="20"/>
        </w:rPr>
      </w:pPr>
      <w:r w:rsidRPr="00FD4ECB">
        <w:rPr>
          <w:rStyle w:val="FootnoteReference"/>
          <w:rFonts w:ascii="Arial" w:hAnsi="Arial" w:cs="Arial"/>
          <w:sz w:val="20"/>
          <w:szCs w:val="20"/>
        </w:rPr>
        <w:footnoteRef/>
      </w:r>
      <w:r w:rsidRPr="00FD4ECB">
        <w:rPr>
          <w:rFonts w:ascii="Arial" w:hAnsi="Arial" w:cs="Arial"/>
          <w:sz w:val="20"/>
          <w:szCs w:val="20"/>
        </w:rPr>
        <w:t xml:space="preserve"> </w:t>
      </w:r>
      <w:r w:rsidRPr="00FD4ECB">
        <w:rPr>
          <w:rFonts w:ascii="Arial" w:hAnsi="Arial" w:cs="Arial"/>
          <w:sz w:val="20"/>
          <w:szCs w:val="20"/>
        </w:rPr>
        <w:tab/>
        <w:t>Rule 109(2).</w:t>
      </w:r>
    </w:p>
  </w:footnote>
  <w:footnote w:id="3">
    <w:p w14:paraId="686CBF26" w14:textId="77777777" w:rsidR="00B104EB" w:rsidRDefault="00B104EB" w:rsidP="00B104EB">
      <w:pPr>
        <w:pStyle w:val="FootnoteText"/>
        <w:tabs>
          <w:tab w:val="left" w:pos="284"/>
        </w:tabs>
      </w:pPr>
      <w:r>
        <w:rPr>
          <w:rStyle w:val="FootnoteReference"/>
        </w:rPr>
        <w:footnoteRef/>
      </w:r>
      <w:r>
        <w:t xml:space="preserve"> </w:t>
      </w:r>
      <w:r>
        <w:tab/>
      </w:r>
      <w:r w:rsidRPr="00B2754B">
        <w:rPr>
          <w:rFonts w:ascii="Arial" w:hAnsi="Arial" w:cs="Arial"/>
          <w:sz w:val="20"/>
          <w:szCs w:val="20"/>
        </w:rPr>
        <w:t>Rule 109(</w:t>
      </w:r>
      <w:r>
        <w:rPr>
          <w:rFonts w:ascii="Arial" w:hAnsi="Arial" w:cs="Arial"/>
          <w:sz w:val="20"/>
          <w:szCs w:val="20"/>
        </w:rPr>
        <w:t>5</w:t>
      </w:r>
      <w:r w:rsidRPr="00B2754B">
        <w:rPr>
          <w:rFonts w:ascii="Arial" w:hAnsi="Arial" w:cs="Arial"/>
          <w:sz w:val="20"/>
          <w:szCs w:val="20"/>
        </w:rPr>
        <w:t>).</w:t>
      </w:r>
    </w:p>
  </w:footnote>
  <w:footnote w:id="4">
    <w:p w14:paraId="2EEE0F77" w14:textId="2BBFC892" w:rsidR="00835FA7" w:rsidRPr="003456F0" w:rsidRDefault="00835FA7" w:rsidP="0077098D">
      <w:pPr>
        <w:pStyle w:val="FootnoteText"/>
        <w:tabs>
          <w:tab w:val="left" w:pos="284"/>
        </w:tabs>
        <w:jc w:val="both"/>
        <w:rPr>
          <w:rFonts w:ascii="Arial" w:hAnsi="Arial" w:cs="Arial"/>
          <w:sz w:val="20"/>
          <w:szCs w:val="20"/>
        </w:rPr>
      </w:pPr>
      <w:r w:rsidRPr="003456F0">
        <w:rPr>
          <w:rStyle w:val="FootnoteReference"/>
          <w:rFonts w:ascii="Arial" w:hAnsi="Arial" w:cs="Arial"/>
          <w:sz w:val="20"/>
          <w:szCs w:val="20"/>
        </w:rPr>
        <w:footnoteRef/>
      </w:r>
      <w:r w:rsidRPr="003456F0">
        <w:rPr>
          <w:rFonts w:ascii="Arial" w:hAnsi="Arial" w:cs="Arial"/>
          <w:sz w:val="20"/>
          <w:szCs w:val="20"/>
        </w:rPr>
        <w:t xml:space="preserve"> </w:t>
      </w:r>
      <w:r w:rsidR="0077098D">
        <w:rPr>
          <w:rFonts w:ascii="Arial" w:hAnsi="Arial" w:cs="Arial"/>
          <w:sz w:val="20"/>
          <w:szCs w:val="20"/>
        </w:rPr>
        <w:t>P</w:t>
      </w:r>
      <w:r w:rsidR="0088462E">
        <w:rPr>
          <w:rFonts w:ascii="Arial" w:hAnsi="Arial" w:cs="Arial"/>
          <w:sz w:val="20"/>
          <w:szCs w:val="20"/>
        </w:rPr>
        <w:t xml:space="preserve"> </w:t>
      </w:r>
      <w:r w:rsidR="0077098D">
        <w:rPr>
          <w:rFonts w:ascii="Arial" w:hAnsi="Arial" w:cs="Arial"/>
          <w:sz w:val="20"/>
          <w:szCs w:val="20"/>
        </w:rPr>
        <w:t>J Badenhorst, J</w:t>
      </w:r>
      <w:r w:rsidR="0088462E">
        <w:rPr>
          <w:rFonts w:ascii="Arial" w:hAnsi="Arial" w:cs="Arial"/>
          <w:sz w:val="20"/>
          <w:szCs w:val="20"/>
        </w:rPr>
        <w:t xml:space="preserve"> </w:t>
      </w:r>
      <w:r w:rsidR="0077098D">
        <w:rPr>
          <w:rFonts w:ascii="Arial" w:hAnsi="Arial" w:cs="Arial"/>
          <w:sz w:val="20"/>
          <w:szCs w:val="20"/>
        </w:rPr>
        <w:t>M Pienaar</w:t>
      </w:r>
      <w:r w:rsidR="00382869">
        <w:rPr>
          <w:rFonts w:ascii="Arial" w:hAnsi="Arial" w:cs="Arial"/>
          <w:sz w:val="20"/>
          <w:szCs w:val="20"/>
        </w:rPr>
        <w:t xml:space="preserve"> and </w:t>
      </w:r>
      <w:r w:rsidR="0077098D">
        <w:rPr>
          <w:rFonts w:ascii="Arial" w:hAnsi="Arial" w:cs="Arial"/>
          <w:sz w:val="20"/>
          <w:szCs w:val="20"/>
        </w:rPr>
        <w:t>H Mostert</w:t>
      </w:r>
      <w:r w:rsidR="00C54A1E" w:rsidRPr="003456F0">
        <w:rPr>
          <w:rFonts w:ascii="Arial" w:hAnsi="Arial" w:cs="Arial"/>
          <w:sz w:val="20"/>
          <w:szCs w:val="20"/>
        </w:rPr>
        <w:t xml:space="preserve"> </w:t>
      </w:r>
      <w:r w:rsidRPr="003456F0">
        <w:rPr>
          <w:rFonts w:ascii="Arial" w:hAnsi="Arial" w:cs="Arial"/>
          <w:i/>
          <w:sz w:val="20"/>
          <w:szCs w:val="20"/>
        </w:rPr>
        <w:t>Silberberg and Schoeman’s</w:t>
      </w:r>
      <w:r w:rsidRPr="003456F0">
        <w:rPr>
          <w:rFonts w:ascii="Arial" w:hAnsi="Arial" w:cs="Arial"/>
          <w:sz w:val="20"/>
          <w:szCs w:val="20"/>
        </w:rPr>
        <w:t xml:space="preserve"> </w:t>
      </w:r>
      <w:r w:rsidRPr="003456F0">
        <w:rPr>
          <w:rFonts w:ascii="Arial" w:hAnsi="Arial" w:cs="Arial"/>
          <w:i/>
          <w:sz w:val="20"/>
          <w:szCs w:val="20"/>
        </w:rPr>
        <w:t>The Law of Property</w:t>
      </w:r>
      <w:r w:rsidR="00382869">
        <w:rPr>
          <w:rFonts w:ascii="Arial" w:hAnsi="Arial" w:cs="Arial"/>
          <w:i/>
          <w:sz w:val="20"/>
          <w:szCs w:val="20"/>
        </w:rPr>
        <w:t xml:space="preserve"> 5 </w:t>
      </w:r>
      <w:r w:rsidRPr="003456F0">
        <w:rPr>
          <w:rFonts w:ascii="Arial" w:hAnsi="Arial" w:cs="Arial"/>
          <w:sz w:val="20"/>
          <w:szCs w:val="20"/>
        </w:rPr>
        <w:t xml:space="preserve">ed at </w:t>
      </w:r>
      <w:r w:rsidR="00C54A1E" w:rsidRPr="003456F0">
        <w:rPr>
          <w:rFonts w:ascii="Arial" w:hAnsi="Arial" w:cs="Arial"/>
          <w:sz w:val="20"/>
          <w:szCs w:val="20"/>
        </w:rPr>
        <w:t>357</w:t>
      </w:r>
      <w:r w:rsidR="00382869">
        <w:rPr>
          <w:rFonts w:ascii="Arial" w:hAnsi="Arial" w:cs="Arial"/>
          <w:sz w:val="20"/>
          <w:szCs w:val="20"/>
        </w:rPr>
        <w:t>-</w:t>
      </w:r>
      <w:r w:rsidR="00C54A1E" w:rsidRPr="003456F0">
        <w:rPr>
          <w:rFonts w:ascii="Arial" w:hAnsi="Arial" w:cs="Arial"/>
          <w:sz w:val="20"/>
          <w:szCs w:val="20"/>
        </w:rPr>
        <w:t>35</w:t>
      </w:r>
      <w:r w:rsidRPr="003456F0">
        <w:rPr>
          <w:rFonts w:ascii="Arial" w:hAnsi="Arial" w:cs="Arial"/>
          <w:sz w:val="20"/>
          <w:szCs w:val="20"/>
        </w:rPr>
        <w:t>8.</w:t>
      </w:r>
    </w:p>
  </w:footnote>
  <w:footnote w:id="5">
    <w:p w14:paraId="7DD408F7" w14:textId="43DA2E9B" w:rsidR="0088313B" w:rsidRPr="003456F0" w:rsidRDefault="0088313B" w:rsidP="007C2336">
      <w:pPr>
        <w:pStyle w:val="FootnoteText"/>
        <w:tabs>
          <w:tab w:val="left" w:pos="284"/>
        </w:tabs>
        <w:rPr>
          <w:rFonts w:ascii="Arial" w:hAnsi="Arial" w:cs="Arial"/>
          <w:sz w:val="20"/>
          <w:szCs w:val="20"/>
        </w:rPr>
      </w:pPr>
      <w:r w:rsidRPr="003456F0">
        <w:rPr>
          <w:rStyle w:val="FootnoteReference"/>
          <w:rFonts w:ascii="Arial" w:hAnsi="Arial" w:cs="Arial"/>
          <w:sz w:val="20"/>
          <w:szCs w:val="20"/>
        </w:rPr>
        <w:footnoteRef/>
      </w:r>
      <w:r w:rsidR="0077098D">
        <w:rPr>
          <w:rFonts w:ascii="Arial" w:hAnsi="Arial" w:cs="Arial"/>
          <w:sz w:val="20"/>
          <w:szCs w:val="20"/>
        </w:rPr>
        <w:t xml:space="preserve"> </w:t>
      </w:r>
      <w:r w:rsidRPr="003456F0">
        <w:rPr>
          <w:rFonts w:ascii="Arial" w:eastAsia="Calibri" w:hAnsi="Arial" w:cs="Arial"/>
          <w:sz w:val="20"/>
          <w:szCs w:val="20"/>
          <w:lang w:val="en-ZA"/>
        </w:rPr>
        <w:t xml:space="preserve">See s 50(2) of </w:t>
      </w:r>
      <w:r w:rsidR="00D05838">
        <w:rPr>
          <w:rFonts w:ascii="Arial" w:eastAsia="Calibri" w:hAnsi="Arial" w:cs="Arial"/>
          <w:sz w:val="20"/>
          <w:szCs w:val="20"/>
        </w:rPr>
        <w:t xml:space="preserve">Deeds Registries Act </w:t>
      </w:r>
      <w:r w:rsidR="00DD1BF4" w:rsidRPr="003456F0">
        <w:rPr>
          <w:rFonts w:ascii="Arial" w:eastAsia="Calibri" w:hAnsi="Arial" w:cs="Arial"/>
          <w:sz w:val="20"/>
          <w:szCs w:val="20"/>
        </w:rPr>
        <w:t xml:space="preserve">47 of </w:t>
      </w:r>
      <w:r w:rsidRPr="003456F0">
        <w:rPr>
          <w:rFonts w:ascii="Arial" w:eastAsia="Calibri" w:hAnsi="Arial" w:cs="Arial"/>
          <w:sz w:val="20"/>
          <w:szCs w:val="20"/>
        </w:rPr>
        <w:t xml:space="preserve">1937. </w:t>
      </w:r>
    </w:p>
  </w:footnote>
  <w:footnote w:id="6">
    <w:p w14:paraId="4A68E989" w14:textId="243AC02F" w:rsidR="0088313B" w:rsidRPr="003456F0" w:rsidRDefault="0088313B" w:rsidP="00BD7A13">
      <w:pPr>
        <w:pStyle w:val="FootnoteText"/>
        <w:tabs>
          <w:tab w:val="left" w:pos="284"/>
        </w:tabs>
        <w:rPr>
          <w:rFonts w:ascii="Arial" w:hAnsi="Arial" w:cs="Arial"/>
          <w:sz w:val="20"/>
          <w:szCs w:val="20"/>
        </w:rPr>
      </w:pPr>
      <w:r w:rsidRPr="003456F0">
        <w:rPr>
          <w:rStyle w:val="FootnoteReference"/>
          <w:rFonts w:ascii="Arial" w:hAnsi="Arial" w:cs="Arial"/>
          <w:sz w:val="20"/>
          <w:szCs w:val="20"/>
        </w:rPr>
        <w:footnoteRef/>
      </w:r>
      <w:r w:rsidRPr="003456F0">
        <w:rPr>
          <w:rFonts w:ascii="Arial" w:hAnsi="Arial" w:cs="Arial"/>
          <w:sz w:val="20"/>
          <w:szCs w:val="20"/>
        </w:rPr>
        <w:t xml:space="preserve"> </w:t>
      </w:r>
      <w:r w:rsidR="00BD7A13" w:rsidRPr="003456F0">
        <w:rPr>
          <w:rFonts w:ascii="Arial" w:hAnsi="Arial" w:cs="Arial"/>
          <w:i/>
          <w:sz w:val="20"/>
          <w:szCs w:val="20"/>
        </w:rPr>
        <w:t>Lief NO v Dettmann</w:t>
      </w:r>
      <w:r w:rsidR="00BD7A13" w:rsidRPr="003456F0">
        <w:rPr>
          <w:rFonts w:ascii="Arial" w:hAnsi="Arial" w:cs="Arial"/>
          <w:sz w:val="20"/>
          <w:szCs w:val="20"/>
        </w:rPr>
        <w:t xml:space="preserve"> 1964 (2) SA 252 (A)</w:t>
      </w:r>
      <w:r w:rsidR="005C55A9">
        <w:rPr>
          <w:rFonts w:ascii="Arial" w:hAnsi="Arial" w:cs="Arial"/>
          <w:sz w:val="20"/>
          <w:szCs w:val="20"/>
        </w:rPr>
        <w:t xml:space="preserve"> at 259C-E</w:t>
      </w:r>
      <w:r w:rsidR="00BD7A13" w:rsidRPr="003456F0">
        <w:rPr>
          <w:rFonts w:ascii="Arial" w:hAnsi="Arial" w:cs="Arial"/>
          <w:sz w:val="20"/>
          <w:szCs w:val="20"/>
        </w:rPr>
        <w:t>.</w:t>
      </w:r>
    </w:p>
  </w:footnote>
  <w:footnote w:id="7">
    <w:p w14:paraId="35D405B6" w14:textId="6839E346" w:rsidR="009C5A3D" w:rsidRDefault="009C5A3D" w:rsidP="0077098D">
      <w:pPr>
        <w:pStyle w:val="FootnoteText"/>
        <w:tabs>
          <w:tab w:val="left" w:pos="284"/>
        </w:tabs>
        <w:jc w:val="both"/>
      </w:pPr>
      <w:r>
        <w:rPr>
          <w:rStyle w:val="FootnoteReference"/>
        </w:rPr>
        <w:footnoteRef/>
      </w:r>
      <w:r w:rsidR="0077098D">
        <w:t xml:space="preserve"> </w:t>
      </w:r>
      <w:r w:rsidRPr="00D51386">
        <w:rPr>
          <w:rFonts w:ascii="Arial" w:hAnsi="Arial" w:cs="Arial"/>
          <w:sz w:val="20"/>
          <w:szCs w:val="20"/>
        </w:rPr>
        <w:t xml:space="preserve">Section 102 of the </w:t>
      </w:r>
      <w:r w:rsidRPr="009C5A3D">
        <w:rPr>
          <w:rFonts w:ascii="Arial" w:hAnsi="Arial" w:cs="Arial"/>
          <w:sz w:val="20"/>
          <w:szCs w:val="20"/>
        </w:rPr>
        <w:t>Deeds Registries Act 47 of 1937</w:t>
      </w:r>
      <w:r w:rsidRPr="00D51386">
        <w:rPr>
          <w:rFonts w:ascii="Arial" w:hAnsi="Arial" w:cs="Arial"/>
          <w:sz w:val="20"/>
          <w:szCs w:val="20"/>
        </w:rPr>
        <w:t>, defines registrar as mean</w:t>
      </w:r>
      <w:r w:rsidR="00571593">
        <w:rPr>
          <w:rFonts w:ascii="Arial" w:hAnsi="Arial" w:cs="Arial"/>
          <w:sz w:val="20"/>
          <w:szCs w:val="20"/>
        </w:rPr>
        <w:t>ing</w:t>
      </w:r>
      <w:r w:rsidRPr="00D51386">
        <w:rPr>
          <w:rFonts w:ascii="Arial" w:hAnsi="Arial" w:cs="Arial"/>
          <w:sz w:val="20"/>
          <w:szCs w:val="20"/>
        </w:rPr>
        <w:t xml:space="preserve"> a registrar of deeds appointed under this Act, and, when used in relation to any deeds registry means the registrar in charge of that deeds registry; and when used in relation to a document means the registrar in charge of the deeds registry wherein that document is registered or registrable </w:t>
      </w:r>
      <w:r w:rsidR="0077098D">
        <w:rPr>
          <w:rFonts w:ascii="Arial" w:hAnsi="Arial" w:cs="Arial"/>
          <w:sz w:val="20"/>
          <w:szCs w:val="20"/>
        </w:rPr>
        <w:t>or intended to be used or filed.</w:t>
      </w:r>
    </w:p>
  </w:footnote>
  <w:footnote w:id="8">
    <w:p w14:paraId="21EBE1E6" w14:textId="79D82424" w:rsidR="0088313B" w:rsidRPr="003456F0" w:rsidRDefault="0088313B" w:rsidP="0077098D">
      <w:pPr>
        <w:pStyle w:val="FootnoteText"/>
        <w:tabs>
          <w:tab w:val="left" w:pos="284"/>
        </w:tabs>
        <w:rPr>
          <w:rFonts w:ascii="Arial" w:hAnsi="Arial" w:cs="Arial"/>
          <w:sz w:val="20"/>
          <w:szCs w:val="20"/>
        </w:rPr>
      </w:pPr>
      <w:r w:rsidRPr="003456F0">
        <w:rPr>
          <w:rStyle w:val="FootnoteReference"/>
          <w:rFonts w:ascii="Arial" w:hAnsi="Arial" w:cs="Arial"/>
          <w:sz w:val="20"/>
          <w:szCs w:val="20"/>
        </w:rPr>
        <w:footnoteRef/>
      </w:r>
      <w:r w:rsidR="0077098D">
        <w:rPr>
          <w:rFonts w:ascii="Arial" w:hAnsi="Arial" w:cs="Arial"/>
          <w:sz w:val="20"/>
          <w:szCs w:val="20"/>
        </w:rPr>
        <w:t xml:space="preserve"> </w:t>
      </w:r>
      <w:r w:rsidR="00BD7A13" w:rsidRPr="003456F0">
        <w:rPr>
          <w:rFonts w:ascii="Arial" w:hAnsi="Arial" w:cs="Arial"/>
          <w:sz w:val="20"/>
          <w:szCs w:val="20"/>
        </w:rPr>
        <w:t xml:space="preserve">Also see </w:t>
      </w:r>
      <w:r w:rsidRPr="003456F0">
        <w:rPr>
          <w:rFonts w:ascii="Arial" w:hAnsi="Arial" w:cs="Arial"/>
          <w:i/>
          <w:sz w:val="20"/>
          <w:szCs w:val="20"/>
        </w:rPr>
        <w:t xml:space="preserve">Standard Bank van Suid-Afrika Bpk v Breitenbach en </w:t>
      </w:r>
      <w:r w:rsidR="005C55A9">
        <w:rPr>
          <w:rFonts w:ascii="Arial" w:hAnsi="Arial" w:cs="Arial"/>
          <w:i/>
          <w:sz w:val="20"/>
          <w:szCs w:val="20"/>
        </w:rPr>
        <w:t>a</w:t>
      </w:r>
      <w:r w:rsidRPr="003456F0">
        <w:rPr>
          <w:rFonts w:ascii="Arial" w:hAnsi="Arial" w:cs="Arial"/>
          <w:i/>
          <w:sz w:val="20"/>
          <w:szCs w:val="20"/>
        </w:rPr>
        <w:t>ndere</w:t>
      </w:r>
      <w:r w:rsidR="005C55A9">
        <w:rPr>
          <w:rFonts w:ascii="Arial" w:hAnsi="Arial" w:cs="Arial"/>
          <w:i/>
          <w:sz w:val="20"/>
          <w:szCs w:val="20"/>
        </w:rPr>
        <w:t xml:space="preserve"> </w:t>
      </w:r>
      <w:r w:rsidRPr="003456F0">
        <w:rPr>
          <w:rFonts w:ascii="Arial" w:hAnsi="Arial" w:cs="Arial"/>
          <w:sz w:val="20"/>
          <w:szCs w:val="20"/>
        </w:rPr>
        <w:t>1977 (1) SA 151 (T).</w:t>
      </w:r>
    </w:p>
    <w:p w14:paraId="7145F2AB" w14:textId="77777777" w:rsidR="0088313B" w:rsidRPr="003456F0" w:rsidRDefault="0088313B" w:rsidP="0077098D">
      <w:pPr>
        <w:pStyle w:val="FootnoteText"/>
        <w:tabs>
          <w:tab w:val="left" w:pos="284"/>
        </w:tabs>
        <w:rPr>
          <w:rFonts w:ascii="Arial" w:hAnsi="Arial" w:cs="Arial"/>
          <w:sz w:val="20"/>
          <w:szCs w:val="20"/>
        </w:rPr>
      </w:pPr>
    </w:p>
  </w:footnote>
  <w:footnote w:id="9">
    <w:p w14:paraId="3DCD33E8" w14:textId="77777777" w:rsidR="0077098D" w:rsidRDefault="007D72C5" w:rsidP="0077098D">
      <w:pPr>
        <w:pStyle w:val="FootnoteText"/>
        <w:tabs>
          <w:tab w:val="left" w:pos="284"/>
        </w:tabs>
        <w:ind w:left="284" w:hanging="284"/>
        <w:jc w:val="both"/>
        <w:rPr>
          <w:rFonts w:ascii="Arial" w:hAnsi="Arial" w:cs="Arial"/>
          <w:sz w:val="20"/>
          <w:szCs w:val="20"/>
        </w:rPr>
      </w:pPr>
      <w:r w:rsidRPr="003456F0">
        <w:rPr>
          <w:rStyle w:val="FootnoteReference"/>
          <w:rFonts w:ascii="Arial" w:hAnsi="Arial" w:cs="Arial"/>
          <w:sz w:val="20"/>
          <w:szCs w:val="20"/>
        </w:rPr>
        <w:footnoteRef/>
      </w:r>
      <w:r w:rsidR="0077098D">
        <w:rPr>
          <w:rFonts w:ascii="Arial" w:hAnsi="Arial" w:cs="Arial"/>
          <w:sz w:val="20"/>
          <w:szCs w:val="20"/>
        </w:rPr>
        <w:t xml:space="preserve"> </w:t>
      </w:r>
      <w:r w:rsidRPr="003456F0">
        <w:rPr>
          <w:rFonts w:ascii="Arial" w:hAnsi="Arial" w:cs="Arial"/>
          <w:i/>
          <w:sz w:val="20"/>
          <w:szCs w:val="20"/>
        </w:rPr>
        <w:t>Total Namibia (Pty) Ltd v OBM Engineering and Petroleum Distributors CC</w:t>
      </w:r>
      <w:r w:rsidRPr="003456F0">
        <w:rPr>
          <w:rFonts w:ascii="Arial" w:hAnsi="Arial" w:cs="Arial"/>
          <w:sz w:val="20"/>
          <w:szCs w:val="20"/>
        </w:rPr>
        <w:t xml:space="preserve"> 2015 (3) NR 733 (SC)</w:t>
      </w:r>
      <w:r w:rsidR="00D05838">
        <w:rPr>
          <w:rFonts w:ascii="Arial" w:hAnsi="Arial" w:cs="Arial"/>
          <w:sz w:val="20"/>
          <w:szCs w:val="20"/>
        </w:rPr>
        <w:t xml:space="preserve"> </w:t>
      </w:r>
    </w:p>
    <w:p w14:paraId="237B7A37" w14:textId="044D1670" w:rsidR="007D72C5" w:rsidRPr="003456F0" w:rsidRDefault="0015226A" w:rsidP="0077098D">
      <w:pPr>
        <w:pStyle w:val="FootnoteText"/>
        <w:tabs>
          <w:tab w:val="left" w:pos="284"/>
        </w:tabs>
        <w:ind w:left="284" w:hanging="284"/>
        <w:jc w:val="both"/>
        <w:rPr>
          <w:rFonts w:ascii="Arial" w:hAnsi="Arial" w:cs="Arial"/>
          <w:sz w:val="20"/>
          <w:szCs w:val="20"/>
        </w:rPr>
      </w:pPr>
      <w:r w:rsidRPr="003456F0">
        <w:rPr>
          <w:rFonts w:ascii="Arial" w:hAnsi="Arial" w:cs="Arial"/>
          <w:sz w:val="20"/>
          <w:szCs w:val="20"/>
        </w:rPr>
        <w:t>para 18</w:t>
      </w:r>
      <w:r w:rsidR="007D72C5" w:rsidRPr="003456F0">
        <w:rPr>
          <w:rFonts w:ascii="Arial" w:hAnsi="Arial" w:cs="Arial"/>
          <w:sz w:val="20"/>
          <w:szCs w:val="20"/>
        </w:rPr>
        <w:t>.</w:t>
      </w:r>
    </w:p>
  </w:footnote>
  <w:footnote w:id="10">
    <w:p w14:paraId="530C5FA1" w14:textId="77777777" w:rsidR="00A27B94" w:rsidRPr="003456F0" w:rsidRDefault="00A27B94" w:rsidP="00A27B94">
      <w:pPr>
        <w:pStyle w:val="FootnoteText"/>
        <w:tabs>
          <w:tab w:val="left" w:pos="284"/>
        </w:tabs>
        <w:rPr>
          <w:rFonts w:ascii="Arial" w:hAnsi="Arial" w:cs="Arial"/>
          <w:sz w:val="20"/>
          <w:szCs w:val="20"/>
        </w:rPr>
      </w:pPr>
      <w:r w:rsidRPr="003456F0">
        <w:rPr>
          <w:rStyle w:val="FootnoteReference"/>
          <w:rFonts w:ascii="Arial" w:hAnsi="Arial" w:cs="Arial"/>
          <w:sz w:val="20"/>
          <w:szCs w:val="20"/>
        </w:rPr>
        <w:footnoteRef/>
      </w:r>
      <w:r w:rsidRPr="003456F0">
        <w:rPr>
          <w:rFonts w:ascii="Arial" w:hAnsi="Arial" w:cs="Arial"/>
          <w:sz w:val="20"/>
          <w:szCs w:val="20"/>
        </w:rPr>
        <w:t xml:space="preserve"> </w:t>
      </w:r>
      <w:r w:rsidRPr="003456F0">
        <w:rPr>
          <w:rFonts w:ascii="Arial" w:hAnsi="Arial" w:cs="Arial"/>
          <w:i/>
          <w:sz w:val="20"/>
          <w:szCs w:val="20"/>
        </w:rPr>
        <w:t>Messenger of the Magistrate's Court, Durban v Pillay</w:t>
      </w:r>
      <w:r w:rsidRPr="003456F0">
        <w:rPr>
          <w:rFonts w:ascii="Arial" w:hAnsi="Arial" w:cs="Arial"/>
          <w:sz w:val="20"/>
          <w:szCs w:val="20"/>
        </w:rPr>
        <w:t xml:space="preserve"> 1952 (3) SA 678 (A).</w:t>
      </w:r>
    </w:p>
  </w:footnote>
  <w:footnote w:id="11">
    <w:p w14:paraId="1CBD808D" w14:textId="12FF34C1" w:rsidR="003456F0" w:rsidRPr="003456F0" w:rsidRDefault="003456F0" w:rsidP="003456F0">
      <w:pPr>
        <w:pStyle w:val="FootnoteText"/>
        <w:ind w:left="426" w:hanging="426"/>
        <w:rPr>
          <w:rFonts w:ascii="Arial" w:hAnsi="Arial" w:cs="Arial"/>
          <w:sz w:val="20"/>
          <w:szCs w:val="20"/>
          <w:lang w:val="en-GB"/>
        </w:rPr>
      </w:pPr>
      <w:r w:rsidRPr="003456F0">
        <w:rPr>
          <w:rStyle w:val="FootnoteReference"/>
          <w:rFonts w:ascii="Arial" w:hAnsi="Arial" w:cs="Arial"/>
          <w:sz w:val="20"/>
          <w:szCs w:val="20"/>
        </w:rPr>
        <w:footnoteRef/>
      </w:r>
      <w:r w:rsidRPr="003456F0">
        <w:rPr>
          <w:rFonts w:ascii="Arial" w:hAnsi="Arial" w:cs="Arial"/>
          <w:sz w:val="20"/>
          <w:szCs w:val="20"/>
        </w:rPr>
        <w:t xml:space="preserve"> </w:t>
      </w:r>
      <w:r w:rsidR="003664C7">
        <w:rPr>
          <w:rFonts w:ascii="Arial" w:hAnsi="Arial" w:cs="Arial"/>
          <w:sz w:val="20"/>
          <w:szCs w:val="20"/>
        </w:rPr>
        <w:t xml:space="preserve">G F </w:t>
      </w:r>
      <w:r w:rsidR="00730EC7">
        <w:rPr>
          <w:rFonts w:ascii="Arial" w:hAnsi="Arial" w:cs="Arial"/>
          <w:sz w:val="20"/>
          <w:szCs w:val="20"/>
        </w:rPr>
        <w:t xml:space="preserve">L Bridgman </w:t>
      </w:r>
      <w:r w:rsidRPr="00BE1111">
        <w:rPr>
          <w:rFonts w:ascii="Arial" w:hAnsi="Arial" w:cs="Arial"/>
          <w:i/>
          <w:sz w:val="20"/>
          <w:szCs w:val="20"/>
          <w:lang w:val="en-ZA"/>
        </w:rPr>
        <w:t xml:space="preserve">Maxwell </w:t>
      </w:r>
      <w:r w:rsidR="00C814AC" w:rsidRPr="00BE1111">
        <w:rPr>
          <w:rFonts w:ascii="Arial" w:hAnsi="Arial" w:cs="Arial"/>
          <w:i/>
          <w:sz w:val="20"/>
          <w:szCs w:val="20"/>
          <w:lang w:val="en-ZA"/>
        </w:rPr>
        <w:t>on Interpretation</w:t>
      </w:r>
      <w:r w:rsidRPr="00BE1111">
        <w:rPr>
          <w:rFonts w:ascii="Arial" w:hAnsi="Arial" w:cs="Arial"/>
          <w:i/>
          <w:sz w:val="20"/>
          <w:szCs w:val="20"/>
          <w:lang w:val="en-ZA"/>
        </w:rPr>
        <w:t xml:space="preserve"> of Statutes</w:t>
      </w:r>
      <w:r w:rsidRPr="003456F0">
        <w:rPr>
          <w:rFonts w:ascii="Arial" w:hAnsi="Arial" w:cs="Arial"/>
          <w:sz w:val="20"/>
          <w:szCs w:val="20"/>
          <w:lang w:val="en-ZA"/>
        </w:rPr>
        <w:t xml:space="preserve"> 7</w:t>
      </w:r>
      <w:r w:rsidR="00467251">
        <w:rPr>
          <w:rFonts w:ascii="Arial" w:hAnsi="Arial" w:cs="Arial"/>
          <w:sz w:val="20"/>
          <w:szCs w:val="20"/>
          <w:vertAlign w:val="superscript"/>
          <w:lang w:val="en-ZA"/>
        </w:rPr>
        <w:t xml:space="preserve"> </w:t>
      </w:r>
      <w:r w:rsidR="00467251">
        <w:rPr>
          <w:rFonts w:ascii="Arial" w:hAnsi="Arial" w:cs="Arial"/>
          <w:sz w:val="20"/>
          <w:szCs w:val="20"/>
          <w:lang w:val="en-ZA"/>
        </w:rPr>
        <w:t>ed</w:t>
      </w:r>
      <w:r w:rsidRPr="003456F0">
        <w:rPr>
          <w:rFonts w:ascii="Arial" w:hAnsi="Arial" w:cs="Arial"/>
          <w:sz w:val="20"/>
          <w:szCs w:val="20"/>
          <w:lang w:val="en-ZA"/>
        </w:rPr>
        <w:t xml:space="preserve">  </w:t>
      </w:r>
      <w:r w:rsidR="00730EC7">
        <w:rPr>
          <w:rFonts w:ascii="Arial" w:hAnsi="Arial" w:cs="Arial"/>
          <w:sz w:val="20"/>
          <w:szCs w:val="20"/>
          <w:lang w:val="en-ZA"/>
        </w:rPr>
        <w:t xml:space="preserve">(2009) at </w:t>
      </w:r>
      <w:r w:rsidR="009C5A3D">
        <w:rPr>
          <w:rFonts w:ascii="Arial" w:hAnsi="Arial" w:cs="Arial"/>
          <w:sz w:val="20"/>
          <w:szCs w:val="20"/>
          <w:lang w:val="en-ZA"/>
        </w:rPr>
        <w:t>p316.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43161"/>
      <w:docPartObj>
        <w:docPartGallery w:val="Page Numbers (Top of Page)"/>
        <w:docPartUnique/>
      </w:docPartObj>
    </w:sdtPr>
    <w:sdtEndPr>
      <w:rPr>
        <w:noProof/>
      </w:rPr>
    </w:sdtEndPr>
    <w:sdtContent>
      <w:p w14:paraId="03ACDBBA" w14:textId="77777777" w:rsidR="0088313B" w:rsidRDefault="0088313B">
        <w:pPr>
          <w:pStyle w:val="Header"/>
          <w:jc w:val="right"/>
        </w:pPr>
        <w:r w:rsidRPr="0007607B">
          <w:rPr>
            <w:rFonts w:ascii="Arial" w:hAnsi="Arial" w:cs="Arial"/>
            <w:sz w:val="24"/>
            <w:szCs w:val="24"/>
          </w:rPr>
          <w:fldChar w:fldCharType="begin"/>
        </w:r>
        <w:r w:rsidRPr="0007607B">
          <w:rPr>
            <w:rFonts w:ascii="Arial" w:hAnsi="Arial" w:cs="Arial"/>
            <w:sz w:val="24"/>
            <w:szCs w:val="24"/>
          </w:rPr>
          <w:instrText xml:space="preserve"> PAGE   \* MERGEFORMAT </w:instrText>
        </w:r>
        <w:r w:rsidRPr="0007607B">
          <w:rPr>
            <w:rFonts w:ascii="Arial" w:hAnsi="Arial" w:cs="Arial"/>
            <w:sz w:val="24"/>
            <w:szCs w:val="24"/>
          </w:rPr>
          <w:fldChar w:fldCharType="separate"/>
        </w:r>
        <w:r w:rsidR="006525AC">
          <w:rPr>
            <w:rFonts w:ascii="Arial" w:hAnsi="Arial" w:cs="Arial"/>
            <w:noProof/>
            <w:sz w:val="24"/>
            <w:szCs w:val="24"/>
          </w:rPr>
          <w:t>22</w:t>
        </w:r>
        <w:r w:rsidRPr="0007607B">
          <w:rPr>
            <w:rFonts w:ascii="Arial" w:hAnsi="Arial" w:cs="Arial"/>
            <w:noProof/>
            <w:sz w:val="24"/>
            <w:szCs w:val="24"/>
          </w:rPr>
          <w:fldChar w:fldCharType="end"/>
        </w:r>
      </w:p>
    </w:sdtContent>
  </w:sdt>
  <w:p w14:paraId="19761456" w14:textId="77777777" w:rsidR="0088313B" w:rsidRDefault="0088313B">
    <w:pPr>
      <w:pStyle w:val="Header"/>
    </w:pPr>
  </w:p>
  <w:p w14:paraId="61F6EFB2" w14:textId="77777777" w:rsidR="0088313B" w:rsidRDefault="008831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E2"/>
    <w:multiLevelType w:val="hybridMultilevel"/>
    <w:tmpl w:val="EA8A3C20"/>
    <w:lvl w:ilvl="0" w:tplc="CB98FF4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B225162"/>
    <w:multiLevelType w:val="hybridMultilevel"/>
    <w:tmpl w:val="46186AC2"/>
    <w:lvl w:ilvl="0" w:tplc="61789F9A">
      <w:start w:val="1"/>
      <w:numFmt w:val="lowerLetter"/>
      <w:lvlText w:val="%1)"/>
      <w:lvlJc w:val="left"/>
      <w:pPr>
        <w:ind w:left="360" w:hanging="360"/>
      </w:pPr>
      <w:rPr>
        <w:rFonts w:hint="default"/>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15:restartNumberingAfterBreak="0">
    <w:nsid w:val="0E38257F"/>
    <w:multiLevelType w:val="hybridMultilevel"/>
    <w:tmpl w:val="F11EA35C"/>
    <w:lvl w:ilvl="0" w:tplc="BF06F3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76734"/>
    <w:multiLevelType w:val="hybridMultilevel"/>
    <w:tmpl w:val="D8467DB6"/>
    <w:lvl w:ilvl="0" w:tplc="44666338">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6" w15:restartNumberingAfterBreak="0">
    <w:nsid w:val="1B967B1E"/>
    <w:multiLevelType w:val="hybridMultilevel"/>
    <w:tmpl w:val="1EBC73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7910DD"/>
    <w:multiLevelType w:val="hybridMultilevel"/>
    <w:tmpl w:val="5C0A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35A9C"/>
    <w:multiLevelType w:val="hybridMultilevel"/>
    <w:tmpl w:val="DC90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E02CE"/>
    <w:multiLevelType w:val="hybridMultilevel"/>
    <w:tmpl w:val="9AAC295A"/>
    <w:lvl w:ilvl="0" w:tplc="83420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E41AC5"/>
    <w:multiLevelType w:val="hybridMultilevel"/>
    <w:tmpl w:val="4D2C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848DB"/>
    <w:multiLevelType w:val="hybridMultilevel"/>
    <w:tmpl w:val="54940DB8"/>
    <w:lvl w:ilvl="0" w:tplc="84D43D7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C4B7FF0"/>
    <w:multiLevelType w:val="hybridMultilevel"/>
    <w:tmpl w:val="BB2CF64A"/>
    <w:lvl w:ilvl="0" w:tplc="DEC24B6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FC259D"/>
    <w:multiLevelType w:val="hybridMultilevel"/>
    <w:tmpl w:val="5CBAD1B4"/>
    <w:lvl w:ilvl="0" w:tplc="543E2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4DD32C0"/>
    <w:multiLevelType w:val="hybridMultilevel"/>
    <w:tmpl w:val="1D242FAE"/>
    <w:lvl w:ilvl="0" w:tplc="0C2676D2">
      <w:start w:val="1"/>
      <w:numFmt w:val="decimal"/>
      <w:lvlText w:val="[%1]"/>
      <w:lvlJc w:val="left"/>
      <w:pPr>
        <w:ind w:left="9008"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C65F60"/>
    <w:multiLevelType w:val="hybridMultilevel"/>
    <w:tmpl w:val="3AC29774"/>
    <w:lvl w:ilvl="0" w:tplc="2B525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8B41B90"/>
    <w:multiLevelType w:val="multilevel"/>
    <w:tmpl w:val="1144A4A0"/>
    <w:lvl w:ilvl="0">
      <w:start w:val="1"/>
      <w:numFmt w:val="decimal"/>
      <w:lvlText w:val="%1."/>
      <w:lvlJc w:val="left"/>
      <w:pPr>
        <w:tabs>
          <w:tab w:val="decimal" w:pos="504"/>
        </w:tabs>
        <w:ind w:left="720"/>
      </w:pPr>
      <w:rPr>
        <w:rFonts w:ascii="Arial" w:hAnsi="Arial"/>
        <w:b/>
        <w:strike w:val="0"/>
        <w:color w:val="000000"/>
        <w:spacing w:val="1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1F1C75"/>
    <w:multiLevelType w:val="hybridMultilevel"/>
    <w:tmpl w:val="E1F0644E"/>
    <w:lvl w:ilvl="0" w:tplc="3EA24D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2C362A7"/>
    <w:multiLevelType w:val="hybridMultilevel"/>
    <w:tmpl w:val="B65A0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6CA750B"/>
    <w:multiLevelType w:val="hybridMultilevel"/>
    <w:tmpl w:val="3F3075AE"/>
    <w:lvl w:ilvl="0" w:tplc="7A42C2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7D11D3"/>
    <w:multiLevelType w:val="hybridMultilevel"/>
    <w:tmpl w:val="F40640DA"/>
    <w:lvl w:ilvl="0" w:tplc="F2A085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9A622B7"/>
    <w:multiLevelType w:val="hybridMultilevel"/>
    <w:tmpl w:val="2C422986"/>
    <w:lvl w:ilvl="0" w:tplc="1444B3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A6535"/>
    <w:multiLevelType w:val="hybridMultilevel"/>
    <w:tmpl w:val="A2A4D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722F25"/>
    <w:multiLevelType w:val="multilevel"/>
    <w:tmpl w:val="C180D48E"/>
    <w:lvl w:ilvl="0">
      <w:start w:val="1"/>
      <w:numFmt w:val="decimal"/>
      <w:lvlText w:val="%1."/>
      <w:lvlJc w:val="left"/>
      <w:pPr>
        <w:tabs>
          <w:tab w:val="decimal" w:pos="648"/>
        </w:tabs>
        <w:ind w:left="720"/>
      </w:pPr>
      <w:rPr>
        <w:rFonts w:ascii="Arial" w:hAnsi="Arial"/>
        <w:b/>
        <w:strike w:val="0"/>
        <w:color w:val="000000"/>
        <w:spacing w:val="1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3273BB"/>
    <w:multiLevelType w:val="hybridMultilevel"/>
    <w:tmpl w:val="45D2F790"/>
    <w:lvl w:ilvl="0" w:tplc="0B3C5EB6">
      <w:start w:val="1"/>
      <w:numFmt w:val="lowerLetter"/>
      <w:lvlText w:val="(%1)"/>
      <w:lvlJc w:val="left"/>
      <w:pPr>
        <w:ind w:left="720" w:hanging="360"/>
      </w:pPr>
      <w:rPr>
        <w:rFonts w:ascii="Arial" w:eastAsiaTheme="minorHAnsi" w:hAnsi="Arial" w:cs="Arial"/>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27454E1"/>
    <w:multiLevelType w:val="hybridMultilevel"/>
    <w:tmpl w:val="73CCD080"/>
    <w:lvl w:ilvl="0" w:tplc="626670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4BA738E"/>
    <w:multiLevelType w:val="hybridMultilevel"/>
    <w:tmpl w:val="82D2473C"/>
    <w:lvl w:ilvl="0" w:tplc="035C1F98">
      <w:start w:val="1"/>
      <w:numFmt w:val="decimal"/>
      <w:lvlText w:val="[%1]"/>
      <w:lvlJc w:val="left"/>
      <w:pPr>
        <w:ind w:left="720" w:hanging="360"/>
      </w:pPr>
      <w:rPr>
        <w:rFonts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D233925"/>
    <w:multiLevelType w:val="hybridMultilevel"/>
    <w:tmpl w:val="3202E4AE"/>
    <w:lvl w:ilvl="0" w:tplc="9258E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4290666">
    <w:abstractNumId w:val="17"/>
  </w:num>
  <w:num w:numId="2" w16cid:durableId="1139571283">
    <w:abstractNumId w:val="16"/>
  </w:num>
  <w:num w:numId="3" w16cid:durableId="2105882473">
    <w:abstractNumId w:val="22"/>
  </w:num>
  <w:num w:numId="4" w16cid:durableId="340812354">
    <w:abstractNumId w:val="5"/>
  </w:num>
  <w:num w:numId="5" w16cid:durableId="1807772425">
    <w:abstractNumId w:val="3"/>
  </w:num>
  <w:num w:numId="6" w16cid:durableId="1196965587">
    <w:abstractNumId w:val="4"/>
  </w:num>
  <w:num w:numId="7" w16cid:durableId="446855207">
    <w:abstractNumId w:val="20"/>
  </w:num>
  <w:num w:numId="8" w16cid:durableId="1341198834">
    <w:abstractNumId w:val="10"/>
  </w:num>
  <w:num w:numId="9" w16cid:durableId="777796733">
    <w:abstractNumId w:val="9"/>
  </w:num>
  <w:num w:numId="10" w16cid:durableId="578439647">
    <w:abstractNumId w:val="15"/>
  </w:num>
  <w:num w:numId="11" w16cid:durableId="1602058190">
    <w:abstractNumId w:val="23"/>
  </w:num>
  <w:num w:numId="12" w16cid:durableId="1803689559">
    <w:abstractNumId w:val="12"/>
  </w:num>
  <w:num w:numId="13" w16cid:durableId="213350005">
    <w:abstractNumId w:val="14"/>
  </w:num>
  <w:num w:numId="14" w16cid:durableId="2110346218">
    <w:abstractNumId w:val="21"/>
  </w:num>
  <w:num w:numId="15" w16cid:durableId="2078244769">
    <w:abstractNumId w:val="24"/>
  </w:num>
  <w:num w:numId="16" w16cid:durableId="1106854127">
    <w:abstractNumId w:val="0"/>
  </w:num>
  <w:num w:numId="17" w16cid:durableId="333067317">
    <w:abstractNumId w:val="18"/>
  </w:num>
  <w:num w:numId="18" w16cid:durableId="1423915058">
    <w:abstractNumId w:val="26"/>
  </w:num>
  <w:num w:numId="19" w16cid:durableId="390661699">
    <w:abstractNumId w:val="13"/>
  </w:num>
  <w:num w:numId="20" w16cid:durableId="1477255980">
    <w:abstractNumId w:val="33"/>
  </w:num>
  <w:num w:numId="21" w16cid:durableId="1261643367">
    <w:abstractNumId w:val="11"/>
  </w:num>
  <w:num w:numId="22" w16cid:durableId="2055039827">
    <w:abstractNumId w:val="8"/>
  </w:num>
  <w:num w:numId="23" w16cid:durableId="1648315617">
    <w:abstractNumId w:val="25"/>
  </w:num>
  <w:num w:numId="24" w16cid:durableId="1796873776">
    <w:abstractNumId w:val="28"/>
  </w:num>
  <w:num w:numId="25" w16cid:durableId="935602929">
    <w:abstractNumId w:val="19"/>
  </w:num>
  <w:num w:numId="26" w16cid:durableId="88239915">
    <w:abstractNumId w:val="29"/>
  </w:num>
  <w:num w:numId="27" w16cid:durableId="1576818640">
    <w:abstractNumId w:val="2"/>
  </w:num>
  <w:num w:numId="28" w16cid:durableId="1710914571">
    <w:abstractNumId w:val="27"/>
  </w:num>
  <w:num w:numId="29" w16cid:durableId="1644777305">
    <w:abstractNumId w:val="1"/>
  </w:num>
  <w:num w:numId="30" w16cid:durableId="242565628">
    <w:abstractNumId w:val="30"/>
  </w:num>
  <w:num w:numId="31" w16cid:durableId="617496029">
    <w:abstractNumId w:val="6"/>
  </w:num>
  <w:num w:numId="32" w16cid:durableId="239682428">
    <w:abstractNumId w:val="7"/>
  </w:num>
  <w:num w:numId="33" w16cid:durableId="1193685238">
    <w:abstractNumId w:val="32"/>
  </w:num>
  <w:num w:numId="34" w16cid:durableId="22121336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C8"/>
    <w:rsid w:val="00000FEB"/>
    <w:rsid w:val="0000134D"/>
    <w:rsid w:val="00002695"/>
    <w:rsid w:val="000028DC"/>
    <w:rsid w:val="00003586"/>
    <w:rsid w:val="00005770"/>
    <w:rsid w:val="00005B7B"/>
    <w:rsid w:val="00005CCD"/>
    <w:rsid w:val="00005E5F"/>
    <w:rsid w:val="00005FA6"/>
    <w:rsid w:val="000066B2"/>
    <w:rsid w:val="00006A3A"/>
    <w:rsid w:val="00006D9E"/>
    <w:rsid w:val="00007030"/>
    <w:rsid w:val="00007098"/>
    <w:rsid w:val="0000737F"/>
    <w:rsid w:val="000073EC"/>
    <w:rsid w:val="00007597"/>
    <w:rsid w:val="00007E5E"/>
    <w:rsid w:val="000111B7"/>
    <w:rsid w:val="000119B7"/>
    <w:rsid w:val="00011F4F"/>
    <w:rsid w:val="00012406"/>
    <w:rsid w:val="00013151"/>
    <w:rsid w:val="00013354"/>
    <w:rsid w:val="0001363E"/>
    <w:rsid w:val="000139AF"/>
    <w:rsid w:val="0001415D"/>
    <w:rsid w:val="00014ECD"/>
    <w:rsid w:val="00015287"/>
    <w:rsid w:val="00016222"/>
    <w:rsid w:val="00016362"/>
    <w:rsid w:val="00016397"/>
    <w:rsid w:val="00017152"/>
    <w:rsid w:val="00020256"/>
    <w:rsid w:val="00021E86"/>
    <w:rsid w:val="0002234D"/>
    <w:rsid w:val="00022AB0"/>
    <w:rsid w:val="00022D11"/>
    <w:rsid w:val="00022E21"/>
    <w:rsid w:val="00023153"/>
    <w:rsid w:val="00024211"/>
    <w:rsid w:val="00024615"/>
    <w:rsid w:val="0002472F"/>
    <w:rsid w:val="00024757"/>
    <w:rsid w:val="00024E4F"/>
    <w:rsid w:val="000251C8"/>
    <w:rsid w:val="00025DFE"/>
    <w:rsid w:val="00026579"/>
    <w:rsid w:val="000268D5"/>
    <w:rsid w:val="00026D6F"/>
    <w:rsid w:val="00027F1C"/>
    <w:rsid w:val="00031DDA"/>
    <w:rsid w:val="00031EDB"/>
    <w:rsid w:val="00031FF0"/>
    <w:rsid w:val="000323C1"/>
    <w:rsid w:val="00032B18"/>
    <w:rsid w:val="00033119"/>
    <w:rsid w:val="00033416"/>
    <w:rsid w:val="0003599B"/>
    <w:rsid w:val="00037F46"/>
    <w:rsid w:val="00040D0B"/>
    <w:rsid w:val="00043737"/>
    <w:rsid w:val="0004473B"/>
    <w:rsid w:val="00044D0B"/>
    <w:rsid w:val="0004509A"/>
    <w:rsid w:val="000454F6"/>
    <w:rsid w:val="00045794"/>
    <w:rsid w:val="0004582C"/>
    <w:rsid w:val="00046CA0"/>
    <w:rsid w:val="00046DE0"/>
    <w:rsid w:val="000471AA"/>
    <w:rsid w:val="0004739B"/>
    <w:rsid w:val="000501E1"/>
    <w:rsid w:val="0005176A"/>
    <w:rsid w:val="00051854"/>
    <w:rsid w:val="00052175"/>
    <w:rsid w:val="00053510"/>
    <w:rsid w:val="000544FA"/>
    <w:rsid w:val="00056202"/>
    <w:rsid w:val="0006008F"/>
    <w:rsid w:val="000613CA"/>
    <w:rsid w:val="000618EA"/>
    <w:rsid w:val="00061D63"/>
    <w:rsid w:val="0006414C"/>
    <w:rsid w:val="00064ECE"/>
    <w:rsid w:val="00065E6C"/>
    <w:rsid w:val="00066147"/>
    <w:rsid w:val="00066165"/>
    <w:rsid w:val="0006647D"/>
    <w:rsid w:val="00066528"/>
    <w:rsid w:val="00066583"/>
    <w:rsid w:val="00066C53"/>
    <w:rsid w:val="00066D4D"/>
    <w:rsid w:val="00067033"/>
    <w:rsid w:val="00067236"/>
    <w:rsid w:val="00067349"/>
    <w:rsid w:val="00067B95"/>
    <w:rsid w:val="000706D1"/>
    <w:rsid w:val="00071B43"/>
    <w:rsid w:val="00074242"/>
    <w:rsid w:val="00074350"/>
    <w:rsid w:val="00074DE1"/>
    <w:rsid w:val="00074FE6"/>
    <w:rsid w:val="00075168"/>
    <w:rsid w:val="00075FCC"/>
    <w:rsid w:val="0007607B"/>
    <w:rsid w:val="0007639E"/>
    <w:rsid w:val="000765D1"/>
    <w:rsid w:val="00076FCC"/>
    <w:rsid w:val="00077272"/>
    <w:rsid w:val="000815AE"/>
    <w:rsid w:val="000817B4"/>
    <w:rsid w:val="00081C62"/>
    <w:rsid w:val="00082052"/>
    <w:rsid w:val="00083D0B"/>
    <w:rsid w:val="0008415E"/>
    <w:rsid w:val="00084586"/>
    <w:rsid w:val="00084EB9"/>
    <w:rsid w:val="000850BF"/>
    <w:rsid w:val="0008591C"/>
    <w:rsid w:val="00085C34"/>
    <w:rsid w:val="00085F00"/>
    <w:rsid w:val="00086823"/>
    <w:rsid w:val="00086F90"/>
    <w:rsid w:val="000875A4"/>
    <w:rsid w:val="00087FAC"/>
    <w:rsid w:val="00090F5C"/>
    <w:rsid w:val="000912CD"/>
    <w:rsid w:val="00091432"/>
    <w:rsid w:val="00092CD7"/>
    <w:rsid w:val="00093101"/>
    <w:rsid w:val="000948E0"/>
    <w:rsid w:val="00095269"/>
    <w:rsid w:val="00095C55"/>
    <w:rsid w:val="00097118"/>
    <w:rsid w:val="00097950"/>
    <w:rsid w:val="000A0435"/>
    <w:rsid w:val="000A0E23"/>
    <w:rsid w:val="000A191C"/>
    <w:rsid w:val="000A1DE2"/>
    <w:rsid w:val="000A2015"/>
    <w:rsid w:val="000A2403"/>
    <w:rsid w:val="000A27C5"/>
    <w:rsid w:val="000A49CE"/>
    <w:rsid w:val="000A57DA"/>
    <w:rsid w:val="000A5E19"/>
    <w:rsid w:val="000A699A"/>
    <w:rsid w:val="000A6FB3"/>
    <w:rsid w:val="000A712D"/>
    <w:rsid w:val="000A73B7"/>
    <w:rsid w:val="000A783F"/>
    <w:rsid w:val="000B016F"/>
    <w:rsid w:val="000B1BA9"/>
    <w:rsid w:val="000B2FB6"/>
    <w:rsid w:val="000B328A"/>
    <w:rsid w:val="000B32C6"/>
    <w:rsid w:val="000B351E"/>
    <w:rsid w:val="000B40E8"/>
    <w:rsid w:val="000B5612"/>
    <w:rsid w:val="000B584B"/>
    <w:rsid w:val="000B71AD"/>
    <w:rsid w:val="000B79DA"/>
    <w:rsid w:val="000C0008"/>
    <w:rsid w:val="000C0983"/>
    <w:rsid w:val="000C13B9"/>
    <w:rsid w:val="000C2BCB"/>
    <w:rsid w:val="000C2DAF"/>
    <w:rsid w:val="000C4C05"/>
    <w:rsid w:val="000C4D6C"/>
    <w:rsid w:val="000C523D"/>
    <w:rsid w:val="000C57EF"/>
    <w:rsid w:val="000C5833"/>
    <w:rsid w:val="000C6ABC"/>
    <w:rsid w:val="000C6B63"/>
    <w:rsid w:val="000C7F95"/>
    <w:rsid w:val="000D04D9"/>
    <w:rsid w:val="000D10FB"/>
    <w:rsid w:val="000D1944"/>
    <w:rsid w:val="000D2293"/>
    <w:rsid w:val="000D2AF6"/>
    <w:rsid w:val="000D4413"/>
    <w:rsid w:val="000D535A"/>
    <w:rsid w:val="000D53B8"/>
    <w:rsid w:val="000D5544"/>
    <w:rsid w:val="000D5D6D"/>
    <w:rsid w:val="000D5EB4"/>
    <w:rsid w:val="000D60C1"/>
    <w:rsid w:val="000E0368"/>
    <w:rsid w:val="000E05E2"/>
    <w:rsid w:val="000E0D0E"/>
    <w:rsid w:val="000E0DDE"/>
    <w:rsid w:val="000E165D"/>
    <w:rsid w:val="000E16E8"/>
    <w:rsid w:val="000E19A3"/>
    <w:rsid w:val="000E1D28"/>
    <w:rsid w:val="000E1E45"/>
    <w:rsid w:val="000E274A"/>
    <w:rsid w:val="000E2AB5"/>
    <w:rsid w:val="000E3018"/>
    <w:rsid w:val="000E3411"/>
    <w:rsid w:val="000E35B8"/>
    <w:rsid w:val="000E3637"/>
    <w:rsid w:val="000E391B"/>
    <w:rsid w:val="000E3EF4"/>
    <w:rsid w:val="000E3F30"/>
    <w:rsid w:val="000E46ED"/>
    <w:rsid w:val="000E47EF"/>
    <w:rsid w:val="000E497D"/>
    <w:rsid w:val="000E6D34"/>
    <w:rsid w:val="000E72C8"/>
    <w:rsid w:val="000F0D66"/>
    <w:rsid w:val="000F112E"/>
    <w:rsid w:val="000F3387"/>
    <w:rsid w:val="000F3DE9"/>
    <w:rsid w:val="000F4EEF"/>
    <w:rsid w:val="000F5060"/>
    <w:rsid w:val="000F595E"/>
    <w:rsid w:val="000F599F"/>
    <w:rsid w:val="000F5C23"/>
    <w:rsid w:val="000F5DF8"/>
    <w:rsid w:val="000F64FD"/>
    <w:rsid w:val="000F7F2C"/>
    <w:rsid w:val="0010117C"/>
    <w:rsid w:val="00101953"/>
    <w:rsid w:val="0010293F"/>
    <w:rsid w:val="0010295D"/>
    <w:rsid w:val="00103555"/>
    <w:rsid w:val="00103B80"/>
    <w:rsid w:val="001045D5"/>
    <w:rsid w:val="001053E0"/>
    <w:rsid w:val="0010566D"/>
    <w:rsid w:val="0010628B"/>
    <w:rsid w:val="00107639"/>
    <w:rsid w:val="00107CDF"/>
    <w:rsid w:val="0011091C"/>
    <w:rsid w:val="00112158"/>
    <w:rsid w:val="001121BF"/>
    <w:rsid w:val="001124B5"/>
    <w:rsid w:val="001126D9"/>
    <w:rsid w:val="00112BBB"/>
    <w:rsid w:val="00112C5B"/>
    <w:rsid w:val="00112EC0"/>
    <w:rsid w:val="00113E99"/>
    <w:rsid w:val="00113EB2"/>
    <w:rsid w:val="001140DA"/>
    <w:rsid w:val="00114F00"/>
    <w:rsid w:val="00114F5C"/>
    <w:rsid w:val="001151FD"/>
    <w:rsid w:val="0011557B"/>
    <w:rsid w:val="001169BD"/>
    <w:rsid w:val="00116A6B"/>
    <w:rsid w:val="00117E0A"/>
    <w:rsid w:val="00120694"/>
    <w:rsid w:val="00120E44"/>
    <w:rsid w:val="00121793"/>
    <w:rsid w:val="00121F7F"/>
    <w:rsid w:val="0012288D"/>
    <w:rsid w:val="0012292B"/>
    <w:rsid w:val="00123003"/>
    <w:rsid w:val="001241DF"/>
    <w:rsid w:val="001243CF"/>
    <w:rsid w:val="00124515"/>
    <w:rsid w:val="0012546B"/>
    <w:rsid w:val="00125EA7"/>
    <w:rsid w:val="00126463"/>
    <w:rsid w:val="00127230"/>
    <w:rsid w:val="00127695"/>
    <w:rsid w:val="0013000C"/>
    <w:rsid w:val="00130320"/>
    <w:rsid w:val="001306F0"/>
    <w:rsid w:val="00130EDE"/>
    <w:rsid w:val="00130F2F"/>
    <w:rsid w:val="00132D4B"/>
    <w:rsid w:val="001336AA"/>
    <w:rsid w:val="00134096"/>
    <w:rsid w:val="001341B6"/>
    <w:rsid w:val="00134714"/>
    <w:rsid w:val="00134B53"/>
    <w:rsid w:val="00134BDE"/>
    <w:rsid w:val="0013577D"/>
    <w:rsid w:val="00135A09"/>
    <w:rsid w:val="00135A8B"/>
    <w:rsid w:val="00135C1F"/>
    <w:rsid w:val="00135DAB"/>
    <w:rsid w:val="0013650E"/>
    <w:rsid w:val="00136D22"/>
    <w:rsid w:val="00136D2F"/>
    <w:rsid w:val="00137376"/>
    <w:rsid w:val="0013760B"/>
    <w:rsid w:val="00137BA8"/>
    <w:rsid w:val="00137F29"/>
    <w:rsid w:val="00140088"/>
    <w:rsid w:val="00140725"/>
    <w:rsid w:val="00140FF5"/>
    <w:rsid w:val="001411EC"/>
    <w:rsid w:val="001414AD"/>
    <w:rsid w:val="0014212A"/>
    <w:rsid w:val="00142B92"/>
    <w:rsid w:val="00142E5B"/>
    <w:rsid w:val="00142FB6"/>
    <w:rsid w:val="001436E1"/>
    <w:rsid w:val="001440FC"/>
    <w:rsid w:val="00145470"/>
    <w:rsid w:val="00145780"/>
    <w:rsid w:val="00145EE7"/>
    <w:rsid w:val="00146328"/>
    <w:rsid w:val="00146BEF"/>
    <w:rsid w:val="00147789"/>
    <w:rsid w:val="00147DDB"/>
    <w:rsid w:val="00151E35"/>
    <w:rsid w:val="0015226A"/>
    <w:rsid w:val="00152389"/>
    <w:rsid w:val="00152607"/>
    <w:rsid w:val="00152918"/>
    <w:rsid w:val="00152C82"/>
    <w:rsid w:val="00152E11"/>
    <w:rsid w:val="0015325D"/>
    <w:rsid w:val="00153772"/>
    <w:rsid w:val="00153AEF"/>
    <w:rsid w:val="00153EA9"/>
    <w:rsid w:val="00154E6E"/>
    <w:rsid w:val="0015565F"/>
    <w:rsid w:val="001556B6"/>
    <w:rsid w:val="00155AE7"/>
    <w:rsid w:val="001569B9"/>
    <w:rsid w:val="00156EE7"/>
    <w:rsid w:val="0015701A"/>
    <w:rsid w:val="001570E5"/>
    <w:rsid w:val="00157731"/>
    <w:rsid w:val="00160204"/>
    <w:rsid w:val="0016194B"/>
    <w:rsid w:val="0016229C"/>
    <w:rsid w:val="00162748"/>
    <w:rsid w:val="001629D2"/>
    <w:rsid w:val="00162A82"/>
    <w:rsid w:val="001636B8"/>
    <w:rsid w:val="00163EF5"/>
    <w:rsid w:val="001645C3"/>
    <w:rsid w:val="00164BAB"/>
    <w:rsid w:val="001661A2"/>
    <w:rsid w:val="001663AF"/>
    <w:rsid w:val="00166AF7"/>
    <w:rsid w:val="00167CB5"/>
    <w:rsid w:val="0017084A"/>
    <w:rsid w:val="0017168F"/>
    <w:rsid w:val="00171AD6"/>
    <w:rsid w:val="00171B7E"/>
    <w:rsid w:val="00173631"/>
    <w:rsid w:val="00173876"/>
    <w:rsid w:val="00173DC8"/>
    <w:rsid w:val="00174170"/>
    <w:rsid w:val="00174531"/>
    <w:rsid w:val="00174C87"/>
    <w:rsid w:val="001757CB"/>
    <w:rsid w:val="001759B8"/>
    <w:rsid w:val="00175AF2"/>
    <w:rsid w:val="00175F5B"/>
    <w:rsid w:val="0017623A"/>
    <w:rsid w:val="001767CE"/>
    <w:rsid w:val="00176A29"/>
    <w:rsid w:val="00176C5D"/>
    <w:rsid w:val="00176C76"/>
    <w:rsid w:val="00176D26"/>
    <w:rsid w:val="00180702"/>
    <w:rsid w:val="00181A5F"/>
    <w:rsid w:val="00182836"/>
    <w:rsid w:val="00183085"/>
    <w:rsid w:val="00183928"/>
    <w:rsid w:val="0018399A"/>
    <w:rsid w:val="00183AED"/>
    <w:rsid w:val="00187ED7"/>
    <w:rsid w:val="00190ED5"/>
    <w:rsid w:val="00191FBC"/>
    <w:rsid w:val="00192571"/>
    <w:rsid w:val="001929B9"/>
    <w:rsid w:val="0019303F"/>
    <w:rsid w:val="00193963"/>
    <w:rsid w:val="00193D84"/>
    <w:rsid w:val="00194865"/>
    <w:rsid w:val="00194A7D"/>
    <w:rsid w:val="001952D5"/>
    <w:rsid w:val="001954B4"/>
    <w:rsid w:val="001959D5"/>
    <w:rsid w:val="00195D0F"/>
    <w:rsid w:val="00196634"/>
    <w:rsid w:val="001969AA"/>
    <w:rsid w:val="00197336"/>
    <w:rsid w:val="00197B8D"/>
    <w:rsid w:val="001A1A9D"/>
    <w:rsid w:val="001A2CEF"/>
    <w:rsid w:val="001A6225"/>
    <w:rsid w:val="001A631C"/>
    <w:rsid w:val="001A63CA"/>
    <w:rsid w:val="001A6B08"/>
    <w:rsid w:val="001A7051"/>
    <w:rsid w:val="001A7263"/>
    <w:rsid w:val="001A76F1"/>
    <w:rsid w:val="001B005A"/>
    <w:rsid w:val="001B1583"/>
    <w:rsid w:val="001B1B95"/>
    <w:rsid w:val="001B1C5A"/>
    <w:rsid w:val="001B1D41"/>
    <w:rsid w:val="001B1DC8"/>
    <w:rsid w:val="001B1FDA"/>
    <w:rsid w:val="001B2616"/>
    <w:rsid w:val="001B43A9"/>
    <w:rsid w:val="001B486A"/>
    <w:rsid w:val="001B4A66"/>
    <w:rsid w:val="001B4B15"/>
    <w:rsid w:val="001B4B37"/>
    <w:rsid w:val="001B50B1"/>
    <w:rsid w:val="001B52E9"/>
    <w:rsid w:val="001B629E"/>
    <w:rsid w:val="001B62F4"/>
    <w:rsid w:val="001C0374"/>
    <w:rsid w:val="001C0431"/>
    <w:rsid w:val="001C0A8B"/>
    <w:rsid w:val="001C0AF2"/>
    <w:rsid w:val="001C131E"/>
    <w:rsid w:val="001C186D"/>
    <w:rsid w:val="001C19F5"/>
    <w:rsid w:val="001C261E"/>
    <w:rsid w:val="001C373C"/>
    <w:rsid w:val="001C3E7F"/>
    <w:rsid w:val="001C4758"/>
    <w:rsid w:val="001C4B03"/>
    <w:rsid w:val="001C4CB9"/>
    <w:rsid w:val="001C508E"/>
    <w:rsid w:val="001C5545"/>
    <w:rsid w:val="001C7F39"/>
    <w:rsid w:val="001D015A"/>
    <w:rsid w:val="001D1327"/>
    <w:rsid w:val="001D13F0"/>
    <w:rsid w:val="001D261C"/>
    <w:rsid w:val="001D2860"/>
    <w:rsid w:val="001D2E20"/>
    <w:rsid w:val="001D3129"/>
    <w:rsid w:val="001D3455"/>
    <w:rsid w:val="001D375F"/>
    <w:rsid w:val="001D48F1"/>
    <w:rsid w:val="001D4D3A"/>
    <w:rsid w:val="001D4E7A"/>
    <w:rsid w:val="001D731E"/>
    <w:rsid w:val="001D74C2"/>
    <w:rsid w:val="001D7B0B"/>
    <w:rsid w:val="001E04BA"/>
    <w:rsid w:val="001E04D7"/>
    <w:rsid w:val="001E08CB"/>
    <w:rsid w:val="001E0E49"/>
    <w:rsid w:val="001E1FE1"/>
    <w:rsid w:val="001E3629"/>
    <w:rsid w:val="001E4003"/>
    <w:rsid w:val="001E4A87"/>
    <w:rsid w:val="001E5831"/>
    <w:rsid w:val="001E5952"/>
    <w:rsid w:val="001E61B1"/>
    <w:rsid w:val="001E6248"/>
    <w:rsid w:val="001E693A"/>
    <w:rsid w:val="001E6AFA"/>
    <w:rsid w:val="001E6F91"/>
    <w:rsid w:val="001E7B82"/>
    <w:rsid w:val="001F051D"/>
    <w:rsid w:val="001F07FB"/>
    <w:rsid w:val="001F0B77"/>
    <w:rsid w:val="001F0CA2"/>
    <w:rsid w:val="001F162F"/>
    <w:rsid w:val="001F1BE6"/>
    <w:rsid w:val="001F2540"/>
    <w:rsid w:val="001F2BA7"/>
    <w:rsid w:val="001F2DB6"/>
    <w:rsid w:val="001F351E"/>
    <w:rsid w:val="001F364F"/>
    <w:rsid w:val="001F375B"/>
    <w:rsid w:val="001F3881"/>
    <w:rsid w:val="001F393C"/>
    <w:rsid w:val="001F4B01"/>
    <w:rsid w:val="001F6BCE"/>
    <w:rsid w:val="001F7292"/>
    <w:rsid w:val="001F737D"/>
    <w:rsid w:val="00200119"/>
    <w:rsid w:val="002019AC"/>
    <w:rsid w:val="00202976"/>
    <w:rsid w:val="00202DEF"/>
    <w:rsid w:val="0020312F"/>
    <w:rsid w:val="002037AF"/>
    <w:rsid w:val="00204209"/>
    <w:rsid w:val="0020474D"/>
    <w:rsid w:val="00205069"/>
    <w:rsid w:val="00205149"/>
    <w:rsid w:val="00206972"/>
    <w:rsid w:val="00206DF3"/>
    <w:rsid w:val="00207577"/>
    <w:rsid w:val="00207C47"/>
    <w:rsid w:val="00210516"/>
    <w:rsid w:val="00210B8D"/>
    <w:rsid w:val="00210F32"/>
    <w:rsid w:val="00211287"/>
    <w:rsid w:val="0021145F"/>
    <w:rsid w:val="00211D6A"/>
    <w:rsid w:val="00213A5E"/>
    <w:rsid w:val="00214DC2"/>
    <w:rsid w:val="00215EDE"/>
    <w:rsid w:val="0021664F"/>
    <w:rsid w:val="00216927"/>
    <w:rsid w:val="002176C6"/>
    <w:rsid w:val="00217F9F"/>
    <w:rsid w:val="002205C5"/>
    <w:rsid w:val="00220944"/>
    <w:rsid w:val="002209AA"/>
    <w:rsid w:val="00220D47"/>
    <w:rsid w:val="00220E4A"/>
    <w:rsid w:val="00220F8E"/>
    <w:rsid w:val="002223A9"/>
    <w:rsid w:val="002224CF"/>
    <w:rsid w:val="00223839"/>
    <w:rsid w:val="00224925"/>
    <w:rsid w:val="00224947"/>
    <w:rsid w:val="00224B81"/>
    <w:rsid w:val="00224BD2"/>
    <w:rsid w:val="00224D69"/>
    <w:rsid w:val="002252D4"/>
    <w:rsid w:val="0022560C"/>
    <w:rsid w:val="00225D01"/>
    <w:rsid w:val="00226ABD"/>
    <w:rsid w:val="00226C9F"/>
    <w:rsid w:val="00227102"/>
    <w:rsid w:val="00227364"/>
    <w:rsid w:val="00230919"/>
    <w:rsid w:val="00230939"/>
    <w:rsid w:val="00230CD3"/>
    <w:rsid w:val="00232E86"/>
    <w:rsid w:val="0023324B"/>
    <w:rsid w:val="00233F3D"/>
    <w:rsid w:val="00234F51"/>
    <w:rsid w:val="002370A6"/>
    <w:rsid w:val="00237505"/>
    <w:rsid w:val="00240679"/>
    <w:rsid w:val="00240A39"/>
    <w:rsid w:val="0024184B"/>
    <w:rsid w:val="00241B48"/>
    <w:rsid w:val="00241E4E"/>
    <w:rsid w:val="00241FB6"/>
    <w:rsid w:val="0024239F"/>
    <w:rsid w:val="002427B4"/>
    <w:rsid w:val="00242D0A"/>
    <w:rsid w:val="002432E8"/>
    <w:rsid w:val="00243700"/>
    <w:rsid w:val="0024428E"/>
    <w:rsid w:val="00245727"/>
    <w:rsid w:val="00246565"/>
    <w:rsid w:val="00247450"/>
    <w:rsid w:val="00247AE5"/>
    <w:rsid w:val="00247D17"/>
    <w:rsid w:val="00247EA3"/>
    <w:rsid w:val="002501CC"/>
    <w:rsid w:val="00250CF4"/>
    <w:rsid w:val="0025160C"/>
    <w:rsid w:val="00252CA6"/>
    <w:rsid w:val="00252F04"/>
    <w:rsid w:val="00253D8B"/>
    <w:rsid w:val="00254DF5"/>
    <w:rsid w:val="0025522A"/>
    <w:rsid w:val="00255373"/>
    <w:rsid w:val="0025554E"/>
    <w:rsid w:val="00255C77"/>
    <w:rsid w:val="00256107"/>
    <w:rsid w:val="00256BD2"/>
    <w:rsid w:val="00257589"/>
    <w:rsid w:val="0025795E"/>
    <w:rsid w:val="00257BDF"/>
    <w:rsid w:val="0026237E"/>
    <w:rsid w:val="0026286A"/>
    <w:rsid w:val="00262CC6"/>
    <w:rsid w:val="002640C9"/>
    <w:rsid w:val="0026455C"/>
    <w:rsid w:val="002645BF"/>
    <w:rsid w:val="00264B77"/>
    <w:rsid w:val="002654AA"/>
    <w:rsid w:val="002655F2"/>
    <w:rsid w:val="00265F92"/>
    <w:rsid w:val="00266288"/>
    <w:rsid w:val="002664C1"/>
    <w:rsid w:val="00266C05"/>
    <w:rsid w:val="002677BF"/>
    <w:rsid w:val="00267F13"/>
    <w:rsid w:val="00270791"/>
    <w:rsid w:val="00270F15"/>
    <w:rsid w:val="00271772"/>
    <w:rsid w:val="00272EF0"/>
    <w:rsid w:val="00272F0B"/>
    <w:rsid w:val="00273A1E"/>
    <w:rsid w:val="002743EE"/>
    <w:rsid w:val="00274B37"/>
    <w:rsid w:val="002755AB"/>
    <w:rsid w:val="002759E6"/>
    <w:rsid w:val="00276935"/>
    <w:rsid w:val="00276985"/>
    <w:rsid w:val="00276FA6"/>
    <w:rsid w:val="00277224"/>
    <w:rsid w:val="002773C2"/>
    <w:rsid w:val="00280187"/>
    <w:rsid w:val="002807AB"/>
    <w:rsid w:val="0028160F"/>
    <w:rsid w:val="00281F5C"/>
    <w:rsid w:val="00282AF2"/>
    <w:rsid w:val="00282D8E"/>
    <w:rsid w:val="002852B3"/>
    <w:rsid w:val="00285ADF"/>
    <w:rsid w:val="00286417"/>
    <w:rsid w:val="00286FD1"/>
    <w:rsid w:val="00287276"/>
    <w:rsid w:val="00287DAF"/>
    <w:rsid w:val="00290BE9"/>
    <w:rsid w:val="00290BF1"/>
    <w:rsid w:val="002911BE"/>
    <w:rsid w:val="0029224B"/>
    <w:rsid w:val="00292884"/>
    <w:rsid w:val="0029346A"/>
    <w:rsid w:val="0029413C"/>
    <w:rsid w:val="00294597"/>
    <w:rsid w:val="0029468D"/>
    <w:rsid w:val="00294B29"/>
    <w:rsid w:val="00294E43"/>
    <w:rsid w:val="002956B6"/>
    <w:rsid w:val="00296B5B"/>
    <w:rsid w:val="0029722A"/>
    <w:rsid w:val="002975F1"/>
    <w:rsid w:val="00297AC4"/>
    <w:rsid w:val="002A0FA8"/>
    <w:rsid w:val="002A1B67"/>
    <w:rsid w:val="002A272D"/>
    <w:rsid w:val="002A3D77"/>
    <w:rsid w:val="002A470B"/>
    <w:rsid w:val="002A51A8"/>
    <w:rsid w:val="002A6091"/>
    <w:rsid w:val="002A661A"/>
    <w:rsid w:val="002A7274"/>
    <w:rsid w:val="002B027A"/>
    <w:rsid w:val="002B0495"/>
    <w:rsid w:val="002B1EF3"/>
    <w:rsid w:val="002B2B0D"/>
    <w:rsid w:val="002B3441"/>
    <w:rsid w:val="002B362F"/>
    <w:rsid w:val="002B3DDB"/>
    <w:rsid w:val="002B5928"/>
    <w:rsid w:val="002B60D8"/>
    <w:rsid w:val="002B63F3"/>
    <w:rsid w:val="002B72F5"/>
    <w:rsid w:val="002B76CE"/>
    <w:rsid w:val="002C0105"/>
    <w:rsid w:val="002C021A"/>
    <w:rsid w:val="002C0615"/>
    <w:rsid w:val="002C0FBF"/>
    <w:rsid w:val="002C1562"/>
    <w:rsid w:val="002C1BF9"/>
    <w:rsid w:val="002C1CFA"/>
    <w:rsid w:val="002C2E68"/>
    <w:rsid w:val="002C360C"/>
    <w:rsid w:val="002C5373"/>
    <w:rsid w:val="002C5A29"/>
    <w:rsid w:val="002C61A0"/>
    <w:rsid w:val="002C699A"/>
    <w:rsid w:val="002C7837"/>
    <w:rsid w:val="002C7F4D"/>
    <w:rsid w:val="002D1F92"/>
    <w:rsid w:val="002D2B15"/>
    <w:rsid w:val="002D31B6"/>
    <w:rsid w:val="002D39B1"/>
    <w:rsid w:val="002D40CC"/>
    <w:rsid w:val="002D43CA"/>
    <w:rsid w:val="002D55E2"/>
    <w:rsid w:val="002D57FC"/>
    <w:rsid w:val="002D7983"/>
    <w:rsid w:val="002E07A5"/>
    <w:rsid w:val="002E089C"/>
    <w:rsid w:val="002E2AC3"/>
    <w:rsid w:val="002E35D8"/>
    <w:rsid w:val="002E3788"/>
    <w:rsid w:val="002E37C1"/>
    <w:rsid w:val="002E3EE1"/>
    <w:rsid w:val="002E5085"/>
    <w:rsid w:val="002E5589"/>
    <w:rsid w:val="002E5B85"/>
    <w:rsid w:val="002E6696"/>
    <w:rsid w:val="002E6798"/>
    <w:rsid w:val="002E693A"/>
    <w:rsid w:val="002E69D0"/>
    <w:rsid w:val="002E722D"/>
    <w:rsid w:val="002F0765"/>
    <w:rsid w:val="002F0E68"/>
    <w:rsid w:val="002F15A1"/>
    <w:rsid w:val="002F2699"/>
    <w:rsid w:val="002F3007"/>
    <w:rsid w:val="002F37E9"/>
    <w:rsid w:val="002F395A"/>
    <w:rsid w:val="002F45B7"/>
    <w:rsid w:val="002F51C4"/>
    <w:rsid w:val="002F5482"/>
    <w:rsid w:val="002F587B"/>
    <w:rsid w:val="002F593B"/>
    <w:rsid w:val="002F5987"/>
    <w:rsid w:val="002F6BC2"/>
    <w:rsid w:val="002F6E5E"/>
    <w:rsid w:val="002F70EA"/>
    <w:rsid w:val="002F71EC"/>
    <w:rsid w:val="002F71EF"/>
    <w:rsid w:val="002F73D2"/>
    <w:rsid w:val="002F7AD5"/>
    <w:rsid w:val="00300B26"/>
    <w:rsid w:val="00300BF5"/>
    <w:rsid w:val="0030116A"/>
    <w:rsid w:val="003019F6"/>
    <w:rsid w:val="00301AB8"/>
    <w:rsid w:val="00302431"/>
    <w:rsid w:val="0030283E"/>
    <w:rsid w:val="00303C42"/>
    <w:rsid w:val="00304543"/>
    <w:rsid w:val="003045D9"/>
    <w:rsid w:val="003047FD"/>
    <w:rsid w:val="003056BC"/>
    <w:rsid w:val="003061B2"/>
    <w:rsid w:val="003064F1"/>
    <w:rsid w:val="003070A2"/>
    <w:rsid w:val="003070B1"/>
    <w:rsid w:val="00307318"/>
    <w:rsid w:val="00307746"/>
    <w:rsid w:val="003103ED"/>
    <w:rsid w:val="00310D12"/>
    <w:rsid w:val="00310FCF"/>
    <w:rsid w:val="0031134A"/>
    <w:rsid w:val="003116D8"/>
    <w:rsid w:val="00311755"/>
    <w:rsid w:val="00312D6B"/>
    <w:rsid w:val="00312D99"/>
    <w:rsid w:val="00313D45"/>
    <w:rsid w:val="00313EB5"/>
    <w:rsid w:val="00314E05"/>
    <w:rsid w:val="003157E6"/>
    <w:rsid w:val="00315A44"/>
    <w:rsid w:val="00316516"/>
    <w:rsid w:val="003168FF"/>
    <w:rsid w:val="00317056"/>
    <w:rsid w:val="003173BC"/>
    <w:rsid w:val="0031797F"/>
    <w:rsid w:val="0032078D"/>
    <w:rsid w:val="0032089D"/>
    <w:rsid w:val="00321681"/>
    <w:rsid w:val="00321A8A"/>
    <w:rsid w:val="00321D44"/>
    <w:rsid w:val="00321DBD"/>
    <w:rsid w:val="003228A2"/>
    <w:rsid w:val="00323C07"/>
    <w:rsid w:val="00323FEA"/>
    <w:rsid w:val="00324515"/>
    <w:rsid w:val="003249E8"/>
    <w:rsid w:val="00324FA7"/>
    <w:rsid w:val="00325478"/>
    <w:rsid w:val="00325697"/>
    <w:rsid w:val="00325A50"/>
    <w:rsid w:val="00325AEC"/>
    <w:rsid w:val="003266ED"/>
    <w:rsid w:val="003268E3"/>
    <w:rsid w:val="003300F9"/>
    <w:rsid w:val="003302C6"/>
    <w:rsid w:val="0033062E"/>
    <w:rsid w:val="00330797"/>
    <w:rsid w:val="0033218F"/>
    <w:rsid w:val="0033238F"/>
    <w:rsid w:val="0033261F"/>
    <w:rsid w:val="0033363C"/>
    <w:rsid w:val="00333B37"/>
    <w:rsid w:val="00334D58"/>
    <w:rsid w:val="0033555E"/>
    <w:rsid w:val="00335817"/>
    <w:rsid w:val="0033787C"/>
    <w:rsid w:val="0033798F"/>
    <w:rsid w:val="00337CA2"/>
    <w:rsid w:val="003401EF"/>
    <w:rsid w:val="00340429"/>
    <w:rsid w:val="00342106"/>
    <w:rsid w:val="0034256A"/>
    <w:rsid w:val="00342AA8"/>
    <w:rsid w:val="00342C25"/>
    <w:rsid w:val="00345346"/>
    <w:rsid w:val="003456F0"/>
    <w:rsid w:val="00346A14"/>
    <w:rsid w:val="00350BCB"/>
    <w:rsid w:val="003516DE"/>
    <w:rsid w:val="00351CD8"/>
    <w:rsid w:val="0035492A"/>
    <w:rsid w:val="00354938"/>
    <w:rsid w:val="00354C7A"/>
    <w:rsid w:val="003551BD"/>
    <w:rsid w:val="00355483"/>
    <w:rsid w:val="003554E1"/>
    <w:rsid w:val="00355C9D"/>
    <w:rsid w:val="00355CB4"/>
    <w:rsid w:val="00356400"/>
    <w:rsid w:val="003565DB"/>
    <w:rsid w:val="0035670A"/>
    <w:rsid w:val="003572AF"/>
    <w:rsid w:val="003574DC"/>
    <w:rsid w:val="00357744"/>
    <w:rsid w:val="00357DB9"/>
    <w:rsid w:val="0036045A"/>
    <w:rsid w:val="00360808"/>
    <w:rsid w:val="003608B0"/>
    <w:rsid w:val="003609D0"/>
    <w:rsid w:val="00360BA3"/>
    <w:rsid w:val="00361111"/>
    <w:rsid w:val="00361EA5"/>
    <w:rsid w:val="00362819"/>
    <w:rsid w:val="003632C9"/>
    <w:rsid w:val="00363827"/>
    <w:rsid w:val="0036444A"/>
    <w:rsid w:val="00364D4F"/>
    <w:rsid w:val="003656B1"/>
    <w:rsid w:val="00365877"/>
    <w:rsid w:val="003664C7"/>
    <w:rsid w:val="00370AC1"/>
    <w:rsid w:val="003715BE"/>
    <w:rsid w:val="00371700"/>
    <w:rsid w:val="00371D95"/>
    <w:rsid w:val="00373F3E"/>
    <w:rsid w:val="003742E4"/>
    <w:rsid w:val="003759AD"/>
    <w:rsid w:val="00375EBE"/>
    <w:rsid w:val="003765D2"/>
    <w:rsid w:val="00376CB4"/>
    <w:rsid w:val="00377DF0"/>
    <w:rsid w:val="00380239"/>
    <w:rsid w:val="00380376"/>
    <w:rsid w:val="00380A73"/>
    <w:rsid w:val="00382869"/>
    <w:rsid w:val="003830C2"/>
    <w:rsid w:val="00383438"/>
    <w:rsid w:val="00384291"/>
    <w:rsid w:val="0038575A"/>
    <w:rsid w:val="00385A34"/>
    <w:rsid w:val="00386063"/>
    <w:rsid w:val="00386D32"/>
    <w:rsid w:val="00390BFE"/>
    <w:rsid w:val="00391ACA"/>
    <w:rsid w:val="00391E25"/>
    <w:rsid w:val="00392944"/>
    <w:rsid w:val="00392B11"/>
    <w:rsid w:val="00392B3D"/>
    <w:rsid w:val="00393681"/>
    <w:rsid w:val="00393CBA"/>
    <w:rsid w:val="0039511A"/>
    <w:rsid w:val="003953CB"/>
    <w:rsid w:val="00395A7C"/>
    <w:rsid w:val="00395B1D"/>
    <w:rsid w:val="00397BA7"/>
    <w:rsid w:val="00397EB0"/>
    <w:rsid w:val="003A011D"/>
    <w:rsid w:val="003A01A3"/>
    <w:rsid w:val="003A03BF"/>
    <w:rsid w:val="003A0914"/>
    <w:rsid w:val="003A15C2"/>
    <w:rsid w:val="003A160D"/>
    <w:rsid w:val="003A2109"/>
    <w:rsid w:val="003A282A"/>
    <w:rsid w:val="003A2A99"/>
    <w:rsid w:val="003A32EF"/>
    <w:rsid w:val="003A3533"/>
    <w:rsid w:val="003A3879"/>
    <w:rsid w:val="003A46FD"/>
    <w:rsid w:val="003A4DB9"/>
    <w:rsid w:val="003A6777"/>
    <w:rsid w:val="003A774C"/>
    <w:rsid w:val="003B009C"/>
    <w:rsid w:val="003B060B"/>
    <w:rsid w:val="003B0BFD"/>
    <w:rsid w:val="003B1933"/>
    <w:rsid w:val="003B1D2C"/>
    <w:rsid w:val="003B20CD"/>
    <w:rsid w:val="003B258C"/>
    <w:rsid w:val="003B32BE"/>
    <w:rsid w:val="003B3BF0"/>
    <w:rsid w:val="003B6293"/>
    <w:rsid w:val="003B725D"/>
    <w:rsid w:val="003C0575"/>
    <w:rsid w:val="003C1FD4"/>
    <w:rsid w:val="003C2025"/>
    <w:rsid w:val="003C20DB"/>
    <w:rsid w:val="003C2226"/>
    <w:rsid w:val="003C28E9"/>
    <w:rsid w:val="003C3ED4"/>
    <w:rsid w:val="003C4357"/>
    <w:rsid w:val="003C6114"/>
    <w:rsid w:val="003C617C"/>
    <w:rsid w:val="003C768E"/>
    <w:rsid w:val="003C7A27"/>
    <w:rsid w:val="003C7AB5"/>
    <w:rsid w:val="003D016E"/>
    <w:rsid w:val="003D06DE"/>
    <w:rsid w:val="003D290A"/>
    <w:rsid w:val="003D2D82"/>
    <w:rsid w:val="003D32B3"/>
    <w:rsid w:val="003D3343"/>
    <w:rsid w:val="003D34F7"/>
    <w:rsid w:val="003D355B"/>
    <w:rsid w:val="003D3A1A"/>
    <w:rsid w:val="003D4568"/>
    <w:rsid w:val="003D6105"/>
    <w:rsid w:val="003D6C70"/>
    <w:rsid w:val="003E097E"/>
    <w:rsid w:val="003E1076"/>
    <w:rsid w:val="003E26A2"/>
    <w:rsid w:val="003E3D50"/>
    <w:rsid w:val="003E42DA"/>
    <w:rsid w:val="003E5A0B"/>
    <w:rsid w:val="003E7A35"/>
    <w:rsid w:val="003F0557"/>
    <w:rsid w:val="003F0AFE"/>
    <w:rsid w:val="003F0D93"/>
    <w:rsid w:val="003F0D9A"/>
    <w:rsid w:val="003F110F"/>
    <w:rsid w:val="003F1E69"/>
    <w:rsid w:val="003F3000"/>
    <w:rsid w:val="003F3491"/>
    <w:rsid w:val="003F3DC7"/>
    <w:rsid w:val="003F4887"/>
    <w:rsid w:val="003F4CE4"/>
    <w:rsid w:val="003F5E4B"/>
    <w:rsid w:val="003F6130"/>
    <w:rsid w:val="003F67DC"/>
    <w:rsid w:val="003F6E02"/>
    <w:rsid w:val="003F7694"/>
    <w:rsid w:val="0040042D"/>
    <w:rsid w:val="004010E5"/>
    <w:rsid w:val="004013AC"/>
    <w:rsid w:val="00402D9E"/>
    <w:rsid w:val="0040360D"/>
    <w:rsid w:val="00403A3A"/>
    <w:rsid w:val="00403D4B"/>
    <w:rsid w:val="004052EB"/>
    <w:rsid w:val="00405C4B"/>
    <w:rsid w:val="00406763"/>
    <w:rsid w:val="00406D59"/>
    <w:rsid w:val="00406E43"/>
    <w:rsid w:val="00407094"/>
    <w:rsid w:val="004079E5"/>
    <w:rsid w:val="00407A8C"/>
    <w:rsid w:val="00407AB5"/>
    <w:rsid w:val="0041077B"/>
    <w:rsid w:val="00411CF5"/>
    <w:rsid w:val="00412088"/>
    <w:rsid w:val="00412499"/>
    <w:rsid w:val="00412C9B"/>
    <w:rsid w:val="00412D32"/>
    <w:rsid w:val="00413713"/>
    <w:rsid w:val="004153F7"/>
    <w:rsid w:val="0041667A"/>
    <w:rsid w:val="0041778D"/>
    <w:rsid w:val="00417857"/>
    <w:rsid w:val="004201F2"/>
    <w:rsid w:val="0042024D"/>
    <w:rsid w:val="004204C0"/>
    <w:rsid w:val="0042147A"/>
    <w:rsid w:val="00421CDE"/>
    <w:rsid w:val="00421DD4"/>
    <w:rsid w:val="004230D7"/>
    <w:rsid w:val="0042385C"/>
    <w:rsid w:val="00423B59"/>
    <w:rsid w:val="0042504C"/>
    <w:rsid w:val="004265F1"/>
    <w:rsid w:val="004302C3"/>
    <w:rsid w:val="00430651"/>
    <w:rsid w:val="00433018"/>
    <w:rsid w:val="00434904"/>
    <w:rsid w:val="00434A0E"/>
    <w:rsid w:val="00434FBC"/>
    <w:rsid w:val="004355C8"/>
    <w:rsid w:val="00435DEB"/>
    <w:rsid w:val="00436F6D"/>
    <w:rsid w:val="004374F9"/>
    <w:rsid w:val="00437EE6"/>
    <w:rsid w:val="004402AA"/>
    <w:rsid w:val="00440D25"/>
    <w:rsid w:val="00441B92"/>
    <w:rsid w:val="0044248C"/>
    <w:rsid w:val="0044303E"/>
    <w:rsid w:val="00446475"/>
    <w:rsid w:val="00446F38"/>
    <w:rsid w:val="0045177F"/>
    <w:rsid w:val="00451CF8"/>
    <w:rsid w:val="00452EBB"/>
    <w:rsid w:val="00453756"/>
    <w:rsid w:val="00454167"/>
    <w:rsid w:val="004555D4"/>
    <w:rsid w:val="00455DE3"/>
    <w:rsid w:val="00456931"/>
    <w:rsid w:val="0045694F"/>
    <w:rsid w:val="00457B65"/>
    <w:rsid w:val="004609D7"/>
    <w:rsid w:val="00461413"/>
    <w:rsid w:val="00461DF5"/>
    <w:rsid w:val="00462531"/>
    <w:rsid w:val="004626D5"/>
    <w:rsid w:val="004629CA"/>
    <w:rsid w:val="00462B48"/>
    <w:rsid w:val="00462BE8"/>
    <w:rsid w:val="00463C97"/>
    <w:rsid w:val="00465AEA"/>
    <w:rsid w:val="00465F44"/>
    <w:rsid w:val="0046674C"/>
    <w:rsid w:val="00466BDA"/>
    <w:rsid w:val="00466F9F"/>
    <w:rsid w:val="00467251"/>
    <w:rsid w:val="00467916"/>
    <w:rsid w:val="004679B0"/>
    <w:rsid w:val="00467BA8"/>
    <w:rsid w:val="00467CD7"/>
    <w:rsid w:val="00467F75"/>
    <w:rsid w:val="0047103B"/>
    <w:rsid w:val="00471E19"/>
    <w:rsid w:val="004728DF"/>
    <w:rsid w:val="00472B31"/>
    <w:rsid w:val="00472C51"/>
    <w:rsid w:val="0047312B"/>
    <w:rsid w:val="00473D14"/>
    <w:rsid w:val="0047481F"/>
    <w:rsid w:val="004749FF"/>
    <w:rsid w:val="00474B7F"/>
    <w:rsid w:val="0047567B"/>
    <w:rsid w:val="004758D3"/>
    <w:rsid w:val="00475978"/>
    <w:rsid w:val="00475CB1"/>
    <w:rsid w:val="00475D81"/>
    <w:rsid w:val="0047639B"/>
    <w:rsid w:val="00480329"/>
    <w:rsid w:val="00482588"/>
    <w:rsid w:val="00482E76"/>
    <w:rsid w:val="00483BEB"/>
    <w:rsid w:val="00483EEA"/>
    <w:rsid w:val="00483F1D"/>
    <w:rsid w:val="00484604"/>
    <w:rsid w:val="0048461A"/>
    <w:rsid w:val="0048465D"/>
    <w:rsid w:val="00484B9E"/>
    <w:rsid w:val="00485592"/>
    <w:rsid w:val="00485702"/>
    <w:rsid w:val="00485C2A"/>
    <w:rsid w:val="00485FCC"/>
    <w:rsid w:val="0048748A"/>
    <w:rsid w:val="00487912"/>
    <w:rsid w:val="00487A26"/>
    <w:rsid w:val="00487DEA"/>
    <w:rsid w:val="00490151"/>
    <w:rsid w:val="00490ABA"/>
    <w:rsid w:val="00490B49"/>
    <w:rsid w:val="00491430"/>
    <w:rsid w:val="0049200C"/>
    <w:rsid w:val="00492C74"/>
    <w:rsid w:val="0049353D"/>
    <w:rsid w:val="004935EE"/>
    <w:rsid w:val="00493664"/>
    <w:rsid w:val="0049469D"/>
    <w:rsid w:val="0049496D"/>
    <w:rsid w:val="00494EF7"/>
    <w:rsid w:val="00495005"/>
    <w:rsid w:val="00495518"/>
    <w:rsid w:val="00495D4F"/>
    <w:rsid w:val="00495DDF"/>
    <w:rsid w:val="0049630C"/>
    <w:rsid w:val="0049651B"/>
    <w:rsid w:val="0049694C"/>
    <w:rsid w:val="004973C1"/>
    <w:rsid w:val="00497EA6"/>
    <w:rsid w:val="004A0397"/>
    <w:rsid w:val="004A15D8"/>
    <w:rsid w:val="004A3573"/>
    <w:rsid w:val="004A3A3C"/>
    <w:rsid w:val="004A4954"/>
    <w:rsid w:val="004A536C"/>
    <w:rsid w:val="004A5A03"/>
    <w:rsid w:val="004A5C74"/>
    <w:rsid w:val="004A5DCF"/>
    <w:rsid w:val="004A6499"/>
    <w:rsid w:val="004A7A0E"/>
    <w:rsid w:val="004A7C7E"/>
    <w:rsid w:val="004B0FA8"/>
    <w:rsid w:val="004B1163"/>
    <w:rsid w:val="004B132B"/>
    <w:rsid w:val="004B24E6"/>
    <w:rsid w:val="004B34F4"/>
    <w:rsid w:val="004B4630"/>
    <w:rsid w:val="004B4E98"/>
    <w:rsid w:val="004B51C8"/>
    <w:rsid w:val="004B7099"/>
    <w:rsid w:val="004B7509"/>
    <w:rsid w:val="004B7CF7"/>
    <w:rsid w:val="004C0008"/>
    <w:rsid w:val="004C0E73"/>
    <w:rsid w:val="004C19AC"/>
    <w:rsid w:val="004C2B89"/>
    <w:rsid w:val="004C2F3F"/>
    <w:rsid w:val="004C340D"/>
    <w:rsid w:val="004C3910"/>
    <w:rsid w:val="004C45CA"/>
    <w:rsid w:val="004C6501"/>
    <w:rsid w:val="004C70C9"/>
    <w:rsid w:val="004C7EB8"/>
    <w:rsid w:val="004D0D4E"/>
    <w:rsid w:val="004D10B6"/>
    <w:rsid w:val="004D2572"/>
    <w:rsid w:val="004D2EA8"/>
    <w:rsid w:val="004D4DD6"/>
    <w:rsid w:val="004D6124"/>
    <w:rsid w:val="004D6571"/>
    <w:rsid w:val="004D6AD1"/>
    <w:rsid w:val="004D6E77"/>
    <w:rsid w:val="004D70F6"/>
    <w:rsid w:val="004D78DB"/>
    <w:rsid w:val="004D7FE5"/>
    <w:rsid w:val="004E0B4D"/>
    <w:rsid w:val="004E289E"/>
    <w:rsid w:val="004E30F3"/>
    <w:rsid w:val="004E359C"/>
    <w:rsid w:val="004E3FC6"/>
    <w:rsid w:val="004E4095"/>
    <w:rsid w:val="004E476A"/>
    <w:rsid w:val="004E5808"/>
    <w:rsid w:val="004E5F75"/>
    <w:rsid w:val="004E6BBA"/>
    <w:rsid w:val="004E7A1D"/>
    <w:rsid w:val="004F00D9"/>
    <w:rsid w:val="004F0C59"/>
    <w:rsid w:val="004F0F95"/>
    <w:rsid w:val="004F18B8"/>
    <w:rsid w:val="004F2159"/>
    <w:rsid w:val="004F2D97"/>
    <w:rsid w:val="004F317A"/>
    <w:rsid w:val="004F4072"/>
    <w:rsid w:val="004F41C1"/>
    <w:rsid w:val="004F4423"/>
    <w:rsid w:val="004F46DC"/>
    <w:rsid w:val="004F55DD"/>
    <w:rsid w:val="004F5974"/>
    <w:rsid w:val="004F6009"/>
    <w:rsid w:val="004F6050"/>
    <w:rsid w:val="004F6A29"/>
    <w:rsid w:val="004F7A7A"/>
    <w:rsid w:val="005004C1"/>
    <w:rsid w:val="00501EDC"/>
    <w:rsid w:val="00501F69"/>
    <w:rsid w:val="005026C4"/>
    <w:rsid w:val="00502F66"/>
    <w:rsid w:val="00503BD1"/>
    <w:rsid w:val="00504587"/>
    <w:rsid w:val="00505392"/>
    <w:rsid w:val="00505CEA"/>
    <w:rsid w:val="005064C9"/>
    <w:rsid w:val="00506A94"/>
    <w:rsid w:val="00510F7B"/>
    <w:rsid w:val="00511F10"/>
    <w:rsid w:val="00512318"/>
    <w:rsid w:val="005125D9"/>
    <w:rsid w:val="00512FAB"/>
    <w:rsid w:val="00514086"/>
    <w:rsid w:val="005149E0"/>
    <w:rsid w:val="00514F9D"/>
    <w:rsid w:val="00516561"/>
    <w:rsid w:val="005205A1"/>
    <w:rsid w:val="00520A59"/>
    <w:rsid w:val="00522023"/>
    <w:rsid w:val="00523E4E"/>
    <w:rsid w:val="005241A4"/>
    <w:rsid w:val="005254E2"/>
    <w:rsid w:val="00525CFD"/>
    <w:rsid w:val="00526057"/>
    <w:rsid w:val="00526861"/>
    <w:rsid w:val="005277F2"/>
    <w:rsid w:val="005302A6"/>
    <w:rsid w:val="00530C69"/>
    <w:rsid w:val="00530D7C"/>
    <w:rsid w:val="00531B29"/>
    <w:rsid w:val="0053279D"/>
    <w:rsid w:val="005327A4"/>
    <w:rsid w:val="00532AEE"/>
    <w:rsid w:val="00532B65"/>
    <w:rsid w:val="00532CB7"/>
    <w:rsid w:val="00532EEF"/>
    <w:rsid w:val="00533DAA"/>
    <w:rsid w:val="00535165"/>
    <w:rsid w:val="00536D57"/>
    <w:rsid w:val="00536E30"/>
    <w:rsid w:val="00537BC8"/>
    <w:rsid w:val="005405A9"/>
    <w:rsid w:val="00541573"/>
    <w:rsid w:val="005416A9"/>
    <w:rsid w:val="005418CB"/>
    <w:rsid w:val="00541E44"/>
    <w:rsid w:val="005424FD"/>
    <w:rsid w:val="005430B4"/>
    <w:rsid w:val="00543465"/>
    <w:rsid w:val="00543492"/>
    <w:rsid w:val="0054395D"/>
    <w:rsid w:val="00544CB9"/>
    <w:rsid w:val="00544E3C"/>
    <w:rsid w:val="005451A5"/>
    <w:rsid w:val="005465B5"/>
    <w:rsid w:val="0054740C"/>
    <w:rsid w:val="00547D2D"/>
    <w:rsid w:val="00551119"/>
    <w:rsid w:val="0055169A"/>
    <w:rsid w:val="00552235"/>
    <w:rsid w:val="00552B44"/>
    <w:rsid w:val="00553B63"/>
    <w:rsid w:val="00553C23"/>
    <w:rsid w:val="00553E9D"/>
    <w:rsid w:val="00553FE4"/>
    <w:rsid w:val="00554C8A"/>
    <w:rsid w:val="00555064"/>
    <w:rsid w:val="00555858"/>
    <w:rsid w:val="00555B6E"/>
    <w:rsid w:val="00556075"/>
    <w:rsid w:val="00556837"/>
    <w:rsid w:val="00560142"/>
    <w:rsid w:val="00560894"/>
    <w:rsid w:val="00561900"/>
    <w:rsid w:val="00561A5E"/>
    <w:rsid w:val="005628D6"/>
    <w:rsid w:val="00562FF3"/>
    <w:rsid w:val="005645F5"/>
    <w:rsid w:val="0056523B"/>
    <w:rsid w:val="00567004"/>
    <w:rsid w:val="00567AE3"/>
    <w:rsid w:val="0057107F"/>
    <w:rsid w:val="00571593"/>
    <w:rsid w:val="005725A6"/>
    <w:rsid w:val="00572B14"/>
    <w:rsid w:val="005734AB"/>
    <w:rsid w:val="0057351E"/>
    <w:rsid w:val="005747F5"/>
    <w:rsid w:val="0057583F"/>
    <w:rsid w:val="005766CC"/>
    <w:rsid w:val="00576B5D"/>
    <w:rsid w:val="00576F1F"/>
    <w:rsid w:val="005804E6"/>
    <w:rsid w:val="005817AB"/>
    <w:rsid w:val="0058288C"/>
    <w:rsid w:val="00582AB4"/>
    <w:rsid w:val="00582C96"/>
    <w:rsid w:val="005832CB"/>
    <w:rsid w:val="00584E4C"/>
    <w:rsid w:val="00585E7A"/>
    <w:rsid w:val="00586912"/>
    <w:rsid w:val="00587194"/>
    <w:rsid w:val="0058747F"/>
    <w:rsid w:val="00590169"/>
    <w:rsid w:val="00590F08"/>
    <w:rsid w:val="00590F96"/>
    <w:rsid w:val="0059146F"/>
    <w:rsid w:val="00592F9F"/>
    <w:rsid w:val="00593D2C"/>
    <w:rsid w:val="00593DDA"/>
    <w:rsid w:val="00594C2D"/>
    <w:rsid w:val="005952F3"/>
    <w:rsid w:val="005959FA"/>
    <w:rsid w:val="00596E36"/>
    <w:rsid w:val="005976B0"/>
    <w:rsid w:val="005A0BF3"/>
    <w:rsid w:val="005A1157"/>
    <w:rsid w:val="005A19D4"/>
    <w:rsid w:val="005A202E"/>
    <w:rsid w:val="005A2CE1"/>
    <w:rsid w:val="005A2D73"/>
    <w:rsid w:val="005A3C0B"/>
    <w:rsid w:val="005A42C0"/>
    <w:rsid w:val="005A630A"/>
    <w:rsid w:val="005A69E3"/>
    <w:rsid w:val="005A7231"/>
    <w:rsid w:val="005A7422"/>
    <w:rsid w:val="005A7AE4"/>
    <w:rsid w:val="005B084A"/>
    <w:rsid w:val="005B0894"/>
    <w:rsid w:val="005B0FBC"/>
    <w:rsid w:val="005B11ED"/>
    <w:rsid w:val="005B1203"/>
    <w:rsid w:val="005B1768"/>
    <w:rsid w:val="005B28ED"/>
    <w:rsid w:val="005B2A88"/>
    <w:rsid w:val="005B2B2F"/>
    <w:rsid w:val="005B4732"/>
    <w:rsid w:val="005B512A"/>
    <w:rsid w:val="005B5654"/>
    <w:rsid w:val="005B5B62"/>
    <w:rsid w:val="005B63C5"/>
    <w:rsid w:val="005B6576"/>
    <w:rsid w:val="005B69A5"/>
    <w:rsid w:val="005B6A83"/>
    <w:rsid w:val="005B6E26"/>
    <w:rsid w:val="005B7F25"/>
    <w:rsid w:val="005C084A"/>
    <w:rsid w:val="005C215F"/>
    <w:rsid w:val="005C23FF"/>
    <w:rsid w:val="005C272B"/>
    <w:rsid w:val="005C28B1"/>
    <w:rsid w:val="005C2AAD"/>
    <w:rsid w:val="005C2DCD"/>
    <w:rsid w:val="005C3457"/>
    <w:rsid w:val="005C3755"/>
    <w:rsid w:val="005C37C5"/>
    <w:rsid w:val="005C3DC6"/>
    <w:rsid w:val="005C4E2A"/>
    <w:rsid w:val="005C55A9"/>
    <w:rsid w:val="005C57EF"/>
    <w:rsid w:val="005C5C75"/>
    <w:rsid w:val="005C6F30"/>
    <w:rsid w:val="005C72D5"/>
    <w:rsid w:val="005C79E3"/>
    <w:rsid w:val="005C7C10"/>
    <w:rsid w:val="005D0D4C"/>
    <w:rsid w:val="005D14E5"/>
    <w:rsid w:val="005D2158"/>
    <w:rsid w:val="005D2227"/>
    <w:rsid w:val="005D22BA"/>
    <w:rsid w:val="005D3775"/>
    <w:rsid w:val="005D37EF"/>
    <w:rsid w:val="005D3C5E"/>
    <w:rsid w:val="005D3F38"/>
    <w:rsid w:val="005D434A"/>
    <w:rsid w:val="005D4C6E"/>
    <w:rsid w:val="005D67AD"/>
    <w:rsid w:val="005D6F20"/>
    <w:rsid w:val="005D7575"/>
    <w:rsid w:val="005E033E"/>
    <w:rsid w:val="005E112A"/>
    <w:rsid w:val="005E211D"/>
    <w:rsid w:val="005E2238"/>
    <w:rsid w:val="005E252C"/>
    <w:rsid w:val="005E3E39"/>
    <w:rsid w:val="005E489E"/>
    <w:rsid w:val="005E52EF"/>
    <w:rsid w:val="005E6731"/>
    <w:rsid w:val="005E6967"/>
    <w:rsid w:val="005F01F4"/>
    <w:rsid w:val="005F143C"/>
    <w:rsid w:val="005F17C0"/>
    <w:rsid w:val="005F189D"/>
    <w:rsid w:val="005F21EB"/>
    <w:rsid w:val="005F238C"/>
    <w:rsid w:val="005F57D4"/>
    <w:rsid w:val="005F58CD"/>
    <w:rsid w:val="005F5C17"/>
    <w:rsid w:val="005F6BB8"/>
    <w:rsid w:val="005F7E37"/>
    <w:rsid w:val="00600D11"/>
    <w:rsid w:val="0060136F"/>
    <w:rsid w:val="00601D11"/>
    <w:rsid w:val="006021EB"/>
    <w:rsid w:val="00602303"/>
    <w:rsid w:val="0060474F"/>
    <w:rsid w:val="00604A7E"/>
    <w:rsid w:val="00604B6E"/>
    <w:rsid w:val="00604BA6"/>
    <w:rsid w:val="00604C8F"/>
    <w:rsid w:val="00605198"/>
    <w:rsid w:val="00605847"/>
    <w:rsid w:val="00605EA6"/>
    <w:rsid w:val="00605F90"/>
    <w:rsid w:val="0060724D"/>
    <w:rsid w:val="006108FE"/>
    <w:rsid w:val="00610970"/>
    <w:rsid w:val="00611718"/>
    <w:rsid w:val="006124C3"/>
    <w:rsid w:val="0061250F"/>
    <w:rsid w:val="00612839"/>
    <w:rsid w:val="00612EFD"/>
    <w:rsid w:val="006131BD"/>
    <w:rsid w:val="006131DD"/>
    <w:rsid w:val="00613574"/>
    <w:rsid w:val="00613A3A"/>
    <w:rsid w:val="00614409"/>
    <w:rsid w:val="006144E9"/>
    <w:rsid w:val="0061462C"/>
    <w:rsid w:val="0061499F"/>
    <w:rsid w:val="00614B50"/>
    <w:rsid w:val="0061562F"/>
    <w:rsid w:val="00615858"/>
    <w:rsid w:val="00615C60"/>
    <w:rsid w:val="00615DFB"/>
    <w:rsid w:val="00615EF7"/>
    <w:rsid w:val="00617DCF"/>
    <w:rsid w:val="006216C4"/>
    <w:rsid w:val="00621D7D"/>
    <w:rsid w:val="00621DA1"/>
    <w:rsid w:val="006224DA"/>
    <w:rsid w:val="00622DCB"/>
    <w:rsid w:val="00624A3B"/>
    <w:rsid w:val="00625A5A"/>
    <w:rsid w:val="00626ED6"/>
    <w:rsid w:val="00627034"/>
    <w:rsid w:val="00627124"/>
    <w:rsid w:val="00631435"/>
    <w:rsid w:val="00632A22"/>
    <w:rsid w:val="00632BB0"/>
    <w:rsid w:val="00632ED8"/>
    <w:rsid w:val="006330D5"/>
    <w:rsid w:val="006331C5"/>
    <w:rsid w:val="00633736"/>
    <w:rsid w:val="00633938"/>
    <w:rsid w:val="00633C97"/>
    <w:rsid w:val="00634ABF"/>
    <w:rsid w:val="0063607A"/>
    <w:rsid w:val="0063785D"/>
    <w:rsid w:val="00641469"/>
    <w:rsid w:val="00642010"/>
    <w:rsid w:val="006428AC"/>
    <w:rsid w:val="00643908"/>
    <w:rsid w:val="0064457B"/>
    <w:rsid w:val="00644C0B"/>
    <w:rsid w:val="00645FDD"/>
    <w:rsid w:val="006463FB"/>
    <w:rsid w:val="00646BA3"/>
    <w:rsid w:val="0064733B"/>
    <w:rsid w:val="00650818"/>
    <w:rsid w:val="006525AC"/>
    <w:rsid w:val="00652CEB"/>
    <w:rsid w:val="00653294"/>
    <w:rsid w:val="0065359B"/>
    <w:rsid w:val="00653C9B"/>
    <w:rsid w:val="00653D83"/>
    <w:rsid w:val="00653FEE"/>
    <w:rsid w:val="006543D5"/>
    <w:rsid w:val="00655A0A"/>
    <w:rsid w:val="006562BA"/>
    <w:rsid w:val="0066002B"/>
    <w:rsid w:val="006608BD"/>
    <w:rsid w:val="00660CE7"/>
    <w:rsid w:val="00661B09"/>
    <w:rsid w:val="00662A70"/>
    <w:rsid w:val="00662B22"/>
    <w:rsid w:val="00663661"/>
    <w:rsid w:val="006637B3"/>
    <w:rsid w:val="00664B71"/>
    <w:rsid w:val="00664F7E"/>
    <w:rsid w:val="00664F9A"/>
    <w:rsid w:val="00665D18"/>
    <w:rsid w:val="00666041"/>
    <w:rsid w:val="006663F3"/>
    <w:rsid w:val="006663F6"/>
    <w:rsid w:val="006666D4"/>
    <w:rsid w:val="00667FE7"/>
    <w:rsid w:val="00670889"/>
    <w:rsid w:val="00670CEF"/>
    <w:rsid w:val="00670FE9"/>
    <w:rsid w:val="00671348"/>
    <w:rsid w:val="00673465"/>
    <w:rsid w:val="006738CF"/>
    <w:rsid w:val="00673F57"/>
    <w:rsid w:val="00675ABF"/>
    <w:rsid w:val="00675D89"/>
    <w:rsid w:val="006764A3"/>
    <w:rsid w:val="00677DFF"/>
    <w:rsid w:val="00681F3B"/>
    <w:rsid w:val="00682338"/>
    <w:rsid w:val="006835C8"/>
    <w:rsid w:val="006846EF"/>
    <w:rsid w:val="00685205"/>
    <w:rsid w:val="0068528F"/>
    <w:rsid w:val="00685455"/>
    <w:rsid w:val="00685936"/>
    <w:rsid w:val="0069061A"/>
    <w:rsid w:val="006915D9"/>
    <w:rsid w:val="00691A25"/>
    <w:rsid w:val="00691A79"/>
    <w:rsid w:val="00692B46"/>
    <w:rsid w:val="00692C83"/>
    <w:rsid w:val="00693FF6"/>
    <w:rsid w:val="006944BF"/>
    <w:rsid w:val="00695FE7"/>
    <w:rsid w:val="0069782B"/>
    <w:rsid w:val="006A01A9"/>
    <w:rsid w:val="006A0E72"/>
    <w:rsid w:val="006A2153"/>
    <w:rsid w:val="006A2251"/>
    <w:rsid w:val="006A2DBF"/>
    <w:rsid w:val="006A2F20"/>
    <w:rsid w:val="006A3C51"/>
    <w:rsid w:val="006A49A2"/>
    <w:rsid w:val="006A4E21"/>
    <w:rsid w:val="006A4F4D"/>
    <w:rsid w:val="006A51C0"/>
    <w:rsid w:val="006A51C9"/>
    <w:rsid w:val="006A52AA"/>
    <w:rsid w:val="006A5909"/>
    <w:rsid w:val="006A6D83"/>
    <w:rsid w:val="006B00FB"/>
    <w:rsid w:val="006B0E76"/>
    <w:rsid w:val="006B184E"/>
    <w:rsid w:val="006B2E7A"/>
    <w:rsid w:val="006B4005"/>
    <w:rsid w:val="006B43FF"/>
    <w:rsid w:val="006B4C06"/>
    <w:rsid w:val="006B5EDB"/>
    <w:rsid w:val="006B6273"/>
    <w:rsid w:val="006B64F9"/>
    <w:rsid w:val="006B7273"/>
    <w:rsid w:val="006B76B6"/>
    <w:rsid w:val="006B77DA"/>
    <w:rsid w:val="006C07C7"/>
    <w:rsid w:val="006C0958"/>
    <w:rsid w:val="006C10F7"/>
    <w:rsid w:val="006C21C6"/>
    <w:rsid w:val="006C3950"/>
    <w:rsid w:val="006C3EEA"/>
    <w:rsid w:val="006C5628"/>
    <w:rsid w:val="006C56D5"/>
    <w:rsid w:val="006C6616"/>
    <w:rsid w:val="006C7E03"/>
    <w:rsid w:val="006D02CC"/>
    <w:rsid w:val="006D07BA"/>
    <w:rsid w:val="006D0B14"/>
    <w:rsid w:val="006D12B8"/>
    <w:rsid w:val="006D1C93"/>
    <w:rsid w:val="006D2877"/>
    <w:rsid w:val="006D2CD2"/>
    <w:rsid w:val="006D3769"/>
    <w:rsid w:val="006D3CC6"/>
    <w:rsid w:val="006D47A1"/>
    <w:rsid w:val="006D58CF"/>
    <w:rsid w:val="006D593E"/>
    <w:rsid w:val="006D5CA4"/>
    <w:rsid w:val="006D620C"/>
    <w:rsid w:val="006D6E45"/>
    <w:rsid w:val="006D71A0"/>
    <w:rsid w:val="006E0FDD"/>
    <w:rsid w:val="006E1804"/>
    <w:rsid w:val="006E187C"/>
    <w:rsid w:val="006E1BA7"/>
    <w:rsid w:val="006E4278"/>
    <w:rsid w:val="006E52AF"/>
    <w:rsid w:val="006E7C5C"/>
    <w:rsid w:val="006F05C5"/>
    <w:rsid w:val="006F1D68"/>
    <w:rsid w:val="006F315B"/>
    <w:rsid w:val="006F382E"/>
    <w:rsid w:val="006F3D1A"/>
    <w:rsid w:val="006F51F5"/>
    <w:rsid w:val="006F5226"/>
    <w:rsid w:val="006F5301"/>
    <w:rsid w:val="006F5412"/>
    <w:rsid w:val="006F6142"/>
    <w:rsid w:val="006F6BE8"/>
    <w:rsid w:val="006F6F3A"/>
    <w:rsid w:val="006F7158"/>
    <w:rsid w:val="006F7DB7"/>
    <w:rsid w:val="006F7E81"/>
    <w:rsid w:val="00700C91"/>
    <w:rsid w:val="00701501"/>
    <w:rsid w:val="0070155B"/>
    <w:rsid w:val="007016B0"/>
    <w:rsid w:val="007018D0"/>
    <w:rsid w:val="0070256A"/>
    <w:rsid w:val="0070339A"/>
    <w:rsid w:val="00703F28"/>
    <w:rsid w:val="00703F84"/>
    <w:rsid w:val="0070563F"/>
    <w:rsid w:val="007057AC"/>
    <w:rsid w:val="00706267"/>
    <w:rsid w:val="007072D7"/>
    <w:rsid w:val="00707709"/>
    <w:rsid w:val="00711D58"/>
    <w:rsid w:val="00712116"/>
    <w:rsid w:val="00712B80"/>
    <w:rsid w:val="00712FCA"/>
    <w:rsid w:val="00714285"/>
    <w:rsid w:val="0071473D"/>
    <w:rsid w:val="00715784"/>
    <w:rsid w:val="00715BDA"/>
    <w:rsid w:val="00715CED"/>
    <w:rsid w:val="00715D2F"/>
    <w:rsid w:val="00715D41"/>
    <w:rsid w:val="0071649A"/>
    <w:rsid w:val="00716627"/>
    <w:rsid w:val="0071717A"/>
    <w:rsid w:val="00717EA7"/>
    <w:rsid w:val="00717EF9"/>
    <w:rsid w:val="0072135C"/>
    <w:rsid w:val="007213E3"/>
    <w:rsid w:val="00721592"/>
    <w:rsid w:val="00721613"/>
    <w:rsid w:val="00721C99"/>
    <w:rsid w:val="007221AD"/>
    <w:rsid w:val="00722D76"/>
    <w:rsid w:val="00723025"/>
    <w:rsid w:val="00724124"/>
    <w:rsid w:val="0072449D"/>
    <w:rsid w:val="00725DCC"/>
    <w:rsid w:val="00726128"/>
    <w:rsid w:val="007271E4"/>
    <w:rsid w:val="007273A5"/>
    <w:rsid w:val="007275F9"/>
    <w:rsid w:val="007277FC"/>
    <w:rsid w:val="00727820"/>
    <w:rsid w:val="00730CAA"/>
    <w:rsid w:val="00730EC7"/>
    <w:rsid w:val="00731BC8"/>
    <w:rsid w:val="00732A4D"/>
    <w:rsid w:val="00732CCD"/>
    <w:rsid w:val="00732E8E"/>
    <w:rsid w:val="00733F03"/>
    <w:rsid w:val="00735379"/>
    <w:rsid w:val="007355DA"/>
    <w:rsid w:val="007356D9"/>
    <w:rsid w:val="007356ED"/>
    <w:rsid w:val="007360A5"/>
    <w:rsid w:val="00736387"/>
    <w:rsid w:val="00737400"/>
    <w:rsid w:val="0074032F"/>
    <w:rsid w:val="00740D96"/>
    <w:rsid w:val="00740EB0"/>
    <w:rsid w:val="00741306"/>
    <w:rsid w:val="00741DC7"/>
    <w:rsid w:val="00742405"/>
    <w:rsid w:val="007428E0"/>
    <w:rsid w:val="0074359A"/>
    <w:rsid w:val="00744DAC"/>
    <w:rsid w:val="00746F08"/>
    <w:rsid w:val="007473E5"/>
    <w:rsid w:val="007504D5"/>
    <w:rsid w:val="00750B12"/>
    <w:rsid w:val="007517FC"/>
    <w:rsid w:val="00752696"/>
    <w:rsid w:val="0075292B"/>
    <w:rsid w:val="00752967"/>
    <w:rsid w:val="00752B3C"/>
    <w:rsid w:val="007532AE"/>
    <w:rsid w:val="00753889"/>
    <w:rsid w:val="00754E0C"/>
    <w:rsid w:val="00755B94"/>
    <w:rsid w:val="007572A2"/>
    <w:rsid w:val="0075773C"/>
    <w:rsid w:val="00757D96"/>
    <w:rsid w:val="007603EC"/>
    <w:rsid w:val="00760588"/>
    <w:rsid w:val="00760649"/>
    <w:rsid w:val="007606EB"/>
    <w:rsid w:val="00760744"/>
    <w:rsid w:val="00760CF9"/>
    <w:rsid w:val="007613DF"/>
    <w:rsid w:val="00761476"/>
    <w:rsid w:val="00762204"/>
    <w:rsid w:val="0076242B"/>
    <w:rsid w:val="007635DD"/>
    <w:rsid w:val="007636F1"/>
    <w:rsid w:val="00763CFC"/>
    <w:rsid w:val="00765740"/>
    <w:rsid w:val="0076588A"/>
    <w:rsid w:val="00766512"/>
    <w:rsid w:val="007669E5"/>
    <w:rsid w:val="007676D1"/>
    <w:rsid w:val="0077098D"/>
    <w:rsid w:val="00770ADC"/>
    <w:rsid w:val="00770FC1"/>
    <w:rsid w:val="00771D54"/>
    <w:rsid w:val="007723C6"/>
    <w:rsid w:val="0077292E"/>
    <w:rsid w:val="00772FF2"/>
    <w:rsid w:val="00773172"/>
    <w:rsid w:val="007737EC"/>
    <w:rsid w:val="00774515"/>
    <w:rsid w:val="007746E6"/>
    <w:rsid w:val="00774E75"/>
    <w:rsid w:val="00774ED8"/>
    <w:rsid w:val="0077513A"/>
    <w:rsid w:val="0077564C"/>
    <w:rsid w:val="00775D5F"/>
    <w:rsid w:val="00777B3A"/>
    <w:rsid w:val="00777B90"/>
    <w:rsid w:val="00777ED8"/>
    <w:rsid w:val="00777F10"/>
    <w:rsid w:val="00777FCD"/>
    <w:rsid w:val="00780952"/>
    <w:rsid w:val="00780C32"/>
    <w:rsid w:val="0078219C"/>
    <w:rsid w:val="007821C6"/>
    <w:rsid w:val="00782DFE"/>
    <w:rsid w:val="00783165"/>
    <w:rsid w:val="007834DF"/>
    <w:rsid w:val="00783A70"/>
    <w:rsid w:val="007847DC"/>
    <w:rsid w:val="007854F1"/>
    <w:rsid w:val="007875D7"/>
    <w:rsid w:val="00787883"/>
    <w:rsid w:val="00787904"/>
    <w:rsid w:val="00790357"/>
    <w:rsid w:val="00790DF2"/>
    <w:rsid w:val="00791ABA"/>
    <w:rsid w:val="00792243"/>
    <w:rsid w:val="0079318C"/>
    <w:rsid w:val="007932C2"/>
    <w:rsid w:val="0079397E"/>
    <w:rsid w:val="00793C88"/>
    <w:rsid w:val="00794465"/>
    <w:rsid w:val="00794D8D"/>
    <w:rsid w:val="00795E3F"/>
    <w:rsid w:val="00796346"/>
    <w:rsid w:val="00796B18"/>
    <w:rsid w:val="00796BEE"/>
    <w:rsid w:val="00796C56"/>
    <w:rsid w:val="00796EE0"/>
    <w:rsid w:val="00797293"/>
    <w:rsid w:val="007973AC"/>
    <w:rsid w:val="00797676"/>
    <w:rsid w:val="00797A08"/>
    <w:rsid w:val="00797CA0"/>
    <w:rsid w:val="00797DDA"/>
    <w:rsid w:val="007A0222"/>
    <w:rsid w:val="007A03E0"/>
    <w:rsid w:val="007A0AFA"/>
    <w:rsid w:val="007A0B60"/>
    <w:rsid w:val="007A0CDD"/>
    <w:rsid w:val="007A195F"/>
    <w:rsid w:val="007A1C43"/>
    <w:rsid w:val="007A2421"/>
    <w:rsid w:val="007A2768"/>
    <w:rsid w:val="007A3063"/>
    <w:rsid w:val="007A3AC7"/>
    <w:rsid w:val="007A3FD1"/>
    <w:rsid w:val="007A48F7"/>
    <w:rsid w:val="007A4A04"/>
    <w:rsid w:val="007A5D92"/>
    <w:rsid w:val="007B0D2E"/>
    <w:rsid w:val="007B0E6D"/>
    <w:rsid w:val="007B1F69"/>
    <w:rsid w:val="007B2894"/>
    <w:rsid w:val="007B3921"/>
    <w:rsid w:val="007B3A32"/>
    <w:rsid w:val="007B5998"/>
    <w:rsid w:val="007B5DB5"/>
    <w:rsid w:val="007B6175"/>
    <w:rsid w:val="007B6B47"/>
    <w:rsid w:val="007C05EA"/>
    <w:rsid w:val="007C062D"/>
    <w:rsid w:val="007C06DA"/>
    <w:rsid w:val="007C14FC"/>
    <w:rsid w:val="007C1B02"/>
    <w:rsid w:val="007C1DD6"/>
    <w:rsid w:val="007C2336"/>
    <w:rsid w:val="007C2B67"/>
    <w:rsid w:val="007C2D7E"/>
    <w:rsid w:val="007C3A10"/>
    <w:rsid w:val="007C3AA3"/>
    <w:rsid w:val="007C736D"/>
    <w:rsid w:val="007C74AB"/>
    <w:rsid w:val="007C7A67"/>
    <w:rsid w:val="007C7B93"/>
    <w:rsid w:val="007D063C"/>
    <w:rsid w:val="007D1F39"/>
    <w:rsid w:val="007D23C0"/>
    <w:rsid w:val="007D3AF2"/>
    <w:rsid w:val="007D404E"/>
    <w:rsid w:val="007D4B4F"/>
    <w:rsid w:val="007D4D1F"/>
    <w:rsid w:val="007D4F1D"/>
    <w:rsid w:val="007D53F2"/>
    <w:rsid w:val="007D5484"/>
    <w:rsid w:val="007D5963"/>
    <w:rsid w:val="007D63C8"/>
    <w:rsid w:val="007D72C5"/>
    <w:rsid w:val="007E022F"/>
    <w:rsid w:val="007E052E"/>
    <w:rsid w:val="007E0A44"/>
    <w:rsid w:val="007E0E0D"/>
    <w:rsid w:val="007E1973"/>
    <w:rsid w:val="007E1D4D"/>
    <w:rsid w:val="007E29A8"/>
    <w:rsid w:val="007E3133"/>
    <w:rsid w:val="007E3228"/>
    <w:rsid w:val="007E4B92"/>
    <w:rsid w:val="007E5034"/>
    <w:rsid w:val="007E5734"/>
    <w:rsid w:val="007E5FA8"/>
    <w:rsid w:val="007E63CE"/>
    <w:rsid w:val="007E7C42"/>
    <w:rsid w:val="007F0585"/>
    <w:rsid w:val="007F06C6"/>
    <w:rsid w:val="007F0785"/>
    <w:rsid w:val="007F0D64"/>
    <w:rsid w:val="007F1164"/>
    <w:rsid w:val="007F180B"/>
    <w:rsid w:val="007F1816"/>
    <w:rsid w:val="007F1D76"/>
    <w:rsid w:val="007F2558"/>
    <w:rsid w:val="007F3AA3"/>
    <w:rsid w:val="007F42D2"/>
    <w:rsid w:val="007F5101"/>
    <w:rsid w:val="007F680E"/>
    <w:rsid w:val="007F6BE7"/>
    <w:rsid w:val="007F7FF8"/>
    <w:rsid w:val="00803885"/>
    <w:rsid w:val="00805A83"/>
    <w:rsid w:val="00805B8C"/>
    <w:rsid w:val="00806BAE"/>
    <w:rsid w:val="00806C17"/>
    <w:rsid w:val="00807A2B"/>
    <w:rsid w:val="008103AC"/>
    <w:rsid w:val="008109E6"/>
    <w:rsid w:val="00810EA2"/>
    <w:rsid w:val="00811E78"/>
    <w:rsid w:val="0081566C"/>
    <w:rsid w:val="00817800"/>
    <w:rsid w:val="008179E3"/>
    <w:rsid w:val="00817EFD"/>
    <w:rsid w:val="0082011B"/>
    <w:rsid w:val="008209AE"/>
    <w:rsid w:val="00820A3A"/>
    <w:rsid w:val="00820D01"/>
    <w:rsid w:val="00820D5D"/>
    <w:rsid w:val="008211CD"/>
    <w:rsid w:val="00822A17"/>
    <w:rsid w:val="00823664"/>
    <w:rsid w:val="00824C3C"/>
    <w:rsid w:val="00825DAF"/>
    <w:rsid w:val="00825E77"/>
    <w:rsid w:val="00826CC8"/>
    <w:rsid w:val="008270AC"/>
    <w:rsid w:val="00830519"/>
    <w:rsid w:val="0083197B"/>
    <w:rsid w:val="0083225A"/>
    <w:rsid w:val="008324D9"/>
    <w:rsid w:val="00833F74"/>
    <w:rsid w:val="008343B2"/>
    <w:rsid w:val="008345FC"/>
    <w:rsid w:val="00835510"/>
    <w:rsid w:val="008355CA"/>
    <w:rsid w:val="00835FA7"/>
    <w:rsid w:val="008362EF"/>
    <w:rsid w:val="008365D1"/>
    <w:rsid w:val="00837189"/>
    <w:rsid w:val="008372BF"/>
    <w:rsid w:val="00837790"/>
    <w:rsid w:val="00842501"/>
    <w:rsid w:val="00842D0E"/>
    <w:rsid w:val="00844B1A"/>
    <w:rsid w:val="00844BD1"/>
    <w:rsid w:val="00844F2A"/>
    <w:rsid w:val="00845B5B"/>
    <w:rsid w:val="00845E53"/>
    <w:rsid w:val="0084606A"/>
    <w:rsid w:val="0084650F"/>
    <w:rsid w:val="00846C02"/>
    <w:rsid w:val="008507CE"/>
    <w:rsid w:val="00850EC9"/>
    <w:rsid w:val="008513A6"/>
    <w:rsid w:val="00851646"/>
    <w:rsid w:val="00851AA1"/>
    <w:rsid w:val="00851AF1"/>
    <w:rsid w:val="0085264A"/>
    <w:rsid w:val="00852A68"/>
    <w:rsid w:val="00853155"/>
    <w:rsid w:val="0085378D"/>
    <w:rsid w:val="00853AD8"/>
    <w:rsid w:val="00856F20"/>
    <w:rsid w:val="008573FE"/>
    <w:rsid w:val="008575D6"/>
    <w:rsid w:val="0085764A"/>
    <w:rsid w:val="00857A07"/>
    <w:rsid w:val="008603FA"/>
    <w:rsid w:val="00860416"/>
    <w:rsid w:val="008619A7"/>
    <w:rsid w:val="00861EC5"/>
    <w:rsid w:val="008626CB"/>
    <w:rsid w:val="0086295C"/>
    <w:rsid w:val="00862FDC"/>
    <w:rsid w:val="0086397B"/>
    <w:rsid w:val="008639B0"/>
    <w:rsid w:val="00864376"/>
    <w:rsid w:val="008644DD"/>
    <w:rsid w:val="00865401"/>
    <w:rsid w:val="008657DD"/>
    <w:rsid w:val="008667DE"/>
    <w:rsid w:val="00867467"/>
    <w:rsid w:val="00867E6D"/>
    <w:rsid w:val="008700C3"/>
    <w:rsid w:val="00870349"/>
    <w:rsid w:val="00870D42"/>
    <w:rsid w:val="00871230"/>
    <w:rsid w:val="008718BE"/>
    <w:rsid w:val="00871D64"/>
    <w:rsid w:val="00872D44"/>
    <w:rsid w:val="008737D6"/>
    <w:rsid w:val="00873BE7"/>
    <w:rsid w:val="00874BBE"/>
    <w:rsid w:val="00875639"/>
    <w:rsid w:val="00876166"/>
    <w:rsid w:val="0087665E"/>
    <w:rsid w:val="00876D1E"/>
    <w:rsid w:val="0087752D"/>
    <w:rsid w:val="008778ED"/>
    <w:rsid w:val="00877A16"/>
    <w:rsid w:val="008804E5"/>
    <w:rsid w:val="008807EA"/>
    <w:rsid w:val="00881B43"/>
    <w:rsid w:val="00881C87"/>
    <w:rsid w:val="0088313B"/>
    <w:rsid w:val="0088319D"/>
    <w:rsid w:val="00884091"/>
    <w:rsid w:val="008841F7"/>
    <w:rsid w:val="0088462E"/>
    <w:rsid w:val="008847B8"/>
    <w:rsid w:val="00884C94"/>
    <w:rsid w:val="008853F9"/>
    <w:rsid w:val="008854CF"/>
    <w:rsid w:val="00886BC2"/>
    <w:rsid w:val="00886FE6"/>
    <w:rsid w:val="00886FF3"/>
    <w:rsid w:val="008877BE"/>
    <w:rsid w:val="00887BF2"/>
    <w:rsid w:val="00887E6D"/>
    <w:rsid w:val="008901A9"/>
    <w:rsid w:val="008901BE"/>
    <w:rsid w:val="0089051B"/>
    <w:rsid w:val="00890AB8"/>
    <w:rsid w:val="00890BC2"/>
    <w:rsid w:val="00890D2D"/>
    <w:rsid w:val="00890F3A"/>
    <w:rsid w:val="0089107D"/>
    <w:rsid w:val="00891C0A"/>
    <w:rsid w:val="008920FD"/>
    <w:rsid w:val="00892357"/>
    <w:rsid w:val="008924CD"/>
    <w:rsid w:val="008927AF"/>
    <w:rsid w:val="008931FD"/>
    <w:rsid w:val="008935F1"/>
    <w:rsid w:val="00893E29"/>
    <w:rsid w:val="008942F3"/>
    <w:rsid w:val="00894DFE"/>
    <w:rsid w:val="00894EEE"/>
    <w:rsid w:val="008956BC"/>
    <w:rsid w:val="00896692"/>
    <w:rsid w:val="008A09BA"/>
    <w:rsid w:val="008A0CC6"/>
    <w:rsid w:val="008A0D1E"/>
    <w:rsid w:val="008A1136"/>
    <w:rsid w:val="008A115F"/>
    <w:rsid w:val="008A1BDB"/>
    <w:rsid w:val="008A24B7"/>
    <w:rsid w:val="008A24BA"/>
    <w:rsid w:val="008A4342"/>
    <w:rsid w:val="008A43D8"/>
    <w:rsid w:val="008A44EA"/>
    <w:rsid w:val="008A4EFD"/>
    <w:rsid w:val="008A52B4"/>
    <w:rsid w:val="008A6040"/>
    <w:rsid w:val="008A6312"/>
    <w:rsid w:val="008A7269"/>
    <w:rsid w:val="008A7938"/>
    <w:rsid w:val="008B1870"/>
    <w:rsid w:val="008B1D6C"/>
    <w:rsid w:val="008B23C2"/>
    <w:rsid w:val="008B262B"/>
    <w:rsid w:val="008B2736"/>
    <w:rsid w:val="008B28FB"/>
    <w:rsid w:val="008B2CF0"/>
    <w:rsid w:val="008B3059"/>
    <w:rsid w:val="008B381B"/>
    <w:rsid w:val="008B3CA2"/>
    <w:rsid w:val="008B5252"/>
    <w:rsid w:val="008B5C52"/>
    <w:rsid w:val="008B5D7C"/>
    <w:rsid w:val="008B6508"/>
    <w:rsid w:val="008B6899"/>
    <w:rsid w:val="008B6F2B"/>
    <w:rsid w:val="008B714B"/>
    <w:rsid w:val="008B7534"/>
    <w:rsid w:val="008B7737"/>
    <w:rsid w:val="008C01A4"/>
    <w:rsid w:val="008C04D0"/>
    <w:rsid w:val="008C06BD"/>
    <w:rsid w:val="008C0BEA"/>
    <w:rsid w:val="008C1414"/>
    <w:rsid w:val="008C1AAB"/>
    <w:rsid w:val="008C1EDB"/>
    <w:rsid w:val="008C22D4"/>
    <w:rsid w:val="008C23FF"/>
    <w:rsid w:val="008C2713"/>
    <w:rsid w:val="008C3007"/>
    <w:rsid w:val="008C3C90"/>
    <w:rsid w:val="008C4640"/>
    <w:rsid w:val="008C4C0B"/>
    <w:rsid w:val="008C5B30"/>
    <w:rsid w:val="008C5C6C"/>
    <w:rsid w:val="008C6EAF"/>
    <w:rsid w:val="008C71FF"/>
    <w:rsid w:val="008C73E5"/>
    <w:rsid w:val="008C7648"/>
    <w:rsid w:val="008C79F2"/>
    <w:rsid w:val="008D03A4"/>
    <w:rsid w:val="008D0797"/>
    <w:rsid w:val="008D11A3"/>
    <w:rsid w:val="008D1379"/>
    <w:rsid w:val="008D27E4"/>
    <w:rsid w:val="008D2B7D"/>
    <w:rsid w:val="008D3DAF"/>
    <w:rsid w:val="008D4C72"/>
    <w:rsid w:val="008D51C5"/>
    <w:rsid w:val="008D568A"/>
    <w:rsid w:val="008D575D"/>
    <w:rsid w:val="008D6BF0"/>
    <w:rsid w:val="008D6FA0"/>
    <w:rsid w:val="008E2A2B"/>
    <w:rsid w:val="008E319F"/>
    <w:rsid w:val="008E3EC7"/>
    <w:rsid w:val="008E4D48"/>
    <w:rsid w:val="008E53DE"/>
    <w:rsid w:val="008E542B"/>
    <w:rsid w:val="008E5724"/>
    <w:rsid w:val="008E721F"/>
    <w:rsid w:val="008E749C"/>
    <w:rsid w:val="008E7A81"/>
    <w:rsid w:val="008F014E"/>
    <w:rsid w:val="008F0398"/>
    <w:rsid w:val="008F0E09"/>
    <w:rsid w:val="008F123D"/>
    <w:rsid w:val="008F1820"/>
    <w:rsid w:val="008F1956"/>
    <w:rsid w:val="008F19D0"/>
    <w:rsid w:val="008F2D6C"/>
    <w:rsid w:val="008F4241"/>
    <w:rsid w:val="008F4735"/>
    <w:rsid w:val="008F5446"/>
    <w:rsid w:val="008F56A1"/>
    <w:rsid w:val="008F5C7A"/>
    <w:rsid w:val="008F5E6B"/>
    <w:rsid w:val="008F61D8"/>
    <w:rsid w:val="008F6238"/>
    <w:rsid w:val="008F699F"/>
    <w:rsid w:val="008F7317"/>
    <w:rsid w:val="008F7BF1"/>
    <w:rsid w:val="009008F9"/>
    <w:rsid w:val="00900ABE"/>
    <w:rsid w:val="009010B3"/>
    <w:rsid w:val="00902063"/>
    <w:rsid w:val="009023C2"/>
    <w:rsid w:val="00902CBA"/>
    <w:rsid w:val="00902CEA"/>
    <w:rsid w:val="00903378"/>
    <w:rsid w:val="0090410E"/>
    <w:rsid w:val="00904E53"/>
    <w:rsid w:val="00905E84"/>
    <w:rsid w:val="009065A9"/>
    <w:rsid w:val="00906FC0"/>
    <w:rsid w:val="00907E5E"/>
    <w:rsid w:val="009105F6"/>
    <w:rsid w:val="009123D2"/>
    <w:rsid w:val="00912773"/>
    <w:rsid w:val="00912839"/>
    <w:rsid w:val="00912D75"/>
    <w:rsid w:val="009134AC"/>
    <w:rsid w:val="00913A72"/>
    <w:rsid w:val="00913D87"/>
    <w:rsid w:val="0091479E"/>
    <w:rsid w:val="009153C1"/>
    <w:rsid w:val="00916225"/>
    <w:rsid w:val="00916BD3"/>
    <w:rsid w:val="0092039F"/>
    <w:rsid w:val="009209FE"/>
    <w:rsid w:val="00921691"/>
    <w:rsid w:val="00922738"/>
    <w:rsid w:val="00924718"/>
    <w:rsid w:val="00925275"/>
    <w:rsid w:val="00926C36"/>
    <w:rsid w:val="00926E43"/>
    <w:rsid w:val="00927884"/>
    <w:rsid w:val="00930363"/>
    <w:rsid w:val="0093036E"/>
    <w:rsid w:val="009311EE"/>
    <w:rsid w:val="00931AD5"/>
    <w:rsid w:val="00931BE9"/>
    <w:rsid w:val="009327F4"/>
    <w:rsid w:val="00932FD2"/>
    <w:rsid w:val="00933482"/>
    <w:rsid w:val="0093370F"/>
    <w:rsid w:val="00933A91"/>
    <w:rsid w:val="00935EA4"/>
    <w:rsid w:val="00936C10"/>
    <w:rsid w:val="00936FE3"/>
    <w:rsid w:val="0093713F"/>
    <w:rsid w:val="009379AA"/>
    <w:rsid w:val="0094022E"/>
    <w:rsid w:val="0094205E"/>
    <w:rsid w:val="0094246F"/>
    <w:rsid w:val="009433F7"/>
    <w:rsid w:val="009442D8"/>
    <w:rsid w:val="0094548F"/>
    <w:rsid w:val="00945DA4"/>
    <w:rsid w:val="00946A4F"/>
    <w:rsid w:val="00947DBB"/>
    <w:rsid w:val="009509BB"/>
    <w:rsid w:val="00951109"/>
    <w:rsid w:val="00952B4A"/>
    <w:rsid w:val="00953084"/>
    <w:rsid w:val="009530ED"/>
    <w:rsid w:val="00953747"/>
    <w:rsid w:val="00953B97"/>
    <w:rsid w:val="009554D9"/>
    <w:rsid w:val="009555F3"/>
    <w:rsid w:val="00955B13"/>
    <w:rsid w:val="00956619"/>
    <w:rsid w:val="0095676B"/>
    <w:rsid w:val="0095684E"/>
    <w:rsid w:val="00957148"/>
    <w:rsid w:val="0095776A"/>
    <w:rsid w:val="009603A5"/>
    <w:rsid w:val="009611C0"/>
    <w:rsid w:val="0096189F"/>
    <w:rsid w:val="00961C4A"/>
    <w:rsid w:val="00962CBB"/>
    <w:rsid w:val="009649F7"/>
    <w:rsid w:val="00965800"/>
    <w:rsid w:val="0096630D"/>
    <w:rsid w:val="00966B3C"/>
    <w:rsid w:val="00966CEE"/>
    <w:rsid w:val="00967561"/>
    <w:rsid w:val="00967A11"/>
    <w:rsid w:val="00970242"/>
    <w:rsid w:val="009705E2"/>
    <w:rsid w:val="00971A97"/>
    <w:rsid w:val="009728A5"/>
    <w:rsid w:val="00972C50"/>
    <w:rsid w:val="00972D0C"/>
    <w:rsid w:val="00973268"/>
    <w:rsid w:val="00974117"/>
    <w:rsid w:val="00974784"/>
    <w:rsid w:val="009757F0"/>
    <w:rsid w:val="00976185"/>
    <w:rsid w:val="00976A23"/>
    <w:rsid w:val="00976D77"/>
    <w:rsid w:val="00976EBB"/>
    <w:rsid w:val="009772FA"/>
    <w:rsid w:val="009776E4"/>
    <w:rsid w:val="009815FD"/>
    <w:rsid w:val="009821AC"/>
    <w:rsid w:val="0098240A"/>
    <w:rsid w:val="009829EA"/>
    <w:rsid w:val="00982BE8"/>
    <w:rsid w:val="00982C32"/>
    <w:rsid w:val="00982F67"/>
    <w:rsid w:val="00983F48"/>
    <w:rsid w:val="00983FE4"/>
    <w:rsid w:val="009843D2"/>
    <w:rsid w:val="00984D27"/>
    <w:rsid w:val="00984E8E"/>
    <w:rsid w:val="0098571D"/>
    <w:rsid w:val="00987310"/>
    <w:rsid w:val="00987A34"/>
    <w:rsid w:val="0099047C"/>
    <w:rsid w:val="00990DFD"/>
    <w:rsid w:val="0099135F"/>
    <w:rsid w:val="0099212E"/>
    <w:rsid w:val="009924B9"/>
    <w:rsid w:val="0099284C"/>
    <w:rsid w:val="00992DA2"/>
    <w:rsid w:val="00993358"/>
    <w:rsid w:val="0099385B"/>
    <w:rsid w:val="009940B1"/>
    <w:rsid w:val="0099483D"/>
    <w:rsid w:val="00994BA7"/>
    <w:rsid w:val="00994C7F"/>
    <w:rsid w:val="0099572B"/>
    <w:rsid w:val="00995BF2"/>
    <w:rsid w:val="00995EF8"/>
    <w:rsid w:val="0099656D"/>
    <w:rsid w:val="009978D3"/>
    <w:rsid w:val="009A0570"/>
    <w:rsid w:val="009A11A4"/>
    <w:rsid w:val="009A1BBC"/>
    <w:rsid w:val="009A2257"/>
    <w:rsid w:val="009A2803"/>
    <w:rsid w:val="009A4550"/>
    <w:rsid w:val="009A4B5F"/>
    <w:rsid w:val="009A528D"/>
    <w:rsid w:val="009A6446"/>
    <w:rsid w:val="009A68CC"/>
    <w:rsid w:val="009A7FD7"/>
    <w:rsid w:val="009B029A"/>
    <w:rsid w:val="009B0B9E"/>
    <w:rsid w:val="009B0CA2"/>
    <w:rsid w:val="009B1520"/>
    <w:rsid w:val="009B17CC"/>
    <w:rsid w:val="009B20C5"/>
    <w:rsid w:val="009B26ED"/>
    <w:rsid w:val="009B2D00"/>
    <w:rsid w:val="009B2DD5"/>
    <w:rsid w:val="009B4079"/>
    <w:rsid w:val="009B40E8"/>
    <w:rsid w:val="009B4D57"/>
    <w:rsid w:val="009B4FC7"/>
    <w:rsid w:val="009B5049"/>
    <w:rsid w:val="009B54EA"/>
    <w:rsid w:val="009B68F4"/>
    <w:rsid w:val="009B6A19"/>
    <w:rsid w:val="009B6A6F"/>
    <w:rsid w:val="009B726D"/>
    <w:rsid w:val="009C0300"/>
    <w:rsid w:val="009C0F84"/>
    <w:rsid w:val="009C1035"/>
    <w:rsid w:val="009C190E"/>
    <w:rsid w:val="009C1EBC"/>
    <w:rsid w:val="009C23CA"/>
    <w:rsid w:val="009C37BF"/>
    <w:rsid w:val="009C3D11"/>
    <w:rsid w:val="009C4BC5"/>
    <w:rsid w:val="009C4E56"/>
    <w:rsid w:val="009C5A3D"/>
    <w:rsid w:val="009C5E94"/>
    <w:rsid w:val="009C6102"/>
    <w:rsid w:val="009C68AF"/>
    <w:rsid w:val="009C6ECD"/>
    <w:rsid w:val="009C7A8A"/>
    <w:rsid w:val="009C7D06"/>
    <w:rsid w:val="009D0026"/>
    <w:rsid w:val="009D09ED"/>
    <w:rsid w:val="009D0C07"/>
    <w:rsid w:val="009D1813"/>
    <w:rsid w:val="009D1B5E"/>
    <w:rsid w:val="009D1EBD"/>
    <w:rsid w:val="009D1FF4"/>
    <w:rsid w:val="009D36DB"/>
    <w:rsid w:val="009D3FDF"/>
    <w:rsid w:val="009D4451"/>
    <w:rsid w:val="009D474C"/>
    <w:rsid w:val="009D50F4"/>
    <w:rsid w:val="009D5264"/>
    <w:rsid w:val="009D5D5D"/>
    <w:rsid w:val="009D643F"/>
    <w:rsid w:val="009D7691"/>
    <w:rsid w:val="009D7D18"/>
    <w:rsid w:val="009E137B"/>
    <w:rsid w:val="009E1A89"/>
    <w:rsid w:val="009E1CCB"/>
    <w:rsid w:val="009E2239"/>
    <w:rsid w:val="009E231D"/>
    <w:rsid w:val="009E267F"/>
    <w:rsid w:val="009E555E"/>
    <w:rsid w:val="009E7180"/>
    <w:rsid w:val="009E72CD"/>
    <w:rsid w:val="009E73A2"/>
    <w:rsid w:val="009E74B7"/>
    <w:rsid w:val="009F0C00"/>
    <w:rsid w:val="009F0FFF"/>
    <w:rsid w:val="009F1128"/>
    <w:rsid w:val="009F179E"/>
    <w:rsid w:val="009F35E1"/>
    <w:rsid w:val="009F462B"/>
    <w:rsid w:val="009F4DD1"/>
    <w:rsid w:val="009F52F1"/>
    <w:rsid w:val="009F563C"/>
    <w:rsid w:val="009F7388"/>
    <w:rsid w:val="009F78F6"/>
    <w:rsid w:val="009F7961"/>
    <w:rsid w:val="009F7C08"/>
    <w:rsid w:val="00A00180"/>
    <w:rsid w:val="00A00DFB"/>
    <w:rsid w:val="00A00F65"/>
    <w:rsid w:val="00A01A67"/>
    <w:rsid w:val="00A02C98"/>
    <w:rsid w:val="00A04BD3"/>
    <w:rsid w:val="00A05157"/>
    <w:rsid w:val="00A05249"/>
    <w:rsid w:val="00A0597D"/>
    <w:rsid w:val="00A05CDF"/>
    <w:rsid w:val="00A06761"/>
    <w:rsid w:val="00A069E6"/>
    <w:rsid w:val="00A06F59"/>
    <w:rsid w:val="00A07E31"/>
    <w:rsid w:val="00A10948"/>
    <w:rsid w:val="00A119D8"/>
    <w:rsid w:val="00A11E61"/>
    <w:rsid w:val="00A13BBB"/>
    <w:rsid w:val="00A13C90"/>
    <w:rsid w:val="00A148B0"/>
    <w:rsid w:val="00A153A0"/>
    <w:rsid w:val="00A16E4E"/>
    <w:rsid w:val="00A20BD0"/>
    <w:rsid w:val="00A21B97"/>
    <w:rsid w:val="00A2234C"/>
    <w:rsid w:val="00A22A4A"/>
    <w:rsid w:val="00A22F9B"/>
    <w:rsid w:val="00A23043"/>
    <w:rsid w:val="00A23483"/>
    <w:rsid w:val="00A234D1"/>
    <w:rsid w:val="00A237AC"/>
    <w:rsid w:val="00A23B8A"/>
    <w:rsid w:val="00A23C25"/>
    <w:rsid w:val="00A24833"/>
    <w:rsid w:val="00A24924"/>
    <w:rsid w:val="00A24E88"/>
    <w:rsid w:val="00A24FEC"/>
    <w:rsid w:val="00A25A27"/>
    <w:rsid w:val="00A264D6"/>
    <w:rsid w:val="00A26961"/>
    <w:rsid w:val="00A26B0D"/>
    <w:rsid w:val="00A27096"/>
    <w:rsid w:val="00A27265"/>
    <w:rsid w:val="00A27B94"/>
    <w:rsid w:val="00A305E2"/>
    <w:rsid w:val="00A3063D"/>
    <w:rsid w:val="00A30CFA"/>
    <w:rsid w:val="00A31449"/>
    <w:rsid w:val="00A32026"/>
    <w:rsid w:val="00A32706"/>
    <w:rsid w:val="00A32A03"/>
    <w:rsid w:val="00A33A54"/>
    <w:rsid w:val="00A33B54"/>
    <w:rsid w:val="00A34BEA"/>
    <w:rsid w:val="00A34D2F"/>
    <w:rsid w:val="00A35019"/>
    <w:rsid w:val="00A351C3"/>
    <w:rsid w:val="00A35710"/>
    <w:rsid w:val="00A35A07"/>
    <w:rsid w:val="00A35D54"/>
    <w:rsid w:val="00A36E78"/>
    <w:rsid w:val="00A375D5"/>
    <w:rsid w:val="00A40341"/>
    <w:rsid w:val="00A4047D"/>
    <w:rsid w:val="00A40C49"/>
    <w:rsid w:val="00A40CAA"/>
    <w:rsid w:val="00A40E08"/>
    <w:rsid w:val="00A41BB5"/>
    <w:rsid w:val="00A42171"/>
    <w:rsid w:val="00A42AE5"/>
    <w:rsid w:val="00A42D44"/>
    <w:rsid w:val="00A43D62"/>
    <w:rsid w:val="00A44CF1"/>
    <w:rsid w:val="00A475B9"/>
    <w:rsid w:val="00A50017"/>
    <w:rsid w:val="00A5077A"/>
    <w:rsid w:val="00A50817"/>
    <w:rsid w:val="00A50C2C"/>
    <w:rsid w:val="00A510DE"/>
    <w:rsid w:val="00A512F4"/>
    <w:rsid w:val="00A520F0"/>
    <w:rsid w:val="00A523F0"/>
    <w:rsid w:val="00A52D7F"/>
    <w:rsid w:val="00A53601"/>
    <w:rsid w:val="00A54093"/>
    <w:rsid w:val="00A545E9"/>
    <w:rsid w:val="00A54684"/>
    <w:rsid w:val="00A54E19"/>
    <w:rsid w:val="00A565FF"/>
    <w:rsid w:val="00A56B2F"/>
    <w:rsid w:val="00A574F8"/>
    <w:rsid w:val="00A60971"/>
    <w:rsid w:val="00A612BA"/>
    <w:rsid w:val="00A613AA"/>
    <w:rsid w:val="00A62075"/>
    <w:rsid w:val="00A621A2"/>
    <w:rsid w:val="00A62D78"/>
    <w:rsid w:val="00A62E68"/>
    <w:rsid w:val="00A632BC"/>
    <w:rsid w:val="00A635C4"/>
    <w:rsid w:val="00A64952"/>
    <w:rsid w:val="00A658A0"/>
    <w:rsid w:val="00A664EB"/>
    <w:rsid w:val="00A702C7"/>
    <w:rsid w:val="00A70458"/>
    <w:rsid w:val="00A71100"/>
    <w:rsid w:val="00A71219"/>
    <w:rsid w:val="00A71968"/>
    <w:rsid w:val="00A71A3B"/>
    <w:rsid w:val="00A71E0F"/>
    <w:rsid w:val="00A71EE8"/>
    <w:rsid w:val="00A721DE"/>
    <w:rsid w:val="00A721F7"/>
    <w:rsid w:val="00A725F8"/>
    <w:rsid w:val="00A750F8"/>
    <w:rsid w:val="00A75C6D"/>
    <w:rsid w:val="00A75F11"/>
    <w:rsid w:val="00A76382"/>
    <w:rsid w:val="00A763DB"/>
    <w:rsid w:val="00A775C5"/>
    <w:rsid w:val="00A77DC8"/>
    <w:rsid w:val="00A81181"/>
    <w:rsid w:val="00A82798"/>
    <w:rsid w:val="00A8377D"/>
    <w:rsid w:val="00A83952"/>
    <w:rsid w:val="00A83D5E"/>
    <w:rsid w:val="00A843F4"/>
    <w:rsid w:val="00A848AA"/>
    <w:rsid w:val="00A84AD3"/>
    <w:rsid w:val="00A858A0"/>
    <w:rsid w:val="00A863DC"/>
    <w:rsid w:val="00A86F67"/>
    <w:rsid w:val="00A87300"/>
    <w:rsid w:val="00A90491"/>
    <w:rsid w:val="00A905B8"/>
    <w:rsid w:val="00A9093C"/>
    <w:rsid w:val="00A90B1D"/>
    <w:rsid w:val="00A91222"/>
    <w:rsid w:val="00A91E74"/>
    <w:rsid w:val="00A931AE"/>
    <w:rsid w:val="00A936EA"/>
    <w:rsid w:val="00A939E2"/>
    <w:rsid w:val="00AA03E3"/>
    <w:rsid w:val="00AA189C"/>
    <w:rsid w:val="00AA1AE9"/>
    <w:rsid w:val="00AA2293"/>
    <w:rsid w:val="00AA22FF"/>
    <w:rsid w:val="00AA4B0C"/>
    <w:rsid w:val="00AA4E02"/>
    <w:rsid w:val="00AA5F6E"/>
    <w:rsid w:val="00AA77BD"/>
    <w:rsid w:val="00AA7AB7"/>
    <w:rsid w:val="00AB02AD"/>
    <w:rsid w:val="00AB0C8D"/>
    <w:rsid w:val="00AB13F3"/>
    <w:rsid w:val="00AB2112"/>
    <w:rsid w:val="00AB213D"/>
    <w:rsid w:val="00AB2CAE"/>
    <w:rsid w:val="00AB3891"/>
    <w:rsid w:val="00AB4798"/>
    <w:rsid w:val="00AB4856"/>
    <w:rsid w:val="00AB5A8D"/>
    <w:rsid w:val="00AB6310"/>
    <w:rsid w:val="00AB67C7"/>
    <w:rsid w:val="00AB764F"/>
    <w:rsid w:val="00AC177E"/>
    <w:rsid w:val="00AC21A0"/>
    <w:rsid w:val="00AC4640"/>
    <w:rsid w:val="00AC48A4"/>
    <w:rsid w:val="00AC576A"/>
    <w:rsid w:val="00AC5A63"/>
    <w:rsid w:val="00AC61C4"/>
    <w:rsid w:val="00AC65AC"/>
    <w:rsid w:val="00AC6ADF"/>
    <w:rsid w:val="00AC7A0A"/>
    <w:rsid w:val="00AD078A"/>
    <w:rsid w:val="00AD12C6"/>
    <w:rsid w:val="00AD16D7"/>
    <w:rsid w:val="00AD209F"/>
    <w:rsid w:val="00AD2F9C"/>
    <w:rsid w:val="00AD32A0"/>
    <w:rsid w:val="00AD3CA8"/>
    <w:rsid w:val="00AD3F8E"/>
    <w:rsid w:val="00AD424B"/>
    <w:rsid w:val="00AD6626"/>
    <w:rsid w:val="00AD66F7"/>
    <w:rsid w:val="00AD6DE0"/>
    <w:rsid w:val="00AD72BD"/>
    <w:rsid w:val="00AD732B"/>
    <w:rsid w:val="00AD780B"/>
    <w:rsid w:val="00AD7A05"/>
    <w:rsid w:val="00AD7F9A"/>
    <w:rsid w:val="00AE06CD"/>
    <w:rsid w:val="00AE0D21"/>
    <w:rsid w:val="00AE0E5D"/>
    <w:rsid w:val="00AE20DE"/>
    <w:rsid w:val="00AE265B"/>
    <w:rsid w:val="00AE2A37"/>
    <w:rsid w:val="00AE31DF"/>
    <w:rsid w:val="00AE34F4"/>
    <w:rsid w:val="00AE3EA3"/>
    <w:rsid w:val="00AE404B"/>
    <w:rsid w:val="00AE48DD"/>
    <w:rsid w:val="00AE6CCD"/>
    <w:rsid w:val="00AE7AA1"/>
    <w:rsid w:val="00AE7B4E"/>
    <w:rsid w:val="00AE7E62"/>
    <w:rsid w:val="00AF0715"/>
    <w:rsid w:val="00AF079A"/>
    <w:rsid w:val="00AF0CEA"/>
    <w:rsid w:val="00AF1869"/>
    <w:rsid w:val="00AF37C1"/>
    <w:rsid w:val="00AF3A96"/>
    <w:rsid w:val="00AF435D"/>
    <w:rsid w:val="00AF4530"/>
    <w:rsid w:val="00AF4C52"/>
    <w:rsid w:val="00AF4C5B"/>
    <w:rsid w:val="00AF5061"/>
    <w:rsid w:val="00AF52C7"/>
    <w:rsid w:val="00AF5ABA"/>
    <w:rsid w:val="00AF5DBE"/>
    <w:rsid w:val="00AF6651"/>
    <w:rsid w:val="00AF6C53"/>
    <w:rsid w:val="00AF7620"/>
    <w:rsid w:val="00B000A5"/>
    <w:rsid w:val="00B00BFA"/>
    <w:rsid w:val="00B01B4C"/>
    <w:rsid w:val="00B02289"/>
    <w:rsid w:val="00B02934"/>
    <w:rsid w:val="00B0349F"/>
    <w:rsid w:val="00B035F7"/>
    <w:rsid w:val="00B0377F"/>
    <w:rsid w:val="00B03B87"/>
    <w:rsid w:val="00B03F37"/>
    <w:rsid w:val="00B04D2C"/>
    <w:rsid w:val="00B054EA"/>
    <w:rsid w:val="00B06C0F"/>
    <w:rsid w:val="00B06F17"/>
    <w:rsid w:val="00B07129"/>
    <w:rsid w:val="00B07260"/>
    <w:rsid w:val="00B077D5"/>
    <w:rsid w:val="00B104EB"/>
    <w:rsid w:val="00B10860"/>
    <w:rsid w:val="00B1162F"/>
    <w:rsid w:val="00B11652"/>
    <w:rsid w:val="00B12688"/>
    <w:rsid w:val="00B137F7"/>
    <w:rsid w:val="00B14238"/>
    <w:rsid w:val="00B1459F"/>
    <w:rsid w:val="00B1493E"/>
    <w:rsid w:val="00B14AF8"/>
    <w:rsid w:val="00B14FB3"/>
    <w:rsid w:val="00B152DB"/>
    <w:rsid w:val="00B158F0"/>
    <w:rsid w:val="00B15CD4"/>
    <w:rsid w:val="00B16658"/>
    <w:rsid w:val="00B1698C"/>
    <w:rsid w:val="00B1770B"/>
    <w:rsid w:val="00B17E95"/>
    <w:rsid w:val="00B20491"/>
    <w:rsid w:val="00B213CB"/>
    <w:rsid w:val="00B218E2"/>
    <w:rsid w:val="00B23D52"/>
    <w:rsid w:val="00B24B5B"/>
    <w:rsid w:val="00B2546C"/>
    <w:rsid w:val="00B26845"/>
    <w:rsid w:val="00B26B5A"/>
    <w:rsid w:val="00B26D57"/>
    <w:rsid w:val="00B26E40"/>
    <w:rsid w:val="00B271D1"/>
    <w:rsid w:val="00B2791A"/>
    <w:rsid w:val="00B27C5A"/>
    <w:rsid w:val="00B27E8E"/>
    <w:rsid w:val="00B301B8"/>
    <w:rsid w:val="00B30361"/>
    <w:rsid w:val="00B315CC"/>
    <w:rsid w:val="00B31D7F"/>
    <w:rsid w:val="00B32065"/>
    <w:rsid w:val="00B3251B"/>
    <w:rsid w:val="00B33676"/>
    <w:rsid w:val="00B341B1"/>
    <w:rsid w:val="00B34398"/>
    <w:rsid w:val="00B34920"/>
    <w:rsid w:val="00B36287"/>
    <w:rsid w:val="00B36990"/>
    <w:rsid w:val="00B369BD"/>
    <w:rsid w:val="00B4191C"/>
    <w:rsid w:val="00B41A2D"/>
    <w:rsid w:val="00B41BF3"/>
    <w:rsid w:val="00B42343"/>
    <w:rsid w:val="00B4252A"/>
    <w:rsid w:val="00B4280A"/>
    <w:rsid w:val="00B44518"/>
    <w:rsid w:val="00B45632"/>
    <w:rsid w:val="00B4659D"/>
    <w:rsid w:val="00B46B43"/>
    <w:rsid w:val="00B5019B"/>
    <w:rsid w:val="00B5061D"/>
    <w:rsid w:val="00B518A1"/>
    <w:rsid w:val="00B5279F"/>
    <w:rsid w:val="00B52920"/>
    <w:rsid w:val="00B529D2"/>
    <w:rsid w:val="00B52B65"/>
    <w:rsid w:val="00B54177"/>
    <w:rsid w:val="00B54F50"/>
    <w:rsid w:val="00B5515A"/>
    <w:rsid w:val="00B554BF"/>
    <w:rsid w:val="00B5558A"/>
    <w:rsid w:val="00B5634E"/>
    <w:rsid w:val="00B568E0"/>
    <w:rsid w:val="00B56EF2"/>
    <w:rsid w:val="00B60207"/>
    <w:rsid w:val="00B60DE9"/>
    <w:rsid w:val="00B61595"/>
    <w:rsid w:val="00B61CEF"/>
    <w:rsid w:val="00B61E58"/>
    <w:rsid w:val="00B61E64"/>
    <w:rsid w:val="00B62553"/>
    <w:rsid w:val="00B63B1D"/>
    <w:rsid w:val="00B63F89"/>
    <w:rsid w:val="00B64B6B"/>
    <w:rsid w:val="00B65405"/>
    <w:rsid w:val="00B65C39"/>
    <w:rsid w:val="00B663E4"/>
    <w:rsid w:val="00B66402"/>
    <w:rsid w:val="00B66C95"/>
    <w:rsid w:val="00B67484"/>
    <w:rsid w:val="00B67CAC"/>
    <w:rsid w:val="00B70AB0"/>
    <w:rsid w:val="00B70C33"/>
    <w:rsid w:val="00B7361A"/>
    <w:rsid w:val="00B745B1"/>
    <w:rsid w:val="00B749C0"/>
    <w:rsid w:val="00B74AE9"/>
    <w:rsid w:val="00B75192"/>
    <w:rsid w:val="00B75C31"/>
    <w:rsid w:val="00B75E94"/>
    <w:rsid w:val="00B765C6"/>
    <w:rsid w:val="00B800D2"/>
    <w:rsid w:val="00B80933"/>
    <w:rsid w:val="00B80CD9"/>
    <w:rsid w:val="00B81EF5"/>
    <w:rsid w:val="00B828EB"/>
    <w:rsid w:val="00B82AA6"/>
    <w:rsid w:val="00B82F8E"/>
    <w:rsid w:val="00B83BAC"/>
    <w:rsid w:val="00B84AE3"/>
    <w:rsid w:val="00B85356"/>
    <w:rsid w:val="00B85653"/>
    <w:rsid w:val="00B8580B"/>
    <w:rsid w:val="00B86419"/>
    <w:rsid w:val="00B864DB"/>
    <w:rsid w:val="00B8663D"/>
    <w:rsid w:val="00B8746F"/>
    <w:rsid w:val="00B9196F"/>
    <w:rsid w:val="00B91A84"/>
    <w:rsid w:val="00B91E97"/>
    <w:rsid w:val="00B93020"/>
    <w:rsid w:val="00B940B9"/>
    <w:rsid w:val="00B940D0"/>
    <w:rsid w:val="00B94FFF"/>
    <w:rsid w:val="00B96AA3"/>
    <w:rsid w:val="00B97098"/>
    <w:rsid w:val="00B972CC"/>
    <w:rsid w:val="00B972DE"/>
    <w:rsid w:val="00B9741E"/>
    <w:rsid w:val="00B97659"/>
    <w:rsid w:val="00BA0438"/>
    <w:rsid w:val="00BA1FC0"/>
    <w:rsid w:val="00BA2AC4"/>
    <w:rsid w:val="00BA3C43"/>
    <w:rsid w:val="00BA4200"/>
    <w:rsid w:val="00BA43FE"/>
    <w:rsid w:val="00BA45F3"/>
    <w:rsid w:val="00BA59BD"/>
    <w:rsid w:val="00BA59F8"/>
    <w:rsid w:val="00BA6A6D"/>
    <w:rsid w:val="00BA6CE3"/>
    <w:rsid w:val="00BA6EB4"/>
    <w:rsid w:val="00BB0DA1"/>
    <w:rsid w:val="00BB0F6D"/>
    <w:rsid w:val="00BB1CD4"/>
    <w:rsid w:val="00BB393A"/>
    <w:rsid w:val="00BB46DA"/>
    <w:rsid w:val="00BB4ADC"/>
    <w:rsid w:val="00BB531E"/>
    <w:rsid w:val="00BB63B7"/>
    <w:rsid w:val="00BB74A9"/>
    <w:rsid w:val="00BB76CD"/>
    <w:rsid w:val="00BB7ECD"/>
    <w:rsid w:val="00BC051B"/>
    <w:rsid w:val="00BC0BD5"/>
    <w:rsid w:val="00BC176A"/>
    <w:rsid w:val="00BC1DC8"/>
    <w:rsid w:val="00BC1F80"/>
    <w:rsid w:val="00BC2482"/>
    <w:rsid w:val="00BC2778"/>
    <w:rsid w:val="00BC56B6"/>
    <w:rsid w:val="00BC5AF3"/>
    <w:rsid w:val="00BC7001"/>
    <w:rsid w:val="00BC7BC7"/>
    <w:rsid w:val="00BD0A9E"/>
    <w:rsid w:val="00BD1985"/>
    <w:rsid w:val="00BD19BB"/>
    <w:rsid w:val="00BD2AC0"/>
    <w:rsid w:val="00BD372B"/>
    <w:rsid w:val="00BD49D8"/>
    <w:rsid w:val="00BD4C2B"/>
    <w:rsid w:val="00BD5C09"/>
    <w:rsid w:val="00BD651B"/>
    <w:rsid w:val="00BD6F3A"/>
    <w:rsid w:val="00BD7951"/>
    <w:rsid w:val="00BD7A13"/>
    <w:rsid w:val="00BD7DBF"/>
    <w:rsid w:val="00BE1111"/>
    <w:rsid w:val="00BE198E"/>
    <w:rsid w:val="00BE2FDB"/>
    <w:rsid w:val="00BE3828"/>
    <w:rsid w:val="00BE3F52"/>
    <w:rsid w:val="00BE4C91"/>
    <w:rsid w:val="00BE4CBE"/>
    <w:rsid w:val="00BE6B2D"/>
    <w:rsid w:val="00BE6C10"/>
    <w:rsid w:val="00BF056E"/>
    <w:rsid w:val="00BF0FBD"/>
    <w:rsid w:val="00BF0FEE"/>
    <w:rsid w:val="00BF1792"/>
    <w:rsid w:val="00BF1A90"/>
    <w:rsid w:val="00BF30B0"/>
    <w:rsid w:val="00BF30C5"/>
    <w:rsid w:val="00BF30E3"/>
    <w:rsid w:val="00BF3AEA"/>
    <w:rsid w:val="00BF42BE"/>
    <w:rsid w:val="00BF496F"/>
    <w:rsid w:val="00BF59F7"/>
    <w:rsid w:val="00BF5DB3"/>
    <w:rsid w:val="00BF6C1A"/>
    <w:rsid w:val="00BF6E2F"/>
    <w:rsid w:val="00BF78B2"/>
    <w:rsid w:val="00BF79F5"/>
    <w:rsid w:val="00BF7D27"/>
    <w:rsid w:val="00C0020A"/>
    <w:rsid w:val="00C0065A"/>
    <w:rsid w:val="00C01491"/>
    <w:rsid w:val="00C01513"/>
    <w:rsid w:val="00C01630"/>
    <w:rsid w:val="00C017AB"/>
    <w:rsid w:val="00C018C0"/>
    <w:rsid w:val="00C01F66"/>
    <w:rsid w:val="00C02192"/>
    <w:rsid w:val="00C022EB"/>
    <w:rsid w:val="00C03022"/>
    <w:rsid w:val="00C03231"/>
    <w:rsid w:val="00C03375"/>
    <w:rsid w:val="00C048BE"/>
    <w:rsid w:val="00C04EF4"/>
    <w:rsid w:val="00C05547"/>
    <w:rsid w:val="00C05961"/>
    <w:rsid w:val="00C05AB2"/>
    <w:rsid w:val="00C05E17"/>
    <w:rsid w:val="00C05FBC"/>
    <w:rsid w:val="00C06A96"/>
    <w:rsid w:val="00C07ADE"/>
    <w:rsid w:val="00C07CB1"/>
    <w:rsid w:val="00C07CD4"/>
    <w:rsid w:val="00C07F4B"/>
    <w:rsid w:val="00C10230"/>
    <w:rsid w:val="00C103B1"/>
    <w:rsid w:val="00C10605"/>
    <w:rsid w:val="00C10DC2"/>
    <w:rsid w:val="00C11C12"/>
    <w:rsid w:val="00C122D9"/>
    <w:rsid w:val="00C12E50"/>
    <w:rsid w:val="00C13D8C"/>
    <w:rsid w:val="00C14CB9"/>
    <w:rsid w:val="00C15857"/>
    <w:rsid w:val="00C15DB8"/>
    <w:rsid w:val="00C162D6"/>
    <w:rsid w:val="00C17121"/>
    <w:rsid w:val="00C174B9"/>
    <w:rsid w:val="00C1779E"/>
    <w:rsid w:val="00C17D6A"/>
    <w:rsid w:val="00C17D95"/>
    <w:rsid w:val="00C20068"/>
    <w:rsid w:val="00C20122"/>
    <w:rsid w:val="00C21187"/>
    <w:rsid w:val="00C213BF"/>
    <w:rsid w:val="00C21DB8"/>
    <w:rsid w:val="00C233F8"/>
    <w:rsid w:val="00C237AD"/>
    <w:rsid w:val="00C23BEE"/>
    <w:rsid w:val="00C2495D"/>
    <w:rsid w:val="00C25118"/>
    <w:rsid w:val="00C2642B"/>
    <w:rsid w:val="00C269FF"/>
    <w:rsid w:val="00C3109F"/>
    <w:rsid w:val="00C31466"/>
    <w:rsid w:val="00C3166B"/>
    <w:rsid w:val="00C31A64"/>
    <w:rsid w:val="00C31B4A"/>
    <w:rsid w:val="00C31ED0"/>
    <w:rsid w:val="00C321FD"/>
    <w:rsid w:val="00C33110"/>
    <w:rsid w:val="00C34003"/>
    <w:rsid w:val="00C35030"/>
    <w:rsid w:val="00C355E5"/>
    <w:rsid w:val="00C35600"/>
    <w:rsid w:val="00C3583D"/>
    <w:rsid w:val="00C35BBD"/>
    <w:rsid w:val="00C40647"/>
    <w:rsid w:val="00C40E82"/>
    <w:rsid w:val="00C40EE5"/>
    <w:rsid w:val="00C41039"/>
    <w:rsid w:val="00C41406"/>
    <w:rsid w:val="00C43166"/>
    <w:rsid w:val="00C435F7"/>
    <w:rsid w:val="00C43D3F"/>
    <w:rsid w:val="00C43EAB"/>
    <w:rsid w:val="00C4473F"/>
    <w:rsid w:val="00C44EF9"/>
    <w:rsid w:val="00C458EA"/>
    <w:rsid w:val="00C45A4C"/>
    <w:rsid w:val="00C45BD4"/>
    <w:rsid w:val="00C4613F"/>
    <w:rsid w:val="00C46940"/>
    <w:rsid w:val="00C47D96"/>
    <w:rsid w:val="00C5029A"/>
    <w:rsid w:val="00C5163E"/>
    <w:rsid w:val="00C51EFC"/>
    <w:rsid w:val="00C52009"/>
    <w:rsid w:val="00C524B4"/>
    <w:rsid w:val="00C52A84"/>
    <w:rsid w:val="00C52F09"/>
    <w:rsid w:val="00C536DC"/>
    <w:rsid w:val="00C5375F"/>
    <w:rsid w:val="00C5380D"/>
    <w:rsid w:val="00C548B9"/>
    <w:rsid w:val="00C54A1E"/>
    <w:rsid w:val="00C556A5"/>
    <w:rsid w:val="00C565C4"/>
    <w:rsid w:val="00C568ED"/>
    <w:rsid w:val="00C56C6D"/>
    <w:rsid w:val="00C57311"/>
    <w:rsid w:val="00C57D14"/>
    <w:rsid w:val="00C57D8E"/>
    <w:rsid w:val="00C61E92"/>
    <w:rsid w:val="00C61F6A"/>
    <w:rsid w:val="00C629B3"/>
    <w:rsid w:val="00C62A1E"/>
    <w:rsid w:val="00C62A80"/>
    <w:rsid w:val="00C62B48"/>
    <w:rsid w:val="00C6332A"/>
    <w:rsid w:val="00C6416C"/>
    <w:rsid w:val="00C654F2"/>
    <w:rsid w:val="00C65C69"/>
    <w:rsid w:val="00C65FA1"/>
    <w:rsid w:val="00C670F0"/>
    <w:rsid w:val="00C67249"/>
    <w:rsid w:val="00C67DB8"/>
    <w:rsid w:val="00C67EB8"/>
    <w:rsid w:val="00C7009C"/>
    <w:rsid w:val="00C70A8C"/>
    <w:rsid w:val="00C70F39"/>
    <w:rsid w:val="00C716E8"/>
    <w:rsid w:val="00C7209D"/>
    <w:rsid w:val="00C722A8"/>
    <w:rsid w:val="00C727A4"/>
    <w:rsid w:val="00C73103"/>
    <w:rsid w:val="00C7351E"/>
    <w:rsid w:val="00C7376A"/>
    <w:rsid w:val="00C74684"/>
    <w:rsid w:val="00C7469D"/>
    <w:rsid w:val="00C7470C"/>
    <w:rsid w:val="00C7560E"/>
    <w:rsid w:val="00C7643C"/>
    <w:rsid w:val="00C7742E"/>
    <w:rsid w:val="00C804DD"/>
    <w:rsid w:val="00C80E5C"/>
    <w:rsid w:val="00C814AC"/>
    <w:rsid w:val="00C81E2C"/>
    <w:rsid w:val="00C825D3"/>
    <w:rsid w:val="00C82810"/>
    <w:rsid w:val="00C829E1"/>
    <w:rsid w:val="00C82B62"/>
    <w:rsid w:val="00C82C62"/>
    <w:rsid w:val="00C83661"/>
    <w:rsid w:val="00C8460E"/>
    <w:rsid w:val="00C850E3"/>
    <w:rsid w:val="00C86C7B"/>
    <w:rsid w:val="00C86F42"/>
    <w:rsid w:val="00C874E4"/>
    <w:rsid w:val="00C900E2"/>
    <w:rsid w:val="00C90C11"/>
    <w:rsid w:val="00C90E62"/>
    <w:rsid w:val="00C91948"/>
    <w:rsid w:val="00C91A06"/>
    <w:rsid w:val="00C920E9"/>
    <w:rsid w:val="00C92AD6"/>
    <w:rsid w:val="00C92BC8"/>
    <w:rsid w:val="00C93B73"/>
    <w:rsid w:val="00C93CC4"/>
    <w:rsid w:val="00C94273"/>
    <w:rsid w:val="00C94284"/>
    <w:rsid w:val="00C9440C"/>
    <w:rsid w:val="00C95968"/>
    <w:rsid w:val="00C963C6"/>
    <w:rsid w:val="00C96659"/>
    <w:rsid w:val="00C96ED5"/>
    <w:rsid w:val="00CA071F"/>
    <w:rsid w:val="00CA09BC"/>
    <w:rsid w:val="00CA1107"/>
    <w:rsid w:val="00CA195E"/>
    <w:rsid w:val="00CA1CC6"/>
    <w:rsid w:val="00CA325E"/>
    <w:rsid w:val="00CA3D7D"/>
    <w:rsid w:val="00CA5592"/>
    <w:rsid w:val="00CA60CE"/>
    <w:rsid w:val="00CA638A"/>
    <w:rsid w:val="00CA6579"/>
    <w:rsid w:val="00CA6978"/>
    <w:rsid w:val="00CA711C"/>
    <w:rsid w:val="00CA7EBA"/>
    <w:rsid w:val="00CB01C0"/>
    <w:rsid w:val="00CB060F"/>
    <w:rsid w:val="00CB1F79"/>
    <w:rsid w:val="00CB2102"/>
    <w:rsid w:val="00CB2107"/>
    <w:rsid w:val="00CB286A"/>
    <w:rsid w:val="00CB3081"/>
    <w:rsid w:val="00CB3467"/>
    <w:rsid w:val="00CB489E"/>
    <w:rsid w:val="00CB54A5"/>
    <w:rsid w:val="00CB5DE9"/>
    <w:rsid w:val="00CB5FEC"/>
    <w:rsid w:val="00CB6C15"/>
    <w:rsid w:val="00CB6DC1"/>
    <w:rsid w:val="00CB7196"/>
    <w:rsid w:val="00CB725D"/>
    <w:rsid w:val="00CB7AAF"/>
    <w:rsid w:val="00CC0267"/>
    <w:rsid w:val="00CC1E7A"/>
    <w:rsid w:val="00CC2C43"/>
    <w:rsid w:val="00CC2E63"/>
    <w:rsid w:val="00CC3729"/>
    <w:rsid w:val="00CC467E"/>
    <w:rsid w:val="00CC46C2"/>
    <w:rsid w:val="00CC55E3"/>
    <w:rsid w:val="00CC5DCA"/>
    <w:rsid w:val="00CC6570"/>
    <w:rsid w:val="00CC6C8E"/>
    <w:rsid w:val="00CC7347"/>
    <w:rsid w:val="00CC7518"/>
    <w:rsid w:val="00CD0DD4"/>
    <w:rsid w:val="00CD0FA7"/>
    <w:rsid w:val="00CD107B"/>
    <w:rsid w:val="00CD13BD"/>
    <w:rsid w:val="00CD1873"/>
    <w:rsid w:val="00CD214B"/>
    <w:rsid w:val="00CD2D19"/>
    <w:rsid w:val="00CD364E"/>
    <w:rsid w:val="00CD45FE"/>
    <w:rsid w:val="00CD4882"/>
    <w:rsid w:val="00CD496F"/>
    <w:rsid w:val="00CD5ADD"/>
    <w:rsid w:val="00CD686B"/>
    <w:rsid w:val="00CD70B4"/>
    <w:rsid w:val="00CD762A"/>
    <w:rsid w:val="00CE0AB0"/>
    <w:rsid w:val="00CE18BD"/>
    <w:rsid w:val="00CE21DD"/>
    <w:rsid w:val="00CE25EC"/>
    <w:rsid w:val="00CE3104"/>
    <w:rsid w:val="00CE322C"/>
    <w:rsid w:val="00CE3AC4"/>
    <w:rsid w:val="00CE4AA5"/>
    <w:rsid w:val="00CE4DA8"/>
    <w:rsid w:val="00CE5FD4"/>
    <w:rsid w:val="00CE6760"/>
    <w:rsid w:val="00CE6BBD"/>
    <w:rsid w:val="00CF0B72"/>
    <w:rsid w:val="00CF0F59"/>
    <w:rsid w:val="00CF25D6"/>
    <w:rsid w:val="00CF2633"/>
    <w:rsid w:val="00CF2F56"/>
    <w:rsid w:val="00CF347D"/>
    <w:rsid w:val="00CF3CEA"/>
    <w:rsid w:val="00CF4055"/>
    <w:rsid w:val="00CF410E"/>
    <w:rsid w:val="00CF5023"/>
    <w:rsid w:val="00CF62E3"/>
    <w:rsid w:val="00CF6B83"/>
    <w:rsid w:val="00CF6F88"/>
    <w:rsid w:val="00CF7061"/>
    <w:rsid w:val="00D0097D"/>
    <w:rsid w:val="00D00BC7"/>
    <w:rsid w:val="00D014D6"/>
    <w:rsid w:val="00D015AD"/>
    <w:rsid w:val="00D03359"/>
    <w:rsid w:val="00D03C7F"/>
    <w:rsid w:val="00D0459E"/>
    <w:rsid w:val="00D0504C"/>
    <w:rsid w:val="00D05838"/>
    <w:rsid w:val="00D058D8"/>
    <w:rsid w:val="00D06060"/>
    <w:rsid w:val="00D07C55"/>
    <w:rsid w:val="00D07F27"/>
    <w:rsid w:val="00D1057E"/>
    <w:rsid w:val="00D10813"/>
    <w:rsid w:val="00D10A19"/>
    <w:rsid w:val="00D117F0"/>
    <w:rsid w:val="00D11B0D"/>
    <w:rsid w:val="00D12B85"/>
    <w:rsid w:val="00D12C4C"/>
    <w:rsid w:val="00D146A3"/>
    <w:rsid w:val="00D14933"/>
    <w:rsid w:val="00D158EB"/>
    <w:rsid w:val="00D176F3"/>
    <w:rsid w:val="00D177F4"/>
    <w:rsid w:val="00D17B1B"/>
    <w:rsid w:val="00D17F17"/>
    <w:rsid w:val="00D213C9"/>
    <w:rsid w:val="00D21F8D"/>
    <w:rsid w:val="00D22022"/>
    <w:rsid w:val="00D241F4"/>
    <w:rsid w:val="00D24685"/>
    <w:rsid w:val="00D2563A"/>
    <w:rsid w:val="00D25FAD"/>
    <w:rsid w:val="00D268AB"/>
    <w:rsid w:val="00D26F8C"/>
    <w:rsid w:val="00D271B5"/>
    <w:rsid w:val="00D2773E"/>
    <w:rsid w:val="00D3027E"/>
    <w:rsid w:val="00D30DE1"/>
    <w:rsid w:val="00D31A6B"/>
    <w:rsid w:val="00D31CAE"/>
    <w:rsid w:val="00D32012"/>
    <w:rsid w:val="00D32ABE"/>
    <w:rsid w:val="00D33D65"/>
    <w:rsid w:val="00D36021"/>
    <w:rsid w:val="00D361F4"/>
    <w:rsid w:val="00D36F7F"/>
    <w:rsid w:val="00D37462"/>
    <w:rsid w:val="00D37E96"/>
    <w:rsid w:val="00D40131"/>
    <w:rsid w:val="00D40158"/>
    <w:rsid w:val="00D4069F"/>
    <w:rsid w:val="00D40EAF"/>
    <w:rsid w:val="00D41E3D"/>
    <w:rsid w:val="00D42D1B"/>
    <w:rsid w:val="00D4325F"/>
    <w:rsid w:val="00D43E15"/>
    <w:rsid w:val="00D4410B"/>
    <w:rsid w:val="00D45FF8"/>
    <w:rsid w:val="00D501D5"/>
    <w:rsid w:val="00D5041E"/>
    <w:rsid w:val="00D50642"/>
    <w:rsid w:val="00D51386"/>
    <w:rsid w:val="00D515E9"/>
    <w:rsid w:val="00D519DF"/>
    <w:rsid w:val="00D519FD"/>
    <w:rsid w:val="00D5211E"/>
    <w:rsid w:val="00D52CB8"/>
    <w:rsid w:val="00D52DD0"/>
    <w:rsid w:val="00D5330B"/>
    <w:rsid w:val="00D5420C"/>
    <w:rsid w:val="00D54563"/>
    <w:rsid w:val="00D54787"/>
    <w:rsid w:val="00D55509"/>
    <w:rsid w:val="00D56BE0"/>
    <w:rsid w:val="00D57411"/>
    <w:rsid w:val="00D57A4F"/>
    <w:rsid w:val="00D60F45"/>
    <w:rsid w:val="00D6282A"/>
    <w:rsid w:val="00D63189"/>
    <w:rsid w:val="00D6361B"/>
    <w:rsid w:val="00D64903"/>
    <w:rsid w:val="00D6515A"/>
    <w:rsid w:val="00D65BD1"/>
    <w:rsid w:val="00D66A52"/>
    <w:rsid w:val="00D66D54"/>
    <w:rsid w:val="00D70942"/>
    <w:rsid w:val="00D710F2"/>
    <w:rsid w:val="00D71AC1"/>
    <w:rsid w:val="00D72241"/>
    <w:rsid w:val="00D7225C"/>
    <w:rsid w:val="00D72B65"/>
    <w:rsid w:val="00D736ED"/>
    <w:rsid w:val="00D73EDD"/>
    <w:rsid w:val="00D74084"/>
    <w:rsid w:val="00D746B2"/>
    <w:rsid w:val="00D75650"/>
    <w:rsid w:val="00D77C1F"/>
    <w:rsid w:val="00D80508"/>
    <w:rsid w:val="00D80722"/>
    <w:rsid w:val="00D8094E"/>
    <w:rsid w:val="00D81018"/>
    <w:rsid w:val="00D81214"/>
    <w:rsid w:val="00D8203C"/>
    <w:rsid w:val="00D82376"/>
    <w:rsid w:val="00D83CC4"/>
    <w:rsid w:val="00D83D18"/>
    <w:rsid w:val="00D85DAB"/>
    <w:rsid w:val="00D86063"/>
    <w:rsid w:val="00D8642B"/>
    <w:rsid w:val="00D865D1"/>
    <w:rsid w:val="00D87605"/>
    <w:rsid w:val="00D9060D"/>
    <w:rsid w:val="00D9079C"/>
    <w:rsid w:val="00D909B3"/>
    <w:rsid w:val="00D91964"/>
    <w:rsid w:val="00D91EBF"/>
    <w:rsid w:val="00D92536"/>
    <w:rsid w:val="00D9285D"/>
    <w:rsid w:val="00D931D0"/>
    <w:rsid w:val="00D937D7"/>
    <w:rsid w:val="00D93822"/>
    <w:rsid w:val="00D93886"/>
    <w:rsid w:val="00D93FCE"/>
    <w:rsid w:val="00D955A3"/>
    <w:rsid w:val="00D97DD9"/>
    <w:rsid w:val="00DA0B3A"/>
    <w:rsid w:val="00DA1A87"/>
    <w:rsid w:val="00DA255F"/>
    <w:rsid w:val="00DA27C0"/>
    <w:rsid w:val="00DA39AF"/>
    <w:rsid w:val="00DA4278"/>
    <w:rsid w:val="00DA43BD"/>
    <w:rsid w:val="00DA486C"/>
    <w:rsid w:val="00DA4C9A"/>
    <w:rsid w:val="00DA56B8"/>
    <w:rsid w:val="00DA656B"/>
    <w:rsid w:val="00DA7CFC"/>
    <w:rsid w:val="00DB0CBA"/>
    <w:rsid w:val="00DB0FC0"/>
    <w:rsid w:val="00DB1D75"/>
    <w:rsid w:val="00DB1F8C"/>
    <w:rsid w:val="00DB20A3"/>
    <w:rsid w:val="00DB2145"/>
    <w:rsid w:val="00DB3165"/>
    <w:rsid w:val="00DB3393"/>
    <w:rsid w:val="00DB4361"/>
    <w:rsid w:val="00DB4ED5"/>
    <w:rsid w:val="00DB58F1"/>
    <w:rsid w:val="00DB5DD5"/>
    <w:rsid w:val="00DB5E5B"/>
    <w:rsid w:val="00DB6733"/>
    <w:rsid w:val="00DC01A1"/>
    <w:rsid w:val="00DC0505"/>
    <w:rsid w:val="00DC194E"/>
    <w:rsid w:val="00DC1C6C"/>
    <w:rsid w:val="00DC205A"/>
    <w:rsid w:val="00DC2657"/>
    <w:rsid w:val="00DC4D50"/>
    <w:rsid w:val="00DC780F"/>
    <w:rsid w:val="00DD003A"/>
    <w:rsid w:val="00DD0E0F"/>
    <w:rsid w:val="00DD120E"/>
    <w:rsid w:val="00DD1BF4"/>
    <w:rsid w:val="00DD1E86"/>
    <w:rsid w:val="00DD2E02"/>
    <w:rsid w:val="00DD5518"/>
    <w:rsid w:val="00DD67BE"/>
    <w:rsid w:val="00DD6850"/>
    <w:rsid w:val="00DD69C3"/>
    <w:rsid w:val="00DD6CE9"/>
    <w:rsid w:val="00DD7795"/>
    <w:rsid w:val="00DE08E7"/>
    <w:rsid w:val="00DE10FF"/>
    <w:rsid w:val="00DE283E"/>
    <w:rsid w:val="00DE2EE8"/>
    <w:rsid w:val="00DE39B1"/>
    <w:rsid w:val="00DE3C6A"/>
    <w:rsid w:val="00DE4B0F"/>
    <w:rsid w:val="00DE4E88"/>
    <w:rsid w:val="00DE51F3"/>
    <w:rsid w:val="00DE7739"/>
    <w:rsid w:val="00DE7D9B"/>
    <w:rsid w:val="00DF0253"/>
    <w:rsid w:val="00DF0268"/>
    <w:rsid w:val="00DF0A66"/>
    <w:rsid w:val="00DF0D48"/>
    <w:rsid w:val="00DF0F42"/>
    <w:rsid w:val="00DF139A"/>
    <w:rsid w:val="00DF17E2"/>
    <w:rsid w:val="00DF1A17"/>
    <w:rsid w:val="00DF4EA7"/>
    <w:rsid w:val="00DF539C"/>
    <w:rsid w:val="00DF656D"/>
    <w:rsid w:val="00DF6BF0"/>
    <w:rsid w:val="00DF77ED"/>
    <w:rsid w:val="00DF7E87"/>
    <w:rsid w:val="00E0053F"/>
    <w:rsid w:val="00E008E3"/>
    <w:rsid w:val="00E014E2"/>
    <w:rsid w:val="00E0157A"/>
    <w:rsid w:val="00E01F2B"/>
    <w:rsid w:val="00E020A5"/>
    <w:rsid w:val="00E023CD"/>
    <w:rsid w:val="00E028A2"/>
    <w:rsid w:val="00E0323E"/>
    <w:rsid w:val="00E03C45"/>
    <w:rsid w:val="00E04834"/>
    <w:rsid w:val="00E04882"/>
    <w:rsid w:val="00E057C8"/>
    <w:rsid w:val="00E06750"/>
    <w:rsid w:val="00E06968"/>
    <w:rsid w:val="00E10015"/>
    <w:rsid w:val="00E110F8"/>
    <w:rsid w:val="00E13AE1"/>
    <w:rsid w:val="00E14085"/>
    <w:rsid w:val="00E1438B"/>
    <w:rsid w:val="00E144F1"/>
    <w:rsid w:val="00E14833"/>
    <w:rsid w:val="00E14AE1"/>
    <w:rsid w:val="00E15701"/>
    <w:rsid w:val="00E1589A"/>
    <w:rsid w:val="00E1791B"/>
    <w:rsid w:val="00E17DB3"/>
    <w:rsid w:val="00E17E83"/>
    <w:rsid w:val="00E17F1A"/>
    <w:rsid w:val="00E2083F"/>
    <w:rsid w:val="00E20925"/>
    <w:rsid w:val="00E21038"/>
    <w:rsid w:val="00E224C0"/>
    <w:rsid w:val="00E225DB"/>
    <w:rsid w:val="00E233DA"/>
    <w:rsid w:val="00E24570"/>
    <w:rsid w:val="00E25831"/>
    <w:rsid w:val="00E25B6B"/>
    <w:rsid w:val="00E25CB5"/>
    <w:rsid w:val="00E26035"/>
    <w:rsid w:val="00E2790E"/>
    <w:rsid w:val="00E27C41"/>
    <w:rsid w:val="00E27F3E"/>
    <w:rsid w:val="00E3070C"/>
    <w:rsid w:val="00E3235D"/>
    <w:rsid w:val="00E33463"/>
    <w:rsid w:val="00E33535"/>
    <w:rsid w:val="00E342C6"/>
    <w:rsid w:val="00E357B0"/>
    <w:rsid w:val="00E37B2A"/>
    <w:rsid w:val="00E404BB"/>
    <w:rsid w:val="00E41349"/>
    <w:rsid w:val="00E41916"/>
    <w:rsid w:val="00E41F8F"/>
    <w:rsid w:val="00E4286C"/>
    <w:rsid w:val="00E42D51"/>
    <w:rsid w:val="00E42F66"/>
    <w:rsid w:val="00E43B5B"/>
    <w:rsid w:val="00E43B9D"/>
    <w:rsid w:val="00E44F5E"/>
    <w:rsid w:val="00E45A5B"/>
    <w:rsid w:val="00E463B3"/>
    <w:rsid w:val="00E4783F"/>
    <w:rsid w:val="00E50D50"/>
    <w:rsid w:val="00E51322"/>
    <w:rsid w:val="00E51332"/>
    <w:rsid w:val="00E520A5"/>
    <w:rsid w:val="00E52199"/>
    <w:rsid w:val="00E524AB"/>
    <w:rsid w:val="00E52C0B"/>
    <w:rsid w:val="00E53211"/>
    <w:rsid w:val="00E540E6"/>
    <w:rsid w:val="00E54282"/>
    <w:rsid w:val="00E54BE5"/>
    <w:rsid w:val="00E54F69"/>
    <w:rsid w:val="00E562BC"/>
    <w:rsid w:val="00E56651"/>
    <w:rsid w:val="00E60023"/>
    <w:rsid w:val="00E60031"/>
    <w:rsid w:val="00E6030C"/>
    <w:rsid w:val="00E60C30"/>
    <w:rsid w:val="00E61C2D"/>
    <w:rsid w:val="00E61CB4"/>
    <w:rsid w:val="00E634C7"/>
    <w:rsid w:val="00E64552"/>
    <w:rsid w:val="00E66849"/>
    <w:rsid w:val="00E672F5"/>
    <w:rsid w:val="00E67F0A"/>
    <w:rsid w:val="00E70AEF"/>
    <w:rsid w:val="00E711E7"/>
    <w:rsid w:val="00E719F0"/>
    <w:rsid w:val="00E7310E"/>
    <w:rsid w:val="00E74478"/>
    <w:rsid w:val="00E747E1"/>
    <w:rsid w:val="00E74A63"/>
    <w:rsid w:val="00E74FA6"/>
    <w:rsid w:val="00E751C1"/>
    <w:rsid w:val="00E75D64"/>
    <w:rsid w:val="00E75EFD"/>
    <w:rsid w:val="00E80CBF"/>
    <w:rsid w:val="00E81A47"/>
    <w:rsid w:val="00E823A3"/>
    <w:rsid w:val="00E83051"/>
    <w:rsid w:val="00E837F6"/>
    <w:rsid w:val="00E8652A"/>
    <w:rsid w:val="00E86579"/>
    <w:rsid w:val="00E8791A"/>
    <w:rsid w:val="00E87CB5"/>
    <w:rsid w:val="00E90982"/>
    <w:rsid w:val="00E90DC9"/>
    <w:rsid w:val="00E9325F"/>
    <w:rsid w:val="00E932BB"/>
    <w:rsid w:val="00E937CD"/>
    <w:rsid w:val="00E943A5"/>
    <w:rsid w:val="00E946ED"/>
    <w:rsid w:val="00E94E4A"/>
    <w:rsid w:val="00E957A5"/>
    <w:rsid w:val="00E95D31"/>
    <w:rsid w:val="00E97A86"/>
    <w:rsid w:val="00E97C2F"/>
    <w:rsid w:val="00EA0341"/>
    <w:rsid w:val="00EA042F"/>
    <w:rsid w:val="00EA06E6"/>
    <w:rsid w:val="00EA0DDE"/>
    <w:rsid w:val="00EA0E54"/>
    <w:rsid w:val="00EA2295"/>
    <w:rsid w:val="00EA24DA"/>
    <w:rsid w:val="00EA314A"/>
    <w:rsid w:val="00EA3964"/>
    <w:rsid w:val="00EA3DAF"/>
    <w:rsid w:val="00EA4763"/>
    <w:rsid w:val="00EA5960"/>
    <w:rsid w:val="00EA60D7"/>
    <w:rsid w:val="00EA645C"/>
    <w:rsid w:val="00EA6681"/>
    <w:rsid w:val="00EA6740"/>
    <w:rsid w:val="00EA6C3F"/>
    <w:rsid w:val="00EA6CBA"/>
    <w:rsid w:val="00EA71D4"/>
    <w:rsid w:val="00EA7B6B"/>
    <w:rsid w:val="00EB07BB"/>
    <w:rsid w:val="00EB13F5"/>
    <w:rsid w:val="00EB22C1"/>
    <w:rsid w:val="00EB29CA"/>
    <w:rsid w:val="00EB36D2"/>
    <w:rsid w:val="00EB372F"/>
    <w:rsid w:val="00EB4602"/>
    <w:rsid w:val="00EB5BC3"/>
    <w:rsid w:val="00EB63B3"/>
    <w:rsid w:val="00EB6705"/>
    <w:rsid w:val="00EB70AE"/>
    <w:rsid w:val="00EB71E5"/>
    <w:rsid w:val="00EB78A6"/>
    <w:rsid w:val="00EB7CD0"/>
    <w:rsid w:val="00EC03BD"/>
    <w:rsid w:val="00EC0795"/>
    <w:rsid w:val="00EC0C72"/>
    <w:rsid w:val="00EC0DE3"/>
    <w:rsid w:val="00EC1DF1"/>
    <w:rsid w:val="00EC1ED7"/>
    <w:rsid w:val="00EC2F59"/>
    <w:rsid w:val="00EC30B6"/>
    <w:rsid w:val="00EC371D"/>
    <w:rsid w:val="00EC68E0"/>
    <w:rsid w:val="00EC738C"/>
    <w:rsid w:val="00EC73DC"/>
    <w:rsid w:val="00EC752D"/>
    <w:rsid w:val="00ED02A4"/>
    <w:rsid w:val="00ED0EBF"/>
    <w:rsid w:val="00ED323C"/>
    <w:rsid w:val="00ED3DF6"/>
    <w:rsid w:val="00ED46E8"/>
    <w:rsid w:val="00ED611A"/>
    <w:rsid w:val="00ED61FF"/>
    <w:rsid w:val="00ED6D6E"/>
    <w:rsid w:val="00EE04BC"/>
    <w:rsid w:val="00EE134F"/>
    <w:rsid w:val="00EE1D13"/>
    <w:rsid w:val="00EE240F"/>
    <w:rsid w:val="00EE3443"/>
    <w:rsid w:val="00EE4317"/>
    <w:rsid w:val="00EE4C48"/>
    <w:rsid w:val="00EE519A"/>
    <w:rsid w:val="00EE5FF1"/>
    <w:rsid w:val="00EE61CD"/>
    <w:rsid w:val="00EE61D2"/>
    <w:rsid w:val="00EE6791"/>
    <w:rsid w:val="00EE7CF8"/>
    <w:rsid w:val="00EF0167"/>
    <w:rsid w:val="00EF1F8E"/>
    <w:rsid w:val="00EF27AF"/>
    <w:rsid w:val="00EF2EA9"/>
    <w:rsid w:val="00EF3116"/>
    <w:rsid w:val="00EF31A7"/>
    <w:rsid w:val="00EF364A"/>
    <w:rsid w:val="00EF3B62"/>
    <w:rsid w:val="00EF3F49"/>
    <w:rsid w:val="00EF47FC"/>
    <w:rsid w:val="00EF494B"/>
    <w:rsid w:val="00EF4BA6"/>
    <w:rsid w:val="00EF5C90"/>
    <w:rsid w:val="00EF5FA2"/>
    <w:rsid w:val="00EF6078"/>
    <w:rsid w:val="00EF6A58"/>
    <w:rsid w:val="00EF721C"/>
    <w:rsid w:val="00F009E8"/>
    <w:rsid w:val="00F019F9"/>
    <w:rsid w:val="00F0220F"/>
    <w:rsid w:val="00F02413"/>
    <w:rsid w:val="00F027CB"/>
    <w:rsid w:val="00F046AD"/>
    <w:rsid w:val="00F04763"/>
    <w:rsid w:val="00F04BB6"/>
    <w:rsid w:val="00F069E3"/>
    <w:rsid w:val="00F06FD8"/>
    <w:rsid w:val="00F07869"/>
    <w:rsid w:val="00F07D8B"/>
    <w:rsid w:val="00F07DFD"/>
    <w:rsid w:val="00F105F9"/>
    <w:rsid w:val="00F10A36"/>
    <w:rsid w:val="00F10AF5"/>
    <w:rsid w:val="00F11129"/>
    <w:rsid w:val="00F11185"/>
    <w:rsid w:val="00F112AA"/>
    <w:rsid w:val="00F119BE"/>
    <w:rsid w:val="00F12852"/>
    <w:rsid w:val="00F12EC6"/>
    <w:rsid w:val="00F13029"/>
    <w:rsid w:val="00F130B8"/>
    <w:rsid w:val="00F13431"/>
    <w:rsid w:val="00F13E7E"/>
    <w:rsid w:val="00F13E9E"/>
    <w:rsid w:val="00F144A2"/>
    <w:rsid w:val="00F14A2D"/>
    <w:rsid w:val="00F14AA3"/>
    <w:rsid w:val="00F15315"/>
    <w:rsid w:val="00F1542D"/>
    <w:rsid w:val="00F15F13"/>
    <w:rsid w:val="00F17393"/>
    <w:rsid w:val="00F175A5"/>
    <w:rsid w:val="00F20AE9"/>
    <w:rsid w:val="00F21648"/>
    <w:rsid w:val="00F21CDD"/>
    <w:rsid w:val="00F22CD1"/>
    <w:rsid w:val="00F22D01"/>
    <w:rsid w:val="00F22F31"/>
    <w:rsid w:val="00F2338C"/>
    <w:rsid w:val="00F2345E"/>
    <w:rsid w:val="00F23478"/>
    <w:rsid w:val="00F2395C"/>
    <w:rsid w:val="00F24448"/>
    <w:rsid w:val="00F275E7"/>
    <w:rsid w:val="00F2790A"/>
    <w:rsid w:val="00F309D9"/>
    <w:rsid w:val="00F30A1F"/>
    <w:rsid w:val="00F30FCF"/>
    <w:rsid w:val="00F32E95"/>
    <w:rsid w:val="00F345D5"/>
    <w:rsid w:val="00F36F7B"/>
    <w:rsid w:val="00F4084E"/>
    <w:rsid w:val="00F437B9"/>
    <w:rsid w:val="00F4464B"/>
    <w:rsid w:val="00F447CF"/>
    <w:rsid w:val="00F44892"/>
    <w:rsid w:val="00F4537F"/>
    <w:rsid w:val="00F456EF"/>
    <w:rsid w:val="00F457D3"/>
    <w:rsid w:val="00F45CC9"/>
    <w:rsid w:val="00F460C5"/>
    <w:rsid w:val="00F46A7D"/>
    <w:rsid w:val="00F4777F"/>
    <w:rsid w:val="00F505CD"/>
    <w:rsid w:val="00F51A19"/>
    <w:rsid w:val="00F52091"/>
    <w:rsid w:val="00F52D80"/>
    <w:rsid w:val="00F53E53"/>
    <w:rsid w:val="00F544FD"/>
    <w:rsid w:val="00F54B72"/>
    <w:rsid w:val="00F55D11"/>
    <w:rsid w:val="00F55F2B"/>
    <w:rsid w:val="00F562B6"/>
    <w:rsid w:val="00F57FE4"/>
    <w:rsid w:val="00F608CB"/>
    <w:rsid w:val="00F60A73"/>
    <w:rsid w:val="00F60C0F"/>
    <w:rsid w:val="00F61AD4"/>
    <w:rsid w:val="00F61DC3"/>
    <w:rsid w:val="00F61F62"/>
    <w:rsid w:val="00F636B3"/>
    <w:rsid w:val="00F64079"/>
    <w:rsid w:val="00F64436"/>
    <w:rsid w:val="00F6469E"/>
    <w:rsid w:val="00F64AC6"/>
    <w:rsid w:val="00F65895"/>
    <w:rsid w:val="00F65E6A"/>
    <w:rsid w:val="00F674C0"/>
    <w:rsid w:val="00F67E9E"/>
    <w:rsid w:val="00F70BEC"/>
    <w:rsid w:val="00F7109C"/>
    <w:rsid w:val="00F71660"/>
    <w:rsid w:val="00F720CA"/>
    <w:rsid w:val="00F725E2"/>
    <w:rsid w:val="00F72F3F"/>
    <w:rsid w:val="00F73004"/>
    <w:rsid w:val="00F733C8"/>
    <w:rsid w:val="00F74281"/>
    <w:rsid w:val="00F76343"/>
    <w:rsid w:val="00F772B8"/>
    <w:rsid w:val="00F77B5E"/>
    <w:rsid w:val="00F77F3C"/>
    <w:rsid w:val="00F80954"/>
    <w:rsid w:val="00F80DC2"/>
    <w:rsid w:val="00F8124B"/>
    <w:rsid w:val="00F81526"/>
    <w:rsid w:val="00F819A3"/>
    <w:rsid w:val="00F81FE6"/>
    <w:rsid w:val="00F8266E"/>
    <w:rsid w:val="00F827C5"/>
    <w:rsid w:val="00F8327C"/>
    <w:rsid w:val="00F84FC8"/>
    <w:rsid w:val="00F85679"/>
    <w:rsid w:val="00F86E95"/>
    <w:rsid w:val="00F86E9D"/>
    <w:rsid w:val="00F8744E"/>
    <w:rsid w:val="00F91081"/>
    <w:rsid w:val="00F91417"/>
    <w:rsid w:val="00F916E7"/>
    <w:rsid w:val="00F91E92"/>
    <w:rsid w:val="00F929E6"/>
    <w:rsid w:val="00F9312E"/>
    <w:rsid w:val="00F94040"/>
    <w:rsid w:val="00F94165"/>
    <w:rsid w:val="00F951B8"/>
    <w:rsid w:val="00F958F7"/>
    <w:rsid w:val="00F95999"/>
    <w:rsid w:val="00F9628D"/>
    <w:rsid w:val="00F96381"/>
    <w:rsid w:val="00F9644A"/>
    <w:rsid w:val="00F970D2"/>
    <w:rsid w:val="00F977AB"/>
    <w:rsid w:val="00FA0F44"/>
    <w:rsid w:val="00FA112B"/>
    <w:rsid w:val="00FA1F49"/>
    <w:rsid w:val="00FA1F84"/>
    <w:rsid w:val="00FA2CFA"/>
    <w:rsid w:val="00FA34D2"/>
    <w:rsid w:val="00FA369A"/>
    <w:rsid w:val="00FA3973"/>
    <w:rsid w:val="00FA3FE4"/>
    <w:rsid w:val="00FA5170"/>
    <w:rsid w:val="00FA5371"/>
    <w:rsid w:val="00FA6692"/>
    <w:rsid w:val="00FA7A59"/>
    <w:rsid w:val="00FA7A92"/>
    <w:rsid w:val="00FB0193"/>
    <w:rsid w:val="00FB2182"/>
    <w:rsid w:val="00FB2E97"/>
    <w:rsid w:val="00FB3B25"/>
    <w:rsid w:val="00FB4026"/>
    <w:rsid w:val="00FB4633"/>
    <w:rsid w:val="00FB4832"/>
    <w:rsid w:val="00FB4CE6"/>
    <w:rsid w:val="00FB5CBF"/>
    <w:rsid w:val="00FB7F2B"/>
    <w:rsid w:val="00FC04A1"/>
    <w:rsid w:val="00FC04D8"/>
    <w:rsid w:val="00FC1808"/>
    <w:rsid w:val="00FC1B02"/>
    <w:rsid w:val="00FC1F21"/>
    <w:rsid w:val="00FC274D"/>
    <w:rsid w:val="00FC3FAE"/>
    <w:rsid w:val="00FC4049"/>
    <w:rsid w:val="00FC43D0"/>
    <w:rsid w:val="00FC48C2"/>
    <w:rsid w:val="00FC4928"/>
    <w:rsid w:val="00FC5A88"/>
    <w:rsid w:val="00FC5BD4"/>
    <w:rsid w:val="00FC7BCC"/>
    <w:rsid w:val="00FD02FD"/>
    <w:rsid w:val="00FD163F"/>
    <w:rsid w:val="00FD1D68"/>
    <w:rsid w:val="00FD379B"/>
    <w:rsid w:val="00FD3971"/>
    <w:rsid w:val="00FD47ED"/>
    <w:rsid w:val="00FD4C66"/>
    <w:rsid w:val="00FD4ECB"/>
    <w:rsid w:val="00FD5E5C"/>
    <w:rsid w:val="00FD5F4A"/>
    <w:rsid w:val="00FD7F40"/>
    <w:rsid w:val="00FE0845"/>
    <w:rsid w:val="00FE1800"/>
    <w:rsid w:val="00FE2CBD"/>
    <w:rsid w:val="00FE690C"/>
    <w:rsid w:val="00FE703A"/>
    <w:rsid w:val="00FE7387"/>
    <w:rsid w:val="00FE7732"/>
    <w:rsid w:val="00FF0375"/>
    <w:rsid w:val="00FF079C"/>
    <w:rsid w:val="00FF1918"/>
    <w:rsid w:val="00FF23FD"/>
    <w:rsid w:val="00FF371A"/>
    <w:rsid w:val="00FF4491"/>
    <w:rsid w:val="00FF49A7"/>
    <w:rsid w:val="00FF49C0"/>
    <w:rsid w:val="00FF5638"/>
    <w:rsid w:val="00FF5D88"/>
    <w:rsid w:val="00FF610D"/>
    <w:rsid w:val="00FF6C09"/>
    <w:rsid w:val="00FF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C6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5E"/>
    <w:pPr>
      <w:spacing w:after="160" w:line="259" w:lineRule="auto"/>
    </w:pPr>
    <w:rPr>
      <w:sz w:val="22"/>
      <w:szCs w:val="22"/>
      <w:lang w:val="en-US"/>
    </w:rPr>
  </w:style>
  <w:style w:type="paragraph" w:styleId="Heading3">
    <w:name w:val="heading 3"/>
    <w:basedOn w:val="Normal"/>
    <w:next w:val="Normal"/>
    <w:link w:val="Heading3Char"/>
    <w:uiPriority w:val="9"/>
    <w:unhideWhenUsed/>
    <w:qFormat/>
    <w:rsid w:val="00C162D6"/>
    <w:pPr>
      <w:keepNext/>
      <w:keepLines/>
      <w:spacing w:before="40" w:after="0"/>
      <w:outlineLvl w:val="2"/>
    </w:pPr>
    <w:rPr>
      <w:rFonts w:asciiTheme="majorHAnsi" w:eastAsiaTheme="majorEastAsia" w:hAnsiTheme="majorHAnsi" w:cstheme="majorBidi"/>
      <w:color w:val="1F3763" w:themeColor="accent1" w:themeShade="7F"/>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F636B3"/>
    <w:pPr>
      <w:spacing w:after="0" w:line="240" w:lineRule="auto"/>
    </w:pPr>
    <w:rPr>
      <w:sz w:val="24"/>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636B3"/>
    <w:rPr>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F636B3"/>
    <w:rPr>
      <w:vertAlign w:val="superscript"/>
    </w:rPr>
  </w:style>
  <w:style w:type="paragraph" w:styleId="NormalWeb">
    <w:name w:val="Normal (Web)"/>
    <w:basedOn w:val="Normal"/>
    <w:uiPriority w:val="99"/>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03E"/>
    <w:rPr>
      <w:sz w:val="18"/>
      <w:szCs w:val="18"/>
    </w:rPr>
  </w:style>
  <w:style w:type="paragraph" w:styleId="CommentText">
    <w:name w:val="annotation text"/>
    <w:basedOn w:val="Normal"/>
    <w:link w:val="CommentTextChar"/>
    <w:uiPriority w:val="99"/>
    <w:semiHidden/>
    <w:unhideWhenUsed/>
    <w:rsid w:val="0044303E"/>
    <w:pPr>
      <w:spacing w:line="240" w:lineRule="auto"/>
    </w:pPr>
    <w:rPr>
      <w:sz w:val="24"/>
      <w:szCs w:val="24"/>
    </w:rPr>
  </w:style>
  <w:style w:type="character" w:customStyle="1" w:styleId="CommentTextChar">
    <w:name w:val="Comment Text Char"/>
    <w:basedOn w:val="DefaultParagraphFont"/>
    <w:link w:val="CommentText"/>
    <w:uiPriority w:val="99"/>
    <w:semiHidden/>
    <w:rsid w:val="0044303E"/>
    <w:rPr>
      <w:lang w:val="en-US"/>
    </w:rPr>
  </w:style>
  <w:style w:type="paragraph" w:styleId="CommentSubject">
    <w:name w:val="annotation subject"/>
    <w:basedOn w:val="CommentText"/>
    <w:next w:val="CommentText"/>
    <w:link w:val="CommentSubjectChar"/>
    <w:uiPriority w:val="99"/>
    <w:semiHidden/>
    <w:unhideWhenUsed/>
    <w:rsid w:val="0044303E"/>
    <w:rPr>
      <w:b/>
      <w:bCs/>
      <w:sz w:val="20"/>
      <w:szCs w:val="20"/>
    </w:rPr>
  </w:style>
  <w:style w:type="character" w:customStyle="1" w:styleId="CommentSubjectChar">
    <w:name w:val="Comment Subject Char"/>
    <w:basedOn w:val="CommentTextChar"/>
    <w:link w:val="CommentSubject"/>
    <w:uiPriority w:val="99"/>
    <w:semiHidden/>
    <w:rsid w:val="0044303E"/>
    <w:rPr>
      <w:b/>
      <w:bCs/>
      <w:sz w:val="20"/>
      <w:szCs w:val="20"/>
      <w:lang w:val="en-US"/>
    </w:rPr>
  </w:style>
  <w:style w:type="paragraph" w:styleId="NoSpacing">
    <w:name w:val="No Spacing"/>
    <w:uiPriority w:val="1"/>
    <w:qFormat/>
    <w:rsid w:val="00BE4CBE"/>
    <w:rPr>
      <w:sz w:val="22"/>
      <w:szCs w:val="22"/>
      <w:lang w:val="en-ZA"/>
    </w:rPr>
  </w:style>
  <w:style w:type="paragraph" w:styleId="Footer">
    <w:name w:val="footer"/>
    <w:basedOn w:val="Normal"/>
    <w:link w:val="FooterChar"/>
    <w:uiPriority w:val="99"/>
    <w:unhideWhenUsed/>
    <w:rsid w:val="0007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7B"/>
    <w:rPr>
      <w:sz w:val="22"/>
      <w:szCs w:val="22"/>
      <w:lang w:val="en-US"/>
    </w:rPr>
  </w:style>
  <w:style w:type="character" w:customStyle="1" w:styleId="Heading3Char">
    <w:name w:val="Heading 3 Char"/>
    <w:basedOn w:val="DefaultParagraphFont"/>
    <w:link w:val="Heading3"/>
    <w:uiPriority w:val="9"/>
    <w:rsid w:val="00C162D6"/>
    <w:rPr>
      <w:rFonts w:asciiTheme="majorHAnsi" w:eastAsiaTheme="majorEastAsia" w:hAnsiTheme="majorHAnsi" w:cstheme="majorBidi"/>
      <w:color w:val="1F3763" w:themeColor="accent1" w:themeShade="7F"/>
      <w:lang w:val="en-ZA"/>
    </w:rPr>
  </w:style>
  <w:style w:type="paragraph" w:styleId="BodyTextIndent">
    <w:name w:val="Body Text Indent"/>
    <w:basedOn w:val="Normal"/>
    <w:link w:val="BodyTextIndentChar"/>
    <w:rsid w:val="001B50B1"/>
    <w:pPr>
      <w:spacing w:after="0" w:line="240" w:lineRule="auto"/>
      <w:ind w:left="720" w:hanging="720"/>
      <w:jc w:val="both"/>
    </w:pPr>
    <w:rPr>
      <w:rFonts w:ascii="CG Times" w:eastAsia="Times New Roman" w:hAnsi="CG Times" w:cs="Times New Roman"/>
      <w:i/>
      <w:iCs/>
      <w:sz w:val="24"/>
      <w:szCs w:val="24"/>
    </w:rPr>
  </w:style>
  <w:style w:type="character" w:customStyle="1" w:styleId="BodyTextIndentChar">
    <w:name w:val="Body Text Indent Char"/>
    <w:basedOn w:val="DefaultParagraphFont"/>
    <w:link w:val="BodyTextIndent"/>
    <w:rsid w:val="001B50B1"/>
    <w:rPr>
      <w:rFonts w:ascii="CG Times" w:eastAsia="Times New Roman" w:hAnsi="CG Times" w:cs="Times New Roman"/>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336537299">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020">
      <w:bodyDiv w:val="1"/>
      <w:marLeft w:val="0"/>
      <w:marRight w:val="0"/>
      <w:marTop w:val="0"/>
      <w:marBottom w:val="0"/>
      <w:divBdr>
        <w:top w:val="none" w:sz="0" w:space="0" w:color="auto"/>
        <w:left w:val="none" w:sz="0" w:space="0" w:color="auto"/>
        <w:bottom w:val="none" w:sz="0" w:space="0" w:color="auto"/>
        <w:right w:val="none" w:sz="0" w:space="0" w:color="auto"/>
      </w:divBdr>
    </w:div>
    <w:div w:id="1122966593">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2023-07-27T18:30:00+00:00</Judgment_x0020_Date>
    <Year xmlns="63bdd487-88aa-4c54-b893-ddaa81ed2e7c">2023</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AAEFD0-1B14-4D57-A602-DD647B87A111}">
  <ds:schemaRefs>
    <ds:schemaRef ds:uri="http://schemas.microsoft.com/sharepoint/v3/contenttype/forms"/>
  </ds:schemaRefs>
</ds:datastoreItem>
</file>

<file path=customXml/itemProps2.xml><?xml version="1.0" encoding="utf-8"?>
<ds:datastoreItem xmlns:ds="http://schemas.openxmlformats.org/officeDocument/2006/customXml" ds:itemID="{59AD2CE8-D349-4BF3-852A-24A313759CE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33524FFA-A109-4F07-B3F8-1968B5D5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20CEE-FF1B-4D8D-93D4-EDEAEE52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Akpabio v Minister of Justice and another (SA 54-2022) [2023] NASC (23 June 2023)</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v Hangana Seafood (Pty) Ltd and another (SA 39-2021) [2023] NASC (28 July 2023)</dc:title>
  <dc:subject/>
  <dc:creator>Microsoft Office User</dc:creator>
  <cp:keywords/>
  <dc:description/>
  <cp:lastModifiedBy>Mariana Anguelov</cp:lastModifiedBy>
  <cp:revision>15</cp:revision>
  <cp:lastPrinted>2023-07-27T13:39:00Z</cp:lastPrinted>
  <dcterms:created xsi:type="dcterms:W3CDTF">2023-07-27T11:55:00Z</dcterms:created>
  <dcterms:modified xsi:type="dcterms:W3CDTF">2023-07-31T17:48:00Z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