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789A" w14:textId="77777777" w:rsidR="00AD3406" w:rsidRPr="00AD3406" w:rsidRDefault="00AD3406" w:rsidP="00AD3406">
      <w:pPr>
        <w:spacing w:after="0" w:line="360" w:lineRule="auto"/>
        <w:jc w:val="center"/>
        <w:rPr>
          <w:b/>
          <w:sz w:val="24"/>
          <w:szCs w:val="24"/>
          <w:lang w:val="en-ZA"/>
        </w:rPr>
      </w:pPr>
      <w:r w:rsidRPr="00AD3406">
        <w:rPr>
          <w:b/>
          <w:noProof/>
          <w:sz w:val="24"/>
          <w:szCs w:val="24"/>
          <w:lang w:val="en-ZA" w:eastAsia="en-ZA"/>
        </w:rPr>
        <w:drawing>
          <wp:inline distT="0" distB="0" distL="0" distR="0" wp14:anchorId="45AEFEC2" wp14:editId="657030BE">
            <wp:extent cx="1276350" cy="1329024"/>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17406245" w14:textId="77777777" w:rsidR="00AD3406" w:rsidRPr="00AD3406" w:rsidRDefault="00AD3406" w:rsidP="00AD3406">
      <w:pPr>
        <w:spacing w:after="0" w:line="240" w:lineRule="auto"/>
        <w:jc w:val="right"/>
        <w:rPr>
          <w:rFonts w:ascii="Arial" w:hAnsi="Arial" w:cs="Arial"/>
          <w:b/>
          <w:sz w:val="24"/>
          <w:szCs w:val="24"/>
          <w:lang w:val="en-ZA"/>
        </w:rPr>
      </w:pPr>
      <w:r w:rsidRPr="00AD3406">
        <w:rPr>
          <w:rFonts w:ascii="Arial" w:hAnsi="Arial" w:cs="Arial"/>
          <w:b/>
          <w:sz w:val="24"/>
          <w:szCs w:val="24"/>
          <w:lang w:val="en-ZA"/>
        </w:rPr>
        <w:t>REPORTABLE</w:t>
      </w:r>
    </w:p>
    <w:p w14:paraId="1C06BEFF" w14:textId="77777777" w:rsidR="00AD3406" w:rsidRPr="00AD3406" w:rsidRDefault="00AD3406" w:rsidP="00AD3406">
      <w:pPr>
        <w:spacing w:after="0" w:line="240" w:lineRule="auto"/>
        <w:jc w:val="right"/>
        <w:rPr>
          <w:rFonts w:ascii="Arial" w:hAnsi="Arial" w:cs="Arial"/>
          <w:sz w:val="24"/>
          <w:szCs w:val="24"/>
          <w:lang w:val="en-ZA"/>
        </w:rPr>
      </w:pPr>
    </w:p>
    <w:p w14:paraId="49D9EC84" w14:textId="77777777" w:rsidR="00AD3406" w:rsidRPr="00AD3406" w:rsidRDefault="00AD3406" w:rsidP="00AD3406">
      <w:pPr>
        <w:spacing w:after="0" w:line="240" w:lineRule="auto"/>
        <w:jc w:val="right"/>
        <w:rPr>
          <w:rFonts w:ascii="Arial" w:hAnsi="Arial" w:cs="Arial"/>
          <w:sz w:val="24"/>
          <w:szCs w:val="24"/>
          <w:lang w:val="en-ZA"/>
        </w:rPr>
      </w:pPr>
      <w:r>
        <w:rPr>
          <w:rFonts w:ascii="Arial" w:hAnsi="Arial" w:cs="Arial"/>
          <w:sz w:val="24"/>
          <w:szCs w:val="24"/>
          <w:lang w:val="en-ZA"/>
        </w:rPr>
        <w:t xml:space="preserve">CASE NO: SCR </w:t>
      </w:r>
      <w:r w:rsidRPr="00AD3406">
        <w:rPr>
          <w:rFonts w:ascii="Arial" w:hAnsi="Arial" w:cs="Arial"/>
          <w:sz w:val="24"/>
          <w:szCs w:val="24"/>
          <w:lang w:val="en-ZA"/>
        </w:rPr>
        <w:t>1/202</w:t>
      </w:r>
      <w:r>
        <w:rPr>
          <w:rFonts w:ascii="Arial" w:hAnsi="Arial" w:cs="Arial"/>
          <w:sz w:val="24"/>
          <w:szCs w:val="24"/>
          <w:lang w:val="en-ZA"/>
        </w:rPr>
        <w:t>3</w:t>
      </w:r>
    </w:p>
    <w:p w14:paraId="4853606A" w14:textId="77777777" w:rsidR="00AD3406" w:rsidRPr="00AD3406" w:rsidRDefault="00AD3406" w:rsidP="00AD3406">
      <w:pPr>
        <w:spacing w:after="0" w:line="240" w:lineRule="auto"/>
        <w:rPr>
          <w:rFonts w:ascii="Arial" w:hAnsi="Arial" w:cs="Arial"/>
          <w:sz w:val="24"/>
          <w:szCs w:val="24"/>
          <w:lang w:val="en-ZA"/>
        </w:rPr>
      </w:pPr>
    </w:p>
    <w:p w14:paraId="41A6A1E4" w14:textId="77777777" w:rsidR="00AD3406" w:rsidRPr="00AD3406" w:rsidRDefault="00AD3406" w:rsidP="00AD3406">
      <w:pPr>
        <w:spacing w:after="0" w:line="240" w:lineRule="auto"/>
        <w:rPr>
          <w:rFonts w:ascii="Arial" w:hAnsi="Arial" w:cs="Arial"/>
          <w:b/>
          <w:sz w:val="24"/>
          <w:szCs w:val="24"/>
          <w:lang w:val="en-ZA"/>
        </w:rPr>
      </w:pPr>
      <w:r w:rsidRPr="00AD3406">
        <w:rPr>
          <w:rFonts w:ascii="Arial" w:hAnsi="Arial" w:cs="Arial"/>
          <w:b/>
          <w:sz w:val="24"/>
          <w:szCs w:val="24"/>
          <w:lang w:val="en-ZA"/>
        </w:rPr>
        <w:t>IN THE SUPREME COURT OF NAMIBIA</w:t>
      </w:r>
    </w:p>
    <w:p w14:paraId="309D8A6F" w14:textId="77777777" w:rsidR="00AD3406" w:rsidRPr="00AD3406" w:rsidRDefault="00AD3406" w:rsidP="00AD3406">
      <w:pPr>
        <w:spacing w:after="0" w:line="240" w:lineRule="auto"/>
        <w:rPr>
          <w:rFonts w:ascii="Arial" w:hAnsi="Arial" w:cs="Arial"/>
          <w:sz w:val="24"/>
          <w:szCs w:val="24"/>
          <w:lang w:val="en-ZA"/>
        </w:rPr>
      </w:pPr>
    </w:p>
    <w:p w14:paraId="26D49FAA" w14:textId="77777777" w:rsidR="00AD3406" w:rsidRPr="00AD3406" w:rsidRDefault="00AD3406" w:rsidP="00AD3406">
      <w:pPr>
        <w:spacing w:after="0" w:line="240" w:lineRule="auto"/>
        <w:rPr>
          <w:rFonts w:ascii="Arial" w:hAnsi="Arial" w:cs="Arial"/>
          <w:sz w:val="24"/>
          <w:szCs w:val="24"/>
          <w:lang w:val="en-ZA"/>
        </w:rPr>
      </w:pPr>
    </w:p>
    <w:p w14:paraId="45FE0058" w14:textId="77777777" w:rsidR="00AD3406" w:rsidRPr="00AD3406" w:rsidRDefault="00AD3406" w:rsidP="00AD3406">
      <w:pPr>
        <w:spacing w:after="0" w:line="240" w:lineRule="auto"/>
        <w:rPr>
          <w:rFonts w:ascii="Arial" w:hAnsi="Arial" w:cs="Arial"/>
          <w:sz w:val="24"/>
          <w:szCs w:val="24"/>
          <w:lang w:val="en-ZA"/>
        </w:rPr>
      </w:pPr>
      <w:r w:rsidRPr="00AD3406">
        <w:rPr>
          <w:rFonts w:ascii="Arial" w:hAnsi="Arial" w:cs="Arial"/>
          <w:sz w:val="24"/>
          <w:szCs w:val="24"/>
          <w:lang w:val="en-ZA"/>
        </w:rPr>
        <w:t>In the matters between:</w:t>
      </w:r>
    </w:p>
    <w:p w14:paraId="3C6003AA" w14:textId="77777777" w:rsidR="00AD3406" w:rsidRPr="00AD3406" w:rsidRDefault="00AD3406" w:rsidP="00AD3406">
      <w:pPr>
        <w:spacing w:after="0" w:line="240" w:lineRule="auto"/>
        <w:rPr>
          <w:rFonts w:ascii="Arial" w:hAnsi="Arial" w:cs="Arial"/>
          <w:sz w:val="24"/>
          <w:szCs w:val="24"/>
          <w:lang w:val="en-ZA"/>
        </w:rPr>
      </w:pPr>
    </w:p>
    <w:p w14:paraId="4A79667A" w14:textId="77777777" w:rsidR="00AD3406" w:rsidRPr="00AD3406" w:rsidRDefault="00AD3406" w:rsidP="00AD3406">
      <w:pPr>
        <w:spacing w:after="0" w:line="240" w:lineRule="auto"/>
        <w:rPr>
          <w:rFonts w:ascii="Arial" w:hAnsi="Arial" w:cs="Arial"/>
          <w:b/>
          <w:sz w:val="24"/>
          <w:szCs w:val="24"/>
          <w:u w:val="single"/>
          <w:lang w:val="en-ZA"/>
        </w:rPr>
      </w:pPr>
    </w:p>
    <w:p w14:paraId="2E5D285E" w14:textId="77777777" w:rsidR="00AD3406" w:rsidRPr="00AD3406" w:rsidRDefault="00AD3406" w:rsidP="00AD3406">
      <w:pPr>
        <w:spacing w:after="0" w:line="240" w:lineRule="auto"/>
        <w:rPr>
          <w:rFonts w:ascii="Arial" w:hAnsi="Arial" w:cs="Arial"/>
          <w:sz w:val="24"/>
          <w:szCs w:val="24"/>
          <w:lang w:val="en-ZA"/>
        </w:rPr>
      </w:pPr>
    </w:p>
    <w:p w14:paraId="46E27404" w14:textId="6AD4418F" w:rsidR="00AD3406" w:rsidRPr="00AD3406" w:rsidRDefault="00EF72A2" w:rsidP="00AD3406">
      <w:pPr>
        <w:spacing w:after="0" w:line="360" w:lineRule="auto"/>
        <w:ind w:left="720" w:hanging="720"/>
        <w:jc w:val="both"/>
        <w:rPr>
          <w:rFonts w:ascii="Arial" w:hAnsi="Arial" w:cs="Arial"/>
          <w:b/>
          <w:bCs/>
          <w:color w:val="000000"/>
          <w:sz w:val="24"/>
          <w:szCs w:val="24"/>
          <w:lang w:val="en-ZA"/>
        </w:rPr>
      </w:pPr>
      <w:r>
        <w:rPr>
          <w:rFonts w:ascii="Arial" w:hAnsi="Arial" w:cs="Arial"/>
          <w:b/>
          <w:bCs/>
          <w:color w:val="000000"/>
          <w:sz w:val="24"/>
          <w:szCs w:val="24"/>
          <w:lang w:val="en-ZA"/>
        </w:rPr>
        <w:t>NAMIBIA WATER COR</w:t>
      </w:r>
      <w:r w:rsidR="002A2834">
        <w:rPr>
          <w:rFonts w:ascii="Arial" w:hAnsi="Arial" w:cs="Arial"/>
          <w:b/>
          <w:bCs/>
          <w:color w:val="000000"/>
          <w:sz w:val="24"/>
          <w:szCs w:val="24"/>
          <w:lang w:val="en-ZA"/>
        </w:rPr>
        <w:t>PORATION LIMITED</w:t>
      </w:r>
      <w:r w:rsidR="002A2834">
        <w:rPr>
          <w:rFonts w:ascii="Arial" w:hAnsi="Arial" w:cs="Arial"/>
          <w:b/>
          <w:bCs/>
          <w:color w:val="000000"/>
          <w:sz w:val="24"/>
          <w:szCs w:val="24"/>
          <w:lang w:val="en-ZA"/>
        </w:rPr>
        <w:tab/>
      </w:r>
      <w:r w:rsidR="002A2834">
        <w:rPr>
          <w:rFonts w:ascii="Arial" w:hAnsi="Arial" w:cs="Arial"/>
          <w:b/>
          <w:bCs/>
          <w:color w:val="000000"/>
          <w:sz w:val="24"/>
          <w:szCs w:val="24"/>
          <w:lang w:val="en-ZA"/>
        </w:rPr>
        <w:tab/>
      </w:r>
      <w:r w:rsidR="007D1441">
        <w:rPr>
          <w:rFonts w:ascii="Arial" w:hAnsi="Arial" w:cs="Arial"/>
          <w:b/>
          <w:bCs/>
          <w:color w:val="000000"/>
          <w:sz w:val="24"/>
          <w:szCs w:val="24"/>
          <w:lang w:val="en-ZA"/>
        </w:rPr>
        <w:tab/>
      </w:r>
      <w:r w:rsidR="002A2834">
        <w:rPr>
          <w:rFonts w:ascii="Arial" w:hAnsi="Arial" w:cs="Arial"/>
          <w:b/>
          <w:bCs/>
          <w:color w:val="000000"/>
          <w:sz w:val="24"/>
          <w:szCs w:val="24"/>
          <w:lang w:val="en-ZA"/>
        </w:rPr>
        <w:tab/>
        <w:t xml:space="preserve">        </w:t>
      </w:r>
      <w:r>
        <w:rPr>
          <w:rFonts w:ascii="Arial" w:hAnsi="Arial" w:cs="Arial"/>
          <w:b/>
          <w:bCs/>
          <w:color w:val="000000"/>
          <w:sz w:val="24"/>
          <w:szCs w:val="24"/>
          <w:lang w:val="en-ZA"/>
        </w:rPr>
        <w:t>APPLICANT</w:t>
      </w:r>
    </w:p>
    <w:p w14:paraId="78899D6F" w14:textId="77777777" w:rsidR="00AD3406" w:rsidRPr="00AD3406" w:rsidRDefault="00AD3406" w:rsidP="00AD3406">
      <w:pPr>
        <w:spacing w:after="0" w:line="360" w:lineRule="auto"/>
        <w:ind w:left="720" w:hanging="720"/>
        <w:jc w:val="both"/>
        <w:rPr>
          <w:rFonts w:ascii="Arial" w:hAnsi="Arial" w:cs="Arial"/>
          <w:b/>
          <w:bCs/>
          <w:color w:val="000000"/>
          <w:sz w:val="24"/>
          <w:szCs w:val="24"/>
          <w:lang w:val="en-ZA"/>
        </w:rPr>
      </w:pPr>
    </w:p>
    <w:p w14:paraId="52699F50" w14:textId="444F2166" w:rsidR="00AD3406" w:rsidRPr="00AD3406" w:rsidRDefault="00EA7A78" w:rsidP="00AD3406">
      <w:pPr>
        <w:spacing w:after="0" w:line="360" w:lineRule="auto"/>
        <w:ind w:left="720" w:hanging="720"/>
        <w:jc w:val="both"/>
        <w:rPr>
          <w:rFonts w:ascii="Arial" w:hAnsi="Arial" w:cs="Arial"/>
          <w:bCs/>
          <w:color w:val="000000"/>
          <w:sz w:val="24"/>
          <w:szCs w:val="24"/>
          <w:lang w:val="en-ZA"/>
        </w:rPr>
      </w:pPr>
      <w:r>
        <w:rPr>
          <w:rFonts w:ascii="Arial" w:hAnsi="Arial" w:cs="Arial"/>
          <w:bCs/>
          <w:color w:val="000000"/>
          <w:sz w:val="24"/>
          <w:szCs w:val="24"/>
          <w:lang w:val="en-ZA"/>
        </w:rPr>
        <w:t>a</w:t>
      </w:r>
      <w:r w:rsidR="003568F5" w:rsidRPr="00AD3406">
        <w:rPr>
          <w:rFonts w:ascii="Arial" w:hAnsi="Arial" w:cs="Arial"/>
          <w:bCs/>
          <w:color w:val="000000"/>
          <w:sz w:val="24"/>
          <w:szCs w:val="24"/>
          <w:lang w:val="en-ZA"/>
        </w:rPr>
        <w:t>nd</w:t>
      </w:r>
    </w:p>
    <w:p w14:paraId="3911A0CC" w14:textId="77777777" w:rsidR="00AD3406" w:rsidRPr="00AD3406" w:rsidRDefault="00AD3406" w:rsidP="00AD3406">
      <w:pPr>
        <w:spacing w:after="0" w:line="360" w:lineRule="auto"/>
        <w:ind w:left="720" w:hanging="720"/>
        <w:jc w:val="both"/>
        <w:rPr>
          <w:rFonts w:ascii="Arial" w:hAnsi="Arial" w:cs="Arial"/>
          <w:b/>
          <w:bCs/>
          <w:color w:val="000000"/>
          <w:sz w:val="24"/>
          <w:szCs w:val="24"/>
          <w:lang w:val="en-ZA"/>
        </w:rPr>
      </w:pPr>
    </w:p>
    <w:p w14:paraId="1AECFC30" w14:textId="465C68B3" w:rsidR="00AD3406" w:rsidRPr="00AD3406" w:rsidRDefault="00EF72A2" w:rsidP="00AD3406">
      <w:pPr>
        <w:spacing w:after="0" w:line="360" w:lineRule="auto"/>
        <w:ind w:left="720" w:hanging="720"/>
        <w:jc w:val="both"/>
        <w:rPr>
          <w:rFonts w:ascii="Arial" w:hAnsi="Arial" w:cs="Arial"/>
          <w:b/>
          <w:bCs/>
          <w:color w:val="000000"/>
          <w:sz w:val="24"/>
          <w:szCs w:val="24"/>
          <w:lang w:val="en-ZA"/>
        </w:rPr>
      </w:pPr>
      <w:r>
        <w:rPr>
          <w:rFonts w:ascii="Arial" w:hAnsi="Arial" w:cs="Arial"/>
          <w:b/>
          <w:bCs/>
          <w:color w:val="000000"/>
          <w:sz w:val="24"/>
          <w:szCs w:val="24"/>
          <w:lang w:val="en-ZA"/>
        </w:rPr>
        <w:t>KUIRI FANUAL TJIPANGANDJARA</w:t>
      </w:r>
      <w:r w:rsidR="002A2834">
        <w:rPr>
          <w:rFonts w:ascii="Arial" w:hAnsi="Arial" w:cs="Arial"/>
          <w:b/>
          <w:bCs/>
          <w:color w:val="000000"/>
          <w:sz w:val="24"/>
          <w:szCs w:val="24"/>
          <w:lang w:val="en-ZA"/>
        </w:rPr>
        <w:tab/>
      </w:r>
      <w:r w:rsidR="002A2834">
        <w:rPr>
          <w:rFonts w:ascii="Arial" w:hAnsi="Arial" w:cs="Arial"/>
          <w:b/>
          <w:bCs/>
          <w:color w:val="000000"/>
          <w:sz w:val="24"/>
          <w:szCs w:val="24"/>
          <w:lang w:val="en-ZA"/>
        </w:rPr>
        <w:tab/>
      </w:r>
      <w:r w:rsidR="002A2834">
        <w:rPr>
          <w:rFonts w:ascii="Arial" w:hAnsi="Arial" w:cs="Arial"/>
          <w:b/>
          <w:bCs/>
          <w:color w:val="000000"/>
          <w:sz w:val="24"/>
          <w:szCs w:val="24"/>
          <w:lang w:val="en-ZA"/>
        </w:rPr>
        <w:tab/>
      </w:r>
      <w:r w:rsidR="007D1441">
        <w:rPr>
          <w:rFonts w:ascii="Arial" w:hAnsi="Arial" w:cs="Arial"/>
          <w:b/>
          <w:bCs/>
          <w:color w:val="000000"/>
          <w:sz w:val="24"/>
          <w:szCs w:val="24"/>
          <w:lang w:val="en-ZA"/>
        </w:rPr>
        <w:tab/>
      </w:r>
      <w:r w:rsidR="007D1441">
        <w:rPr>
          <w:rFonts w:ascii="Arial" w:hAnsi="Arial" w:cs="Arial"/>
          <w:b/>
          <w:bCs/>
          <w:color w:val="000000"/>
          <w:sz w:val="24"/>
          <w:szCs w:val="24"/>
          <w:lang w:val="en-ZA"/>
        </w:rPr>
        <w:tab/>
      </w:r>
      <w:r w:rsidR="002A2834">
        <w:rPr>
          <w:rFonts w:ascii="Arial" w:hAnsi="Arial" w:cs="Arial"/>
          <w:b/>
          <w:bCs/>
          <w:color w:val="000000"/>
          <w:sz w:val="24"/>
          <w:szCs w:val="24"/>
          <w:lang w:val="en-ZA"/>
        </w:rPr>
        <w:t xml:space="preserve">   </w:t>
      </w:r>
      <w:r>
        <w:rPr>
          <w:rFonts w:ascii="Arial" w:hAnsi="Arial" w:cs="Arial"/>
          <w:b/>
          <w:bCs/>
          <w:color w:val="000000"/>
          <w:sz w:val="24"/>
          <w:szCs w:val="24"/>
          <w:lang w:val="en-ZA"/>
        </w:rPr>
        <w:t>RESPONDENT</w:t>
      </w:r>
    </w:p>
    <w:p w14:paraId="109387D8" w14:textId="77777777" w:rsidR="00AD3406" w:rsidRPr="00AD3406" w:rsidRDefault="00AD3406" w:rsidP="00AD3406">
      <w:pPr>
        <w:spacing w:after="0" w:line="240" w:lineRule="auto"/>
        <w:rPr>
          <w:rFonts w:ascii="Arial" w:hAnsi="Arial" w:cs="Arial"/>
          <w:b/>
          <w:sz w:val="24"/>
          <w:szCs w:val="24"/>
          <w:lang w:val="en-ZA"/>
        </w:rPr>
      </w:pPr>
    </w:p>
    <w:p w14:paraId="06CF2B1C" w14:textId="77777777" w:rsidR="00AD3406" w:rsidRPr="00AD3406" w:rsidRDefault="00AD3406" w:rsidP="00AD3406">
      <w:pPr>
        <w:spacing w:after="0" w:line="240" w:lineRule="auto"/>
        <w:rPr>
          <w:rFonts w:ascii="Arial" w:hAnsi="Arial" w:cs="Arial"/>
          <w:b/>
          <w:sz w:val="24"/>
          <w:szCs w:val="24"/>
          <w:lang w:val="en-ZA"/>
        </w:rPr>
      </w:pPr>
    </w:p>
    <w:p w14:paraId="54B58924" w14:textId="77777777" w:rsidR="00AD3406" w:rsidRPr="00AD3406" w:rsidRDefault="00AD3406" w:rsidP="00AD3406">
      <w:pPr>
        <w:spacing w:after="0" w:line="240" w:lineRule="auto"/>
        <w:rPr>
          <w:rFonts w:ascii="Arial" w:hAnsi="Arial" w:cs="Arial"/>
          <w:sz w:val="24"/>
          <w:szCs w:val="24"/>
          <w:lang w:val="en-ZA"/>
        </w:rPr>
      </w:pPr>
      <w:r w:rsidRPr="00AD3406">
        <w:rPr>
          <w:rFonts w:ascii="Arial" w:hAnsi="Arial" w:cs="Arial"/>
          <w:b/>
          <w:sz w:val="24"/>
          <w:szCs w:val="24"/>
          <w:lang w:val="en-ZA"/>
        </w:rPr>
        <w:t>Coram:</w:t>
      </w:r>
      <w:r w:rsidRPr="00AD3406">
        <w:rPr>
          <w:rFonts w:ascii="Arial" w:hAnsi="Arial" w:cs="Arial"/>
          <w:sz w:val="24"/>
          <w:szCs w:val="24"/>
          <w:lang w:val="en-ZA"/>
        </w:rPr>
        <w:tab/>
        <w:t xml:space="preserve">DAMASEB DCJ, </w:t>
      </w:r>
      <w:r>
        <w:rPr>
          <w:rFonts w:ascii="Arial" w:hAnsi="Arial" w:cs="Arial"/>
          <w:sz w:val="24"/>
          <w:szCs w:val="24"/>
          <w:lang w:val="en-ZA"/>
        </w:rPr>
        <w:t xml:space="preserve">HOFF JA and </w:t>
      </w:r>
      <w:r w:rsidRPr="00AD3406">
        <w:rPr>
          <w:rFonts w:ascii="Arial" w:hAnsi="Arial" w:cs="Arial"/>
          <w:sz w:val="24"/>
          <w:szCs w:val="24"/>
          <w:lang w:val="en-ZA"/>
        </w:rPr>
        <w:t xml:space="preserve">PRINSLOO AJA </w:t>
      </w:r>
    </w:p>
    <w:p w14:paraId="535B1E37" w14:textId="77777777" w:rsidR="00AD3406" w:rsidRPr="00AD3406" w:rsidRDefault="00AD3406" w:rsidP="00AD3406">
      <w:pPr>
        <w:spacing w:after="0" w:line="240" w:lineRule="auto"/>
        <w:rPr>
          <w:rFonts w:ascii="Arial" w:hAnsi="Arial" w:cs="Arial"/>
          <w:b/>
          <w:sz w:val="24"/>
          <w:szCs w:val="24"/>
          <w:lang w:val="en-ZA"/>
        </w:rPr>
      </w:pPr>
    </w:p>
    <w:p w14:paraId="69A312A6" w14:textId="77777777" w:rsidR="00AD3406" w:rsidRPr="00AD3406" w:rsidRDefault="00AD3406" w:rsidP="00AD3406">
      <w:pPr>
        <w:spacing w:after="0" w:line="240" w:lineRule="auto"/>
        <w:rPr>
          <w:rFonts w:ascii="Arial" w:hAnsi="Arial" w:cs="Arial"/>
          <w:b/>
          <w:sz w:val="24"/>
          <w:szCs w:val="24"/>
          <w:lang w:val="en-ZA"/>
        </w:rPr>
      </w:pPr>
      <w:r w:rsidRPr="00AD3406">
        <w:rPr>
          <w:rFonts w:ascii="Arial" w:hAnsi="Arial" w:cs="Arial"/>
          <w:b/>
          <w:sz w:val="24"/>
          <w:szCs w:val="24"/>
          <w:lang w:val="en-ZA"/>
        </w:rPr>
        <w:t>Heard:</w:t>
      </w:r>
      <w:r w:rsidRPr="00AD3406">
        <w:rPr>
          <w:rFonts w:ascii="Arial" w:hAnsi="Arial" w:cs="Arial"/>
          <w:b/>
          <w:sz w:val="24"/>
          <w:szCs w:val="24"/>
          <w:lang w:val="en-ZA"/>
        </w:rPr>
        <w:tab/>
      </w:r>
      <w:r w:rsidR="00A65F16">
        <w:rPr>
          <w:rFonts w:ascii="Arial" w:hAnsi="Arial" w:cs="Arial"/>
          <w:b/>
          <w:sz w:val="24"/>
          <w:szCs w:val="24"/>
          <w:lang w:val="en-ZA"/>
        </w:rPr>
        <w:t>15 November 2023</w:t>
      </w:r>
    </w:p>
    <w:p w14:paraId="300F4F02" w14:textId="77777777" w:rsidR="00AD3406" w:rsidRPr="00AD3406" w:rsidRDefault="00AD3406" w:rsidP="00AD3406">
      <w:pPr>
        <w:spacing w:after="0" w:line="240" w:lineRule="auto"/>
        <w:rPr>
          <w:rFonts w:ascii="Arial" w:hAnsi="Arial" w:cs="Arial"/>
          <w:b/>
          <w:sz w:val="24"/>
          <w:szCs w:val="24"/>
          <w:lang w:val="en-ZA"/>
        </w:rPr>
      </w:pPr>
    </w:p>
    <w:p w14:paraId="5656DE5C" w14:textId="34083EAD" w:rsidR="00AD3406" w:rsidRPr="00AD3406" w:rsidRDefault="00AD3406" w:rsidP="00AD3406">
      <w:pPr>
        <w:spacing w:after="0" w:line="240" w:lineRule="auto"/>
        <w:rPr>
          <w:rFonts w:ascii="Arial" w:hAnsi="Arial" w:cs="Arial"/>
          <w:b/>
          <w:sz w:val="24"/>
          <w:szCs w:val="24"/>
          <w:lang w:val="en-ZA"/>
        </w:rPr>
      </w:pPr>
      <w:r w:rsidRPr="00AD3406">
        <w:rPr>
          <w:rFonts w:ascii="Arial" w:hAnsi="Arial" w:cs="Arial"/>
          <w:b/>
          <w:sz w:val="24"/>
          <w:szCs w:val="24"/>
          <w:lang w:val="en-ZA"/>
        </w:rPr>
        <w:t>Delivered:</w:t>
      </w:r>
      <w:r w:rsidRPr="00AD3406">
        <w:rPr>
          <w:rFonts w:ascii="Arial" w:hAnsi="Arial" w:cs="Arial"/>
          <w:b/>
          <w:sz w:val="24"/>
          <w:szCs w:val="24"/>
          <w:lang w:val="en-ZA"/>
        </w:rPr>
        <w:tab/>
      </w:r>
      <w:r w:rsidR="006B0A76">
        <w:rPr>
          <w:rFonts w:ascii="Arial" w:hAnsi="Arial" w:cs="Arial"/>
          <w:b/>
          <w:sz w:val="24"/>
          <w:szCs w:val="24"/>
          <w:lang w:val="en-ZA"/>
        </w:rPr>
        <w:t>22 November 2023</w:t>
      </w:r>
    </w:p>
    <w:p w14:paraId="5D9D5912" w14:textId="77777777" w:rsidR="00AD3406" w:rsidRPr="00AD3406" w:rsidRDefault="00AD3406" w:rsidP="00AD3406">
      <w:pPr>
        <w:spacing w:after="0" w:line="240" w:lineRule="auto"/>
        <w:rPr>
          <w:rFonts w:ascii="Arial" w:hAnsi="Arial" w:cs="Arial"/>
          <w:b/>
          <w:sz w:val="24"/>
          <w:szCs w:val="24"/>
          <w:lang w:val="en-ZA"/>
        </w:rPr>
      </w:pPr>
    </w:p>
    <w:p w14:paraId="786EE5B9" w14:textId="77777777" w:rsidR="00A65F16" w:rsidRDefault="00A65F16" w:rsidP="00AD3406">
      <w:pPr>
        <w:spacing w:after="0" w:line="360" w:lineRule="auto"/>
        <w:jc w:val="both"/>
        <w:rPr>
          <w:rFonts w:ascii="Arial" w:hAnsi="Arial" w:cs="Arial"/>
          <w:b/>
          <w:sz w:val="24"/>
          <w:szCs w:val="24"/>
          <w:lang w:val="en-ZA"/>
        </w:rPr>
      </w:pPr>
    </w:p>
    <w:p w14:paraId="516FD069" w14:textId="5C1B076B" w:rsidR="00AD3406" w:rsidRDefault="00AD3406" w:rsidP="000176A1">
      <w:pPr>
        <w:spacing w:after="0" w:line="360" w:lineRule="auto"/>
        <w:jc w:val="both"/>
        <w:rPr>
          <w:rFonts w:ascii="Arial" w:hAnsi="Arial" w:cs="Arial"/>
          <w:sz w:val="24"/>
          <w:szCs w:val="24"/>
        </w:rPr>
      </w:pPr>
      <w:r w:rsidRPr="00AD3406">
        <w:rPr>
          <w:rFonts w:ascii="Arial" w:hAnsi="Arial" w:cs="Arial"/>
          <w:b/>
          <w:sz w:val="24"/>
          <w:szCs w:val="24"/>
          <w:lang w:val="en-ZA"/>
        </w:rPr>
        <w:t>Summary:</w:t>
      </w:r>
      <w:r w:rsidRPr="00AD3406">
        <w:t xml:space="preserve"> </w:t>
      </w:r>
      <w:r w:rsidR="004502D9">
        <w:tab/>
      </w:r>
      <w:r w:rsidR="000C6BEE">
        <w:rPr>
          <w:rFonts w:ascii="Arial" w:hAnsi="Arial" w:cs="Arial"/>
          <w:sz w:val="24"/>
          <w:szCs w:val="24"/>
        </w:rPr>
        <w:t>On 18 July 2023, this court invoked its review jurisdiction in terms of s</w:t>
      </w:r>
      <w:r w:rsidR="00906986">
        <w:rPr>
          <w:rFonts w:ascii="Arial" w:hAnsi="Arial" w:cs="Arial"/>
          <w:sz w:val="24"/>
          <w:szCs w:val="24"/>
        </w:rPr>
        <w:t xml:space="preserve"> 16 of the Supreme Court Act 16 of 1990 at the request of the applicant (Namwater)</w:t>
      </w:r>
      <w:r w:rsidR="00ED2CB1">
        <w:rPr>
          <w:rFonts w:ascii="Arial" w:hAnsi="Arial" w:cs="Arial"/>
          <w:sz w:val="24"/>
          <w:szCs w:val="24"/>
        </w:rPr>
        <w:t xml:space="preserve">. The court </w:t>
      </w:r>
      <w:r w:rsidR="00ED2CB1" w:rsidRPr="00ED2CB1">
        <w:rPr>
          <w:rFonts w:ascii="Arial" w:hAnsi="Arial" w:cs="Arial"/>
          <w:i/>
          <w:sz w:val="24"/>
          <w:szCs w:val="24"/>
        </w:rPr>
        <w:t>a quo</w:t>
      </w:r>
      <w:r w:rsidR="00ED2CB1">
        <w:rPr>
          <w:rFonts w:ascii="Arial" w:hAnsi="Arial" w:cs="Arial"/>
          <w:sz w:val="24"/>
          <w:szCs w:val="24"/>
        </w:rPr>
        <w:t xml:space="preserve"> </w:t>
      </w:r>
      <w:r w:rsidR="000176A1" w:rsidRPr="000176A1">
        <w:rPr>
          <w:rFonts w:ascii="Arial" w:hAnsi="Arial" w:cs="Arial"/>
          <w:sz w:val="24"/>
          <w:szCs w:val="24"/>
        </w:rPr>
        <w:t>dismissed a special plea that it lacked jurisdiction. Dissatisfied with that order, Namwater brought an application in terms of Rule 115 of the High Court Rules for leave to appeal against the High Court’s assumption of jurisdiction.</w:t>
      </w:r>
      <w:r w:rsidR="00D623D6">
        <w:rPr>
          <w:rFonts w:ascii="Arial" w:hAnsi="Arial" w:cs="Arial"/>
          <w:sz w:val="24"/>
          <w:szCs w:val="24"/>
        </w:rPr>
        <w:t xml:space="preserve"> </w:t>
      </w:r>
    </w:p>
    <w:p w14:paraId="7579C8D8" w14:textId="77777777" w:rsidR="00D623D6" w:rsidRDefault="00D623D6" w:rsidP="000176A1">
      <w:pPr>
        <w:spacing w:after="0" w:line="360" w:lineRule="auto"/>
        <w:jc w:val="both"/>
        <w:rPr>
          <w:rFonts w:ascii="Arial" w:hAnsi="Arial" w:cs="Arial"/>
          <w:sz w:val="24"/>
          <w:szCs w:val="24"/>
        </w:rPr>
      </w:pPr>
    </w:p>
    <w:p w14:paraId="13F884F1" w14:textId="46A221C7" w:rsidR="00D623D6" w:rsidRDefault="00D623D6" w:rsidP="00D71638">
      <w:pPr>
        <w:spacing w:after="0" w:line="360" w:lineRule="auto"/>
        <w:jc w:val="both"/>
        <w:rPr>
          <w:rFonts w:ascii="Arial" w:hAnsi="Arial" w:cs="Arial"/>
          <w:sz w:val="24"/>
          <w:szCs w:val="24"/>
        </w:rPr>
      </w:pPr>
      <w:r>
        <w:rPr>
          <w:rFonts w:ascii="Arial" w:hAnsi="Arial" w:cs="Arial"/>
          <w:sz w:val="24"/>
          <w:szCs w:val="24"/>
        </w:rPr>
        <w:t xml:space="preserve">At the hearing of the application for leave to appeal the respondent (Mr </w:t>
      </w:r>
      <w:r w:rsidR="00BE54B4">
        <w:rPr>
          <w:rFonts w:ascii="Arial" w:hAnsi="Arial" w:cs="Arial"/>
          <w:sz w:val="24"/>
          <w:szCs w:val="24"/>
        </w:rPr>
        <w:t>Tj</w:t>
      </w:r>
      <w:r w:rsidR="002C5D62">
        <w:rPr>
          <w:rFonts w:ascii="Arial" w:hAnsi="Arial" w:cs="Arial"/>
          <w:sz w:val="24"/>
          <w:szCs w:val="24"/>
        </w:rPr>
        <w:t>i</w:t>
      </w:r>
      <w:r w:rsidR="00BE54B4">
        <w:rPr>
          <w:rFonts w:ascii="Arial" w:hAnsi="Arial" w:cs="Arial"/>
          <w:sz w:val="24"/>
          <w:szCs w:val="24"/>
        </w:rPr>
        <w:t>pangandjara</w:t>
      </w:r>
      <w:r>
        <w:rPr>
          <w:rFonts w:ascii="Arial" w:hAnsi="Arial" w:cs="Arial"/>
          <w:sz w:val="24"/>
          <w:szCs w:val="24"/>
        </w:rPr>
        <w:t xml:space="preserve">) through his counsel abandoned a point </w:t>
      </w:r>
      <w:r w:rsidRPr="00D623D6">
        <w:rPr>
          <w:rFonts w:ascii="Arial" w:hAnsi="Arial" w:cs="Arial"/>
          <w:i/>
          <w:sz w:val="24"/>
          <w:szCs w:val="24"/>
        </w:rPr>
        <w:t>in limine</w:t>
      </w:r>
      <w:r>
        <w:rPr>
          <w:rFonts w:ascii="Arial" w:hAnsi="Arial" w:cs="Arial"/>
          <w:sz w:val="24"/>
          <w:szCs w:val="24"/>
        </w:rPr>
        <w:t xml:space="preserve"> on the fact that the leave to appeal </w:t>
      </w:r>
      <w:r>
        <w:rPr>
          <w:rFonts w:ascii="Arial" w:hAnsi="Arial" w:cs="Arial"/>
          <w:sz w:val="24"/>
          <w:szCs w:val="24"/>
        </w:rPr>
        <w:lastRenderedPageBreak/>
        <w:t xml:space="preserve">was not brought in terms of </w:t>
      </w:r>
      <w:r w:rsidR="00571732">
        <w:rPr>
          <w:rFonts w:ascii="Arial" w:hAnsi="Arial" w:cs="Arial"/>
          <w:sz w:val="24"/>
          <w:szCs w:val="24"/>
        </w:rPr>
        <w:t>R</w:t>
      </w:r>
      <w:r>
        <w:rPr>
          <w:rFonts w:ascii="Arial" w:hAnsi="Arial" w:cs="Arial"/>
          <w:sz w:val="24"/>
          <w:szCs w:val="24"/>
        </w:rPr>
        <w:t xml:space="preserve">ule 65 (on notice of motion supported by affidavit). The court proceeded to adjudicate the leave to appeal and </w:t>
      </w:r>
      <w:r w:rsidR="003F5F99">
        <w:rPr>
          <w:rFonts w:ascii="Arial" w:hAnsi="Arial" w:cs="Arial"/>
          <w:sz w:val="24"/>
          <w:szCs w:val="24"/>
        </w:rPr>
        <w:t xml:space="preserve">reserved </w:t>
      </w:r>
      <w:r>
        <w:rPr>
          <w:rFonts w:ascii="Arial" w:hAnsi="Arial" w:cs="Arial"/>
          <w:sz w:val="24"/>
          <w:szCs w:val="24"/>
        </w:rPr>
        <w:t>judgment.</w:t>
      </w:r>
    </w:p>
    <w:p w14:paraId="396639CC" w14:textId="77777777" w:rsidR="00D623D6" w:rsidRDefault="00D623D6" w:rsidP="00D71638">
      <w:pPr>
        <w:spacing w:after="0" w:line="360" w:lineRule="auto"/>
        <w:jc w:val="both"/>
        <w:rPr>
          <w:rFonts w:ascii="Arial" w:hAnsi="Arial" w:cs="Arial"/>
          <w:sz w:val="24"/>
          <w:szCs w:val="24"/>
        </w:rPr>
      </w:pPr>
    </w:p>
    <w:p w14:paraId="78962576" w14:textId="21E0EA41" w:rsidR="00D623D6" w:rsidRPr="000176A1" w:rsidRDefault="003F5F99" w:rsidP="00D71638">
      <w:pPr>
        <w:spacing w:after="0" w:line="360" w:lineRule="auto"/>
        <w:jc w:val="both"/>
        <w:rPr>
          <w:rFonts w:ascii="Arial" w:hAnsi="Arial" w:cs="Arial"/>
          <w:sz w:val="24"/>
          <w:szCs w:val="24"/>
          <w:lang w:val="en-ZA"/>
        </w:rPr>
      </w:pPr>
      <w:r>
        <w:rPr>
          <w:rFonts w:ascii="Arial" w:hAnsi="Arial" w:cs="Arial"/>
          <w:sz w:val="24"/>
          <w:szCs w:val="24"/>
        </w:rPr>
        <w:t xml:space="preserve">The court </w:t>
      </w:r>
      <w:r w:rsidRPr="009C24FA">
        <w:rPr>
          <w:rFonts w:ascii="Arial" w:hAnsi="Arial" w:cs="Arial"/>
          <w:i/>
          <w:sz w:val="24"/>
          <w:szCs w:val="24"/>
        </w:rPr>
        <w:t>a quo</w:t>
      </w:r>
      <w:r>
        <w:rPr>
          <w:rFonts w:ascii="Arial" w:hAnsi="Arial" w:cs="Arial"/>
          <w:sz w:val="24"/>
          <w:szCs w:val="24"/>
        </w:rPr>
        <w:t xml:space="preserve"> held that the application for leave to appeal under Rule 115 had to </w:t>
      </w:r>
      <w:r w:rsidR="007877DE">
        <w:rPr>
          <w:rFonts w:ascii="Arial" w:hAnsi="Arial" w:cs="Arial"/>
          <w:sz w:val="24"/>
          <w:szCs w:val="24"/>
        </w:rPr>
        <w:t>comply with R</w:t>
      </w:r>
      <w:r w:rsidR="00D623D6">
        <w:rPr>
          <w:rFonts w:ascii="Arial" w:hAnsi="Arial" w:cs="Arial"/>
          <w:sz w:val="24"/>
          <w:szCs w:val="24"/>
        </w:rPr>
        <w:t>ule 65</w:t>
      </w:r>
      <w:r>
        <w:rPr>
          <w:rFonts w:ascii="Arial" w:hAnsi="Arial" w:cs="Arial"/>
          <w:sz w:val="24"/>
          <w:szCs w:val="24"/>
        </w:rPr>
        <w:t xml:space="preserve"> – on notice of motion supported by affidavit. That conclusion</w:t>
      </w:r>
      <w:r w:rsidR="00700193">
        <w:rPr>
          <w:rFonts w:ascii="Arial" w:hAnsi="Arial" w:cs="Arial"/>
          <w:sz w:val="24"/>
          <w:szCs w:val="24"/>
        </w:rPr>
        <w:t xml:space="preserve"> </w:t>
      </w:r>
      <w:r>
        <w:rPr>
          <w:rFonts w:ascii="Arial" w:hAnsi="Arial" w:cs="Arial"/>
          <w:sz w:val="24"/>
          <w:szCs w:val="24"/>
        </w:rPr>
        <w:t xml:space="preserve">was contrary to established precedent holding the contrary. </w:t>
      </w:r>
      <w:r w:rsidR="00A34897">
        <w:rPr>
          <w:rFonts w:ascii="Arial" w:hAnsi="Arial" w:cs="Arial"/>
          <w:sz w:val="24"/>
          <w:szCs w:val="24"/>
        </w:rPr>
        <w:t>Furthermore</w:t>
      </w:r>
      <w:r w:rsidR="00C44BF8">
        <w:rPr>
          <w:rFonts w:ascii="Arial" w:hAnsi="Arial" w:cs="Arial"/>
          <w:sz w:val="24"/>
          <w:szCs w:val="24"/>
        </w:rPr>
        <w:t>,</w:t>
      </w:r>
      <w:r w:rsidR="00A34897">
        <w:rPr>
          <w:rFonts w:ascii="Arial" w:hAnsi="Arial" w:cs="Arial"/>
          <w:sz w:val="24"/>
          <w:szCs w:val="24"/>
        </w:rPr>
        <w:t xml:space="preserve"> in </w:t>
      </w:r>
      <w:r>
        <w:rPr>
          <w:rFonts w:ascii="Arial" w:hAnsi="Arial" w:cs="Arial"/>
          <w:sz w:val="24"/>
          <w:szCs w:val="24"/>
        </w:rPr>
        <w:t>its</w:t>
      </w:r>
      <w:r w:rsidR="00A34897">
        <w:rPr>
          <w:rFonts w:ascii="Arial" w:hAnsi="Arial" w:cs="Arial"/>
          <w:sz w:val="24"/>
          <w:szCs w:val="24"/>
        </w:rPr>
        <w:t xml:space="preserve"> written reasons the </w:t>
      </w:r>
      <w:r>
        <w:rPr>
          <w:rFonts w:ascii="Arial" w:hAnsi="Arial" w:cs="Arial"/>
          <w:sz w:val="24"/>
          <w:szCs w:val="24"/>
        </w:rPr>
        <w:t xml:space="preserve">court </w:t>
      </w:r>
      <w:r w:rsidRPr="007877DE">
        <w:rPr>
          <w:rFonts w:ascii="Arial" w:hAnsi="Arial" w:cs="Arial"/>
          <w:i/>
          <w:sz w:val="24"/>
          <w:szCs w:val="24"/>
        </w:rPr>
        <w:t>a quo</w:t>
      </w:r>
      <w:r>
        <w:rPr>
          <w:rFonts w:ascii="Arial" w:hAnsi="Arial" w:cs="Arial"/>
          <w:sz w:val="24"/>
          <w:szCs w:val="24"/>
        </w:rPr>
        <w:t xml:space="preserve"> failed to</w:t>
      </w:r>
      <w:r w:rsidR="00A34897">
        <w:rPr>
          <w:rFonts w:ascii="Arial" w:hAnsi="Arial" w:cs="Arial"/>
          <w:sz w:val="24"/>
          <w:szCs w:val="24"/>
        </w:rPr>
        <w:t xml:space="preserve"> explain why </w:t>
      </w:r>
      <w:r>
        <w:rPr>
          <w:rFonts w:ascii="Arial" w:hAnsi="Arial" w:cs="Arial"/>
          <w:sz w:val="24"/>
          <w:szCs w:val="24"/>
        </w:rPr>
        <w:t xml:space="preserve">it </w:t>
      </w:r>
      <w:r w:rsidR="00A34897">
        <w:rPr>
          <w:rFonts w:ascii="Arial" w:hAnsi="Arial" w:cs="Arial"/>
          <w:sz w:val="24"/>
          <w:szCs w:val="24"/>
        </w:rPr>
        <w:t xml:space="preserve">departed from </w:t>
      </w:r>
      <w:r>
        <w:rPr>
          <w:rFonts w:ascii="Arial" w:hAnsi="Arial" w:cs="Arial"/>
          <w:sz w:val="24"/>
          <w:szCs w:val="24"/>
        </w:rPr>
        <w:t xml:space="preserve">binding </w:t>
      </w:r>
      <w:r w:rsidR="00C44BF8">
        <w:rPr>
          <w:rFonts w:ascii="Arial" w:hAnsi="Arial" w:cs="Arial"/>
          <w:sz w:val="24"/>
          <w:szCs w:val="24"/>
        </w:rPr>
        <w:t>authority</w:t>
      </w:r>
      <w:r w:rsidR="007877DE">
        <w:rPr>
          <w:rFonts w:ascii="Arial" w:hAnsi="Arial" w:cs="Arial"/>
          <w:sz w:val="24"/>
          <w:szCs w:val="24"/>
        </w:rPr>
        <w:t xml:space="preserve"> </w:t>
      </w:r>
      <w:r>
        <w:rPr>
          <w:rFonts w:ascii="Arial" w:hAnsi="Arial" w:cs="Arial"/>
          <w:sz w:val="24"/>
          <w:szCs w:val="24"/>
        </w:rPr>
        <w:t xml:space="preserve">– neither did the court </w:t>
      </w:r>
      <w:r w:rsidRPr="007877DE">
        <w:rPr>
          <w:rFonts w:ascii="Arial" w:hAnsi="Arial" w:cs="Arial"/>
          <w:i/>
          <w:sz w:val="24"/>
          <w:szCs w:val="24"/>
        </w:rPr>
        <w:t>a quo</w:t>
      </w:r>
      <w:r>
        <w:rPr>
          <w:rFonts w:ascii="Arial" w:hAnsi="Arial" w:cs="Arial"/>
          <w:sz w:val="24"/>
          <w:szCs w:val="24"/>
        </w:rPr>
        <w:t xml:space="preserve"> afford the applicant the opportunity to address it on the outcome-determinative issue – in breach of </w:t>
      </w:r>
      <w:r w:rsidR="007877DE">
        <w:rPr>
          <w:rFonts w:ascii="Arial" w:hAnsi="Arial" w:cs="Arial"/>
          <w:sz w:val="24"/>
          <w:szCs w:val="24"/>
        </w:rPr>
        <w:t>A</w:t>
      </w:r>
      <w:r>
        <w:rPr>
          <w:rFonts w:ascii="Arial" w:hAnsi="Arial" w:cs="Arial"/>
          <w:sz w:val="24"/>
          <w:szCs w:val="24"/>
        </w:rPr>
        <w:t xml:space="preserve">rt. 12(1)(a) of the Namibian Constitution. The point was abandoned in any event. </w:t>
      </w:r>
      <w:r w:rsidR="00D623D6">
        <w:rPr>
          <w:rFonts w:ascii="Arial" w:hAnsi="Arial" w:cs="Arial"/>
          <w:sz w:val="24"/>
          <w:szCs w:val="24"/>
        </w:rPr>
        <w:t>It is against that or</w:t>
      </w:r>
      <w:r>
        <w:rPr>
          <w:rFonts w:ascii="Arial" w:hAnsi="Arial" w:cs="Arial"/>
          <w:sz w:val="24"/>
          <w:szCs w:val="24"/>
        </w:rPr>
        <w:t xml:space="preserve">der and judgment that Namwater seeks </w:t>
      </w:r>
      <w:r w:rsidR="00D623D6">
        <w:rPr>
          <w:rFonts w:ascii="Arial" w:hAnsi="Arial" w:cs="Arial"/>
          <w:sz w:val="24"/>
          <w:szCs w:val="24"/>
        </w:rPr>
        <w:t xml:space="preserve">the review and setting aside of the orders and judgment of the </w:t>
      </w:r>
      <w:r w:rsidR="00D623D6" w:rsidRPr="007877DE">
        <w:rPr>
          <w:rFonts w:ascii="Arial" w:hAnsi="Arial" w:cs="Arial"/>
          <w:sz w:val="24"/>
          <w:szCs w:val="24"/>
        </w:rPr>
        <w:t>court</w:t>
      </w:r>
      <w:r w:rsidR="00D623D6" w:rsidRPr="00D623D6">
        <w:rPr>
          <w:rFonts w:ascii="Arial" w:hAnsi="Arial" w:cs="Arial"/>
          <w:i/>
          <w:sz w:val="24"/>
          <w:szCs w:val="24"/>
        </w:rPr>
        <w:t xml:space="preserve"> a quo</w:t>
      </w:r>
      <w:r w:rsidR="00D623D6">
        <w:rPr>
          <w:rFonts w:ascii="Arial" w:hAnsi="Arial" w:cs="Arial"/>
          <w:sz w:val="24"/>
          <w:szCs w:val="24"/>
        </w:rPr>
        <w:t>.</w:t>
      </w:r>
    </w:p>
    <w:p w14:paraId="499B1CB1" w14:textId="77777777" w:rsidR="00AD3406" w:rsidRDefault="00AD3406" w:rsidP="00D71638">
      <w:pPr>
        <w:spacing w:after="0" w:line="360" w:lineRule="auto"/>
        <w:jc w:val="both"/>
        <w:rPr>
          <w:rFonts w:ascii="Arial" w:hAnsi="Arial" w:cs="Arial"/>
          <w:sz w:val="24"/>
          <w:szCs w:val="24"/>
          <w:lang w:val="en-ZA"/>
        </w:rPr>
      </w:pPr>
    </w:p>
    <w:p w14:paraId="1DC27BF9" w14:textId="746689B4" w:rsidR="00D623D6" w:rsidRDefault="002C129D" w:rsidP="00D71638">
      <w:pPr>
        <w:spacing w:after="0" w:line="360" w:lineRule="auto"/>
        <w:jc w:val="both"/>
        <w:rPr>
          <w:rFonts w:ascii="Arial" w:hAnsi="Arial" w:cs="Arial"/>
          <w:sz w:val="24"/>
          <w:szCs w:val="24"/>
          <w:lang w:val="en-ZA"/>
        </w:rPr>
      </w:pPr>
      <w:r w:rsidRPr="002C129D">
        <w:rPr>
          <w:rFonts w:ascii="Arial" w:hAnsi="Arial" w:cs="Arial"/>
          <w:i/>
          <w:sz w:val="24"/>
          <w:szCs w:val="24"/>
          <w:lang w:val="en-ZA"/>
        </w:rPr>
        <w:t>Held that</w:t>
      </w:r>
      <w:r>
        <w:rPr>
          <w:rFonts w:ascii="Arial" w:hAnsi="Arial" w:cs="Arial"/>
          <w:sz w:val="24"/>
          <w:szCs w:val="24"/>
          <w:lang w:val="en-ZA"/>
        </w:rPr>
        <w:t xml:space="preserve">, </w:t>
      </w:r>
      <w:r w:rsidR="007D580E">
        <w:rPr>
          <w:rFonts w:ascii="Arial" w:hAnsi="Arial" w:cs="Arial"/>
          <w:sz w:val="24"/>
          <w:szCs w:val="24"/>
          <w:lang w:val="en-ZA"/>
        </w:rPr>
        <w:t>p</w:t>
      </w:r>
      <w:r w:rsidR="007D580E" w:rsidRPr="007D580E">
        <w:rPr>
          <w:rFonts w:ascii="Arial" w:hAnsi="Arial" w:cs="Arial"/>
          <w:sz w:val="24"/>
          <w:szCs w:val="24"/>
          <w:lang w:val="en-ZA"/>
        </w:rPr>
        <w:t>recedent</w:t>
      </w:r>
      <w:r w:rsidR="003C16CB">
        <w:rPr>
          <w:rFonts w:ascii="Arial" w:hAnsi="Arial" w:cs="Arial"/>
          <w:sz w:val="24"/>
          <w:szCs w:val="24"/>
          <w:lang w:val="en-ZA"/>
        </w:rPr>
        <w:t xml:space="preserve"> is</w:t>
      </w:r>
      <w:r w:rsidR="007D580E">
        <w:rPr>
          <w:rFonts w:ascii="Arial" w:hAnsi="Arial" w:cs="Arial"/>
          <w:sz w:val="24"/>
          <w:szCs w:val="24"/>
          <w:lang w:val="en-ZA"/>
        </w:rPr>
        <w:t xml:space="preserve"> </w:t>
      </w:r>
      <w:r w:rsidR="007D580E" w:rsidRPr="007D580E">
        <w:rPr>
          <w:rFonts w:ascii="Arial" w:hAnsi="Arial" w:cs="Arial"/>
          <w:sz w:val="24"/>
          <w:szCs w:val="24"/>
          <w:lang w:val="en-ZA"/>
        </w:rPr>
        <w:t xml:space="preserve">the lifeblood of the common law.  Chaos and uncertainty will inevitably result if judges of the High Court ignore precedent. It is trite that judges of the High Court are bound by previous decisions of that court (including their own) unless (a) it can be distinguished (b) it was arrived at </w:t>
      </w:r>
      <w:r w:rsidR="007D580E" w:rsidRPr="007D580E">
        <w:rPr>
          <w:rFonts w:ascii="Arial" w:hAnsi="Arial" w:cs="Arial"/>
          <w:i/>
          <w:sz w:val="24"/>
          <w:szCs w:val="24"/>
          <w:lang w:val="en-ZA"/>
        </w:rPr>
        <w:t>per in curium</w:t>
      </w:r>
      <w:r w:rsidR="007D580E" w:rsidRPr="007D580E">
        <w:rPr>
          <w:rFonts w:ascii="Arial" w:hAnsi="Arial" w:cs="Arial"/>
          <w:sz w:val="24"/>
          <w:szCs w:val="24"/>
          <w:lang w:val="en-ZA"/>
        </w:rPr>
        <w:t xml:space="preserve"> or (c) it is clearly wrong</w:t>
      </w:r>
      <w:r w:rsidR="009D514C">
        <w:rPr>
          <w:rFonts w:ascii="Arial" w:hAnsi="Arial" w:cs="Arial"/>
          <w:sz w:val="24"/>
          <w:szCs w:val="24"/>
          <w:lang w:val="en-ZA"/>
        </w:rPr>
        <w:t xml:space="preserve"> and fail</w:t>
      </w:r>
      <w:r w:rsidR="003C16CB">
        <w:rPr>
          <w:rFonts w:ascii="Arial" w:hAnsi="Arial" w:cs="Arial"/>
          <w:sz w:val="24"/>
          <w:szCs w:val="24"/>
          <w:lang w:val="en-ZA"/>
        </w:rPr>
        <w:t>ing the</w:t>
      </w:r>
      <w:r w:rsidR="009D514C">
        <w:rPr>
          <w:rFonts w:ascii="Arial" w:hAnsi="Arial" w:cs="Arial"/>
          <w:sz w:val="24"/>
          <w:szCs w:val="24"/>
          <w:lang w:val="en-ZA"/>
        </w:rPr>
        <w:t xml:space="preserve"> above this court is </w:t>
      </w:r>
      <w:r w:rsidR="009D514C" w:rsidRPr="009D514C">
        <w:rPr>
          <w:rFonts w:ascii="Arial" w:hAnsi="Arial" w:cs="Arial"/>
          <w:sz w:val="24"/>
          <w:szCs w:val="24"/>
          <w:lang w:val="en-ZA"/>
        </w:rPr>
        <w:t>satisfied</w:t>
      </w:r>
      <w:r w:rsidR="009D514C">
        <w:rPr>
          <w:rFonts w:ascii="Arial" w:hAnsi="Arial" w:cs="Arial"/>
          <w:sz w:val="24"/>
          <w:szCs w:val="24"/>
          <w:lang w:val="en-ZA"/>
        </w:rPr>
        <w:t xml:space="preserve"> that</w:t>
      </w:r>
      <w:r w:rsidR="009D514C" w:rsidRPr="009D514C">
        <w:rPr>
          <w:rFonts w:ascii="Arial" w:hAnsi="Arial" w:cs="Arial"/>
          <w:sz w:val="24"/>
          <w:szCs w:val="24"/>
          <w:lang w:val="en-ZA"/>
        </w:rPr>
        <w:t xml:space="preserve"> the managing </w:t>
      </w:r>
      <w:r w:rsidR="009D514C">
        <w:rPr>
          <w:rFonts w:ascii="Arial" w:hAnsi="Arial" w:cs="Arial"/>
          <w:sz w:val="24"/>
          <w:szCs w:val="24"/>
          <w:lang w:val="en-ZA"/>
        </w:rPr>
        <w:t xml:space="preserve">judge committed an irregularity. </w:t>
      </w:r>
    </w:p>
    <w:p w14:paraId="75540315" w14:textId="77777777" w:rsidR="00D71638" w:rsidRDefault="00D71638" w:rsidP="00D71638">
      <w:pPr>
        <w:spacing w:after="0" w:line="360" w:lineRule="auto"/>
        <w:jc w:val="both"/>
        <w:rPr>
          <w:rFonts w:ascii="Arial" w:hAnsi="Arial" w:cs="Arial"/>
          <w:sz w:val="24"/>
          <w:szCs w:val="24"/>
          <w:lang w:val="en-ZA"/>
        </w:rPr>
      </w:pPr>
    </w:p>
    <w:p w14:paraId="5FAF2643" w14:textId="3D6AD72B" w:rsidR="00A9580B" w:rsidRDefault="00D71638" w:rsidP="00AD3406">
      <w:pPr>
        <w:spacing w:after="0" w:line="360" w:lineRule="auto"/>
        <w:jc w:val="both"/>
        <w:rPr>
          <w:rFonts w:ascii="Arial" w:hAnsi="Arial" w:cs="Arial"/>
          <w:sz w:val="24"/>
          <w:szCs w:val="24"/>
          <w:lang w:val="en-ZA"/>
        </w:rPr>
      </w:pPr>
      <w:r>
        <w:rPr>
          <w:rFonts w:ascii="Arial" w:hAnsi="Arial" w:cs="Arial"/>
          <w:sz w:val="24"/>
          <w:szCs w:val="24"/>
          <w:lang w:val="en-ZA"/>
        </w:rPr>
        <w:t xml:space="preserve">This court was left to make a determination </w:t>
      </w:r>
      <w:r w:rsidR="00EC488B">
        <w:rPr>
          <w:rFonts w:ascii="Arial" w:hAnsi="Arial" w:cs="Arial"/>
          <w:sz w:val="24"/>
          <w:szCs w:val="24"/>
          <w:lang w:val="en-ZA"/>
        </w:rPr>
        <w:t xml:space="preserve">on </w:t>
      </w:r>
      <w:r>
        <w:rPr>
          <w:rFonts w:ascii="Arial" w:hAnsi="Arial" w:cs="Arial"/>
          <w:sz w:val="24"/>
          <w:szCs w:val="24"/>
          <w:lang w:val="en-ZA"/>
        </w:rPr>
        <w:t xml:space="preserve">whether </w:t>
      </w:r>
      <w:r w:rsidRPr="00D71638">
        <w:rPr>
          <w:rFonts w:ascii="Arial" w:hAnsi="Arial" w:cs="Arial"/>
          <w:sz w:val="24"/>
          <w:szCs w:val="24"/>
          <w:lang w:val="en-ZA"/>
        </w:rPr>
        <w:t xml:space="preserve">an application for leave to appeal </w:t>
      </w:r>
      <w:r>
        <w:rPr>
          <w:rFonts w:ascii="Arial" w:hAnsi="Arial" w:cs="Arial"/>
          <w:sz w:val="24"/>
          <w:szCs w:val="24"/>
          <w:lang w:val="en-ZA"/>
        </w:rPr>
        <w:t xml:space="preserve">should </w:t>
      </w:r>
      <w:r w:rsidRPr="00D71638">
        <w:rPr>
          <w:rFonts w:ascii="Arial" w:hAnsi="Arial" w:cs="Arial"/>
          <w:sz w:val="24"/>
          <w:szCs w:val="24"/>
          <w:lang w:val="en-ZA"/>
        </w:rPr>
        <w:t>be made on notice of motion supported by affidavit</w:t>
      </w:r>
      <w:r w:rsidR="00EC488B">
        <w:rPr>
          <w:rFonts w:ascii="Arial" w:hAnsi="Arial" w:cs="Arial"/>
          <w:sz w:val="24"/>
          <w:szCs w:val="24"/>
          <w:lang w:val="en-ZA"/>
        </w:rPr>
        <w:t>.</w:t>
      </w:r>
    </w:p>
    <w:p w14:paraId="35CCDF1D" w14:textId="77777777" w:rsidR="00D71638" w:rsidRDefault="00D71638" w:rsidP="00AD3406">
      <w:pPr>
        <w:spacing w:after="0" w:line="360" w:lineRule="auto"/>
        <w:jc w:val="both"/>
        <w:rPr>
          <w:rFonts w:ascii="Arial" w:hAnsi="Arial" w:cs="Arial"/>
          <w:sz w:val="24"/>
          <w:szCs w:val="24"/>
          <w:lang w:val="en-ZA"/>
        </w:rPr>
      </w:pPr>
    </w:p>
    <w:p w14:paraId="5D5BC908" w14:textId="4F0D1AFF" w:rsidR="00A9580B" w:rsidRDefault="00A9580B" w:rsidP="00AD3406">
      <w:pPr>
        <w:spacing w:after="0" w:line="360" w:lineRule="auto"/>
        <w:jc w:val="both"/>
        <w:rPr>
          <w:rFonts w:ascii="Arial" w:hAnsi="Arial" w:cs="Arial"/>
          <w:sz w:val="24"/>
          <w:szCs w:val="24"/>
          <w:lang w:val="en-ZA"/>
        </w:rPr>
      </w:pPr>
      <w:r w:rsidRPr="00A9580B">
        <w:rPr>
          <w:rFonts w:ascii="Arial" w:hAnsi="Arial" w:cs="Arial"/>
          <w:i/>
          <w:sz w:val="24"/>
          <w:szCs w:val="24"/>
          <w:lang w:val="en-ZA"/>
        </w:rPr>
        <w:t xml:space="preserve">Held that, </w:t>
      </w:r>
      <w:r w:rsidR="007B2E74" w:rsidRPr="007B2E74">
        <w:rPr>
          <w:rFonts w:ascii="Arial" w:hAnsi="Arial" w:cs="Arial"/>
          <w:sz w:val="24"/>
          <w:szCs w:val="24"/>
          <w:lang w:val="en-ZA"/>
        </w:rPr>
        <w:t xml:space="preserve">an application for leave to appeal is </w:t>
      </w:r>
      <w:r w:rsidR="00E96F98">
        <w:rPr>
          <w:rFonts w:ascii="Arial" w:hAnsi="Arial" w:cs="Arial"/>
          <w:sz w:val="24"/>
          <w:szCs w:val="24"/>
          <w:lang w:val="en-ZA"/>
        </w:rPr>
        <w:t>almost invariably heard by the same judge against</w:t>
      </w:r>
      <w:r w:rsidR="007B2E74" w:rsidRPr="007B2E74">
        <w:rPr>
          <w:rFonts w:ascii="Arial" w:hAnsi="Arial" w:cs="Arial"/>
          <w:sz w:val="24"/>
          <w:szCs w:val="24"/>
          <w:lang w:val="en-ZA"/>
        </w:rPr>
        <w:t xml:space="preserve"> whose order leave to appeal is sought. </w:t>
      </w:r>
      <w:r w:rsidR="00376124">
        <w:rPr>
          <w:rFonts w:ascii="Arial" w:hAnsi="Arial" w:cs="Arial"/>
          <w:sz w:val="24"/>
          <w:szCs w:val="24"/>
          <w:lang w:val="en-ZA"/>
        </w:rPr>
        <w:t xml:space="preserve">This court does not see the necessity </w:t>
      </w:r>
      <w:r w:rsidR="007B2E74" w:rsidRPr="007B2E74">
        <w:rPr>
          <w:rFonts w:ascii="Arial" w:hAnsi="Arial" w:cs="Arial"/>
          <w:sz w:val="24"/>
          <w:szCs w:val="24"/>
          <w:lang w:val="en-ZA"/>
        </w:rPr>
        <w:t>to entertain an application for leave to appeal by way of a full-blown application in terms of Rule 65</w:t>
      </w:r>
      <w:r w:rsidR="00376124">
        <w:rPr>
          <w:rFonts w:ascii="Arial" w:hAnsi="Arial" w:cs="Arial"/>
          <w:sz w:val="24"/>
          <w:szCs w:val="24"/>
          <w:lang w:val="en-ZA"/>
        </w:rPr>
        <w:t xml:space="preserve"> and as a result the position in </w:t>
      </w:r>
      <w:r w:rsidR="00376124" w:rsidRPr="00376124">
        <w:rPr>
          <w:rFonts w:ascii="Arial" w:hAnsi="Arial" w:cs="Arial"/>
          <w:i/>
          <w:sz w:val="24"/>
          <w:szCs w:val="24"/>
          <w:lang w:val="en-ZA"/>
        </w:rPr>
        <w:t>Hollard Insurance Company of Namibia v Minister of Finance</w:t>
      </w:r>
      <w:r w:rsidR="00376124" w:rsidRPr="00376124">
        <w:rPr>
          <w:rFonts w:ascii="Arial" w:hAnsi="Arial" w:cs="Arial"/>
          <w:sz w:val="24"/>
          <w:szCs w:val="24"/>
          <w:lang w:val="en-ZA"/>
        </w:rPr>
        <w:t xml:space="preserve"> (HC-MD-CIV-MOT-REV-2018/00127) [</w:t>
      </w:r>
      <w:r w:rsidR="00376124">
        <w:rPr>
          <w:rFonts w:ascii="Arial" w:hAnsi="Arial" w:cs="Arial"/>
          <w:sz w:val="24"/>
          <w:szCs w:val="24"/>
          <w:lang w:val="en-ZA"/>
        </w:rPr>
        <w:t xml:space="preserve">2020] NAHCMD 247 (24 June 2020) </w:t>
      </w:r>
      <w:r w:rsidR="006F5B42">
        <w:rPr>
          <w:rFonts w:ascii="Arial" w:hAnsi="Arial" w:cs="Arial"/>
          <w:sz w:val="24"/>
          <w:szCs w:val="24"/>
          <w:lang w:val="en-ZA"/>
        </w:rPr>
        <w:t xml:space="preserve">is </w:t>
      </w:r>
      <w:r w:rsidR="00E96F98">
        <w:rPr>
          <w:rFonts w:ascii="Arial" w:hAnsi="Arial" w:cs="Arial"/>
          <w:sz w:val="24"/>
          <w:szCs w:val="24"/>
          <w:lang w:val="en-ZA"/>
        </w:rPr>
        <w:t>approved.</w:t>
      </w:r>
      <w:r w:rsidR="00376124">
        <w:rPr>
          <w:rFonts w:ascii="Arial" w:hAnsi="Arial" w:cs="Arial"/>
          <w:sz w:val="24"/>
          <w:szCs w:val="24"/>
          <w:lang w:val="en-ZA"/>
        </w:rPr>
        <w:t xml:space="preserve"> The </w:t>
      </w:r>
      <w:r w:rsidR="00E96F98">
        <w:rPr>
          <w:rFonts w:ascii="Arial" w:hAnsi="Arial" w:cs="Arial"/>
          <w:sz w:val="24"/>
          <w:szCs w:val="24"/>
          <w:lang w:val="en-ZA"/>
        </w:rPr>
        <w:t xml:space="preserve">court </w:t>
      </w:r>
      <w:r w:rsidR="00E96F98" w:rsidRPr="006F5B42">
        <w:rPr>
          <w:rFonts w:ascii="Arial" w:hAnsi="Arial" w:cs="Arial"/>
          <w:i/>
          <w:sz w:val="24"/>
          <w:szCs w:val="24"/>
          <w:lang w:val="en-ZA"/>
        </w:rPr>
        <w:t>a quo</w:t>
      </w:r>
      <w:r w:rsidR="00E96F98" w:rsidRPr="006F5B42">
        <w:rPr>
          <w:rFonts w:ascii="Arial" w:hAnsi="Arial" w:cs="Arial"/>
          <w:sz w:val="24"/>
          <w:szCs w:val="24"/>
          <w:lang w:val="en-ZA"/>
        </w:rPr>
        <w:t>’s</w:t>
      </w:r>
      <w:r w:rsidR="00E96F98">
        <w:rPr>
          <w:rFonts w:ascii="Arial" w:hAnsi="Arial" w:cs="Arial"/>
          <w:sz w:val="24"/>
          <w:szCs w:val="24"/>
          <w:lang w:val="en-ZA"/>
        </w:rPr>
        <w:t xml:space="preserve"> </w:t>
      </w:r>
      <w:r w:rsidR="002E4195">
        <w:rPr>
          <w:rFonts w:ascii="Arial" w:hAnsi="Arial" w:cs="Arial"/>
          <w:sz w:val="24"/>
          <w:szCs w:val="24"/>
          <w:lang w:val="en-ZA"/>
        </w:rPr>
        <w:t xml:space="preserve">judgment </w:t>
      </w:r>
      <w:r w:rsidR="00E96F98">
        <w:rPr>
          <w:rFonts w:ascii="Arial" w:hAnsi="Arial" w:cs="Arial"/>
          <w:sz w:val="24"/>
          <w:szCs w:val="24"/>
          <w:lang w:val="en-ZA"/>
        </w:rPr>
        <w:t xml:space="preserve">of </w:t>
      </w:r>
      <w:r w:rsidR="00F454B3">
        <w:rPr>
          <w:rFonts w:ascii="Arial" w:hAnsi="Arial" w:cs="Arial"/>
          <w:sz w:val="24"/>
          <w:szCs w:val="24"/>
          <w:lang w:val="en-ZA"/>
        </w:rPr>
        <w:t>6</w:t>
      </w:r>
      <w:r w:rsidR="002E4195">
        <w:rPr>
          <w:rFonts w:ascii="Arial" w:hAnsi="Arial" w:cs="Arial"/>
          <w:sz w:val="24"/>
          <w:szCs w:val="24"/>
          <w:lang w:val="en-ZA"/>
        </w:rPr>
        <w:t xml:space="preserve"> April 2023 </w:t>
      </w:r>
      <w:r w:rsidR="006F5B42">
        <w:rPr>
          <w:rFonts w:ascii="Arial" w:hAnsi="Arial" w:cs="Arial"/>
          <w:sz w:val="24"/>
          <w:szCs w:val="24"/>
          <w:lang w:val="en-ZA"/>
        </w:rPr>
        <w:t xml:space="preserve">is reviewed, </w:t>
      </w:r>
      <w:r w:rsidR="002E4195">
        <w:rPr>
          <w:rFonts w:ascii="Arial" w:hAnsi="Arial" w:cs="Arial"/>
          <w:sz w:val="24"/>
          <w:szCs w:val="24"/>
          <w:lang w:val="en-ZA"/>
        </w:rPr>
        <w:t>set aside</w:t>
      </w:r>
      <w:r w:rsidR="00E96F98">
        <w:rPr>
          <w:rFonts w:ascii="Arial" w:hAnsi="Arial" w:cs="Arial"/>
          <w:sz w:val="24"/>
          <w:szCs w:val="24"/>
          <w:lang w:val="en-ZA"/>
        </w:rPr>
        <w:t xml:space="preserve"> and remitted </w:t>
      </w:r>
      <w:r w:rsidR="006F5B42">
        <w:rPr>
          <w:rFonts w:ascii="Arial" w:hAnsi="Arial" w:cs="Arial"/>
          <w:sz w:val="24"/>
          <w:szCs w:val="24"/>
          <w:lang w:val="en-ZA"/>
        </w:rPr>
        <w:t xml:space="preserve">the matter </w:t>
      </w:r>
      <w:r w:rsidR="00E96F98">
        <w:rPr>
          <w:rFonts w:ascii="Arial" w:hAnsi="Arial" w:cs="Arial"/>
          <w:sz w:val="24"/>
          <w:szCs w:val="24"/>
          <w:lang w:val="en-ZA"/>
        </w:rPr>
        <w:t>to managing judge to give judgment on application for leave to appeal which was already argued</w:t>
      </w:r>
      <w:r w:rsidR="002E4195">
        <w:rPr>
          <w:rFonts w:ascii="Arial" w:hAnsi="Arial" w:cs="Arial"/>
          <w:sz w:val="24"/>
          <w:szCs w:val="24"/>
          <w:lang w:val="en-ZA"/>
        </w:rPr>
        <w:t xml:space="preserve">. </w:t>
      </w:r>
    </w:p>
    <w:p w14:paraId="311E6831" w14:textId="77777777" w:rsidR="00376124" w:rsidRDefault="00376124" w:rsidP="00AD3406">
      <w:pPr>
        <w:spacing w:after="0" w:line="360" w:lineRule="auto"/>
        <w:jc w:val="both"/>
        <w:rPr>
          <w:rFonts w:ascii="Arial" w:hAnsi="Arial" w:cs="Arial"/>
          <w:sz w:val="24"/>
          <w:szCs w:val="24"/>
          <w:lang w:val="en-ZA"/>
        </w:rPr>
      </w:pPr>
    </w:p>
    <w:p w14:paraId="5EA89641" w14:textId="77777777" w:rsidR="00AD3406" w:rsidRPr="00AD3406" w:rsidRDefault="00AD3406" w:rsidP="00AD3406">
      <w:pPr>
        <w:spacing w:after="0" w:line="240" w:lineRule="auto"/>
        <w:rPr>
          <w:rFonts w:ascii="Arial" w:hAnsi="Arial" w:cs="Arial"/>
          <w:sz w:val="24"/>
          <w:szCs w:val="24"/>
          <w:lang w:val="en-ZA"/>
        </w:rPr>
      </w:pPr>
      <w:r w:rsidRPr="00AD3406">
        <w:rPr>
          <w:rFonts w:ascii="Arial" w:hAnsi="Arial" w:cs="Arial"/>
          <w:sz w:val="24"/>
          <w:szCs w:val="24"/>
          <w:lang w:val="en-ZA"/>
        </w:rPr>
        <w:lastRenderedPageBreak/>
        <w:t>____________________________________________________________________</w:t>
      </w:r>
    </w:p>
    <w:p w14:paraId="0499214C" w14:textId="77777777" w:rsidR="00AD3406" w:rsidRPr="00AD3406" w:rsidRDefault="00AD3406" w:rsidP="00AD3406">
      <w:pPr>
        <w:spacing w:after="0" w:line="240" w:lineRule="auto"/>
        <w:rPr>
          <w:rFonts w:ascii="Arial" w:hAnsi="Arial" w:cs="Arial"/>
          <w:sz w:val="24"/>
          <w:szCs w:val="24"/>
          <w:lang w:val="en-ZA"/>
        </w:rPr>
      </w:pPr>
    </w:p>
    <w:p w14:paraId="019F0062" w14:textId="0B5C3F7E" w:rsidR="00AD3406" w:rsidRPr="00AD3406" w:rsidRDefault="007C61BA" w:rsidP="00C15FDC">
      <w:pPr>
        <w:spacing w:after="0" w:line="240" w:lineRule="auto"/>
        <w:ind w:left="2160" w:firstLine="720"/>
        <w:rPr>
          <w:rFonts w:ascii="Arial" w:hAnsi="Arial" w:cs="Arial"/>
          <w:b/>
          <w:sz w:val="24"/>
          <w:szCs w:val="24"/>
          <w:lang w:val="en-ZA"/>
        </w:rPr>
      </w:pPr>
      <w:r>
        <w:rPr>
          <w:rFonts w:ascii="Arial" w:hAnsi="Arial" w:cs="Arial"/>
          <w:b/>
          <w:sz w:val="24"/>
          <w:szCs w:val="24"/>
          <w:lang w:val="en-ZA"/>
        </w:rPr>
        <w:t xml:space="preserve">REVIEW </w:t>
      </w:r>
      <w:r w:rsidR="00AD3406" w:rsidRPr="00AD3406">
        <w:rPr>
          <w:rFonts w:ascii="Arial" w:hAnsi="Arial" w:cs="Arial"/>
          <w:b/>
          <w:sz w:val="24"/>
          <w:szCs w:val="24"/>
          <w:lang w:val="en-ZA"/>
        </w:rPr>
        <w:t>JUDGMENT</w:t>
      </w:r>
    </w:p>
    <w:p w14:paraId="4BDE63AD" w14:textId="77777777" w:rsidR="00AD3406" w:rsidRPr="00AD3406" w:rsidRDefault="00AD3406" w:rsidP="00AD3406">
      <w:pPr>
        <w:spacing w:after="0" w:line="240" w:lineRule="auto"/>
        <w:rPr>
          <w:rFonts w:ascii="Arial" w:hAnsi="Arial" w:cs="Arial"/>
          <w:sz w:val="24"/>
          <w:szCs w:val="24"/>
          <w:lang w:val="en-ZA"/>
        </w:rPr>
      </w:pPr>
      <w:r w:rsidRPr="00AD3406">
        <w:rPr>
          <w:rFonts w:ascii="Arial" w:hAnsi="Arial" w:cs="Arial"/>
          <w:sz w:val="24"/>
          <w:szCs w:val="24"/>
          <w:lang w:val="en-ZA"/>
        </w:rPr>
        <w:t>____________________________________________________________________</w:t>
      </w:r>
    </w:p>
    <w:p w14:paraId="2DA2C6E8" w14:textId="77777777" w:rsidR="00AD3406" w:rsidRPr="00AD3406" w:rsidRDefault="00AD3406" w:rsidP="00AD3406">
      <w:pPr>
        <w:spacing w:after="0" w:line="240" w:lineRule="auto"/>
        <w:rPr>
          <w:rFonts w:ascii="Arial" w:hAnsi="Arial" w:cs="Arial"/>
          <w:sz w:val="24"/>
          <w:szCs w:val="24"/>
          <w:lang w:val="en-ZA"/>
        </w:rPr>
      </w:pPr>
    </w:p>
    <w:p w14:paraId="58B5762A" w14:textId="77777777" w:rsidR="00AD3406" w:rsidRPr="00AD3406" w:rsidRDefault="00AD3406" w:rsidP="00AD3406">
      <w:pPr>
        <w:spacing w:after="0" w:line="480" w:lineRule="auto"/>
        <w:jc w:val="both"/>
        <w:rPr>
          <w:rFonts w:ascii="Arial" w:hAnsi="Arial" w:cs="Arial"/>
          <w:sz w:val="24"/>
          <w:szCs w:val="24"/>
          <w:lang w:val="en-ZA"/>
        </w:rPr>
      </w:pPr>
      <w:r w:rsidRPr="00AD3406">
        <w:rPr>
          <w:rFonts w:ascii="Arial" w:hAnsi="Arial" w:cs="Arial"/>
          <w:sz w:val="24"/>
          <w:szCs w:val="24"/>
          <w:lang w:val="en-ZA"/>
        </w:rPr>
        <w:t>DAMASEB DCJ (</w:t>
      </w:r>
      <w:r w:rsidR="00A65F16" w:rsidRPr="00A65F16">
        <w:rPr>
          <w:rFonts w:ascii="Arial" w:hAnsi="Arial" w:cs="Arial"/>
          <w:sz w:val="24"/>
          <w:szCs w:val="24"/>
          <w:lang w:val="en-ZA"/>
        </w:rPr>
        <w:t xml:space="preserve">HOFF JA </w:t>
      </w:r>
      <w:r w:rsidR="00A65F16">
        <w:rPr>
          <w:rFonts w:ascii="Arial" w:hAnsi="Arial" w:cs="Arial"/>
          <w:sz w:val="24"/>
          <w:szCs w:val="24"/>
          <w:lang w:val="en-ZA"/>
        </w:rPr>
        <w:t xml:space="preserve">and </w:t>
      </w:r>
      <w:r w:rsidRPr="00AD3406">
        <w:rPr>
          <w:rFonts w:ascii="Arial" w:hAnsi="Arial" w:cs="Arial"/>
          <w:sz w:val="24"/>
          <w:szCs w:val="24"/>
          <w:lang w:val="en-ZA"/>
        </w:rPr>
        <w:t>PRINSLOO AJA concurring):</w:t>
      </w:r>
    </w:p>
    <w:p w14:paraId="448318D3" w14:textId="77777777" w:rsidR="00CF6922" w:rsidRDefault="00CF6922" w:rsidP="00AD3406">
      <w:pPr>
        <w:spacing w:after="0" w:line="480" w:lineRule="auto"/>
        <w:jc w:val="both"/>
        <w:rPr>
          <w:rFonts w:ascii="Arial" w:hAnsi="Arial" w:cs="Arial"/>
          <w:sz w:val="24"/>
          <w:szCs w:val="24"/>
          <w:u w:val="single"/>
          <w:lang w:val="en-ZA"/>
        </w:rPr>
      </w:pPr>
    </w:p>
    <w:p w14:paraId="745C423F" w14:textId="77777777" w:rsidR="00AD3406" w:rsidRDefault="00AD3406" w:rsidP="00AD3406">
      <w:pPr>
        <w:spacing w:after="0" w:line="480" w:lineRule="auto"/>
        <w:jc w:val="both"/>
        <w:rPr>
          <w:rFonts w:ascii="Arial" w:hAnsi="Arial" w:cs="Arial"/>
          <w:sz w:val="24"/>
          <w:szCs w:val="24"/>
          <w:u w:val="single"/>
          <w:lang w:val="en-ZA"/>
        </w:rPr>
      </w:pPr>
      <w:r w:rsidRPr="00AD3406">
        <w:rPr>
          <w:rFonts w:ascii="Arial" w:hAnsi="Arial" w:cs="Arial"/>
          <w:sz w:val="24"/>
          <w:szCs w:val="24"/>
          <w:u w:val="single"/>
          <w:lang w:val="en-ZA"/>
        </w:rPr>
        <w:t>Introduction</w:t>
      </w:r>
    </w:p>
    <w:p w14:paraId="158BDC96" w14:textId="04F2B529" w:rsidR="00F023C9" w:rsidRPr="00A87E91" w:rsidRDefault="00A87E91" w:rsidP="00A87E91">
      <w:pPr>
        <w:spacing w:line="480" w:lineRule="auto"/>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003A6FA9" w:rsidRPr="00A87E91">
        <w:rPr>
          <w:rFonts w:ascii="Arial" w:hAnsi="Arial" w:cs="Arial"/>
          <w:sz w:val="24"/>
          <w:szCs w:val="24"/>
          <w:lang w:val="en-ZA"/>
        </w:rPr>
        <w:t xml:space="preserve">In contested proceedings in the </w:t>
      </w:r>
      <w:r w:rsidR="00A61FDD" w:rsidRPr="00A87E91">
        <w:rPr>
          <w:rFonts w:ascii="Arial" w:hAnsi="Arial" w:cs="Arial"/>
          <w:sz w:val="24"/>
          <w:szCs w:val="24"/>
          <w:lang w:val="en-ZA"/>
        </w:rPr>
        <w:t xml:space="preserve">High Court </w:t>
      </w:r>
      <w:r w:rsidR="003A6FA9" w:rsidRPr="00A87E91">
        <w:rPr>
          <w:rFonts w:ascii="Arial" w:hAnsi="Arial" w:cs="Arial"/>
          <w:sz w:val="24"/>
          <w:szCs w:val="24"/>
          <w:lang w:val="en-ZA"/>
        </w:rPr>
        <w:t>(</w:t>
      </w:r>
      <w:r w:rsidR="00F157F4" w:rsidRPr="00A87E91">
        <w:rPr>
          <w:rFonts w:ascii="Arial" w:hAnsi="Arial" w:cs="Arial"/>
          <w:i/>
          <w:sz w:val="24"/>
          <w:szCs w:val="24"/>
          <w:lang w:val="en-ZA"/>
        </w:rPr>
        <w:t>Tj</w:t>
      </w:r>
      <w:r w:rsidR="00C44BF8" w:rsidRPr="00A87E91">
        <w:rPr>
          <w:rFonts w:ascii="Arial" w:hAnsi="Arial" w:cs="Arial"/>
          <w:i/>
          <w:sz w:val="24"/>
          <w:szCs w:val="24"/>
          <w:lang w:val="en-ZA"/>
        </w:rPr>
        <w:t>i</w:t>
      </w:r>
      <w:r w:rsidR="00F157F4" w:rsidRPr="00A87E91">
        <w:rPr>
          <w:rFonts w:ascii="Arial" w:hAnsi="Arial" w:cs="Arial"/>
          <w:i/>
          <w:sz w:val="24"/>
          <w:szCs w:val="24"/>
          <w:lang w:val="en-ZA"/>
        </w:rPr>
        <w:t>pangandjara</w:t>
      </w:r>
      <w:r w:rsidR="003A6FA9" w:rsidRPr="00A87E91">
        <w:rPr>
          <w:rFonts w:ascii="Arial" w:hAnsi="Arial" w:cs="Arial"/>
          <w:i/>
          <w:sz w:val="24"/>
          <w:szCs w:val="24"/>
          <w:lang w:val="en-ZA"/>
        </w:rPr>
        <w:t xml:space="preserve"> v Namwater Corporation Ltd</w:t>
      </w:r>
      <w:r w:rsidR="00F023C9" w:rsidRPr="00A87E91">
        <w:rPr>
          <w:rFonts w:ascii="Arial" w:hAnsi="Arial" w:cs="Arial"/>
          <w:sz w:val="24"/>
          <w:szCs w:val="24"/>
          <w:lang w:val="en-ZA"/>
        </w:rPr>
        <w:t xml:space="preserve"> (HC-MD-CIV-ACT-CON-2021/04068)</w:t>
      </w:r>
      <w:r w:rsidR="00C5649B" w:rsidRPr="00A87E91">
        <w:rPr>
          <w:rFonts w:ascii="Arial" w:hAnsi="Arial" w:cs="Arial"/>
          <w:sz w:val="24"/>
          <w:szCs w:val="24"/>
          <w:lang w:val="en-ZA"/>
        </w:rPr>
        <w:t>)</w:t>
      </w:r>
      <w:r w:rsidR="00F023C9" w:rsidRPr="00A87E91">
        <w:rPr>
          <w:rFonts w:ascii="Arial" w:hAnsi="Arial" w:cs="Arial"/>
          <w:sz w:val="24"/>
          <w:szCs w:val="24"/>
          <w:lang w:val="en-ZA"/>
        </w:rPr>
        <w:t xml:space="preserve"> </w:t>
      </w:r>
      <w:r w:rsidR="003A6FA9" w:rsidRPr="00A87E91">
        <w:rPr>
          <w:rFonts w:ascii="Arial" w:hAnsi="Arial" w:cs="Arial"/>
          <w:sz w:val="24"/>
          <w:szCs w:val="24"/>
          <w:lang w:val="en-ZA"/>
        </w:rPr>
        <w:t>involving the applicant (Namwater) and the respondent</w:t>
      </w:r>
      <w:r w:rsidR="0062470F" w:rsidRPr="00A87E91">
        <w:rPr>
          <w:rFonts w:ascii="Arial" w:hAnsi="Arial" w:cs="Arial"/>
          <w:sz w:val="24"/>
          <w:szCs w:val="24"/>
          <w:lang w:val="en-ZA"/>
        </w:rPr>
        <w:t xml:space="preserve"> who</w:t>
      </w:r>
      <w:r w:rsidR="00BE54B4" w:rsidRPr="00A87E91">
        <w:rPr>
          <w:rFonts w:ascii="Arial" w:hAnsi="Arial" w:cs="Arial"/>
          <w:sz w:val="24"/>
          <w:szCs w:val="24"/>
          <w:lang w:val="en-ZA"/>
        </w:rPr>
        <w:t xml:space="preserve"> at the time </w:t>
      </w:r>
      <w:r w:rsidR="0062470F" w:rsidRPr="00A87E91">
        <w:rPr>
          <w:rFonts w:ascii="Arial" w:hAnsi="Arial" w:cs="Arial"/>
          <w:sz w:val="24"/>
          <w:szCs w:val="24"/>
          <w:lang w:val="en-ZA"/>
        </w:rPr>
        <w:t xml:space="preserve">was </w:t>
      </w:r>
      <w:r w:rsidR="00BE54B4" w:rsidRPr="00A87E91">
        <w:rPr>
          <w:rFonts w:ascii="Arial" w:hAnsi="Arial" w:cs="Arial"/>
          <w:sz w:val="24"/>
          <w:szCs w:val="24"/>
          <w:lang w:val="en-ZA"/>
        </w:rPr>
        <w:t>an employee of Na</w:t>
      </w:r>
      <w:r w:rsidR="003A6FA9" w:rsidRPr="00A87E91">
        <w:rPr>
          <w:rFonts w:ascii="Arial" w:hAnsi="Arial" w:cs="Arial"/>
          <w:sz w:val="24"/>
          <w:szCs w:val="24"/>
          <w:lang w:val="en-ZA"/>
        </w:rPr>
        <w:t xml:space="preserve">mwater (Mr </w:t>
      </w:r>
      <w:r w:rsidR="00F157F4" w:rsidRPr="00A87E91">
        <w:rPr>
          <w:rFonts w:ascii="Arial" w:hAnsi="Arial" w:cs="Arial"/>
          <w:sz w:val="24"/>
          <w:szCs w:val="24"/>
          <w:lang w:val="en-ZA"/>
        </w:rPr>
        <w:t>Tj</w:t>
      </w:r>
      <w:r w:rsidR="00C5649B" w:rsidRPr="00A87E91">
        <w:rPr>
          <w:rFonts w:ascii="Arial" w:hAnsi="Arial" w:cs="Arial"/>
          <w:sz w:val="24"/>
          <w:szCs w:val="24"/>
          <w:lang w:val="en-ZA"/>
        </w:rPr>
        <w:t>i</w:t>
      </w:r>
      <w:r w:rsidR="00F157F4" w:rsidRPr="00A87E91">
        <w:rPr>
          <w:rFonts w:ascii="Arial" w:hAnsi="Arial" w:cs="Arial"/>
          <w:sz w:val="24"/>
          <w:szCs w:val="24"/>
          <w:lang w:val="en-ZA"/>
        </w:rPr>
        <w:t>pangandjara</w:t>
      </w:r>
      <w:r w:rsidR="003A6FA9" w:rsidRPr="00A87E91">
        <w:rPr>
          <w:rFonts w:ascii="Arial" w:hAnsi="Arial" w:cs="Arial"/>
          <w:sz w:val="24"/>
          <w:szCs w:val="24"/>
          <w:lang w:val="en-ZA"/>
        </w:rPr>
        <w:t>)</w:t>
      </w:r>
      <w:r w:rsidR="00C5649B" w:rsidRPr="00A87E91">
        <w:rPr>
          <w:rFonts w:ascii="Arial" w:hAnsi="Arial" w:cs="Arial"/>
          <w:sz w:val="24"/>
          <w:szCs w:val="24"/>
          <w:lang w:val="en-ZA"/>
        </w:rPr>
        <w:t xml:space="preserve"> –</w:t>
      </w:r>
      <w:r w:rsidR="003A6FA9" w:rsidRPr="00A87E91">
        <w:rPr>
          <w:rFonts w:ascii="Arial" w:hAnsi="Arial" w:cs="Arial"/>
          <w:sz w:val="24"/>
          <w:szCs w:val="24"/>
          <w:lang w:val="en-ZA"/>
        </w:rPr>
        <w:t xml:space="preserve"> the High Court </w:t>
      </w:r>
      <w:r w:rsidR="00C44BF8" w:rsidRPr="00A87E91">
        <w:rPr>
          <w:rFonts w:ascii="Arial" w:hAnsi="Arial" w:cs="Arial"/>
          <w:sz w:val="24"/>
          <w:szCs w:val="24"/>
          <w:lang w:val="en-ZA"/>
        </w:rPr>
        <w:t xml:space="preserve">(hereafter the managing judge) </w:t>
      </w:r>
      <w:r w:rsidR="000442C8" w:rsidRPr="00A87E91">
        <w:rPr>
          <w:rFonts w:ascii="Arial" w:hAnsi="Arial" w:cs="Arial"/>
          <w:sz w:val="24"/>
          <w:szCs w:val="24"/>
          <w:lang w:val="en-ZA"/>
        </w:rPr>
        <w:t xml:space="preserve">on 27 January 2023 </w:t>
      </w:r>
      <w:r w:rsidR="00F023C9" w:rsidRPr="00A87E91">
        <w:rPr>
          <w:rFonts w:ascii="Arial" w:hAnsi="Arial" w:cs="Arial"/>
          <w:sz w:val="24"/>
          <w:szCs w:val="24"/>
          <w:lang w:val="en-ZA"/>
        </w:rPr>
        <w:t xml:space="preserve">dismissed </w:t>
      </w:r>
      <w:r w:rsidR="002779CE" w:rsidRPr="00A87E91">
        <w:rPr>
          <w:rFonts w:ascii="Arial" w:hAnsi="Arial" w:cs="Arial"/>
          <w:sz w:val="24"/>
          <w:szCs w:val="24"/>
          <w:lang w:val="en-ZA"/>
        </w:rPr>
        <w:t>Namwater’s</w:t>
      </w:r>
      <w:r w:rsidR="00F023C9" w:rsidRPr="00A87E91">
        <w:rPr>
          <w:rFonts w:ascii="Arial" w:hAnsi="Arial" w:cs="Arial"/>
          <w:sz w:val="24"/>
          <w:szCs w:val="24"/>
          <w:lang w:val="en-ZA"/>
        </w:rPr>
        <w:t xml:space="preserve"> special plea that it lacked jurisdiction. Dissatisfied with that order, Namwater brought an application in terms of Rule 115 of the High Court Rules for leave to appeal against the High Court’s assumption of jurisdiction. </w:t>
      </w:r>
    </w:p>
    <w:p w14:paraId="47982506" w14:textId="77777777" w:rsidR="00B84569" w:rsidRPr="007E60E6" w:rsidRDefault="00B84569" w:rsidP="00B84569">
      <w:pPr>
        <w:pStyle w:val="ListParagraph"/>
        <w:spacing w:line="480" w:lineRule="auto"/>
        <w:ind w:left="0"/>
        <w:jc w:val="both"/>
        <w:rPr>
          <w:rFonts w:ascii="Arial" w:hAnsi="Arial" w:cs="Arial"/>
          <w:sz w:val="24"/>
          <w:szCs w:val="24"/>
          <w:lang w:val="en-ZA"/>
        </w:rPr>
      </w:pPr>
    </w:p>
    <w:p w14:paraId="669350BF" w14:textId="7C7BCA9F" w:rsidR="00F023C9" w:rsidRPr="00A87E91" w:rsidRDefault="00A87E91" w:rsidP="00A87E91">
      <w:pPr>
        <w:spacing w:after="0" w:line="480" w:lineRule="auto"/>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r>
      <w:r w:rsidR="00C44BF8" w:rsidRPr="00A87E91">
        <w:rPr>
          <w:rFonts w:ascii="Arial" w:hAnsi="Arial" w:cs="Arial"/>
          <w:sz w:val="24"/>
          <w:szCs w:val="24"/>
          <w:lang w:val="en-ZA"/>
        </w:rPr>
        <w:t xml:space="preserve">On 6 April 2023 the managing judge </w:t>
      </w:r>
      <w:r w:rsidR="00F023C9" w:rsidRPr="00A87E91">
        <w:rPr>
          <w:rFonts w:ascii="Arial" w:hAnsi="Arial" w:cs="Arial"/>
          <w:sz w:val="24"/>
          <w:szCs w:val="24"/>
          <w:lang w:val="en-ZA"/>
        </w:rPr>
        <w:t>made the following order concerning Namwater’s application for leave to appeal:</w:t>
      </w:r>
    </w:p>
    <w:p w14:paraId="3C24E0FB" w14:textId="77777777" w:rsidR="005A0F6B" w:rsidRDefault="005A0F6B" w:rsidP="00560EED">
      <w:pPr>
        <w:pStyle w:val="ListParagraph"/>
        <w:spacing w:after="0" w:line="480" w:lineRule="auto"/>
        <w:ind w:left="0"/>
        <w:jc w:val="both"/>
        <w:rPr>
          <w:rFonts w:ascii="Arial" w:hAnsi="Arial" w:cs="Arial"/>
          <w:sz w:val="24"/>
          <w:szCs w:val="24"/>
          <w:lang w:val="en-ZA"/>
        </w:rPr>
      </w:pPr>
    </w:p>
    <w:p w14:paraId="71ED706D" w14:textId="2E89D1E0" w:rsidR="00DA4025" w:rsidRPr="007A6BD8" w:rsidRDefault="00F023C9" w:rsidP="00560EED">
      <w:pPr>
        <w:spacing w:after="0" w:line="480" w:lineRule="auto"/>
        <w:ind w:left="720"/>
        <w:jc w:val="both"/>
        <w:rPr>
          <w:rFonts w:ascii="Arial" w:hAnsi="Arial" w:cs="Arial"/>
          <w:lang w:val="en-ZA"/>
        </w:rPr>
      </w:pPr>
      <w:r w:rsidRPr="007A6BD8">
        <w:rPr>
          <w:rFonts w:ascii="Arial" w:hAnsi="Arial" w:cs="Arial"/>
          <w:lang w:val="en-ZA"/>
        </w:rPr>
        <w:t>‘</w:t>
      </w:r>
      <w:r w:rsidR="007A6BD8" w:rsidRPr="007A6BD8">
        <w:rPr>
          <w:rFonts w:ascii="Arial" w:hAnsi="Arial" w:cs="Arial"/>
          <w:lang w:val="en-ZA"/>
        </w:rPr>
        <w:t xml:space="preserve">1. The application for leave to appeal is struck from the role (sic) due to non-compliance with the rules relating </w:t>
      </w:r>
      <w:r w:rsidR="00BE54B4" w:rsidRPr="007A6BD8">
        <w:rPr>
          <w:rFonts w:ascii="Arial" w:hAnsi="Arial" w:cs="Arial"/>
          <w:lang w:val="en-ZA"/>
        </w:rPr>
        <w:t>to applications</w:t>
      </w:r>
      <w:r w:rsidR="007A6BD8" w:rsidRPr="007A6BD8">
        <w:rPr>
          <w:rFonts w:ascii="Arial" w:hAnsi="Arial" w:cs="Arial"/>
          <w:lang w:val="en-ZA"/>
        </w:rPr>
        <w:t>.</w:t>
      </w:r>
    </w:p>
    <w:p w14:paraId="55442124" w14:textId="7963E0A0" w:rsidR="007A6BD8" w:rsidRDefault="007A6BD8" w:rsidP="00560EED">
      <w:pPr>
        <w:spacing w:after="0" w:line="480" w:lineRule="auto"/>
        <w:ind w:firstLine="720"/>
        <w:jc w:val="both"/>
        <w:rPr>
          <w:rFonts w:ascii="Arial" w:hAnsi="Arial" w:cs="Arial"/>
          <w:lang w:val="en-ZA"/>
        </w:rPr>
      </w:pPr>
      <w:r w:rsidRPr="007A6BD8">
        <w:rPr>
          <w:rFonts w:ascii="Arial" w:hAnsi="Arial" w:cs="Arial"/>
          <w:lang w:val="en-ZA"/>
        </w:rPr>
        <w:t>2. Costs are awarded to the plaintiff.’</w:t>
      </w:r>
    </w:p>
    <w:p w14:paraId="267575E8" w14:textId="77777777" w:rsidR="00560EED" w:rsidRDefault="00560EED" w:rsidP="00560EED">
      <w:pPr>
        <w:spacing w:after="0" w:line="480" w:lineRule="auto"/>
        <w:jc w:val="both"/>
        <w:rPr>
          <w:rFonts w:ascii="Arial" w:hAnsi="Arial" w:cs="Arial"/>
          <w:sz w:val="24"/>
          <w:szCs w:val="24"/>
          <w:u w:val="single"/>
          <w:lang w:val="en-ZA"/>
        </w:rPr>
      </w:pPr>
    </w:p>
    <w:p w14:paraId="31B84FA0" w14:textId="6BE40B4D" w:rsidR="007A6BD8" w:rsidRPr="00D2211C" w:rsidRDefault="007A6BD8" w:rsidP="00560EED">
      <w:pPr>
        <w:spacing w:after="0" w:line="480" w:lineRule="auto"/>
        <w:jc w:val="both"/>
        <w:rPr>
          <w:rFonts w:ascii="Arial" w:hAnsi="Arial" w:cs="Arial"/>
          <w:sz w:val="24"/>
          <w:szCs w:val="24"/>
          <w:u w:val="single"/>
          <w:lang w:val="en-ZA"/>
        </w:rPr>
      </w:pPr>
      <w:r w:rsidRPr="00D2211C">
        <w:rPr>
          <w:rFonts w:ascii="Arial" w:hAnsi="Arial" w:cs="Arial"/>
          <w:sz w:val="24"/>
          <w:szCs w:val="24"/>
          <w:u w:val="single"/>
          <w:lang w:val="en-ZA"/>
        </w:rPr>
        <w:t>Context</w:t>
      </w:r>
    </w:p>
    <w:p w14:paraId="4667833B" w14:textId="05AED443" w:rsidR="0000340E" w:rsidRPr="00A87E91" w:rsidRDefault="00A87E91" w:rsidP="00A87E91">
      <w:pPr>
        <w:spacing w:after="0" w:line="480" w:lineRule="auto"/>
        <w:jc w:val="both"/>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r>
      <w:r w:rsidR="007A6BD8" w:rsidRPr="00A87E91">
        <w:rPr>
          <w:rFonts w:ascii="Arial" w:hAnsi="Arial" w:cs="Arial"/>
          <w:sz w:val="24"/>
          <w:szCs w:val="24"/>
          <w:lang w:val="en-ZA"/>
        </w:rPr>
        <w:t>When Namwater brought the application for leave to appeal</w:t>
      </w:r>
      <w:r w:rsidR="007300C4" w:rsidRPr="00A87E91">
        <w:rPr>
          <w:rFonts w:ascii="Arial" w:hAnsi="Arial" w:cs="Arial"/>
          <w:sz w:val="24"/>
          <w:szCs w:val="24"/>
          <w:lang w:val="en-ZA"/>
        </w:rPr>
        <w:t>,</w:t>
      </w:r>
      <w:r w:rsidR="007A6BD8" w:rsidRPr="00A87E91">
        <w:rPr>
          <w:rFonts w:ascii="Arial" w:hAnsi="Arial" w:cs="Arial"/>
          <w:sz w:val="24"/>
          <w:szCs w:val="24"/>
          <w:lang w:val="en-ZA"/>
        </w:rPr>
        <w:t xml:space="preserve"> it was opposed by Mr </w:t>
      </w:r>
      <w:r w:rsidR="00F157F4" w:rsidRPr="00A87E91">
        <w:rPr>
          <w:rFonts w:ascii="Arial" w:hAnsi="Arial" w:cs="Arial"/>
          <w:sz w:val="24"/>
          <w:szCs w:val="24"/>
          <w:lang w:val="en-ZA"/>
        </w:rPr>
        <w:t>Tj</w:t>
      </w:r>
      <w:r w:rsidR="00C44BF8" w:rsidRPr="00A87E91">
        <w:rPr>
          <w:rFonts w:ascii="Arial" w:hAnsi="Arial" w:cs="Arial"/>
          <w:sz w:val="24"/>
          <w:szCs w:val="24"/>
          <w:lang w:val="en-ZA"/>
        </w:rPr>
        <w:t>i</w:t>
      </w:r>
      <w:r w:rsidR="00F157F4" w:rsidRPr="00A87E91">
        <w:rPr>
          <w:rFonts w:ascii="Arial" w:hAnsi="Arial" w:cs="Arial"/>
          <w:sz w:val="24"/>
          <w:szCs w:val="24"/>
          <w:lang w:val="en-ZA"/>
        </w:rPr>
        <w:t>pangandjara</w:t>
      </w:r>
      <w:r w:rsidR="007A6BD8" w:rsidRPr="00A87E91">
        <w:rPr>
          <w:rFonts w:ascii="Arial" w:hAnsi="Arial" w:cs="Arial"/>
          <w:sz w:val="24"/>
          <w:szCs w:val="24"/>
          <w:lang w:val="en-ZA"/>
        </w:rPr>
        <w:t xml:space="preserve"> on procedural grounds and on the merits. Mr </w:t>
      </w:r>
      <w:r w:rsidR="00F157F4" w:rsidRPr="00A87E91">
        <w:rPr>
          <w:rFonts w:ascii="Arial" w:hAnsi="Arial" w:cs="Arial"/>
          <w:sz w:val="24"/>
          <w:szCs w:val="24"/>
          <w:lang w:val="en-ZA"/>
        </w:rPr>
        <w:t>Tj</w:t>
      </w:r>
      <w:r w:rsidR="00C44BF8" w:rsidRPr="00A87E91">
        <w:rPr>
          <w:rFonts w:ascii="Arial" w:hAnsi="Arial" w:cs="Arial"/>
          <w:sz w:val="24"/>
          <w:szCs w:val="24"/>
          <w:lang w:val="en-ZA"/>
        </w:rPr>
        <w:t>i</w:t>
      </w:r>
      <w:r w:rsidR="00F157F4" w:rsidRPr="00A87E91">
        <w:rPr>
          <w:rFonts w:ascii="Arial" w:hAnsi="Arial" w:cs="Arial"/>
          <w:sz w:val="24"/>
          <w:szCs w:val="24"/>
          <w:lang w:val="en-ZA"/>
        </w:rPr>
        <w:t>pangandjara</w:t>
      </w:r>
      <w:r w:rsidR="007A6BD8" w:rsidRPr="00A87E91">
        <w:rPr>
          <w:rFonts w:ascii="Arial" w:hAnsi="Arial" w:cs="Arial"/>
          <w:sz w:val="24"/>
          <w:szCs w:val="24"/>
          <w:lang w:val="en-ZA"/>
        </w:rPr>
        <w:t xml:space="preserve"> had </w:t>
      </w:r>
      <w:r w:rsidR="007A6BD8" w:rsidRPr="00A87E91">
        <w:rPr>
          <w:rFonts w:ascii="Arial" w:hAnsi="Arial" w:cs="Arial"/>
          <w:sz w:val="24"/>
          <w:szCs w:val="24"/>
          <w:lang w:val="en-ZA"/>
        </w:rPr>
        <w:lastRenderedPageBreak/>
        <w:t xml:space="preserve">asserted </w:t>
      </w:r>
      <w:r w:rsidR="007A6BD8" w:rsidRPr="00A87E91">
        <w:rPr>
          <w:rFonts w:ascii="Arial" w:hAnsi="Arial" w:cs="Arial"/>
          <w:i/>
          <w:sz w:val="24"/>
          <w:szCs w:val="24"/>
          <w:lang w:val="en-ZA"/>
        </w:rPr>
        <w:t>in limine</w:t>
      </w:r>
      <w:r w:rsidR="007A6BD8" w:rsidRPr="00A87E91">
        <w:rPr>
          <w:rFonts w:ascii="Arial" w:hAnsi="Arial" w:cs="Arial"/>
          <w:sz w:val="24"/>
          <w:szCs w:val="24"/>
          <w:lang w:val="en-ZA"/>
        </w:rPr>
        <w:t xml:space="preserve"> that the application for leave to appeal was defective because it was not brought on notice of motion supported by affidavit</w:t>
      </w:r>
      <w:r w:rsidR="00477C32" w:rsidRPr="00A87E91">
        <w:rPr>
          <w:rFonts w:ascii="Arial" w:hAnsi="Arial" w:cs="Arial"/>
          <w:sz w:val="24"/>
          <w:szCs w:val="24"/>
          <w:lang w:val="en-ZA"/>
        </w:rPr>
        <w:t xml:space="preserve"> in terms of Rule 65</w:t>
      </w:r>
      <w:r w:rsidR="007A6BD8" w:rsidRPr="00A87E91">
        <w:rPr>
          <w:rFonts w:ascii="Arial" w:hAnsi="Arial" w:cs="Arial"/>
          <w:sz w:val="24"/>
          <w:szCs w:val="24"/>
          <w:lang w:val="en-ZA"/>
        </w:rPr>
        <w:t xml:space="preserve">. </w:t>
      </w:r>
      <w:r w:rsidR="0043186E" w:rsidRPr="00A87E91">
        <w:rPr>
          <w:rFonts w:ascii="Arial" w:hAnsi="Arial" w:cs="Arial"/>
          <w:sz w:val="24"/>
          <w:szCs w:val="24"/>
          <w:lang w:val="en-ZA"/>
        </w:rPr>
        <w:t xml:space="preserve">It is apparent from the record of proceedings </w:t>
      </w:r>
      <w:r w:rsidR="00477C32" w:rsidRPr="00A87E91">
        <w:rPr>
          <w:rFonts w:ascii="Arial" w:hAnsi="Arial" w:cs="Arial"/>
          <w:sz w:val="24"/>
          <w:szCs w:val="24"/>
          <w:lang w:val="en-ZA"/>
        </w:rPr>
        <w:t xml:space="preserve">of 23 March 2023 </w:t>
      </w:r>
      <w:r w:rsidR="0043186E" w:rsidRPr="00A87E91">
        <w:rPr>
          <w:rFonts w:ascii="Arial" w:hAnsi="Arial" w:cs="Arial"/>
          <w:sz w:val="24"/>
          <w:szCs w:val="24"/>
          <w:lang w:val="en-ZA"/>
        </w:rPr>
        <w:t>before the managing judge that bef</w:t>
      </w:r>
      <w:r w:rsidR="00F157F4" w:rsidRPr="00A87E91">
        <w:rPr>
          <w:rFonts w:ascii="Arial" w:hAnsi="Arial" w:cs="Arial"/>
          <w:sz w:val="24"/>
          <w:szCs w:val="24"/>
          <w:lang w:val="en-ZA"/>
        </w:rPr>
        <w:t>ore the hearing Mr Tjipangandjara</w:t>
      </w:r>
      <w:r w:rsidR="0043186E" w:rsidRPr="00A87E91">
        <w:rPr>
          <w:rFonts w:ascii="Arial" w:hAnsi="Arial" w:cs="Arial"/>
          <w:sz w:val="24"/>
          <w:szCs w:val="24"/>
          <w:lang w:val="en-ZA"/>
        </w:rPr>
        <w:t xml:space="preserve">’s </w:t>
      </w:r>
      <w:r w:rsidR="00C44BF8" w:rsidRPr="00A87E91">
        <w:rPr>
          <w:rFonts w:ascii="Arial" w:hAnsi="Arial" w:cs="Arial"/>
          <w:sz w:val="24"/>
          <w:szCs w:val="24"/>
          <w:lang w:val="en-ZA"/>
        </w:rPr>
        <w:t>counsel</w:t>
      </w:r>
      <w:r w:rsidR="0043186E" w:rsidRPr="00A87E91">
        <w:rPr>
          <w:rFonts w:ascii="Arial" w:hAnsi="Arial" w:cs="Arial"/>
          <w:sz w:val="24"/>
          <w:szCs w:val="24"/>
          <w:lang w:val="en-ZA"/>
        </w:rPr>
        <w:t xml:space="preserve"> aba</w:t>
      </w:r>
      <w:r w:rsidR="002A2834" w:rsidRPr="00A87E91">
        <w:rPr>
          <w:rFonts w:ascii="Arial" w:hAnsi="Arial" w:cs="Arial"/>
          <w:sz w:val="24"/>
          <w:szCs w:val="24"/>
          <w:lang w:val="en-ZA"/>
        </w:rPr>
        <w:t xml:space="preserve">ndoned the </w:t>
      </w:r>
      <w:r w:rsidR="002A2834" w:rsidRPr="00A87E91">
        <w:rPr>
          <w:rFonts w:ascii="Arial" w:hAnsi="Arial" w:cs="Arial"/>
          <w:i/>
          <w:sz w:val="24"/>
          <w:szCs w:val="24"/>
          <w:lang w:val="en-ZA"/>
        </w:rPr>
        <w:t>in limine</w:t>
      </w:r>
      <w:r w:rsidR="002A2834" w:rsidRPr="00A87E91">
        <w:rPr>
          <w:rFonts w:ascii="Arial" w:hAnsi="Arial" w:cs="Arial"/>
          <w:sz w:val="24"/>
          <w:szCs w:val="24"/>
          <w:lang w:val="en-ZA"/>
        </w:rPr>
        <w:t xml:space="preserve"> objection.</w:t>
      </w:r>
    </w:p>
    <w:p w14:paraId="32640C93" w14:textId="77777777" w:rsidR="0055624D" w:rsidRPr="00AD2591" w:rsidRDefault="0055624D" w:rsidP="0055624D">
      <w:pPr>
        <w:pStyle w:val="ListParagraph"/>
        <w:spacing w:line="480" w:lineRule="auto"/>
        <w:ind w:left="0"/>
        <w:jc w:val="both"/>
        <w:rPr>
          <w:rFonts w:ascii="Arial" w:hAnsi="Arial" w:cs="Arial"/>
          <w:sz w:val="24"/>
          <w:szCs w:val="24"/>
          <w:lang w:val="en-ZA"/>
        </w:rPr>
      </w:pPr>
    </w:p>
    <w:p w14:paraId="07AD6485" w14:textId="7AEDE255" w:rsidR="007A6BD8" w:rsidRPr="00A87E91" w:rsidRDefault="00A87E91" w:rsidP="00A87E91">
      <w:pPr>
        <w:spacing w:line="480" w:lineRule="auto"/>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r>
      <w:r w:rsidR="0043186E" w:rsidRPr="00A87E91">
        <w:rPr>
          <w:rFonts w:ascii="Arial" w:hAnsi="Arial" w:cs="Arial"/>
          <w:sz w:val="24"/>
          <w:szCs w:val="24"/>
          <w:lang w:val="en-ZA"/>
        </w:rPr>
        <w:t xml:space="preserve">That indeed the </w:t>
      </w:r>
      <w:r w:rsidR="0043186E" w:rsidRPr="00A87E91">
        <w:rPr>
          <w:rFonts w:ascii="Arial" w:hAnsi="Arial" w:cs="Arial"/>
          <w:i/>
          <w:sz w:val="24"/>
          <w:szCs w:val="24"/>
          <w:lang w:val="en-ZA"/>
        </w:rPr>
        <w:t>in limine</w:t>
      </w:r>
      <w:r w:rsidR="0043186E" w:rsidRPr="00A87E91">
        <w:rPr>
          <w:rFonts w:ascii="Arial" w:hAnsi="Arial" w:cs="Arial"/>
          <w:sz w:val="24"/>
          <w:szCs w:val="24"/>
          <w:lang w:val="en-ZA"/>
        </w:rPr>
        <w:t xml:space="preserve"> objection was so abandoned was placed on record by Namwater’s counsel without any objection by Mr Tjipangan</w:t>
      </w:r>
      <w:r w:rsidR="00F157F4" w:rsidRPr="00A87E91">
        <w:rPr>
          <w:rFonts w:ascii="Arial" w:hAnsi="Arial" w:cs="Arial"/>
          <w:sz w:val="24"/>
          <w:szCs w:val="24"/>
          <w:lang w:val="en-ZA"/>
        </w:rPr>
        <w:t>d</w:t>
      </w:r>
      <w:r w:rsidR="0043186E" w:rsidRPr="00A87E91">
        <w:rPr>
          <w:rFonts w:ascii="Arial" w:hAnsi="Arial" w:cs="Arial"/>
          <w:sz w:val="24"/>
          <w:szCs w:val="24"/>
          <w:lang w:val="en-ZA"/>
        </w:rPr>
        <w:t xml:space="preserve">jara’s counsel. The reason the objection was abandoned </w:t>
      </w:r>
      <w:r w:rsidR="00EE21DE" w:rsidRPr="00A87E91">
        <w:rPr>
          <w:rFonts w:ascii="Arial" w:hAnsi="Arial" w:cs="Arial"/>
          <w:sz w:val="24"/>
          <w:szCs w:val="24"/>
          <w:lang w:val="en-ZA"/>
        </w:rPr>
        <w:t xml:space="preserve">became </w:t>
      </w:r>
      <w:r w:rsidR="0043186E" w:rsidRPr="00A87E91">
        <w:rPr>
          <w:rFonts w:ascii="Arial" w:hAnsi="Arial" w:cs="Arial"/>
          <w:sz w:val="24"/>
          <w:szCs w:val="24"/>
          <w:lang w:val="en-ZA"/>
        </w:rPr>
        <w:t>apparent when Namwater’s counsel informed the managing judge</w:t>
      </w:r>
      <w:r w:rsidR="002779CE" w:rsidRPr="00A87E91">
        <w:rPr>
          <w:rFonts w:ascii="Arial" w:hAnsi="Arial" w:cs="Arial"/>
          <w:sz w:val="24"/>
          <w:szCs w:val="24"/>
          <w:lang w:val="en-ZA"/>
        </w:rPr>
        <w:t>,</w:t>
      </w:r>
      <w:r w:rsidR="0043186E" w:rsidRPr="00A87E91">
        <w:rPr>
          <w:rFonts w:ascii="Arial" w:hAnsi="Arial" w:cs="Arial"/>
          <w:sz w:val="24"/>
          <w:szCs w:val="24"/>
          <w:lang w:val="en-ZA"/>
        </w:rPr>
        <w:t xml:space="preserve"> in the presence of Mr </w:t>
      </w:r>
      <w:r w:rsidR="00651D8C" w:rsidRPr="00A87E91">
        <w:rPr>
          <w:rFonts w:ascii="Arial" w:hAnsi="Arial" w:cs="Arial"/>
          <w:sz w:val="24"/>
          <w:szCs w:val="24"/>
          <w:lang w:val="en-ZA"/>
        </w:rPr>
        <w:t>Tjipangandjara’s</w:t>
      </w:r>
      <w:r w:rsidR="00D277B2" w:rsidRPr="00A87E91">
        <w:rPr>
          <w:rFonts w:ascii="Arial" w:hAnsi="Arial" w:cs="Arial"/>
          <w:sz w:val="24"/>
          <w:szCs w:val="24"/>
          <w:lang w:val="en-ZA"/>
        </w:rPr>
        <w:t xml:space="preserve"> counsel</w:t>
      </w:r>
      <w:r w:rsidR="002779CE" w:rsidRPr="00A87E91">
        <w:rPr>
          <w:rFonts w:ascii="Arial" w:hAnsi="Arial" w:cs="Arial"/>
          <w:sz w:val="24"/>
          <w:szCs w:val="24"/>
          <w:lang w:val="en-ZA"/>
        </w:rPr>
        <w:t>,</w:t>
      </w:r>
      <w:r w:rsidR="00D277B2" w:rsidRPr="00A87E91">
        <w:rPr>
          <w:rFonts w:ascii="Arial" w:hAnsi="Arial" w:cs="Arial"/>
          <w:sz w:val="24"/>
          <w:szCs w:val="24"/>
          <w:lang w:val="en-ZA"/>
        </w:rPr>
        <w:t xml:space="preserve"> that the</w:t>
      </w:r>
      <w:r w:rsidR="0043186E" w:rsidRPr="00A87E91">
        <w:rPr>
          <w:rFonts w:ascii="Arial" w:hAnsi="Arial" w:cs="Arial"/>
          <w:sz w:val="24"/>
          <w:szCs w:val="24"/>
          <w:lang w:val="en-ZA"/>
        </w:rPr>
        <w:t xml:space="preserve"> </w:t>
      </w:r>
      <w:r w:rsidR="0043186E" w:rsidRPr="00A87E91">
        <w:rPr>
          <w:rFonts w:ascii="Arial" w:hAnsi="Arial" w:cs="Arial"/>
          <w:i/>
          <w:sz w:val="24"/>
          <w:szCs w:val="24"/>
          <w:lang w:val="en-ZA"/>
        </w:rPr>
        <w:t>in limine</w:t>
      </w:r>
      <w:r w:rsidR="0043186E" w:rsidRPr="00A87E91">
        <w:rPr>
          <w:rFonts w:ascii="Arial" w:hAnsi="Arial" w:cs="Arial"/>
          <w:sz w:val="24"/>
          <w:szCs w:val="24"/>
          <w:lang w:val="en-ZA"/>
        </w:rPr>
        <w:t xml:space="preserve"> objection had no merit because the co</w:t>
      </w:r>
      <w:r w:rsidR="0000340E" w:rsidRPr="00A87E91">
        <w:rPr>
          <w:rFonts w:ascii="Arial" w:hAnsi="Arial" w:cs="Arial"/>
          <w:sz w:val="24"/>
          <w:szCs w:val="24"/>
          <w:lang w:val="en-ZA"/>
        </w:rPr>
        <w:t>ntrary</w:t>
      </w:r>
      <w:r w:rsidR="0043186E" w:rsidRPr="00A87E91">
        <w:rPr>
          <w:rFonts w:ascii="Arial" w:hAnsi="Arial" w:cs="Arial"/>
          <w:sz w:val="24"/>
          <w:szCs w:val="24"/>
          <w:lang w:val="en-ZA"/>
        </w:rPr>
        <w:t xml:space="preserve"> was in fact decided </w:t>
      </w:r>
      <w:r w:rsidR="00B76E8B" w:rsidRPr="00A87E91">
        <w:rPr>
          <w:rFonts w:ascii="Arial" w:hAnsi="Arial" w:cs="Arial"/>
          <w:sz w:val="24"/>
          <w:szCs w:val="24"/>
          <w:lang w:val="en-ZA"/>
        </w:rPr>
        <w:t xml:space="preserve">on Rule 115 </w:t>
      </w:r>
      <w:r w:rsidR="0043186E" w:rsidRPr="00A87E91">
        <w:rPr>
          <w:rFonts w:ascii="Arial" w:hAnsi="Arial" w:cs="Arial"/>
          <w:sz w:val="24"/>
          <w:szCs w:val="24"/>
          <w:lang w:val="en-ZA"/>
        </w:rPr>
        <w:t xml:space="preserve">by the managing judge in the matter of </w:t>
      </w:r>
      <w:r w:rsidR="00B76E8B" w:rsidRPr="00A87E91">
        <w:rPr>
          <w:rFonts w:ascii="Arial" w:hAnsi="Arial" w:cs="Arial"/>
          <w:i/>
          <w:sz w:val="24"/>
          <w:szCs w:val="24"/>
          <w:lang w:val="en-ZA"/>
        </w:rPr>
        <w:t>Elias v Bank of Namibia</w:t>
      </w:r>
      <w:r w:rsidR="00EE21DE" w:rsidRPr="00A87E91">
        <w:rPr>
          <w:rFonts w:ascii="Arial" w:hAnsi="Arial" w:cs="Arial"/>
          <w:sz w:val="24"/>
          <w:szCs w:val="24"/>
          <w:lang w:val="en-ZA"/>
        </w:rPr>
        <w:t xml:space="preserve"> (HC-MD-LAB-APP-AAA-2020/00043) [2020]</w:t>
      </w:r>
      <w:r w:rsidR="00BD0337" w:rsidRPr="00A87E91">
        <w:rPr>
          <w:rFonts w:ascii="Arial" w:hAnsi="Arial" w:cs="Arial"/>
          <w:sz w:val="24"/>
          <w:szCs w:val="24"/>
          <w:lang w:val="en-ZA"/>
        </w:rPr>
        <w:t xml:space="preserve"> </w:t>
      </w:r>
      <w:r w:rsidR="00EE21DE" w:rsidRPr="00A87E91">
        <w:rPr>
          <w:rFonts w:ascii="Arial" w:hAnsi="Arial" w:cs="Arial"/>
          <w:sz w:val="24"/>
          <w:szCs w:val="24"/>
          <w:lang w:val="en-ZA"/>
        </w:rPr>
        <w:t>NALCMD 30 (16 October 2020)</w:t>
      </w:r>
      <w:r w:rsidR="00477C32" w:rsidRPr="00A87E91">
        <w:rPr>
          <w:rFonts w:ascii="Arial" w:hAnsi="Arial" w:cs="Arial"/>
          <w:sz w:val="24"/>
          <w:szCs w:val="24"/>
          <w:lang w:val="en-ZA"/>
        </w:rPr>
        <w:t xml:space="preserve"> (hereafter </w:t>
      </w:r>
      <w:r w:rsidR="00477C32" w:rsidRPr="00A87E91">
        <w:rPr>
          <w:rFonts w:ascii="Arial" w:hAnsi="Arial" w:cs="Arial"/>
          <w:i/>
          <w:sz w:val="24"/>
          <w:szCs w:val="24"/>
          <w:lang w:val="en-ZA"/>
        </w:rPr>
        <w:t>Elias</w:t>
      </w:r>
      <w:r w:rsidR="00477C32" w:rsidRPr="00A87E91">
        <w:rPr>
          <w:rFonts w:ascii="Arial" w:hAnsi="Arial" w:cs="Arial"/>
          <w:sz w:val="24"/>
          <w:szCs w:val="24"/>
          <w:lang w:val="en-ZA"/>
        </w:rPr>
        <w:t>)</w:t>
      </w:r>
      <w:r w:rsidR="00EE21DE" w:rsidRPr="00A87E91">
        <w:rPr>
          <w:rFonts w:ascii="Arial" w:hAnsi="Arial" w:cs="Arial"/>
          <w:sz w:val="24"/>
          <w:szCs w:val="24"/>
          <w:lang w:val="en-ZA"/>
        </w:rPr>
        <w:t>.</w:t>
      </w:r>
    </w:p>
    <w:p w14:paraId="563295C9" w14:textId="77777777" w:rsidR="006E79A7" w:rsidRPr="00AD2591" w:rsidRDefault="006E79A7" w:rsidP="006E79A7">
      <w:pPr>
        <w:pStyle w:val="ListParagraph"/>
        <w:spacing w:line="480" w:lineRule="auto"/>
        <w:ind w:left="0"/>
        <w:jc w:val="both"/>
        <w:rPr>
          <w:rFonts w:ascii="Arial" w:hAnsi="Arial" w:cs="Arial"/>
          <w:sz w:val="24"/>
          <w:szCs w:val="24"/>
          <w:lang w:val="en-ZA"/>
        </w:rPr>
      </w:pPr>
    </w:p>
    <w:p w14:paraId="36E967F1" w14:textId="42356691" w:rsidR="00906986" w:rsidRPr="00A87E91" w:rsidRDefault="00A87E91" w:rsidP="00A87E91">
      <w:pPr>
        <w:spacing w:after="0" w:line="480" w:lineRule="auto"/>
        <w:jc w:val="both"/>
        <w:rPr>
          <w:rFonts w:ascii="Arial" w:hAnsi="Arial" w:cs="Arial"/>
          <w:sz w:val="24"/>
          <w:szCs w:val="24"/>
          <w:lang w:val="en-ZA"/>
        </w:rPr>
      </w:pPr>
      <w:r>
        <w:rPr>
          <w:rFonts w:ascii="Arial" w:hAnsi="Arial" w:cs="Arial"/>
          <w:sz w:val="24"/>
          <w:szCs w:val="24"/>
          <w:lang w:val="en-ZA"/>
        </w:rPr>
        <w:t>[5]</w:t>
      </w:r>
      <w:r>
        <w:rPr>
          <w:rFonts w:ascii="Arial" w:hAnsi="Arial" w:cs="Arial"/>
          <w:sz w:val="24"/>
          <w:szCs w:val="24"/>
          <w:lang w:val="en-ZA"/>
        </w:rPr>
        <w:tab/>
      </w:r>
      <w:r w:rsidR="0000340E" w:rsidRPr="00A87E91">
        <w:rPr>
          <w:rFonts w:ascii="Arial" w:hAnsi="Arial" w:cs="Arial"/>
          <w:sz w:val="24"/>
          <w:szCs w:val="24"/>
          <w:lang w:val="en-ZA"/>
        </w:rPr>
        <w:t xml:space="preserve">Counsel for the parties then proceeded to argue the merits of the application for leave to appeal. It is apparent from the record that no </w:t>
      </w:r>
      <w:r w:rsidR="005633A8" w:rsidRPr="00A87E91">
        <w:rPr>
          <w:rFonts w:ascii="Arial" w:hAnsi="Arial" w:cs="Arial"/>
          <w:sz w:val="24"/>
          <w:szCs w:val="24"/>
          <w:lang w:val="en-ZA"/>
        </w:rPr>
        <w:t xml:space="preserve">legal argument took place before the managing judge as regards the </w:t>
      </w:r>
      <w:r w:rsidR="005633A8" w:rsidRPr="00A87E91">
        <w:rPr>
          <w:rFonts w:ascii="Arial" w:hAnsi="Arial" w:cs="Arial"/>
          <w:i/>
          <w:sz w:val="24"/>
          <w:szCs w:val="24"/>
          <w:lang w:val="en-ZA"/>
        </w:rPr>
        <w:t xml:space="preserve">in limine </w:t>
      </w:r>
      <w:r w:rsidR="005633A8" w:rsidRPr="00A87E91">
        <w:rPr>
          <w:rFonts w:ascii="Arial" w:hAnsi="Arial" w:cs="Arial"/>
          <w:sz w:val="24"/>
          <w:szCs w:val="24"/>
          <w:lang w:val="en-ZA"/>
        </w:rPr>
        <w:t xml:space="preserve">objection raised but abandoned on behalf of Mr </w:t>
      </w:r>
      <w:r w:rsidR="00BE54B4" w:rsidRPr="00A87E91">
        <w:rPr>
          <w:rFonts w:ascii="Arial" w:hAnsi="Arial" w:cs="Arial"/>
          <w:sz w:val="24"/>
          <w:szCs w:val="24"/>
          <w:lang w:val="en-ZA"/>
        </w:rPr>
        <w:t>Tjpangandjara</w:t>
      </w:r>
      <w:r w:rsidR="005633A8" w:rsidRPr="00A87E91">
        <w:rPr>
          <w:rFonts w:ascii="Arial" w:hAnsi="Arial" w:cs="Arial"/>
          <w:sz w:val="24"/>
          <w:szCs w:val="24"/>
          <w:lang w:val="en-ZA"/>
        </w:rPr>
        <w:t>.</w:t>
      </w:r>
      <w:r w:rsidR="00E01DD0" w:rsidRPr="00A87E91">
        <w:rPr>
          <w:rFonts w:ascii="Arial" w:hAnsi="Arial" w:cs="Arial"/>
          <w:sz w:val="24"/>
          <w:szCs w:val="24"/>
          <w:lang w:val="en-ZA"/>
        </w:rPr>
        <w:t xml:space="preserve"> After argument</w:t>
      </w:r>
      <w:r w:rsidR="002779CE" w:rsidRPr="00A87E91">
        <w:rPr>
          <w:rFonts w:ascii="Arial" w:hAnsi="Arial" w:cs="Arial"/>
          <w:sz w:val="24"/>
          <w:szCs w:val="24"/>
          <w:lang w:val="en-ZA"/>
        </w:rPr>
        <w:t>,</w:t>
      </w:r>
      <w:r w:rsidR="00E01DD0" w:rsidRPr="00A87E91">
        <w:rPr>
          <w:rFonts w:ascii="Arial" w:hAnsi="Arial" w:cs="Arial"/>
          <w:sz w:val="24"/>
          <w:szCs w:val="24"/>
          <w:lang w:val="en-ZA"/>
        </w:rPr>
        <w:t xml:space="preserve"> the managing judge postpone</w:t>
      </w:r>
      <w:r w:rsidR="000B33D1" w:rsidRPr="00A87E91">
        <w:rPr>
          <w:rFonts w:ascii="Arial" w:hAnsi="Arial" w:cs="Arial"/>
          <w:sz w:val="24"/>
          <w:szCs w:val="24"/>
          <w:lang w:val="en-ZA"/>
        </w:rPr>
        <w:t>d</w:t>
      </w:r>
      <w:r w:rsidR="00E01DD0" w:rsidRPr="00A87E91">
        <w:rPr>
          <w:rFonts w:ascii="Arial" w:hAnsi="Arial" w:cs="Arial"/>
          <w:sz w:val="24"/>
          <w:szCs w:val="24"/>
          <w:lang w:val="en-ZA"/>
        </w:rPr>
        <w:t xml:space="preserve"> the matter to 6 April 2023 for her ruling. On that date the managing judge gave </w:t>
      </w:r>
      <w:r w:rsidR="00A82248" w:rsidRPr="00A87E91">
        <w:rPr>
          <w:rFonts w:ascii="Arial" w:hAnsi="Arial" w:cs="Arial"/>
          <w:sz w:val="24"/>
          <w:szCs w:val="24"/>
          <w:lang w:val="en-ZA"/>
        </w:rPr>
        <w:t xml:space="preserve">her reasoned </w:t>
      </w:r>
      <w:r w:rsidR="00E01DD0" w:rsidRPr="00A87E91">
        <w:rPr>
          <w:rFonts w:ascii="Arial" w:hAnsi="Arial" w:cs="Arial"/>
          <w:sz w:val="24"/>
          <w:szCs w:val="24"/>
          <w:lang w:val="en-ZA"/>
        </w:rPr>
        <w:t xml:space="preserve">ruling </w:t>
      </w:r>
      <w:r w:rsidR="00A82248" w:rsidRPr="00A87E91">
        <w:rPr>
          <w:rFonts w:ascii="Arial" w:hAnsi="Arial" w:cs="Arial"/>
          <w:sz w:val="24"/>
          <w:szCs w:val="24"/>
          <w:lang w:val="en-ZA"/>
        </w:rPr>
        <w:t xml:space="preserve">striking off the application for leave to appeal. </w:t>
      </w:r>
    </w:p>
    <w:p w14:paraId="4196D39D" w14:textId="77777777" w:rsidR="002B7A8B" w:rsidRPr="002B7A8B" w:rsidRDefault="002B7A8B" w:rsidP="0055285E">
      <w:pPr>
        <w:pStyle w:val="ListParagraph"/>
        <w:spacing w:after="0" w:line="480" w:lineRule="auto"/>
        <w:ind w:left="0"/>
        <w:jc w:val="both"/>
        <w:rPr>
          <w:rFonts w:ascii="Arial" w:hAnsi="Arial" w:cs="Arial"/>
          <w:sz w:val="24"/>
          <w:szCs w:val="24"/>
          <w:lang w:val="en-ZA"/>
        </w:rPr>
      </w:pPr>
    </w:p>
    <w:p w14:paraId="6E5B054D" w14:textId="34E7430D" w:rsidR="00E01DD0" w:rsidRPr="00AD2591" w:rsidRDefault="00E01DD0" w:rsidP="0055285E">
      <w:pPr>
        <w:spacing w:after="0" w:line="480" w:lineRule="auto"/>
        <w:jc w:val="both"/>
        <w:rPr>
          <w:rFonts w:ascii="Arial" w:hAnsi="Arial" w:cs="Arial"/>
          <w:sz w:val="24"/>
          <w:szCs w:val="24"/>
          <w:u w:val="single"/>
          <w:lang w:val="en-ZA"/>
        </w:rPr>
      </w:pPr>
      <w:r w:rsidRPr="00AD2591">
        <w:rPr>
          <w:rFonts w:ascii="Arial" w:hAnsi="Arial" w:cs="Arial"/>
          <w:sz w:val="24"/>
          <w:szCs w:val="24"/>
          <w:u w:val="single"/>
          <w:lang w:val="en-ZA"/>
        </w:rPr>
        <w:t>Request for review</w:t>
      </w:r>
    </w:p>
    <w:p w14:paraId="14A3FBBB" w14:textId="7AE144C3" w:rsidR="002779CE" w:rsidRPr="00A87E91" w:rsidRDefault="00A87E91" w:rsidP="00A87E91">
      <w:pPr>
        <w:spacing w:after="0" w:line="480" w:lineRule="auto"/>
        <w:jc w:val="both"/>
        <w:rPr>
          <w:rFonts w:ascii="Arial" w:hAnsi="Arial" w:cs="Arial"/>
          <w:sz w:val="24"/>
          <w:szCs w:val="24"/>
          <w:lang w:val="en-ZA"/>
        </w:rPr>
      </w:pPr>
      <w:r>
        <w:rPr>
          <w:rFonts w:ascii="Arial" w:hAnsi="Arial" w:cs="Arial"/>
          <w:sz w:val="24"/>
          <w:szCs w:val="24"/>
          <w:lang w:val="en-ZA"/>
        </w:rPr>
        <w:t>[6]</w:t>
      </w:r>
      <w:r>
        <w:rPr>
          <w:rFonts w:ascii="Arial" w:hAnsi="Arial" w:cs="Arial"/>
          <w:sz w:val="24"/>
          <w:szCs w:val="24"/>
          <w:lang w:val="en-ZA"/>
        </w:rPr>
        <w:tab/>
      </w:r>
      <w:r w:rsidR="00E01DD0" w:rsidRPr="00A87E91">
        <w:rPr>
          <w:rFonts w:ascii="Arial" w:hAnsi="Arial" w:cs="Arial"/>
          <w:sz w:val="24"/>
          <w:szCs w:val="24"/>
          <w:lang w:val="en-ZA"/>
        </w:rPr>
        <w:t>Aggrieved by the outcome, Namwater</w:t>
      </w:r>
      <w:r w:rsidR="00766F56" w:rsidRPr="00A87E91">
        <w:rPr>
          <w:rFonts w:ascii="Arial" w:hAnsi="Arial" w:cs="Arial"/>
          <w:sz w:val="24"/>
          <w:szCs w:val="24"/>
          <w:lang w:val="en-ZA"/>
        </w:rPr>
        <w:t>,</w:t>
      </w:r>
      <w:r w:rsidR="00E01DD0" w:rsidRPr="00A87E91">
        <w:rPr>
          <w:rFonts w:ascii="Arial" w:hAnsi="Arial" w:cs="Arial"/>
          <w:sz w:val="24"/>
          <w:szCs w:val="24"/>
          <w:lang w:val="en-ZA"/>
        </w:rPr>
        <w:t xml:space="preserve"> </w:t>
      </w:r>
      <w:r w:rsidR="00766F56" w:rsidRPr="00A87E91">
        <w:rPr>
          <w:rFonts w:ascii="Arial" w:hAnsi="Arial" w:cs="Arial"/>
          <w:sz w:val="24"/>
          <w:szCs w:val="24"/>
          <w:lang w:val="en-ZA"/>
        </w:rPr>
        <w:t xml:space="preserve">by notice to Mr </w:t>
      </w:r>
      <w:r w:rsidR="00BE54B4" w:rsidRPr="00A87E91">
        <w:rPr>
          <w:rFonts w:ascii="Arial" w:hAnsi="Arial" w:cs="Arial"/>
          <w:sz w:val="24"/>
          <w:szCs w:val="24"/>
          <w:lang w:val="en-ZA"/>
        </w:rPr>
        <w:t>Tj</w:t>
      </w:r>
      <w:r w:rsidR="00202EB3" w:rsidRPr="00A87E91">
        <w:rPr>
          <w:rFonts w:ascii="Arial" w:hAnsi="Arial" w:cs="Arial"/>
          <w:sz w:val="24"/>
          <w:szCs w:val="24"/>
          <w:lang w:val="en-ZA"/>
        </w:rPr>
        <w:t>i</w:t>
      </w:r>
      <w:r w:rsidR="00BE54B4" w:rsidRPr="00A87E91">
        <w:rPr>
          <w:rFonts w:ascii="Arial" w:hAnsi="Arial" w:cs="Arial"/>
          <w:sz w:val="24"/>
          <w:szCs w:val="24"/>
          <w:lang w:val="en-ZA"/>
        </w:rPr>
        <w:t>pangandjara</w:t>
      </w:r>
      <w:r w:rsidR="00766F56" w:rsidRPr="00A87E91">
        <w:rPr>
          <w:rFonts w:ascii="Arial" w:hAnsi="Arial" w:cs="Arial"/>
          <w:sz w:val="24"/>
          <w:szCs w:val="24"/>
          <w:lang w:val="en-ZA"/>
        </w:rPr>
        <w:t xml:space="preserve">, </w:t>
      </w:r>
      <w:r w:rsidR="00E01DD0" w:rsidRPr="00A87E91">
        <w:rPr>
          <w:rFonts w:ascii="Arial" w:hAnsi="Arial" w:cs="Arial"/>
          <w:sz w:val="24"/>
          <w:szCs w:val="24"/>
          <w:lang w:val="en-ZA"/>
        </w:rPr>
        <w:t>petitioned the Chief Justice to invoke the Supreme Court’s review jurisdiction in terms of s 1</w:t>
      </w:r>
      <w:r w:rsidR="002779CE" w:rsidRPr="00A87E91">
        <w:rPr>
          <w:rFonts w:ascii="Arial" w:hAnsi="Arial" w:cs="Arial"/>
          <w:sz w:val="24"/>
          <w:szCs w:val="24"/>
          <w:lang w:val="en-ZA"/>
        </w:rPr>
        <w:t>6</w:t>
      </w:r>
      <w:r w:rsidR="00E01DD0" w:rsidRPr="00A87E91">
        <w:rPr>
          <w:rFonts w:ascii="Arial" w:hAnsi="Arial" w:cs="Arial"/>
          <w:sz w:val="24"/>
          <w:szCs w:val="24"/>
          <w:lang w:val="en-ZA"/>
        </w:rPr>
        <w:t xml:space="preserve"> of </w:t>
      </w:r>
      <w:r w:rsidR="00E01DD0" w:rsidRPr="00A87E91">
        <w:rPr>
          <w:rFonts w:ascii="Arial" w:hAnsi="Arial" w:cs="Arial"/>
          <w:sz w:val="24"/>
          <w:szCs w:val="24"/>
          <w:lang w:val="en-ZA"/>
        </w:rPr>
        <w:lastRenderedPageBreak/>
        <w:t>the Supreme Court Act 15 of 1990.</w:t>
      </w:r>
      <w:r w:rsidR="00EF65FF" w:rsidRPr="00A87E91">
        <w:rPr>
          <w:rFonts w:ascii="Arial" w:hAnsi="Arial" w:cs="Arial"/>
          <w:sz w:val="24"/>
          <w:szCs w:val="24"/>
          <w:lang w:val="en-ZA"/>
        </w:rPr>
        <w:t xml:space="preserve"> The reasons advanced are more fully set out below and need not be canvassed here. </w:t>
      </w:r>
    </w:p>
    <w:p w14:paraId="1274D50C" w14:textId="77777777" w:rsidR="002779CE" w:rsidRDefault="002779CE" w:rsidP="0055285E">
      <w:pPr>
        <w:pStyle w:val="ListParagraph"/>
        <w:spacing w:after="0" w:line="480" w:lineRule="auto"/>
        <w:ind w:left="0"/>
        <w:jc w:val="both"/>
        <w:rPr>
          <w:rFonts w:ascii="Arial" w:hAnsi="Arial" w:cs="Arial"/>
          <w:sz w:val="24"/>
          <w:szCs w:val="24"/>
          <w:lang w:val="en-ZA"/>
        </w:rPr>
      </w:pPr>
    </w:p>
    <w:p w14:paraId="1532835F" w14:textId="7FCA71A7" w:rsidR="002A2834" w:rsidRPr="00A87E91" w:rsidRDefault="00A87E91" w:rsidP="00A87E91">
      <w:pPr>
        <w:spacing w:after="0" w:line="480" w:lineRule="auto"/>
        <w:jc w:val="both"/>
        <w:rPr>
          <w:rFonts w:ascii="Arial" w:hAnsi="Arial" w:cs="Arial"/>
          <w:sz w:val="24"/>
          <w:szCs w:val="24"/>
          <w:u w:val="single"/>
          <w:lang w:val="en-ZA"/>
        </w:rPr>
      </w:pPr>
      <w:r w:rsidRPr="00C44BF8">
        <w:rPr>
          <w:rFonts w:ascii="Arial" w:hAnsi="Arial" w:cs="Arial"/>
          <w:sz w:val="24"/>
          <w:szCs w:val="24"/>
          <w:lang w:val="en-ZA"/>
        </w:rPr>
        <w:t>[7]</w:t>
      </w:r>
      <w:r w:rsidRPr="00C44BF8">
        <w:rPr>
          <w:rFonts w:ascii="Arial" w:hAnsi="Arial" w:cs="Arial"/>
          <w:sz w:val="24"/>
          <w:szCs w:val="24"/>
          <w:lang w:val="en-ZA"/>
        </w:rPr>
        <w:tab/>
      </w:r>
      <w:r w:rsidR="00E01DD0" w:rsidRPr="00A87E91">
        <w:rPr>
          <w:rFonts w:ascii="Arial" w:hAnsi="Arial" w:cs="Arial"/>
          <w:sz w:val="24"/>
          <w:szCs w:val="24"/>
          <w:lang w:val="en-ZA"/>
        </w:rPr>
        <w:t xml:space="preserve">On </w:t>
      </w:r>
      <w:r w:rsidR="00EF65FF" w:rsidRPr="00A87E91">
        <w:rPr>
          <w:rFonts w:ascii="Arial" w:hAnsi="Arial" w:cs="Arial"/>
          <w:sz w:val="24"/>
          <w:szCs w:val="24"/>
          <w:lang w:val="en-ZA"/>
        </w:rPr>
        <w:t>18 July 2023</w:t>
      </w:r>
      <w:r w:rsidR="00202EB3" w:rsidRPr="00A87E91">
        <w:rPr>
          <w:rFonts w:ascii="Arial" w:hAnsi="Arial" w:cs="Arial"/>
          <w:sz w:val="24"/>
          <w:szCs w:val="24"/>
          <w:lang w:val="en-ZA"/>
        </w:rPr>
        <w:t>,</w:t>
      </w:r>
      <w:r w:rsidR="00EF65FF" w:rsidRPr="00A87E91">
        <w:rPr>
          <w:rFonts w:ascii="Arial" w:hAnsi="Arial" w:cs="Arial"/>
          <w:sz w:val="24"/>
          <w:szCs w:val="24"/>
          <w:lang w:val="en-ZA"/>
        </w:rPr>
        <w:t xml:space="preserve"> the Supreme Court invoked its review jurisdiction and directed Namwater to bring a review application on notice of motion ‘by not later than 7 August 2023’ by notice to the managing judge and Mr </w:t>
      </w:r>
      <w:r w:rsidR="00BE54B4" w:rsidRPr="00A87E91">
        <w:rPr>
          <w:rFonts w:ascii="Arial" w:hAnsi="Arial" w:cs="Arial"/>
          <w:sz w:val="24"/>
          <w:szCs w:val="24"/>
          <w:lang w:val="en-ZA"/>
        </w:rPr>
        <w:t>Tj</w:t>
      </w:r>
      <w:r w:rsidR="00C44BF8" w:rsidRPr="00A87E91">
        <w:rPr>
          <w:rFonts w:ascii="Arial" w:hAnsi="Arial" w:cs="Arial"/>
          <w:sz w:val="24"/>
          <w:szCs w:val="24"/>
          <w:lang w:val="en-ZA"/>
        </w:rPr>
        <w:t>i</w:t>
      </w:r>
      <w:r w:rsidR="00BE54B4" w:rsidRPr="00A87E91">
        <w:rPr>
          <w:rFonts w:ascii="Arial" w:hAnsi="Arial" w:cs="Arial"/>
          <w:sz w:val="24"/>
          <w:szCs w:val="24"/>
          <w:lang w:val="en-ZA"/>
        </w:rPr>
        <w:t>pangandjara</w:t>
      </w:r>
      <w:r w:rsidR="002779CE" w:rsidRPr="00A87E91">
        <w:rPr>
          <w:rFonts w:ascii="Arial" w:hAnsi="Arial" w:cs="Arial"/>
          <w:sz w:val="24"/>
          <w:szCs w:val="24"/>
          <w:lang w:val="en-ZA"/>
        </w:rPr>
        <w:t>.</w:t>
      </w:r>
      <w:r w:rsidR="009D40C8" w:rsidRPr="00A87E91">
        <w:rPr>
          <w:rFonts w:ascii="Arial" w:hAnsi="Arial" w:cs="Arial"/>
          <w:sz w:val="24"/>
          <w:szCs w:val="24"/>
          <w:lang w:val="en-ZA"/>
        </w:rPr>
        <w:t xml:space="preserve"> </w:t>
      </w:r>
      <w:r w:rsidR="00550C14" w:rsidRPr="00A87E91">
        <w:rPr>
          <w:rFonts w:ascii="Arial" w:hAnsi="Arial" w:cs="Arial"/>
          <w:sz w:val="24"/>
          <w:szCs w:val="24"/>
          <w:lang w:val="en-ZA"/>
        </w:rPr>
        <w:t xml:space="preserve">The grounds upon which that was done are materially the same as those set out </w:t>
      </w:r>
      <w:r w:rsidR="00C44BF8" w:rsidRPr="00A87E91">
        <w:rPr>
          <w:rFonts w:ascii="Arial" w:hAnsi="Arial" w:cs="Arial"/>
          <w:sz w:val="24"/>
          <w:szCs w:val="24"/>
          <w:lang w:val="en-ZA"/>
        </w:rPr>
        <w:t xml:space="preserve">in the next section. </w:t>
      </w:r>
    </w:p>
    <w:p w14:paraId="0B92B4C3" w14:textId="77777777" w:rsidR="004316E9" w:rsidRDefault="004316E9" w:rsidP="0055285E">
      <w:pPr>
        <w:spacing w:after="0" w:line="480" w:lineRule="auto"/>
        <w:jc w:val="both"/>
        <w:rPr>
          <w:rFonts w:ascii="Arial" w:hAnsi="Arial" w:cs="Arial"/>
          <w:sz w:val="24"/>
          <w:szCs w:val="24"/>
          <w:u w:val="single"/>
          <w:lang w:val="en-ZA"/>
        </w:rPr>
      </w:pPr>
    </w:p>
    <w:p w14:paraId="2A5693D8" w14:textId="7F3926F0" w:rsidR="00E01DD0" w:rsidRPr="00AD2591" w:rsidRDefault="00873CEC" w:rsidP="0055285E">
      <w:pPr>
        <w:spacing w:after="0" w:line="480" w:lineRule="auto"/>
        <w:jc w:val="both"/>
        <w:rPr>
          <w:rFonts w:ascii="Arial" w:hAnsi="Arial" w:cs="Arial"/>
          <w:sz w:val="24"/>
          <w:szCs w:val="24"/>
          <w:u w:val="single"/>
          <w:lang w:val="en-ZA"/>
        </w:rPr>
      </w:pPr>
      <w:r w:rsidRPr="00AD2591">
        <w:rPr>
          <w:rFonts w:ascii="Arial" w:hAnsi="Arial" w:cs="Arial"/>
          <w:sz w:val="24"/>
          <w:szCs w:val="24"/>
          <w:u w:val="single"/>
          <w:lang w:val="en-ZA"/>
        </w:rPr>
        <w:t>The review application</w:t>
      </w:r>
    </w:p>
    <w:p w14:paraId="4E97AEE9" w14:textId="72F60E51" w:rsidR="00873CEC" w:rsidRPr="00A87E91" w:rsidRDefault="00A87E91" w:rsidP="00A87E91">
      <w:pPr>
        <w:spacing w:after="0" w:line="480" w:lineRule="auto"/>
        <w:jc w:val="both"/>
        <w:rPr>
          <w:rFonts w:ascii="Arial" w:hAnsi="Arial" w:cs="Arial"/>
          <w:sz w:val="24"/>
          <w:szCs w:val="24"/>
          <w:lang w:val="en-ZA"/>
        </w:rPr>
      </w:pPr>
      <w:r w:rsidRPr="00AD2591">
        <w:rPr>
          <w:rFonts w:ascii="Arial" w:hAnsi="Arial" w:cs="Arial"/>
          <w:sz w:val="24"/>
          <w:szCs w:val="24"/>
          <w:lang w:val="en-ZA"/>
        </w:rPr>
        <w:t>[8]</w:t>
      </w:r>
      <w:r w:rsidRPr="00AD2591">
        <w:rPr>
          <w:rFonts w:ascii="Arial" w:hAnsi="Arial" w:cs="Arial"/>
          <w:sz w:val="24"/>
          <w:szCs w:val="24"/>
          <w:lang w:val="en-ZA"/>
        </w:rPr>
        <w:tab/>
      </w:r>
      <w:r w:rsidR="00873CEC" w:rsidRPr="00A87E91">
        <w:rPr>
          <w:rFonts w:ascii="Arial" w:hAnsi="Arial" w:cs="Arial"/>
          <w:sz w:val="24"/>
          <w:szCs w:val="24"/>
          <w:lang w:val="en-ZA"/>
        </w:rPr>
        <w:t xml:space="preserve">Namwater’s review application was delivered on </w:t>
      </w:r>
      <w:r w:rsidR="00E24FAA" w:rsidRPr="00A87E91">
        <w:rPr>
          <w:rFonts w:ascii="Arial" w:hAnsi="Arial" w:cs="Arial"/>
          <w:sz w:val="24"/>
          <w:szCs w:val="24"/>
          <w:lang w:val="en-ZA"/>
        </w:rPr>
        <w:t>8</w:t>
      </w:r>
      <w:r w:rsidR="00B15C47" w:rsidRPr="00A87E91">
        <w:rPr>
          <w:rFonts w:ascii="Arial" w:hAnsi="Arial" w:cs="Arial"/>
          <w:sz w:val="24"/>
          <w:szCs w:val="24"/>
          <w:lang w:val="en-ZA"/>
        </w:rPr>
        <w:t xml:space="preserve"> August 2023</w:t>
      </w:r>
      <w:r w:rsidR="002779CE" w:rsidRPr="00A87E91">
        <w:rPr>
          <w:rFonts w:ascii="Arial" w:hAnsi="Arial" w:cs="Arial"/>
          <w:sz w:val="24"/>
          <w:szCs w:val="24"/>
          <w:lang w:val="en-ZA"/>
        </w:rPr>
        <w:t xml:space="preserve"> – one day late</w:t>
      </w:r>
      <w:r w:rsidR="00B15C47" w:rsidRPr="00A87E91">
        <w:rPr>
          <w:rFonts w:ascii="Arial" w:hAnsi="Arial" w:cs="Arial"/>
          <w:sz w:val="24"/>
          <w:szCs w:val="24"/>
          <w:lang w:val="en-ZA"/>
        </w:rPr>
        <w:t>. In a condonation application filed on behalf of Namwater by its legal practitioner of record</w:t>
      </w:r>
      <w:r w:rsidR="00550C14" w:rsidRPr="00A87E91">
        <w:rPr>
          <w:rFonts w:ascii="Arial" w:hAnsi="Arial" w:cs="Arial"/>
          <w:sz w:val="24"/>
          <w:szCs w:val="24"/>
          <w:lang w:val="en-ZA"/>
        </w:rPr>
        <w:t>,</w:t>
      </w:r>
      <w:r w:rsidR="00B15C47" w:rsidRPr="00A87E91">
        <w:rPr>
          <w:rFonts w:ascii="Arial" w:hAnsi="Arial" w:cs="Arial"/>
          <w:sz w:val="24"/>
          <w:szCs w:val="24"/>
          <w:lang w:val="en-ZA"/>
        </w:rPr>
        <w:t xml:space="preserve"> it is explained that the deadline of 7 August was missed because of reasons beyond the control of the practitioner who bore responsibility for the conduct of the matter. I have considered the explanation offered and am satisfied that it is </w:t>
      </w:r>
      <w:r w:rsidR="00B15C47" w:rsidRPr="00A87E91">
        <w:rPr>
          <w:rFonts w:ascii="Arial" w:hAnsi="Arial" w:cs="Arial"/>
          <w:i/>
          <w:sz w:val="24"/>
          <w:szCs w:val="24"/>
          <w:lang w:val="en-ZA"/>
        </w:rPr>
        <w:t>bona fide</w:t>
      </w:r>
      <w:r w:rsidR="00B15C47" w:rsidRPr="00A87E91">
        <w:rPr>
          <w:rFonts w:ascii="Arial" w:hAnsi="Arial" w:cs="Arial"/>
          <w:sz w:val="24"/>
          <w:szCs w:val="24"/>
          <w:lang w:val="en-ZA"/>
        </w:rPr>
        <w:t xml:space="preserve"> and that condonation should be granted for delivering the review later than 7 August 2023. </w:t>
      </w:r>
    </w:p>
    <w:p w14:paraId="2448FEA2" w14:textId="77777777" w:rsidR="00550C14" w:rsidRPr="00AD2591" w:rsidRDefault="00550C14" w:rsidP="0055285E">
      <w:pPr>
        <w:spacing w:after="0" w:line="480" w:lineRule="auto"/>
        <w:jc w:val="both"/>
        <w:rPr>
          <w:rFonts w:ascii="Arial" w:hAnsi="Arial" w:cs="Arial"/>
          <w:sz w:val="24"/>
          <w:szCs w:val="24"/>
          <w:lang w:val="en-ZA"/>
        </w:rPr>
      </w:pPr>
    </w:p>
    <w:p w14:paraId="1159B66C" w14:textId="077076A6" w:rsidR="000A0C73" w:rsidRPr="00A87E91" w:rsidRDefault="00A87E91" w:rsidP="00A87E91">
      <w:pPr>
        <w:spacing w:after="0" w:line="480" w:lineRule="auto"/>
        <w:jc w:val="both"/>
        <w:rPr>
          <w:rFonts w:ascii="Arial" w:hAnsi="Arial" w:cs="Arial"/>
          <w:sz w:val="24"/>
          <w:szCs w:val="24"/>
          <w:lang w:val="en-ZA"/>
        </w:rPr>
      </w:pPr>
      <w:r>
        <w:rPr>
          <w:rFonts w:ascii="Arial" w:hAnsi="Arial" w:cs="Arial"/>
          <w:sz w:val="24"/>
          <w:szCs w:val="24"/>
          <w:lang w:val="en-ZA"/>
        </w:rPr>
        <w:t>[9]</w:t>
      </w:r>
      <w:r>
        <w:rPr>
          <w:rFonts w:ascii="Arial" w:hAnsi="Arial" w:cs="Arial"/>
          <w:sz w:val="24"/>
          <w:szCs w:val="24"/>
          <w:lang w:val="en-ZA"/>
        </w:rPr>
        <w:tab/>
      </w:r>
      <w:r w:rsidR="00536C1D" w:rsidRPr="00A87E91">
        <w:rPr>
          <w:rFonts w:ascii="Arial" w:hAnsi="Arial" w:cs="Arial"/>
          <w:sz w:val="24"/>
          <w:szCs w:val="24"/>
          <w:lang w:val="en-ZA"/>
        </w:rPr>
        <w:t xml:space="preserve">In the affidavit in support of the notice of motion for review, it is alleged on behalf of Namwater that at the hearing of the application for leave to appeal, counsel then appearing for Namwater handed up to the managing judge a copy of her own decision in </w:t>
      </w:r>
      <w:r w:rsidR="00F775EA" w:rsidRPr="00A87E91">
        <w:rPr>
          <w:rFonts w:ascii="Arial" w:hAnsi="Arial" w:cs="Arial"/>
          <w:i/>
          <w:sz w:val="24"/>
          <w:szCs w:val="24"/>
          <w:lang w:val="en-ZA"/>
        </w:rPr>
        <w:t xml:space="preserve">Elias </w:t>
      </w:r>
      <w:r w:rsidR="00536C1D" w:rsidRPr="00A87E91">
        <w:rPr>
          <w:rFonts w:ascii="Arial" w:hAnsi="Arial" w:cs="Arial"/>
          <w:sz w:val="24"/>
          <w:szCs w:val="24"/>
          <w:lang w:val="en-ZA"/>
        </w:rPr>
        <w:t xml:space="preserve">and a copy of Geier J’s judgment in </w:t>
      </w:r>
      <w:r w:rsidR="00536C1D" w:rsidRPr="00A87E91">
        <w:rPr>
          <w:rFonts w:ascii="Arial" w:hAnsi="Arial" w:cs="Arial"/>
          <w:i/>
          <w:sz w:val="24"/>
          <w:szCs w:val="24"/>
          <w:lang w:val="en-ZA"/>
        </w:rPr>
        <w:t>Hollard</w:t>
      </w:r>
      <w:r w:rsidR="00223448">
        <w:rPr>
          <w:rStyle w:val="FootnoteReference"/>
          <w:rFonts w:ascii="Arial" w:hAnsi="Arial" w:cs="Arial"/>
          <w:sz w:val="24"/>
          <w:szCs w:val="24"/>
          <w:lang w:val="en-ZA"/>
        </w:rPr>
        <w:footnoteReference w:id="1"/>
      </w:r>
      <w:r w:rsidR="00536C1D" w:rsidRPr="00A87E91">
        <w:rPr>
          <w:rFonts w:ascii="Arial" w:hAnsi="Arial" w:cs="Arial"/>
          <w:sz w:val="24"/>
          <w:szCs w:val="24"/>
          <w:lang w:val="en-ZA"/>
        </w:rPr>
        <w:t xml:space="preserve"> – both judgments laying down that it is not a requirement for a Rule 115 application to be brought on notice of motion </w:t>
      </w:r>
      <w:r w:rsidR="00A82248" w:rsidRPr="00A87E91">
        <w:rPr>
          <w:rFonts w:ascii="Arial" w:hAnsi="Arial" w:cs="Arial"/>
          <w:sz w:val="24"/>
          <w:szCs w:val="24"/>
          <w:lang w:val="en-ZA"/>
        </w:rPr>
        <w:lastRenderedPageBreak/>
        <w:t xml:space="preserve">supported by affidavit </w:t>
      </w:r>
      <w:r w:rsidR="00536C1D" w:rsidRPr="00A87E91">
        <w:rPr>
          <w:rFonts w:ascii="Arial" w:hAnsi="Arial" w:cs="Arial"/>
          <w:sz w:val="24"/>
          <w:szCs w:val="24"/>
          <w:lang w:val="en-ZA"/>
        </w:rPr>
        <w:t>‘because the evidence and the issues of law upon which applications for leave to appeal are premised are already before court’.</w:t>
      </w:r>
    </w:p>
    <w:p w14:paraId="3794A8CF" w14:textId="77777777" w:rsidR="000A0C73" w:rsidRDefault="000A0C73" w:rsidP="000A0C73">
      <w:pPr>
        <w:pStyle w:val="ListParagraph"/>
        <w:spacing w:line="480" w:lineRule="auto"/>
        <w:ind w:left="0"/>
        <w:jc w:val="both"/>
        <w:rPr>
          <w:rFonts w:ascii="Arial" w:hAnsi="Arial" w:cs="Arial"/>
          <w:sz w:val="24"/>
          <w:szCs w:val="24"/>
          <w:lang w:val="en-ZA"/>
        </w:rPr>
      </w:pPr>
    </w:p>
    <w:p w14:paraId="17691949" w14:textId="484FD8C7" w:rsidR="00501CD0" w:rsidRPr="00A87E91" w:rsidRDefault="00A87E91" w:rsidP="00A87E91">
      <w:pPr>
        <w:spacing w:line="480" w:lineRule="auto"/>
        <w:jc w:val="both"/>
        <w:rPr>
          <w:rFonts w:ascii="Arial" w:hAnsi="Arial" w:cs="Arial"/>
          <w:sz w:val="24"/>
          <w:szCs w:val="24"/>
          <w:lang w:val="en-ZA"/>
        </w:rPr>
      </w:pPr>
      <w:r>
        <w:rPr>
          <w:rFonts w:ascii="Arial" w:hAnsi="Arial" w:cs="Arial"/>
          <w:sz w:val="24"/>
          <w:szCs w:val="24"/>
          <w:lang w:val="en-ZA"/>
        </w:rPr>
        <w:t>[10]</w:t>
      </w:r>
      <w:r>
        <w:rPr>
          <w:rFonts w:ascii="Arial" w:hAnsi="Arial" w:cs="Arial"/>
          <w:sz w:val="24"/>
          <w:szCs w:val="24"/>
          <w:lang w:val="en-ZA"/>
        </w:rPr>
        <w:tab/>
      </w:r>
      <w:r w:rsidR="00BB7DB8" w:rsidRPr="00A87E91">
        <w:rPr>
          <w:rFonts w:ascii="Arial" w:hAnsi="Arial" w:cs="Arial"/>
          <w:sz w:val="24"/>
          <w:szCs w:val="24"/>
          <w:lang w:val="en-ZA"/>
        </w:rPr>
        <w:t>The deponent states that it is an irregularity for the managing judge</w:t>
      </w:r>
      <w:r w:rsidR="00D327F2" w:rsidRPr="00A87E91">
        <w:rPr>
          <w:rFonts w:ascii="Arial" w:hAnsi="Arial" w:cs="Arial"/>
          <w:sz w:val="24"/>
          <w:szCs w:val="24"/>
          <w:lang w:val="en-ZA"/>
        </w:rPr>
        <w:t xml:space="preserve"> to have considered herself not bound by [Mr Tjipangan</w:t>
      </w:r>
      <w:r w:rsidR="00610B34" w:rsidRPr="00A87E91">
        <w:rPr>
          <w:rFonts w:ascii="Arial" w:hAnsi="Arial" w:cs="Arial"/>
          <w:sz w:val="24"/>
          <w:szCs w:val="24"/>
          <w:lang w:val="en-ZA"/>
        </w:rPr>
        <w:t>d</w:t>
      </w:r>
      <w:r w:rsidR="00D327F2" w:rsidRPr="00A87E91">
        <w:rPr>
          <w:rFonts w:ascii="Arial" w:hAnsi="Arial" w:cs="Arial"/>
          <w:sz w:val="24"/>
          <w:szCs w:val="24"/>
          <w:lang w:val="en-ZA"/>
        </w:rPr>
        <w:t xml:space="preserve">jara’s] abandonment of the point </w:t>
      </w:r>
      <w:r w:rsidR="00D327F2" w:rsidRPr="00A87E91">
        <w:rPr>
          <w:rFonts w:ascii="Arial" w:hAnsi="Arial" w:cs="Arial"/>
          <w:i/>
          <w:sz w:val="24"/>
          <w:szCs w:val="24"/>
          <w:lang w:val="en-ZA"/>
        </w:rPr>
        <w:t>in limine</w:t>
      </w:r>
      <w:r w:rsidR="00D327F2" w:rsidRPr="00A87E91">
        <w:rPr>
          <w:rFonts w:ascii="Arial" w:hAnsi="Arial" w:cs="Arial"/>
          <w:sz w:val="24"/>
          <w:szCs w:val="24"/>
          <w:lang w:val="en-ZA"/>
        </w:rPr>
        <w:t>. The other irregularity, it is stated</w:t>
      </w:r>
      <w:r w:rsidR="002779CE" w:rsidRPr="00A87E91">
        <w:rPr>
          <w:rFonts w:ascii="Arial" w:hAnsi="Arial" w:cs="Arial"/>
          <w:sz w:val="24"/>
          <w:szCs w:val="24"/>
          <w:lang w:val="en-ZA"/>
        </w:rPr>
        <w:t>,</w:t>
      </w:r>
      <w:r w:rsidR="00D327F2" w:rsidRPr="00A87E91">
        <w:rPr>
          <w:rFonts w:ascii="Arial" w:hAnsi="Arial" w:cs="Arial"/>
          <w:sz w:val="24"/>
          <w:szCs w:val="24"/>
          <w:lang w:val="en-ZA"/>
        </w:rPr>
        <w:t xml:space="preserve"> is the managing judge’s failure in her written reasons to ‘explain her shift from her earlier reliance on’ Geier J’s judgment in </w:t>
      </w:r>
      <w:r w:rsidR="00D327F2" w:rsidRPr="00A87E91">
        <w:rPr>
          <w:rFonts w:ascii="Arial" w:hAnsi="Arial" w:cs="Arial"/>
          <w:i/>
          <w:sz w:val="24"/>
          <w:szCs w:val="24"/>
          <w:lang w:val="en-ZA"/>
        </w:rPr>
        <w:t>Hollard</w:t>
      </w:r>
      <w:r w:rsidR="00D327F2" w:rsidRPr="00A87E91">
        <w:rPr>
          <w:rFonts w:ascii="Arial" w:hAnsi="Arial" w:cs="Arial"/>
          <w:sz w:val="24"/>
          <w:szCs w:val="24"/>
          <w:lang w:val="en-ZA"/>
        </w:rPr>
        <w:t xml:space="preserve"> </w:t>
      </w:r>
      <w:r w:rsidR="000D719D" w:rsidRPr="00A87E91">
        <w:rPr>
          <w:rFonts w:ascii="Arial" w:hAnsi="Arial" w:cs="Arial"/>
          <w:sz w:val="24"/>
          <w:szCs w:val="24"/>
          <w:lang w:val="en-ZA"/>
        </w:rPr>
        <w:t>and</w:t>
      </w:r>
      <w:r w:rsidR="00FD6B3A" w:rsidRPr="00A87E91">
        <w:rPr>
          <w:rFonts w:ascii="Arial" w:hAnsi="Arial" w:cs="Arial"/>
          <w:sz w:val="24"/>
          <w:szCs w:val="24"/>
          <w:lang w:val="en-ZA"/>
        </w:rPr>
        <w:t xml:space="preserve">, contrary to </w:t>
      </w:r>
      <w:r w:rsidR="0025556E" w:rsidRPr="00A87E91">
        <w:rPr>
          <w:rFonts w:ascii="Arial" w:hAnsi="Arial" w:cs="Arial"/>
          <w:sz w:val="24"/>
          <w:szCs w:val="24"/>
          <w:lang w:val="en-ZA"/>
        </w:rPr>
        <w:t>Art.12(</w:t>
      </w:r>
      <w:r w:rsidR="00FD6B3A" w:rsidRPr="00A87E91">
        <w:rPr>
          <w:rFonts w:ascii="Arial" w:hAnsi="Arial" w:cs="Arial"/>
          <w:sz w:val="24"/>
          <w:szCs w:val="24"/>
          <w:lang w:val="en-ZA"/>
        </w:rPr>
        <w:t>1</w:t>
      </w:r>
      <w:r w:rsidR="00BE54B4" w:rsidRPr="00A87E91">
        <w:rPr>
          <w:rFonts w:ascii="Arial" w:hAnsi="Arial" w:cs="Arial"/>
          <w:sz w:val="24"/>
          <w:szCs w:val="24"/>
          <w:lang w:val="en-ZA"/>
        </w:rPr>
        <w:t>)(</w:t>
      </w:r>
      <w:r w:rsidR="00FD6B3A" w:rsidRPr="00A87E91">
        <w:rPr>
          <w:rFonts w:ascii="Arial" w:hAnsi="Arial" w:cs="Arial"/>
          <w:sz w:val="24"/>
          <w:szCs w:val="24"/>
          <w:lang w:val="en-ZA"/>
        </w:rPr>
        <w:t>a) fail</w:t>
      </w:r>
      <w:r w:rsidR="00A82248" w:rsidRPr="00A87E91">
        <w:rPr>
          <w:rFonts w:ascii="Arial" w:hAnsi="Arial" w:cs="Arial"/>
          <w:sz w:val="24"/>
          <w:szCs w:val="24"/>
          <w:lang w:val="en-ZA"/>
        </w:rPr>
        <w:t xml:space="preserve">ing </w:t>
      </w:r>
      <w:r w:rsidR="00FD6B3A" w:rsidRPr="00A87E91">
        <w:rPr>
          <w:rFonts w:ascii="Arial" w:hAnsi="Arial" w:cs="Arial"/>
          <w:sz w:val="24"/>
          <w:szCs w:val="24"/>
          <w:lang w:val="en-ZA"/>
        </w:rPr>
        <w:t>to afford Namwater the right to</w:t>
      </w:r>
      <w:r w:rsidR="000D719D" w:rsidRPr="00A87E91">
        <w:rPr>
          <w:rFonts w:ascii="Arial" w:hAnsi="Arial" w:cs="Arial"/>
          <w:sz w:val="24"/>
          <w:szCs w:val="24"/>
          <w:lang w:val="en-ZA"/>
        </w:rPr>
        <w:t xml:space="preserve"> a fair trial by affording it </w:t>
      </w:r>
      <w:r w:rsidR="00FD6B3A" w:rsidRPr="00A87E91">
        <w:rPr>
          <w:rFonts w:ascii="Arial" w:hAnsi="Arial" w:cs="Arial"/>
          <w:sz w:val="24"/>
          <w:szCs w:val="24"/>
          <w:lang w:val="en-ZA"/>
        </w:rPr>
        <w:t xml:space="preserve">an opportunity to address her on the issue on which she struck </w:t>
      </w:r>
      <w:r w:rsidR="001E7BBF" w:rsidRPr="00A87E91">
        <w:rPr>
          <w:rFonts w:ascii="Arial" w:hAnsi="Arial" w:cs="Arial"/>
          <w:sz w:val="24"/>
          <w:szCs w:val="24"/>
          <w:lang w:val="en-ZA"/>
        </w:rPr>
        <w:t xml:space="preserve">off </w:t>
      </w:r>
      <w:r w:rsidR="00597DDD" w:rsidRPr="00A87E91">
        <w:rPr>
          <w:rFonts w:ascii="Arial" w:hAnsi="Arial" w:cs="Arial"/>
          <w:sz w:val="24"/>
          <w:szCs w:val="24"/>
          <w:lang w:val="en-ZA"/>
        </w:rPr>
        <w:t xml:space="preserve">from the roll </w:t>
      </w:r>
      <w:r w:rsidR="00FD6B3A" w:rsidRPr="00A87E91">
        <w:rPr>
          <w:rFonts w:ascii="Arial" w:hAnsi="Arial" w:cs="Arial"/>
          <w:sz w:val="24"/>
          <w:szCs w:val="24"/>
          <w:lang w:val="en-ZA"/>
        </w:rPr>
        <w:t>the application for leave to appeal</w:t>
      </w:r>
      <w:r w:rsidR="00597DDD" w:rsidRPr="00A87E91">
        <w:rPr>
          <w:rFonts w:ascii="Arial" w:hAnsi="Arial" w:cs="Arial"/>
          <w:sz w:val="24"/>
          <w:szCs w:val="24"/>
          <w:lang w:val="en-ZA"/>
        </w:rPr>
        <w:t xml:space="preserve">. </w:t>
      </w:r>
    </w:p>
    <w:p w14:paraId="2AFF4475" w14:textId="35FBD10C" w:rsidR="00565E98" w:rsidRPr="000A0C73" w:rsidRDefault="00FD6B3A" w:rsidP="00501CD0">
      <w:pPr>
        <w:pStyle w:val="ListParagraph"/>
        <w:spacing w:line="480" w:lineRule="auto"/>
        <w:ind w:left="0"/>
        <w:jc w:val="both"/>
        <w:rPr>
          <w:rFonts w:ascii="Arial" w:hAnsi="Arial" w:cs="Arial"/>
          <w:sz w:val="24"/>
          <w:szCs w:val="24"/>
          <w:lang w:val="en-ZA"/>
        </w:rPr>
      </w:pPr>
      <w:r w:rsidRPr="000A0C73">
        <w:rPr>
          <w:rFonts w:ascii="Arial" w:hAnsi="Arial" w:cs="Arial"/>
          <w:sz w:val="24"/>
          <w:szCs w:val="24"/>
          <w:lang w:val="en-ZA"/>
        </w:rPr>
        <w:t xml:space="preserve"> </w:t>
      </w:r>
    </w:p>
    <w:p w14:paraId="7035EA72" w14:textId="45ADA953" w:rsidR="00A81E38" w:rsidRPr="00A87E91" w:rsidRDefault="00A87E91" w:rsidP="00A87E91">
      <w:pPr>
        <w:spacing w:line="480" w:lineRule="auto"/>
        <w:jc w:val="both"/>
        <w:rPr>
          <w:rFonts w:ascii="Arial" w:hAnsi="Arial" w:cs="Arial"/>
          <w:sz w:val="24"/>
          <w:szCs w:val="24"/>
          <w:lang w:val="en-ZA"/>
        </w:rPr>
      </w:pPr>
      <w:r>
        <w:rPr>
          <w:rFonts w:ascii="Arial" w:hAnsi="Arial" w:cs="Arial"/>
          <w:sz w:val="24"/>
          <w:szCs w:val="24"/>
          <w:lang w:val="en-ZA"/>
        </w:rPr>
        <w:t>[11]</w:t>
      </w:r>
      <w:r>
        <w:rPr>
          <w:rFonts w:ascii="Arial" w:hAnsi="Arial" w:cs="Arial"/>
          <w:sz w:val="24"/>
          <w:szCs w:val="24"/>
          <w:lang w:val="en-ZA"/>
        </w:rPr>
        <w:tab/>
      </w:r>
      <w:r w:rsidR="00A81E38" w:rsidRPr="00A87E91">
        <w:rPr>
          <w:rFonts w:ascii="Arial" w:hAnsi="Arial" w:cs="Arial"/>
          <w:sz w:val="24"/>
          <w:szCs w:val="24"/>
          <w:lang w:val="en-ZA"/>
        </w:rPr>
        <w:t xml:space="preserve">According to Namwater, the irregularity has occasioned it prejudice </w:t>
      </w:r>
      <w:r w:rsidR="005830EC" w:rsidRPr="00A87E91">
        <w:rPr>
          <w:rFonts w:ascii="Arial" w:hAnsi="Arial" w:cs="Arial"/>
          <w:sz w:val="24"/>
          <w:szCs w:val="24"/>
          <w:lang w:val="en-ZA"/>
        </w:rPr>
        <w:t xml:space="preserve">and that the learned judge’s </w:t>
      </w:r>
      <w:r w:rsidR="00650AD4" w:rsidRPr="00A87E91">
        <w:rPr>
          <w:rFonts w:ascii="Arial" w:hAnsi="Arial" w:cs="Arial"/>
          <w:sz w:val="24"/>
          <w:szCs w:val="24"/>
          <w:lang w:val="en-ZA"/>
        </w:rPr>
        <w:t>decision has created confusion on the proper approach to Rule 115 which needs to be</w:t>
      </w:r>
      <w:r w:rsidR="009E5DC4" w:rsidRPr="00A87E91">
        <w:rPr>
          <w:rFonts w:ascii="Arial" w:hAnsi="Arial" w:cs="Arial"/>
          <w:sz w:val="24"/>
          <w:szCs w:val="24"/>
          <w:lang w:val="en-ZA"/>
        </w:rPr>
        <w:t xml:space="preserve"> corrected by the Supreme Court. </w:t>
      </w:r>
      <w:r w:rsidR="002779CE" w:rsidRPr="00A87E91">
        <w:rPr>
          <w:rFonts w:ascii="Arial" w:hAnsi="Arial" w:cs="Arial"/>
          <w:sz w:val="24"/>
          <w:szCs w:val="24"/>
          <w:lang w:val="en-ZA"/>
        </w:rPr>
        <w:t xml:space="preserve">It is said that if </w:t>
      </w:r>
      <w:r w:rsidR="009E5DC4" w:rsidRPr="00A87E91">
        <w:rPr>
          <w:rFonts w:ascii="Arial" w:hAnsi="Arial" w:cs="Arial"/>
          <w:sz w:val="24"/>
          <w:szCs w:val="24"/>
          <w:lang w:val="en-ZA"/>
        </w:rPr>
        <w:t>Namwater accept</w:t>
      </w:r>
      <w:r w:rsidR="002779CE" w:rsidRPr="00A87E91">
        <w:rPr>
          <w:rFonts w:ascii="Arial" w:hAnsi="Arial" w:cs="Arial"/>
          <w:sz w:val="24"/>
          <w:szCs w:val="24"/>
          <w:lang w:val="en-ZA"/>
        </w:rPr>
        <w:t>s</w:t>
      </w:r>
      <w:r w:rsidR="009E5DC4" w:rsidRPr="00A87E91">
        <w:rPr>
          <w:rFonts w:ascii="Arial" w:hAnsi="Arial" w:cs="Arial"/>
          <w:sz w:val="24"/>
          <w:szCs w:val="24"/>
          <w:lang w:val="en-ZA"/>
        </w:rPr>
        <w:t xml:space="preserve"> the managing judge’s decision it will bear unnecessary additional costs by seeking leave to appeal by way of notice of motion supported by </w:t>
      </w:r>
      <w:r w:rsidR="00BE54B4" w:rsidRPr="00A87E91">
        <w:rPr>
          <w:rFonts w:ascii="Arial" w:hAnsi="Arial" w:cs="Arial"/>
          <w:sz w:val="24"/>
          <w:szCs w:val="24"/>
          <w:lang w:val="en-ZA"/>
        </w:rPr>
        <w:t>affidavit</w:t>
      </w:r>
      <w:r w:rsidR="00C44BF8" w:rsidRPr="00A87E91">
        <w:rPr>
          <w:rFonts w:ascii="Arial" w:hAnsi="Arial" w:cs="Arial"/>
          <w:sz w:val="24"/>
          <w:szCs w:val="24"/>
          <w:lang w:val="en-ZA"/>
        </w:rPr>
        <w:t>.</w:t>
      </w:r>
    </w:p>
    <w:p w14:paraId="163888E5" w14:textId="77777777" w:rsidR="00E42E4C" w:rsidRPr="00E42E4C" w:rsidRDefault="00E42E4C" w:rsidP="00E42E4C">
      <w:pPr>
        <w:pStyle w:val="ListParagraph"/>
        <w:rPr>
          <w:rFonts w:ascii="Arial" w:hAnsi="Arial" w:cs="Arial"/>
          <w:sz w:val="24"/>
          <w:szCs w:val="24"/>
          <w:lang w:val="en-ZA"/>
        </w:rPr>
      </w:pPr>
    </w:p>
    <w:p w14:paraId="1520E953" w14:textId="5207E1EC" w:rsidR="00B04813" w:rsidRPr="00A87E91" w:rsidRDefault="00A87E91" w:rsidP="00A87E91">
      <w:pPr>
        <w:spacing w:after="0" w:line="360" w:lineRule="auto"/>
        <w:jc w:val="both"/>
        <w:rPr>
          <w:rFonts w:ascii="Arial" w:hAnsi="Arial" w:cs="Arial"/>
          <w:sz w:val="24"/>
          <w:szCs w:val="24"/>
          <w:lang w:val="en-ZA"/>
        </w:rPr>
      </w:pPr>
      <w:r w:rsidRPr="004977AD">
        <w:rPr>
          <w:rFonts w:ascii="Arial" w:hAnsi="Arial" w:cs="Arial"/>
          <w:sz w:val="24"/>
          <w:szCs w:val="24"/>
          <w:lang w:val="en-ZA"/>
        </w:rPr>
        <w:t>[12]</w:t>
      </w:r>
      <w:r w:rsidRPr="004977AD">
        <w:rPr>
          <w:rFonts w:ascii="Arial" w:hAnsi="Arial" w:cs="Arial"/>
          <w:sz w:val="24"/>
          <w:szCs w:val="24"/>
          <w:lang w:val="en-ZA"/>
        </w:rPr>
        <w:tab/>
      </w:r>
      <w:r w:rsidR="002779CE" w:rsidRPr="00A87E91">
        <w:rPr>
          <w:rFonts w:ascii="Arial" w:hAnsi="Arial" w:cs="Arial"/>
          <w:sz w:val="24"/>
          <w:szCs w:val="24"/>
          <w:lang w:val="en-ZA"/>
        </w:rPr>
        <w:t>In the event</w:t>
      </w:r>
      <w:r w:rsidR="00B04813" w:rsidRPr="00A87E91">
        <w:rPr>
          <w:rFonts w:ascii="Arial" w:hAnsi="Arial" w:cs="Arial"/>
          <w:sz w:val="24"/>
          <w:szCs w:val="24"/>
          <w:lang w:val="en-ZA"/>
        </w:rPr>
        <w:t xml:space="preserve"> the Supreme Court invoke</w:t>
      </w:r>
      <w:r w:rsidR="004B450D" w:rsidRPr="00A87E91">
        <w:rPr>
          <w:rFonts w:ascii="Arial" w:hAnsi="Arial" w:cs="Arial"/>
          <w:sz w:val="24"/>
          <w:szCs w:val="24"/>
          <w:lang w:val="en-ZA"/>
        </w:rPr>
        <w:t>s</w:t>
      </w:r>
      <w:r w:rsidR="00B04813" w:rsidRPr="00A87E91">
        <w:rPr>
          <w:rFonts w:ascii="Arial" w:hAnsi="Arial" w:cs="Arial"/>
          <w:sz w:val="24"/>
          <w:szCs w:val="24"/>
          <w:lang w:val="en-ZA"/>
        </w:rPr>
        <w:t xml:space="preserve"> its s 16 revi</w:t>
      </w:r>
      <w:r w:rsidR="004977AD" w:rsidRPr="00A87E91">
        <w:rPr>
          <w:rFonts w:ascii="Arial" w:hAnsi="Arial" w:cs="Arial"/>
          <w:sz w:val="24"/>
          <w:szCs w:val="24"/>
          <w:lang w:val="en-ZA"/>
        </w:rPr>
        <w:t>ew jurisdiction, Namwater seeks:</w:t>
      </w:r>
      <w:r w:rsidR="00B04813" w:rsidRPr="00A87E91">
        <w:rPr>
          <w:rFonts w:ascii="Arial" w:hAnsi="Arial" w:cs="Arial"/>
          <w:sz w:val="24"/>
          <w:szCs w:val="24"/>
          <w:lang w:val="en-ZA"/>
        </w:rPr>
        <w:t xml:space="preserve"> </w:t>
      </w:r>
    </w:p>
    <w:p w14:paraId="5BD5F1DC" w14:textId="77777777" w:rsidR="004977AD" w:rsidRDefault="004977AD" w:rsidP="0077452C">
      <w:pPr>
        <w:spacing w:after="0" w:line="360" w:lineRule="auto"/>
        <w:jc w:val="both"/>
        <w:rPr>
          <w:rFonts w:ascii="Arial" w:hAnsi="Arial" w:cs="Arial"/>
          <w:sz w:val="24"/>
          <w:szCs w:val="24"/>
          <w:lang w:val="en-ZA"/>
        </w:rPr>
      </w:pPr>
    </w:p>
    <w:p w14:paraId="35F0458D" w14:textId="55F1978F" w:rsidR="00B04813" w:rsidRDefault="00B04813" w:rsidP="0077452C">
      <w:pPr>
        <w:spacing w:after="0" w:line="360" w:lineRule="auto"/>
        <w:ind w:left="720"/>
        <w:jc w:val="both"/>
        <w:rPr>
          <w:rFonts w:ascii="Arial" w:hAnsi="Arial" w:cs="Arial"/>
          <w:lang w:val="en-ZA"/>
        </w:rPr>
      </w:pPr>
      <w:r w:rsidRPr="00AD2591">
        <w:rPr>
          <w:rFonts w:ascii="Arial" w:hAnsi="Arial" w:cs="Arial"/>
          <w:sz w:val="24"/>
          <w:szCs w:val="24"/>
          <w:lang w:val="en-ZA"/>
        </w:rPr>
        <w:t>‘</w:t>
      </w:r>
      <w:r w:rsidRPr="004977AD">
        <w:rPr>
          <w:rFonts w:ascii="Arial" w:hAnsi="Arial" w:cs="Arial"/>
          <w:lang w:val="en-ZA"/>
        </w:rPr>
        <w:t xml:space="preserve">the review and setting aside of the court </w:t>
      </w:r>
      <w:r w:rsidRPr="008E2AFF">
        <w:rPr>
          <w:rFonts w:ascii="Arial" w:hAnsi="Arial" w:cs="Arial"/>
          <w:lang w:val="en-ZA"/>
        </w:rPr>
        <w:t>a quo</w:t>
      </w:r>
      <w:r w:rsidRPr="004977AD">
        <w:rPr>
          <w:rFonts w:ascii="Arial" w:hAnsi="Arial" w:cs="Arial"/>
          <w:lang w:val="en-ZA"/>
        </w:rPr>
        <w:t>’s judgment and order of 06 April 2023, and the referral of the matter back to the managing judge (within the timeframe applicable to the disposal of applications for leave to appeal in the court a quo) to determine [Namwater’s] application for leave to appeal on the submissions before her as appearing in the parties’ heads of argument and the transcribed record of the proceedings’.</w:t>
      </w:r>
    </w:p>
    <w:p w14:paraId="23CF58B4" w14:textId="77777777" w:rsidR="00F8750C" w:rsidRPr="00AD2591" w:rsidRDefault="00F8750C" w:rsidP="0077452C">
      <w:pPr>
        <w:spacing w:after="0" w:line="360" w:lineRule="auto"/>
        <w:ind w:left="720"/>
        <w:jc w:val="both"/>
        <w:rPr>
          <w:rFonts w:ascii="Arial" w:hAnsi="Arial" w:cs="Arial"/>
          <w:sz w:val="24"/>
          <w:szCs w:val="24"/>
          <w:lang w:val="en-ZA"/>
        </w:rPr>
      </w:pPr>
    </w:p>
    <w:p w14:paraId="5D5A037E" w14:textId="33C6439A" w:rsidR="00252461" w:rsidRPr="00A87E91" w:rsidRDefault="00A87E91" w:rsidP="00A87E91">
      <w:pPr>
        <w:spacing w:after="0" w:line="480" w:lineRule="auto"/>
        <w:jc w:val="both"/>
        <w:rPr>
          <w:rFonts w:ascii="Arial" w:hAnsi="Arial" w:cs="Arial"/>
          <w:sz w:val="24"/>
          <w:szCs w:val="24"/>
          <w:lang w:val="en-ZA"/>
        </w:rPr>
      </w:pPr>
      <w:r w:rsidRPr="002779CE">
        <w:rPr>
          <w:rFonts w:ascii="Arial" w:hAnsi="Arial" w:cs="Arial"/>
          <w:sz w:val="24"/>
          <w:szCs w:val="24"/>
          <w:lang w:val="en-ZA"/>
        </w:rPr>
        <w:lastRenderedPageBreak/>
        <w:t>[13]</w:t>
      </w:r>
      <w:r w:rsidRPr="002779CE">
        <w:rPr>
          <w:rFonts w:ascii="Arial" w:hAnsi="Arial" w:cs="Arial"/>
          <w:sz w:val="24"/>
          <w:szCs w:val="24"/>
          <w:lang w:val="en-ZA"/>
        </w:rPr>
        <w:tab/>
      </w:r>
      <w:r w:rsidR="00EB53F7" w:rsidRPr="00A87E91">
        <w:rPr>
          <w:rFonts w:ascii="Arial" w:hAnsi="Arial" w:cs="Arial"/>
          <w:sz w:val="24"/>
          <w:szCs w:val="24"/>
          <w:lang w:val="en-ZA"/>
        </w:rPr>
        <w:t xml:space="preserve">Mr </w:t>
      </w:r>
      <w:r w:rsidR="00BE54B4" w:rsidRPr="00A87E91">
        <w:rPr>
          <w:rFonts w:ascii="Arial" w:hAnsi="Arial" w:cs="Arial"/>
          <w:sz w:val="24"/>
          <w:szCs w:val="24"/>
          <w:lang w:val="en-ZA"/>
        </w:rPr>
        <w:t>Tj</w:t>
      </w:r>
      <w:r w:rsidR="00C44BF8" w:rsidRPr="00A87E91">
        <w:rPr>
          <w:rFonts w:ascii="Arial" w:hAnsi="Arial" w:cs="Arial"/>
          <w:sz w:val="24"/>
          <w:szCs w:val="24"/>
          <w:lang w:val="en-ZA"/>
        </w:rPr>
        <w:t>i</w:t>
      </w:r>
      <w:r w:rsidR="00BE54B4" w:rsidRPr="00A87E91">
        <w:rPr>
          <w:rFonts w:ascii="Arial" w:hAnsi="Arial" w:cs="Arial"/>
          <w:sz w:val="24"/>
          <w:szCs w:val="24"/>
          <w:lang w:val="en-ZA"/>
        </w:rPr>
        <w:t>pangandjara</w:t>
      </w:r>
      <w:r w:rsidR="00EB53F7" w:rsidRPr="00A87E91">
        <w:rPr>
          <w:rFonts w:ascii="Arial" w:hAnsi="Arial" w:cs="Arial"/>
          <w:sz w:val="24"/>
          <w:szCs w:val="24"/>
          <w:lang w:val="en-ZA"/>
        </w:rPr>
        <w:t xml:space="preserve"> did not oppose the review application and the managing judge elected not to file of record any response to the averments made in the affidavit in support of the review application.</w:t>
      </w:r>
    </w:p>
    <w:p w14:paraId="1E89471F" w14:textId="77777777" w:rsidR="002A2834" w:rsidRDefault="002A2834" w:rsidP="002A2834">
      <w:pPr>
        <w:spacing w:after="0" w:line="480" w:lineRule="auto"/>
        <w:jc w:val="both"/>
        <w:rPr>
          <w:rFonts w:ascii="Arial" w:hAnsi="Arial" w:cs="Arial"/>
          <w:sz w:val="24"/>
          <w:szCs w:val="24"/>
          <w:u w:val="single"/>
          <w:lang w:val="en-ZA"/>
        </w:rPr>
      </w:pPr>
    </w:p>
    <w:p w14:paraId="149D3CCE" w14:textId="77777777" w:rsidR="005A0705" w:rsidRPr="00AD2591" w:rsidRDefault="005A0705" w:rsidP="002A2834">
      <w:pPr>
        <w:spacing w:after="0" w:line="480" w:lineRule="auto"/>
        <w:jc w:val="both"/>
        <w:rPr>
          <w:rFonts w:ascii="Arial" w:hAnsi="Arial" w:cs="Arial"/>
          <w:sz w:val="24"/>
          <w:szCs w:val="24"/>
          <w:u w:val="single"/>
          <w:lang w:val="en-ZA"/>
        </w:rPr>
      </w:pPr>
      <w:r w:rsidRPr="00AD2591">
        <w:rPr>
          <w:rFonts w:ascii="Arial" w:hAnsi="Arial" w:cs="Arial"/>
          <w:sz w:val="24"/>
          <w:szCs w:val="24"/>
          <w:u w:val="single"/>
          <w:lang w:val="en-ZA"/>
        </w:rPr>
        <w:t>Submissions</w:t>
      </w:r>
    </w:p>
    <w:p w14:paraId="284186A8" w14:textId="6FC61321" w:rsidR="002779CE" w:rsidRPr="00A87E91" w:rsidRDefault="00A87E91" w:rsidP="00A87E91">
      <w:pPr>
        <w:spacing w:after="0" w:line="480" w:lineRule="auto"/>
        <w:jc w:val="both"/>
        <w:rPr>
          <w:rFonts w:ascii="Arial" w:hAnsi="Arial" w:cs="Arial"/>
          <w:noProof/>
          <w:sz w:val="24"/>
          <w:szCs w:val="24"/>
          <w:lang w:val="en-ZA" w:eastAsia="en-ZA"/>
        </w:rPr>
      </w:pPr>
      <w:r>
        <w:rPr>
          <w:rFonts w:ascii="Arial" w:hAnsi="Arial" w:cs="Arial"/>
          <w:noProof/>
          <w:sz w:val="24"/>
          <w:szCs w:val="24"/>
          <w:lang w:val="en-ZA" w:eastAsia="en-ZA"/>
        </w:rPr>
        <w:t>[14]</w:t>
      </w:r>
      <w:r>
        <w:rPr>
          <w:rFonts w:ascii="Arial" w:hAnsi="Arial" w:cs="Arial"/>
          <w:noProof/>
          <w:sz w:val="24"/>
          <w:szCs w:val="24"/>
          <w:lang w:val="en-ZA" w:eastAsia="en-ZA"/>
        </w:rPr>
        <w:tab/>
      </w:r>
      <w:r w:rsidR="007758F4" w:rsidRPr="00A87E91">
        <w:rPr>
          <w:rFonts w:ascii="Arial" w:hAnsi="Arial" w:cs="Arial"/>
          <w:noProof/>
          <w:sz w:val="24"/>
          <w:szCs w:val="24"/>
          <w:lang w:val="en-ZA" w:eastAsia="en-ZA"/>
        </w:rPr>
        <w:t>At the hearing of the review applic</w:t>
      </w:r>
      <w:r w:rsidR="00EB53F7" w:rsidRPr="00A87E91">
        <w:rPr>
          <w:rFonts w:ascii="Arial" w:hAnsi="Arial" w:cs="Arial"/>
          <w:noProof/>
          <w:sz w:val="24"/>
          <w:szCs w:val="24"/>
          <w:lang w:val="en-ZA" w:eastAsia="en-ZA"/>
        </w:rPr>
        <w:t>ation</w:t>
      </w:r>
      <w:r w:rsidR="007758F4" w:rsidRPr="00A87E91">
        <w:rPr>
          <w:rFonts w:ascii="Arial" w:hAnsi="Arial" w:cs="Arial"/>
          <w:noProof/>
          <w:sz w:val="24"/>
          <w:szCs w:val="24"/>
          <w:lang w:val="en-ZA" w:eastAsia="en-ZA"/>
        </w:rPr>
        <w:t xml:space="preserve"> N</w:t>
      </w:r>
      <w:r w:rsidR="001C458F" w:rsidRPr="00A87E91">
        <w:rPr>
          <w:rFonts w:ascii="Arial" w:hAnsi="Arial" w:cs="Arial"/>
          <w:noProof/>
          <w:sz w:val="24"/>
          <w:szCs w:val="24"/>
          <w:lang w:val="en-ZA" w:eastAsia="en-ZA"/>
        </w:rPr>
        <w:t>am</w:t>
      </w:r>
      <w:r w:rsidR="007758F4" w:rsidRPr="00A87E91">
        <w:rPr>
          <w:rFonts w:ascii="Arial" w:hAnsi="Arial" w:cs="Arial"/>
          <w:noProof/>
          <w:sz w:val="24"/>
          <w:szCs w:val="24"/>
          <w:lang w:val="en-ZA" w:eastAsia="en-ZA"/>
        </w:rPr>
        <w:t>wa</w:t>
      </w:r>
      <w:r w:rsidR="00EB53F7" w:rsidRPr="00A87E91">
        <w:rPr>
          <w:rFonts w:ascii="Arial" w:hAnsi="Arial" w:cs="Arial"/>
          <w:noProof/>
          <w:sz w:val="24"/>
          <w:szCs w:val="24"/>
          <w:lang w:val="en-ZA" w:eastAsia="en-ZA"/>
        </w:rPr>
        <w:t xml:space="preserve">ter was represented by Mr Narib assisted by Mr Muhongo. </w:t>
      </w:r>
      <w:r w:rsidR="005A0705" w:rsidRPr="00A87E91">
        <w:rPr>
          <w:rFonts w:ascii="Arial" w:hAnsi="Arial" w:cs="Arial"/>
          <w:noProof/>
          <w:sz w:val="24"/>
          <w:szCs w:val="24"/>
          <w:lang w:val="en-ZA" w:eastAsia="en-ZA"/>
        </w:rPr>
        <w:t xml:space="preserve">Counsel for Namwater’s main contention is that the managing </w:t>
      </w:r>
      <w:r w:rsidR="00617927" w:rsidRPr="00A87E91">
        <w:rPr>
          <w:rFonts w:ascii="Arial" w:hAnsi="Arial" w:cs="Arial"/>
          <w:noProof/>
          <w:sz w:val="24"/>
          <w:szCs w:val="24"/>
          <w:lang w:val="en-ZA" w:eastAsia="en-ZA"/>
        </w:rPr>
        <w:t xml:space="preserve">judge </w:t>
      </w:r>
      <w:r w:rsidR="005A0705" w:rsidRPr="00A87E91">
        <w:rPr>
          <w:rFonts w:ascii="Arial" w:hAnsi="Arial" w:cs="Arial"/>
          <w:noProof/>
          <w:sz w:val="24"/>
          <w:szCs w:val="24"/>
          <w:lang w:val="en-ZA" w:eastAsia="en-ZA"/>
        </w:rPr>
        <w:t>committed an irregularity by deciding a point abandoned on behalf of Mr Tjipanganjara and, in any event, without affording Namwater the opportunity to make representat</w:t>
      </w:r>
      <w:r w:rsidR="002A2834" w:rsidRPr="00A87E91">
        <w:rPr>
          <w:rFonts w:ascii="Arial" w:hAnsi="Arial" w:cs="Arial"/>
          <w:noProof/>
          <w:sz w:val="24"/>
          <w:szCs w:val="24"/>
          <w:lang w:val="en-ZA" w:eastAsia="en-ZA"/>
        </w:rPr>
        <w:t>ions to the court on the issue.</w:t>
      </w:r>
    </w:p>
    <w:p w14:paraId="0E68AD0C" w14:textId="77777777" w:rsidR="002779CE" w:rsidRDefault="002779CE" w:rsidP="002779CE">
      <w:pPr>
        <w:pStyle w:val="ListParagraph"/>
        <w:spacing w:after="0" w:line="480" w:lineRule="auto"/>
        <w:ind w:left="0"/>
        <w:jc w:val="both"/>
        <w:rPr>
          <w:rFonts w:ascii="Arial" w:hAnsi="Arial" w:cs="Arial"/>
          <w:noProof/>
          <w:sz w:val="24"/>
          <w:szCs w:val="24"/>
          <w:lang w:val="en-ZA" w:eastAsia="en-ZA"/>
        </w:rPr>
      </w:pPr>
    </w:p>
    <w:p w14:paraId="42F38B00" w14:textId="1E571D8F" w:rsidR="00252461" w:rsidRPr="00A87E91" w:rsidRDefault="00A87E91" w:rsidP="00A87E91">
      <w:pPr>
        <w:spacing w:after="0" w:line="480" w:lineRule="auto"/>
        <w:jc w:val="both"/>
        <w:rPr>
          <w:rFonts w:ascii="Arial" w:hAnsi="Arial" w:cs="Arial"/>
          <w:noProof/>
          <w:sz w:val="24"/>
          <w:szCs w:val="24"/>
          <w:lang w:val="en-ZA" w:eastAsia="en-ZA"/>
        </w:rPr>
      </w:pPr>
      <w:r w:rsidRPr="0065138B">
        <w:rPr>
          <w:rFonts w:ascii="Arial" w:hAnsi="Arial" w:cs="Arial"/>
          <w:noProof/>
          <w:sz w:val="24"/>
          <w:szCs w:val="24"/>
          <w:lang w:val="en-ZA" w:eastAsia="en-ZA"/>
        </w:rPr>
        <w:t>[15]</w:t>
      </w:r>
      <w:r w:rsidRPr="0065138B">
        <w:rPr>
          <w:rFonts w:ascii="Arial" w:hAnsi="Arial" w:cs="Arial"/>
          <w:noProof/>
          <w:sz w:val="24"/>
          <w:szCs w:val="24"/>
          <w:lang w:val="en-ZA" w:eastAsia="en-ZA"/>
        </w:rPr>
        <w:tab/>
      </w:r>
      <w:r w:rsidR="005A0705" w:rsidRPr="00A87E91">
        <w:rPr>
          <w:rFonts w:ascii="Arial" w:hAnsi="Arial" w:cs="Arial"/>
          <w:noProof/>
          <w:sz w:val="24"/>
          <w:szCs w:val="24"/>
          <w:lang w:val="en-ZA" w:eastAsia="en-ZA"/>
        </w:rPr>
        <w:t xml:space="preserve">That </w:t>
      </w:r>
      <w:r w:rsidR="007D67BF" w:rsidRPr="00A87E91">
        <w:rPr>
          <w:rFonts w:ascii="Arial" w:hAnsi="Arial" w:cs="Arial"/>
          <w:noProof/>
          <w:sz w:val="24"/>
          <w:szCs w:val="24"/>
          <w:lang w:val="en-ZA" w:eastAsia="en-ZA"/>
        </w:rPr>
        <w:t>criticism</w:t>
      </w:r>
      <w:r w:rsidR="005A0705" w:rsidRPr="00A87E91">
        <w:rPr>
          <w:rFonts w:ascii="Arial" w:hAnsi="Arial" w:cs="Arial"/>
          <w:noProof/>
          <w:sz w:val="24"/>
          <w:szCs w:val="24"/>
          <w:lang w:val="en-ZA" w:eastAsia="en-ZA"/>
        </w:rPr>
        <w:t xml:space="preserve"> is supported by ample authority of this court:</w:t>
      </w:r>
      <w:r w:rsidR="00154AF0" w:rsidRPr="00A87E91">
        <w:rPr>
          <w:rFonts w:ascii="Arial" w:hAnsi="Arial" w:cs="Arial"/>
          <w:noProof/>
          <w:sz w:val="24"/>
          <w:szCs w:val="24"/>
          <w:lang w:val="en-ZA" w:eastAsia="en-ZA"/>
        </w:rPr>
        <w:t xml:space="preserve"> </w:t>
      </w:r>
      <w:r w:rsidR="00154AF0" w:rsidRPr="00A87E91">
        <w:rPr>
          <w:rFonts w:ascii="Arial" w:hAnsi="Arial" w:cs="Arial"/>
          <w:i/>
          <w:noProof/>
          <w:sz w:val="24"/>
          <w:szCs w:val="24"/>
          <w:lang w:val="en-ZA" w:eastAsia="en-ZA"/>
        </w:rPr>
        <w:t>Kauesa</w:t>
      </w:r>
      <w:r w:rsidR="00DF2F8D" w:rsidRPr="00A87E91">
        <w:rPr>
          <w:rFonts w:ascii="Arial" w:hAnsi="Arial" w:cs="Arial"/>
          <w:i/>
          <w:noProof/>
          <w:sz w:val="24"/>
          <w:szCs w:val="24"/>
          <w:lang w:val="en-ZA" w:eastAsia="en-ZA"/>
        </w:rPr>
        <w:t xml:space="preserve"> v Minister of Home Affairs and Others </w:t>
      </w:r>
      <w:r w:rsidR="00DF2F8D" w:rsidRPr="00A87E91">
        <w:rPr>
          <w:rFonts w:ascii="Arial" w:hAnsi="Arial" w:cs="Arial"/>
          <w:noProof/>
          <w:sz w:val="24"/>
          <w:szCs w:val="24"/>
          <w:lang w:val="en-ZA" w:eastAsia="en-ZA"/>
        </w:rPr>
        <w:t xml:space="preserve">1995 NR 175 (SC); </w:t>
      </w:r>
      <w:r w:rsidR="00DF2F8D" w:rsidRPr="00A87E91">
        <w:rPr>
          <w:rFonts w:ascii="Arial" w:hAnsi="Arial" w:cs="Arial"/>
          <w:i/>
          <w:noProof/>
          <w:sz w:val="24"/>
          <w:szCs w:val="24"/>
          <w:lang w:val="en-ZA" w:eastAsia="en-ZA"/>
        </w:rPr>
        <w:t>Namibia Plains Farming and Tourism v Valencia Uranium</w:t>
      </w:r>
      <w:r w:rsidR="00DF2F8D" w:rsidRPr="00A87E91">
        <w:rPr>
          <w:rFonts w:ascii="Arial" w:hAnsi="Arial" w:cs="Arial"/>
          <w:noProof/>
          <w:sz w:val="24"/>
          <w:szCs w:val="24"/>
          <w:lang w:val="en-ZA" w:eastAsia="en-ZA"/>
        </w:rPr>
        <w:t xml:space="preserve"> 2011 (2) NR 469 (SC) 483</w:t>
      </w:r>
      <w:r w:rsidR="00154AF0" w:rsidRPr="00A87E91">
        <w:rPr>
          <w:rFonts w:ascii="Arial" w:hAnsi="Arial" w:cs="Arial"/>
          <w:noProof/>
          <w:sz w:val="24"/>
          <w:szCs w:val="24"/>
          <w:lang w:val="en-ZA" w:eastAsia="en-ZA"/>
        </w:rPr>
        <w:t>.</w:t>
      </w:r>
      <w:r w:rsidR="005A0705" w:rsidRPr="00A87E91">
        <w:rPr>
          <w:rFonts w:ascii="Arial" w:hAnsi="Arial" w:cs="Arial"/>
          <w:noProof/>
          <w:sz w:val="24"/>
          <w:szCs w:val="24"/>
          <w:lang w:val="en-ZA" w:eastAsia="en-ZA"/>
        </w:rPr>
        <w:t xml:space="preserve"> Since </w:t>
      </w:r>
      <w:r w:rsidR="008F6117" w:rsidRPr="00A87E91">
        <w:rPr>
          <w:rFonts w:ascii="Arial" w:hAnsi="Arial" w:cs="Arial"/>
          <w:noProof/>
          <w:sz w:val="24"/>
          <w:szCs w:val="24"/>
          <w:lang w:val="en-ZA" w:eastAsia="en-ZA"/>
        </w:rPr>
        <w:t xml:space="preserve">the managing judge </w:t>
      </w:r>
      <w:r w:rsidR="005A0705" w:rsidRPr="00A87E91">
        <w:rPr>
          <w:rFonts w:ascii="Arial" w:hAnsi="Arial" w:cs="Arial"/>
          <w:noProof/>
          <w:sz w:val="24"/>
          <w:szCs w:val="24"/>
          <w:lang w:val="en-ZA" w:eastAsia="en-ZA"/>
        </w:rPr>
        <w:t xml:space="preserve">acted contrary to this </w:t>
      </w:r>
      <w:r w:rsidR="00E30520" w:rsidRPr="00A87E91">
        <w:rPr>
          <w:rFonts w:ascii="Arial" w:hAnsi="Arial" w:cs="Arial"/>
          <w:noProof/>
          <w:sz w:val="24"/>
          <w:szCs w:val="24"/>
          <w:lang w:val="en-ZA" w:eastAsia="en-ZA"/>
        </w:rPr>
        <w:t>C</w:t>
      </w:r>
      <w:r w:rsidR="005A0705" w:rsidRPr="00A87E91">
        <w:rPr>
          <w:rFonts w:ascii="Arial" w:hAnsi="Arial" w:cs="Arial"/>
          <w:noProof/>
          <w:sz w:val="24"/>
          <w:szCs w:val="24"/>
          <w:lang w:val="en-ZA" w:eastAsia="en-ZA"/>
        </w:rPr>
        <w:t>ourt’s authority b</w:t>
      </w:r>
      <w:r w:rsidR="007D67BF" w:rsidRPr="00A87E91">
        <w:rPr>
          <w:rFonts w:ascii="Arial" w:hAnsi="Arial" w:cs="Arial"/>
          <w:noProof/>
          <w:sz w:val="24"/>
          <w:szCs w:val="24"/>
          <w:lang w:val="en-ZA" w:eastAsia="en-ZA"/>
        </w:rPr>
        <w:t>inding upon her</w:t>
      </w:r>
      <w:r w:rsidR="005A0705" w:rsidRPr="00A87E91">
        <w:rPr>
          <w:rFonts w:ascii="Arial" w:hAnsi="Arial" w:cs="Arial"/>
          <w:noProof/>
          <w:sz w:val="24"/>
          <w:szCs w:val="24"/>
          <w:lang w:val="en-ZA" w:eastAsia="en-ZA"/>
        </w:rPr>
        <w:t xml:space="preserve">, </w:t>
      </w:r>
      <w:r w:rsidR="00A82248" w:rsidRPr="00A87E91">
        <w:rPr>
          <w:rFonts w:ascii="Arial" w:hAnsi="Arial" w:cs="Arial"/>
          <w:noProof/>
          <w:sz w:val="24"/>
          <w:szCs w:val="24"/>
          <w:lang w:val="en-ZA" w:eastAsia="en-ZA"/>
        </w:rPr>
        <w:t xml:space="preserve">she </w:t>
      </w:r>
      <w:r w:rsidR="005A0705" w:rsidRPr="00A87E91">
        <w:rPr>
          <w:rFonts w:ascii="Arial" w:hAnsi="Arial" w:cs="Arial"/>
          <w:noProof/>
          <w:sz w:val="24"/>
          <w:szCs w:val="24"/>
          <w:lang w:val="en-ZA" w:eastAsia="en-ZA"/>
        </w:rPr>
        <w:t>committed an irregulaity to the extent that it denied Namwater the right to a fair trial</w:t>
      </w:r>
      <w:r w:rsidR="007D67BF" w:rsidRPr="00A87E91">
        <w:rPr>
          <w:rFonts w:ascii="Arial" w:hAnsi="Arial" w:cs="Arial"/>
          <w:noProof/>
          <w:sz w:val="24"/>
          <w:szCs w:val="24"/>
          <w:lang w:val="en-ZA" w:eastAsia="en-ZA"/>
        </w:rPr>
        <w:t xml:space="preserve"> guaranteed by </w:t>
      </w:r>
      <w:r w:rsidR="00E30520" w:rsidRPr="00A87E91">
        <w:rPr>
          <w:rFonts w:ascii="Arial" w:hAnsi="Arial" w:cs="Arial"/>
          <w:noProof/>
          <w:sz w:val="24"/>
          <w:szCs w:val="24"/>
          <w:lang w:val="en-ZA" w:eastAsia="en-ZA"/>
        </w:rPr>
        <w:t>A</w:t>
      </w:r>
      <w:r w:rsidR="007D67BF" w:rsidRPr="00A87E91">
        <w:rPr>
          <w:rFonts w:ascii="Arial" w:hAnsi="Arial" w:cs="Arial"/>
          <w:noProof/>
          <w:sz w:val="24"/>
          <w:szCs w:val="24"/>
          <w:lang w:val="en-ZA" w:eastAsia="en-ZA"/>
        </w:rPr>
        <w:t>rt</w:t>
      </w:r>
      <w:r w:rsidR="00E30520" w:rsidRPr="00A87E91">
        <w:rPr>
          <w:rFonts w:ascii="Arial" w:hAnsi="Arial" w:cs="Arial"/>
          <w:noProof/>
          <w:sz w:val="24"/>
          <w:szCs w:val="24"/>
          <w:lang w:val="en-ZA" w:eastAsia="en-ZA"/>
        </w:rPr>
        <w:t>.</w:t>
      </w:r>
      <w:r w:rsidR="007D67BF" w:rsidRPr="00A87E91">
        <w:rPr>
          <w:rFonts w:ascii="Arial" w:hAnsi="Arial" w:cs="Arial"/>
          <w:noProof/>
          <w:sz w:val="24"/>
          <w:szCs w:val="24"/>
          <w:lang w:val="en-ZA" w:eastAsia="en-ZA"/>
        </w:rPr>
        <w:t xml:space="preserve"> 12(1)(a) of the Namibian Constitution</w:t>
      </w:r>
      <w:r w:rsidR="005A0705" w:rsidRPr="00A87E91">
        <w:rPr>
          <w:rFonts w:ascii="Arial" w:hAnsi="Arial" w:cs="Arial"/>
          <w:noProof/>
          <w:sz w:val="24"/>
          <w:szCs w:val="24"/>
          <w:lang w:val="en-ZA" w:eastAsia="en-ZA"/>
        </w:rPr>
        <w:t xml:space="preserve">. </w:t>
      </w:r>
      <w:r w:rsidR="00687290" w:rsidRPr="00A87E91">
        <w:rPr>
          <w:rFonts w:ascii="Arial" w:hAnsi="Arial" w:cs="Arial"/>
          <w:sz w:val="24"/>
          <w:szCs w:val="24"/>
          <w:lang w:val="en-ZA"/>
        </w:rPr>
        <w:t xml:space="preserve">It bears mention that because </w:t>
      </w:r>
      <w:r w:rsidR="00C44BF8" w:rsidRPr="00A87E91">
        <w:rPr>
          <w:rFonts w:ascii="Arial" w:hAnsi="Arial" w:cs="Arial"/>
          <w:sz w:val="24"/>
          <w:szCs w:val="24"/>
          <w:lang w:val="en-ZA"/>
        </w:rPr>
        <w:t xml:space="preserve">Mr Tjipangandjara </w:t>
      </w:r>
      <w:r w:rsidR="00687290" w:rsidRPr="00A87E91">
        <w:rPr>
          <w:rFonts w:ascii="Arial" w:hAnsi="Arial" w:cs="Arial"/>
          <w:sz w:val="24"/>
          <w:szCs w:val="24"/>
          <w:lang w:val="en-ZA"/>
        </w:rPr>
        <w:t xml:space="preserve">abandoned the procedural objection, counsel for </w:t>
      </w:r>
      <w:r w:rsidR="00C44BF8" w:rsidRPr="00A87E91">
        <w:rPr>
          <w:rFonts w:ascii="Arial" w:hAnsi="Arial" w:cs="Arial"/>
          <w:sz w:val="24"/>
          <w:szCs w:val="24"/>
          <w:lang w:val="en-ZA"/>
        </w:rPr>
        <w:t xml:space="preserve">Namwater </w:t>
      </w:r>
      <w:r w:rsidR="00687290" w:rsidRPr="00A87E91">
        <w:rPr>
          <w:rFonts w:ascii="Arial" w:hAnsi="Arial" w:cs="Arial"/>
          <w:sz w:val="24"/>
          <w:szCs w:val="24"/>
          <w:lang w:val="en-ZA"/>
        </w:rPr>
        <w:t>did not address the court on that issue</w:t>
      </w:r>
      <w:r w:rsidR="002779CE" w:rsidRPr="00A87E91">
        <w:rPr>
          <w:rFonts w:ascii="Arial" w:hAnsi="Arial" w:cs="Arial"/>
          <w:sz w:val="24"/>
          <w:szCs w:val="24"/>
          <w:lang w:val="en-ZA"/>
        </w:rPr>
        <w:t xml:space="preserve"> </w:t>
      </w:r>
      <w:r w:rsidR="00A82248" w:rsidRPr="00A87E91">
        <w:rPr>
          <w:rFonts w:ascii="Arial" w:hAnsi="Arial" w:cs="Arial"/>
          <w:sz w:val="24"/>
          <w:szCs w:val="24"/>
          <w:lang w:val="en-ZA"/>
        </w:rPr>
        <w:t>which</w:t>
      </w:r>
      <w:r w:rsidR="002779CE" w:rsidRPr="00A87E91">
        <w:rPr>
          <w:rFonts w:ascii="Arial" w:hAnsi="Arial" w:cs="Arial"/>
          <w:sz w:val="24"/>
          <w:szCs w:val="24"/>
          <w:lang w:val="en-ZA"/>
        </w:rPr>
        <w:t xml:space="preserve"> turned out to be outcome-determinative</w:t>
      </w:r>
      <w:r w:rsidR="00687290" w:rsidRPr="00A87E91">
        <w:rPr>
          <w:rFonts w:ascii="Arial" w:hAnsi="Arial" w:cs="Arial"/>
          <w:sz w:val="24"/>
          <w:szCs w:val="24"/>
          <w:lang w:val="en-ZA"/>
        </w:rPr>
        <w:t>.</w:t>
      </w:r>
      <w:r w:rsidR="00C44BF8" w:rsidRPr="00A87E91">
        <w:rPr>
          <w:rFonts w:ascii="Arial" w:hAnsi="Arial" w:cs="Arial"/>
          <w:sz w:val="24"/>
          <w:szCs w:val="24"/>
          <w:lang w:val="en-ZA"/>
        </w:rPr>
        <w:t xml:space="preserve"> That was most prejudicial to Namwater.</w:t>
      </w:r>
    </w:p>
    <w:p w14:paraId="1DC41088" w14:textId="559494AE" w:rsidR="005A0705" w:rsidRPr="00A87E91" w:rsidRDefault="00A87E91" w:rsidP="00A87E91">
      <w:pPr>
        <w:spacing w:after="0" w:line="480" w:lineRule="auto"/>
        <w:jc w:val="both"/>
        <w:rPr>
          <w:rFonts w:ascii="Arial" w:hAnsi="Arial" w:cs="Arial"/>
          <w:noProof/>
          <w:sz w:val="24"/>
          <w:szCs w:val="24"/>
          <w:lang w:val="en-ZA" w:eastAsia="en-ZA"/>
        </w:rPr>
      </w:pPr>
      <w:r w:rsidRPr="00617927">
        <w:rPr>
          <w:rFonts w:ascii="Arial" w:hAnsi="Arial" w:cs="Arial"/>
          <w:noProof/>
          <w:sz w:val="24"/>
          <w:szCs w:val="24"/>
          <w:lang w:val="en-ZA" w:eastAsia="en-ZA"/>
        </w:rPr>
        <w:t>[16]</w:t>
      </w:r>
      <w:r w:rsidRPr="00617927">
        <w:rPr>
          <w:rFonts w:ascii="Arial" w:hAnsi="Arial" w:cs="Arial"/>
          <w:noProof/>
          <w:sz w:val="24"/>
          <w:szCs w:val="24"/>
          <w:lang w:val="en-ZA" w:eastAsia="en-ZA"/>
        </w:rPr>
        <w:tab/>
      </w:r>
      <w:r w:rsidR="005A0705" w:rsidRPr="00A87E91">
        <w:rPr>
          <w:rFonts w:ascii="Arial" w:hAnsi="Arial" w:cs="Arial"/>
          <w:noProof/>
          <w:sz w:val="24"/>
          <w:szCs w:val="24"/>
          <w:lang w:val="en-ZA" w:eastAsia="en-ZA"/>
        </w:rPr>
        <w:t xml:space="preserve">The further irregularity relied upon </w:t>
      </w:r>
      <w:r w:rsidR="0036583D" w:rsidRPr="00A87E91">
        <w:rPr>
          <w:rFonts w:ascii="Arial" w:hAnsi="Arial" w:cs="Arial"/>
          <w:noProof/>
          <w:sz w:val="24"/>
          <w:szCs w:val="24"/>
          <w:lang w:val="en-ZA" w:eastAsia="en-ZA"/>
        </w:rPr>
        <w:t xml:space="preserve">by Namwater </w:t>
      </w:r>
      <w:r w:rsidR="005A0705" w:rsidRPr="00A87E91">
        <w:rPr>
          <w:rFonts w:ascii="Arial" w:hAnsi="Arial" w:cs="Arial"/>
          <w:noProof/>
          <w:sz w:val="24"/>
          <w:szCs w:val="24"/>
          <w:lang w:val="en-ZA" w:eastAsia="en-ZA"/>
        </w:rPr>
        <w:t>is that the managing judge erred by departing from established High Court precedent</w:t>
      </w:r>
      <w:r w:rsidR="005A0705" w:rsidRPr="00AD2591">
        <w:rPr>
          <w:rStyle w:val="FootnoteReference"/>
          <w:rFonts w:ascii="Arial" w:hAnsi="Arial" w:cs="Arial"/>
          <w:noProof/>
          <w:sz w:val="24"/>
          <w:szCs w:val="24"/>
          <w:lang w:val="en-ZA" w:eastAsia="en-ZA"/>
        </w:rPr>
        <w:footnoteReference w:id="2"/>
      </w:r>
      <w:r w:rsidR="005A0705" w:rsidRPr="00A87E91">
        <w:rPr>
          <w:rFonts w:ascii="Arial" w:hAnsi="Arial" w:cs="Arial"/>
          <w:noProof/>
          <w:sz w:val="24"/>
          <w:szCs w:val="24"/>
          <w:lang w:val="en-ZA" w:eastAsia="en-ZA"/>
        </w:rPr>
        <w:t xml:space="preserve"> (including by the same </w:t>
      </w:r>
      <w:r w:rsidR="005A0705" w:rsidRPr="00A87E91">
        <w:rPr>
          <w:rFonts w:ascii="Arial" w:hAnsi="Arial" w:cs="Arial"/>
          <w:noProof/>
          <w:sz w:val="24"/>
          <w:szCs w:val="24"/>
          <w:lang w:val="en-ZA" w:eastAsia="en-ZA"/>
        </w:rPr>
        <w:lastRenderedPageBreak/>
        <w:t>judge</w:t>
      </w:r>
      <w:r w:rsidR="005A0705" w:rsidRPr="00AD2591">
        <w:rPr>
          <w:rStyle w:val="FootnoteReference"/>
          <w:rFonts w:ascii="Arial" w:hAnsi="Arial" w:cs="Arial"/>
          <w:noProof/>
          <w:sz w:val="24"/>
          <w:szCs w:val="24"/>
          <w:lang w:val="en-ZA" w:eastAsia="en-ZA"/>
        </w:rPr>
        <w:footnoteReference w:id="3"/>
      </w:r>
      <w:r w:rsidR="005A0705" w:rsidRPr="00A87E91">
        <w:rPr>
          <w:rFonts w:ascii="Arial" w:hAnsi="Arial" w:cs="Arial"/>
          <w:noProof/>
          <w:sz w:val="24"/>
          <w:szCs w:val="24"/>
          <w:lang w:val="en-ZA" w:eastAsia="en-ZA"/>
        </w:rPr>
        <w:t xml:space="preserve">) holding the contrary. In </w:t>
      </w:r>
      <w:r w:rsidR="005A0705" w:rsidRPr="00A87E91">
        <w:rPr>
          <w:rFonts w:ascii="Arial" w:hAnsi="Arial" w:cs="Arial"/>
          <w:i/>
          <w:noProof/>
          <w:sz w:val="24"/>
          <w:szCs w:val="24"/>
          <w:lang w:val="en-ZA" w:eastAsia="en-ZA"/>
        </w:rPr>
        <w:t>Elias</w:t>
      </w:r>
      <w:r w:rsidR="005A0705" w:rsidRPr="009C24FA">
        <w:rPr>
          <w:rStyle w:val="FootnoteReference"/>
          <w:rFonts w:ascii="Arial" w:hAnsi="Arial" w:cs="Arial"/>
          <w:noProof/>
          <w:sz w:val="24"/>
          <w:szCs w:val="24"/>
          <w:lang w:val="en-ZA" w:eastAsia="en-ZA"/>
        </w:rPr>
        <w:footnoteReference w:id="4"/>
      </w:r>
      <w:r w:rsidR="005A0705" w:rsidRPr="00A87E91">
        <w:rPr>
          <w:rFonts w:ascii="Arial" w:hAnsi="Arial" w:cs="Arial"/>
          <w:i/>
          <w:noProof/>
          <w:sz w:val="24"/>
          <w:szCs w:val="24"/>
          <w:lang w:val="en-ZA" w:eastAsia="en-ZA"/>
        </w:rPr>
        <w:t xml:space="preserve"> </w:t>
      </w:r>
      <w:r w:rsidR="005A0705" w:rsidRPr="00A87E91">
        <w:rPr>
          <w:rFonts w:ascii="Arial" w:hAnsi="Arial" w:cs="Arial"/>
          <w:noProof/>
          <w:sz w:val="24"/>
          <w:szCs w:val="24"/>
          <w:lang w:val="en-ZA" w:eastAsia="en-ZA"/>
        </w:rPr>
        <w:t xml:space="preserve">the same judge whose decision is now on review commented: </w:t>
      </w:r>
    </w:p>
    <w:p w14:paraId="2D07E71D" w14:textId="77777777" w:rsidR="00A6424C" w:rsidRDefault="00A6424C" w:rsidP="00A6424C">
      <w:pPr>
        <w:pStyle w:val="ListParagraph"/>
        <w:spacing w:after="0" w:line="480" w:lineRule="auto"/>
        <w:ind w:left="0" w:firstLine="720"/>
        <w:jc w:val="both"/>
        <w:rPr>
          <w:rFonts w:ascii="Arial" w:hAnsi="Arial" w:cs="Arial"/>
          <w:noProof/>
          <w:sz w:val="24"/>
          <w:szCs w:val="24"/>
          <w:lang w:val="en-ZA" w:eastAsia="en-ZA"/>
        </w:rPr>
      </w:pPr>
    </w:p>
    <w:p w14:paraId="05BAFEA9" w14:textId="77777777" w:rsidR="005A0705" w:rsidRPr="00AD2591" w:rsidRDefault="005A0705" w:rsidP="002053B4">
      <w:pPr>
        <w:pStyle w:val="ListParagraph"/>
        <w:spacing w:after="0" w:line="360" w:lineRule="auto"/>
        <w:jc w:val="both"/>
        <w:rPr>
          <w:rFonts w:ascii="Arial" w:hAnsi="Arial" w:cs="Arial"/>
          <w:noProof/>
          <w:sz w:val="24"/>
          <w:szCs w:val="24"/>
          <w:lang w:val="en-ZA" w:eastAsia="en-ZA"/>
        </w:rPr>
      </w:pPr>
      <w:r w:rsidRPr="00AD2591">
        <w:rPr>
          <w:rFonts w:ascii="Arial" w:hAnsi="Arial" w:cs="Arial"/>
          <w:noProof/>
          <w:sz w:val="24"/>
          <w:szCs w:val="24"/>
          <w:lang w:val="en-ZA" w:eastAsia="en-ZA"/>
        </w:rPr>
        <w:t>‘</w:t>
      </w:r>
      <w:r w:rsidRPr="00A6424C">
        <w:rPr>
          <w:rFonts w:ascii="Arial" w:hAnsi="Arial" w:cs="Arial"/>
          <w:noProof/>
          <w:lang w:val="en-ZA" w:eastAsia="en-ZA"/>
        </w:rPr>
        <w:t xml:space="preserve">I am therefore not convinced that the requirement to file an affidavit in support of an application as required by rule 65 is correctly applied in matters where leave to appeal is sought and therefore agree with the sentiments expressed by Geier J in </w:t>
      </w:r>
      <w:r w:rsidRPr="00A6424C">
        <w:rPr>
          <w:rFonts w:ascii="Arial" w:hAnsi="Arial" w:cs="Arial"/>
          <w:i/>
          <w:noProof/>
          <w:lang w:val="en-ZA" w:eastAsia="en-ZA"/>
        </w:rPr>
        <w:t>Hollard Insurance Company of Namibia v Minister of Finance</w:t>
      </w:r>
      <w:r w:rsidRPr="00A6424C">
        <w:rPr>
          <w:rStyle w:val="FootnoteReference"/>
          <w:rFonts w:ascii="Arial" w:hAnsi="Arial" w:cs="Arial"/>
          <w:i/>
          <w:noProof/>
          <w:lang w:val="en-ZA" w:eastAsia="en-ZA"/>
        </w:rPr>
        <w:footnoteReference w:id="5"/>
      </w:r>
      <w:r w:rsidRPr="00A6424C">
        <w:rPr>
          <w:rFonts w:ascii="Arial" w:hAnsi="Arial" w:cs="Arial"/>
          <w:i/>
          <w:noProof/>
          <w:lang w:val="en-ZA" w:eastAsia="en-ZA"/>
        </w:rPr>
        <w:t>’</w:t>
      </w:r>
      <w:r w:rsidRPr="00A6424C">
        <w:rPr>
          <w:rFonts w:ascii="Arial" w:hAnsi="Arial" w:cs="Arial"/>
          <w:noProof/>
          <w:lang w:val="en-ZA" w:eastAsia="en-ZA"/>
        </w:rPr>
        <w:t>.</w:t>
      </w:r>
      <w:r w:rsidRPr="00AD2591">
        <w:rPr>
          <w:rFonts w:ascii="Arial" w:hAnsi="Arial" w:cs="Arial"/>
          <w:noProof/>
          <w:sz w:val="24"/>
          <w:szCs w:val="24"/>
          <w:lang w:val="en-ZA" w:eastAsia="en-ZA"/>
        </w:rPr>
        <w:t xml:space="preserve"> </w:t>
      </w:r>
    </w:p>
    <w:p w14:paraId="71C85748" w14:textId="77777777" w:rsidR="005A0705" w:rsidRPr="00AD2591" w:rsidRDefault="005A0705" w:rsidP="00AD2591">
      <w:pPr>
        <w:pStyle w:val="ListParagraph"/>
        <w:spacing w:after="0" w:line="480" w:lineRule="auto"/>
        <w:ind w:left="0"/>
        <w:jc w:val="both"/>
        <w:rPr>
          <w:rFonts w:ascii="Arial" w:hAnsi="Arial" w:cs="Arial"/>
          <w:noProof/>
          <w:sz w:val="24"/>
          <w:szCs w:val="24"/>
          <w:lang w:val="en-ZA" w:eastAsia="en-ZA"/>
        </w:rPr>
      </w:pPr>
    </w:p>
    <w:p w14:paraId="2DC966B5" w14:textId="0EEC64D3" w:rsidR="005A0705" w:rsidRPr="00A87E91" w:rsidRDefault="00A87E91" w:rsidP="00A87E91">
      <w:pPr>
        <w:spacing w:after="0" w:line="480" w:lineRule="auto"/>
        <w:jc w:val="both"/>
        <w:rPr>
          <w:rFonts w:ascii="Arial" w:hAnsi="Arial" w:cs="Arial"/>
          <w:sz w:val="24"/>
          <w:szCs w:val="24"/>
        </w:rPr>
      </w:pPr>
      <w:r w:rsidRPr="00AD2591">
        <w:rPr>
          <w:rFonts w:ascii="Arial" w:hAnsi="Arial" w:cs="Arial"/>
          <w:sz w:val="24"/>
          <w:szCs w:val="24"/>
        </w:rPr>
        <w:t>[17]</w:t>
      </w:r>
      <w:r w:rsidRPr="00AD2591">
        <w:rPr>
          <w:rFonts w:ascii="Arial" w:hAnsi="Arial" w:cs="Arial"/>
          <w:sz w:val="24"/>
          <w:szCs w:val="24"/>
        </w:rPr>
        <w:tab/>
      </w:r>
      <w:r w:rsidR="005A0705" w:rsidRPr="00A87E91">
        <w:rPr>
          <w:rFonts w:ascii="Arial" w:hAnsi="Arial" w:cs="Arial"/>
          <w:noProof/>
          <w:sz w:val="24"/>
          <w:szCs w:val="24"/>
          <w:lang w:val="en-ZA" w:eastAsia="en-ZA"/>
        </w:rPr>
        <w:t>Precedent is the lifeblood of the common law.</w:t>
      </w:r>
      <w:r w:rsidR="005A0705" w:rsidRPr="00AD2591">
        <w:rPr>
          <w:rStyle w:val="FootnoteReference"/>
          <w:rFonts w:ascii="Arial" w:hAnsi="Arial" w:cs="Arial"/>
          <w:noProof/>
          <w:sz w:val="24"/>
          <w:szCs w:val="24"/>
          <w:lang w:val="en-ZA" w:eastAsia="en-ZA"/>
        </w:rPr>
        <w:footnoteReference w:id="6"/>
      </w:r>
      <w:r w:rsidR="005A0705" w:rsidRPr="00A87E91">
        <w:rPr>
          <w:rFonts w:ascii="Arial" w:hAnsi="Arial" w:cs="Arial"/>
          <w:noProof/>
          <w:sz w:val="24"/>
          <w:szCs w:val="24"/>
          <w:lang w:val="en-ZA" w:eastAsia="en-ZA"/>
        </w:rPr>
        <w:t xml:space="preserve"> Chaos and uncertainty will inevitably result if judges of the High Court ignore precedent. It is </w:t>
      </w:r>
      <w:r w:rsidR="005A0705" w:rsidRPr="00A87E91">
        <w:rPr>
          <w:rFonts w:ascii="Arial" w:hAnsi="Arial" w:cs="Arial"/>
          <w:sz w:val="24"/>
          <w:szCs w:val="24"/>
        </w:rPr>
        <w:t>trite that judges of the High Court a</w:t>
      </w:r>
      <w:r w:rsidR="00526E3E" w:rsidRPr="00A87E91">
        <w:rPr>
          <w:rFonts w:ascii="Arial" w:hAnsi="Arial" w:cs="Arial"/>
          <w:sz w:val="24"/>
          <w:szCs w:val="24"/>
        </w:rPr>
        <w:t xml:space="preserve">re bound by previous decisions </w:t>
      </w:r>
      <w:r w:rsidR="005A0705" w:rsidRPr="00A87E91">
        <w:rPr>
          <w:rFonts w:ascii="Arial" w:hAnsi="Arial" w:cs="Arial"/>
          <w:sz w:val="24"/>
          <w:szCs w:val="24"/>
        </w:rPr>
        <w:t xml:space="preserve">of that court (including their own) unless (a) it can be distinguished (b) </w:t>
      </w:r>
      <w:r w:rsidR="0036583D" w:rsidRPr="00A87E91">
        <w:rPr>
          <w:rFonts w:ascii="Arial" w:hAnsi="Arial" w:cs="Arial"/>
          <w:sz w:val="24"/>
          <w:szCs w:val="24"/>
        </w:rPr>
        <w:t xml:space="preserve">it </w:t>
      </w:r>
      <w:r w:rsidR="005A0705" w:rsidRPr="00A87E91">
        <w:rPr>
          <w:rFonts w:ascii="Arial" w:hAnsi="Arial" w:cs="Arial"/>
          <w:sz w:val="24"/>
          <w:szCs w:val="24"/>
        </w:rPr>
        <w:t xml:space="preserve">was arrived at </w:t>
      </w:r>
      <w:r w:rsidR="005A0705" w:rsidRPr="00A87E91">
        <w:rPr>
          <w:rFonts w:ascii="Arial" w:hAnsi="Arial" w:cs="Arial"/>
          <w:i/>
          <w:sz w:val="24"/>
          <w:szCs w:val="24"/>
        </w:rPr>
        <w:t>per in curium</w:t>
      </w:r>
      <w:r w:rsidR="005A0705" w:rsidRPr="00A87E91">
        <w:rPr>
          <w:rFonts w:ascii="Arial" w:hAnsi="Arial" w:cs="Arial"/>
          <w:sz w:val="24"/>
          <w:szCs w:val="24"/>
        </w:rPr>
        <w:t xml:space="preserve"> or (c) it is clearly wrong. </w:t>
      </w:r>
      <w:r w:rsidR="00C44BF8" w:rsidRPr="00A87E91">
        <w:rPr>
          <w:rFonts w:ascii="Arial" w:hAnsi="Arial" w:cs="Arial"/>
          <w:sz w:val="24"/>
          <w:szCs w:val="24"/>
        </w:rPr>
        <w:t>Namwater has</w:t>
      </w:r>
      <w:r w:rsidR="002A02EC" w:rsidRPr="00A87E91">
        <w:rPr>
          <w:rFonts w:ascii="Arial" w:hAnsi="Arial" w:cs="Arial"/>
          <w:sz w:val="24"/>
          <w:szCs w:val="24"/>
        </w:rPr>
        <w:t xml:space="preserve"> </w:t>
      </w:r>
      <w:r w:rsidR="0036583D" w:rsidRPr="00A87E91">
        <w:rPr>
          <w:rFonts w:ascii="Arial" w:hAnsi="Arial" w:cs="Arial"/>
          <w:sz w:val="24"/>
          <w:szCs w:val="24"/>
        </w:rPr>
        <w:t>established in the review that both her judgment in Elias</w:t>
      </w:r>
      <w:r w:rsidR="0036583D" w:rsidRPr="00A87E91">
        <w:rPr>
          <w:rFonts w:ascii="Arial" w:hAnsi="Arial" w:cs="Arial"/>
          <w:i/>
          <w:sz w:val="24"/>
          <w:szCs w:val="24"/>
        </w:rPr>
        <w:t xml:space="preserve"> </w:t>
      </w:r>
      <w:r w:rsidR="0036583D" w:rsidRPr="00A87E91">
        <w:rPr>
          <w:rFonts w:ascii="Arial" w:hAnsi="Arial" w:cs="Arial"/>
          <w:sz w:val="24"/>
          <w:szCs w:val="24"/>
        </w:rPr>
        <w:t xml:space="preserve">and that by Geier J in </w:t>
      </w:r>
      <w:r w:rsidR="0036583D" w:rsidRPr="00A87E91">
        <w:rPr>
          <w:rFonts w:ascii="Arial" w:hAnsi="Arial" w:cs="Arial"/>
          <w:i/>
          <w:sz w:val="24"/>
          <w:szCs w:val="24"/>
        </w:rPr>
        <w:t>Hollard</w:t>
      </w:r>
      <w:r w:rsidR="0036583D" w:rsidRPr="00A87E91">
        <w:rPr>
          <w:rFonts w:ascii="Arial" w:hAnsi="Arial" w:cs="Arial"/>
          <w:sz w:val="24"/>
          <w:szCs w:val="24"/>
        </w:rPr>
        <w:t xml:space="preserve"> were brought to </w:t>
      </w:r>
      <w:r w:rsidR="002A02EC" w:rsidRPr="00A87E91">
        <w:rPr>
          <w:rFonts w:ascii="Arial" w:hAnsi="Arial" w:cs="Arial"/>
          <w:sz w:val="24"/>
          <w:szCs w:val="24"/>
        </w:rPr>
        <w:t>the attention of the managing judge, yet in</w:t>
      </w:r>
      <w:r w:rsidR="0036583D" w:rsidRPr="00A87E91">
        <w:rPr>
          <w:rFonts w:ascii="Arial" w:hAnsi="Arial" w:cs="Arial"/>
          <w:sz w:val="24"/>
          <w:szCs w:val="24"/>
        </w:rPr>
        <w:t xml:space="preserve"> her judgment striking the application for leave to appeal the managing judge does not engage with those judgments </w:t>
      </w:r>
      <w:r w:rsidR="002A02EC" w:rsidRPr="00A87E91">
        <w:rPr>
          <w:rFonts w:ascii="Arial" w:hAnsi="Arial" w:cs="Arial"/>
          <w:sz w:val="24"/>
          <w:szCs w:val="24"/>
        </w:rPr>
        <w:t xml:space="preserve">and </w:t>
      </w:r>
      <w:r w:rsidR="0036583D" w:rsidRPr="00A87E91">
        <w:rPr>
          <w:rFonts w:ascii="Arial" w:hAnsi="Arial" w:cs="Arial"/>
          <w:sz w:val="24"/>
          <w:szCs w:val="24"/>
        </w:rPr>
        <w:t xml:space="preserve">to explain why she chose not to follow them. That is an irregularity. </w:t>
      </w:r>
    </w:p>
    <w:p w14:paraId="227609D8" w14:textId="77777777" w:rsidR="005A0705" w:rsidRPr="00AD2591" w:rsidRDefault="005A0705" w:rsidP="00AD2591">
      <w:pPr>
        <w:pStyle w:val="ListParagraph"/>
        <w:spacing w:after="0" w:line="480" w:lineRule="auto"/>
        <w:ind w:left="0"/>
        <w:jc w:val="both"/>
        <w:rPr>
          <w:rFonts w:ascii="Arial" w:hAnsi="Arial" w:cs="Arial"/>
          <w:noProof/>
          <w:sz w:val="24"/>
          <w:szCs w:val="24"/>
          <w:lang w:val="en-ZA" w:eastAsia="en-ZA"/>
        </w:rPr>
      </w:pPr>
    </w:p>
    <w:p w14:paraId="10731531" w14:textId="76859645" w:rsidR="00B12AA7" w:rsidRPr="00A87E91" w:rsidRDefault="00A87E91" w:rsidP="00A87E91">
      <w:pPr>
        <w:spacing w:after="0" w:line="480" w:lineRule="auto"/>
        <w:jc w:val="both"/>
        <w:rPr>
          <w:rFonts w:ascii="Arial" w:hAnsi="Arial" w:cs="Arial"/>
          <w:noProof/>
          <w:sz w:val="24"/>
          <w:szCs w:val="24"/>
          <w:lang w:val="en-ZA" w:eastAsia="en-ZA"/>
        </w:rPr>
      </w:pPr>
      <w:r w:rsidRPr="00AD2591">
        <w:rPr>
          <w:rFonts w:ascii="Arial" w:hAnsi="Arial" w:cs="Arial"/>
          <w:noProof/>
          <w:sz w:val="24"/>
          <w:szCs w:val="24"/>
          <w:lang w:val="en-ZA" w:eastAsia="en-ZA"/>
        </w:rPr>
        <w:t>[18]</w:t>
      </w:r>
      <w:r w:rsidRPr="00AD2591">
        <w:rPr>
          <w:rFonts w:ascii="Arial" w:hAnsi="Arial" w:cs="Arial"/>
          <w:noProof/>
          <w:sz w:val="24"/>
          <w:szCs w:val="24"/>
          <w:lang w:val="en-ZA" w:eastAsia="en-ZA"/>
        </w:rPr>
        <w:tab/>
      </w:r>
      <w:r w:rsidR="00ED15CB" w:rsidRPr="00A87E91">
        <w:rPr>
          <w:rFonts w:ascii="Arial" w:hAnsi="Arial" w:cs="Arial"/>
          <w:noProof/>
          <w:sz w:val="24"/>
          <w:szCs w:val="24"/>
          <w:lang w:val="en-ZA" w:eastAsia="en-ZA"/>
        </w:rPr>
        <w:t xml:space="preserve">On behalf of Namwater, </w:t>
      </w:r>
      <w:r w:rsidR="00B12AA7" w:rsidRPr="00A87E91">
        <w:rPr>
          <w:rFonts w:ascii="Arial" w:hAnsi="Arial" w:cs="Arial"/>
          <w:noProof/>
          <w:sz w:val="24"/>
          <w:szCs w:val="24"/>
          <w:lang w:val="en-ZA" w:eastAsia="en-ZA"/>
        </w:rPr>
        <w:t xml:space="preserve">Mr Narib submitted that should we find that the managing judge committed reviewable irregularities, </w:t>
      </w:r>
      <w:r w:rsidR="00A57C5B" w:rsidRPr="00A87E91">
        <w:rPr>
          <w:rFonts w:ascii="Arial" w:hAnsi="Arial" w:cs="Arial"/>
          <w:noProof/>
          <w:sz w:val="24"/>
          <w:szCs w:val="24"/>
          <w:lang w:val="en-ZA" w:eastAsia="en-ZA"/>
        </w:rPr>
        <w:t xml:space="preserve">we should </w:t>
      </w:r>
      <w:r w:rsidR="00B12AA7" w:rsidRPr="00A87E91">
        <w:rPr>
          <w:rFonts w:ascii="Arial" w:hAnsi="Arial" w:cs="Arial"/>
          <w:noProof/>
          <w:sz w:val="24"/>
          <w:szCs w:val="24"/>
          <w:lang w:val="en-ZA" w:eastAsia="en-ZA"/>
        </w:rPr>
        <w:t xml:space="preserve">review and set </w:t>
      </w:r>
      <w:r w:rsidR="00A57C5B" w:rsidRPr="00A87E91">
        <w:rPr>
          <w:rFonts w:ascii="Arial" w:hAnsi="Arial" w:cs="Arial"/>
          <w:noProof/>
          <w:sz w:val="24"/>
          <w:szCs w:val="24"/>
          <w:lang w:val="en-ZA" w:eastAsia="en-ZA"/>
        </w:rPr>
        <w:t xml:space="preserve">aside </w:t>
      </w:r>
      <w:r w:rsidR="00A82248" w:rsidRPr="00A87E91">
        <w:rPr>
          <w:rFonts w:ascii="Arial" w:hAnsi="Arial" w:cs="Arial"/>
          <w:noProof/>
          <w:sz w:val="24"/>
          <w:szCs w:val="24"/>
          <w:lang w:val="en-ZA" w:eastAsia="en-ZA"/>
        </w:rPr>
        <w:t>her</w:t>
      </w:r>
      <w:r w:rsidR="00B12AA7" w:rsidRPr="00A87E91">
        <w:rPr>
          <w:rFonts w:ascii="Arial" w:hAnsi="Arial" w:cs="Arial"/>
          <w:noProof/>
          <w:sz w:val="24"/>
          <w:szCs w:val="24"/>
          <w:lang w:val="en-ZA" w:eastAsia="en-ZA"/>
        </w:rPr>
        <w:t xml:space="preserve"> order and remit the matter to </w:t>
      </w:r>
      <w:r w:rsidR="002A02EC" w:rsidRPr="00A87E91">
        <w:rPr>
          <w:rFonts w:ascii="Arial" w:hAnsi="Arial" w:cs="Arial"/>
          <w:noProof/>
          <w:sz w:val="24"/>
          <w:szCs w:val="24"/>
          <w:lang w:val="en-ZA" w:eastAsia="en-ZA"/>
        </w:rPr>
        <w:t xml:space="preserve">her </w:t>
      </w:r>
      <w:r w:rsidR="00B12AA7" w:rsidRPr="00A87E91">
        <w:rPr>
          <w:rFonts w:ascii="Arial" w:hAnsi="Arial" w:cs="Arial"/>
          <w:noProof/>
          <w:sz w:val="24"/>
          <w:szCs w:val="24"/>
          <w:lang w:val="en-ZA" w:eastAsia="en-ZA"/>
        </w:rPr>
        <w:t xml:space="preserve">to </w:t>
      </w:r>
      <w:r w:rsidR="00A57C5B" w:rsidRPr="00A87E91">
        <w:rPr>
          <w:rFonts w:ascii="Arial" w:hAnsi="Arial" w:cs="Arial"/>
          <w:noProof/>
          <w:sz w:val="24"/>
          <w:szCs w:val="24"/>
          <w:lang w:val="en-ZA" w:eastAsia="en-ZA"/>
        </w:rPr>
        <w:t>give</w:t>
      </w:r>
      <w:r w:rsidR="00B12AA7" w:rsidRPr="00A87E91">
        <w:rPr>
          <w:rFonts w:ascii="Arial" w:hAnsi="Arial" w:cs="Arial"/>
          <w:noProof/>
          <w:sz w:val="24"/>
          <w:szCs w:val="24"/>
          <w:lang w:val="en-ZA" w:eastAsia="en-ZA"/>
        </w:rPr>
        <w:t xml:space="preserve"> a ruling on the application for leave to appeal as the matter was already argued.</w:t>
      </w:r>
    </w:p>
    <w:p w14:paraId="16C423F1" w14:textId="77777777" w:rsidR="005A0705" w:rsidRPr="00AD2591" w:rsidRDefault="005A0705" w:rsidP="00AD2591">
      <w:pPr>
        <w:pStyle w:val="ListParagraph"/>
        <w:spacing w:after="0" w:line="480" w:lineRule="auto"/>
        <w:ind w:left="0"/>
        <w:jc w:val="both"/>
        <w:rPr>
          <w:rFonts w:ascii="Arial" w:hAnsi="Arial" w:cs="Arial"/>
          <w:noProof/>
          <w:sz w:val="24"/>
          <w:szCs w:val="24"/>
          <w:lang w:val="en-ZA" w:eastAsia="en-ZA"/>
        </w:rPr>
      </w:pPr>
    </w:p>
    <w:p w14:paraId="25FD04DD" w14:textId="601A9816" w:rsidR="008F6117" w:rsidRPr="00A87E91" w:rsidRDefault="00A87E91" w:rsidP="00A87E91">
      <w:pPr>
        <w:spacing w:after="0" w:line="480" w:lineRule="auto"/>
        <w:jc w:val="both"/>
        <w:rPr>
          <w:rFonts w:ascii="Arial" w:hAnsi="Arial" w:cs="Arial"/>
          <w:noProof/>
          <w:sz w:val="24"/>
          <w:szCs w:val="24"/>
          <w:lang w:val="en-ZA" w:eastAsia="en-ZA"/>
        </w:rPr>
      </w:pPr>
      <w:r>
        <w:rPr>
          <w:rFonts w:ascii="Arial" w:hAnsi="Arial" w:cs="Arial"/>
          <w:noProof/>
          <w:sz w:val="24"/>
          <w:szCs w:val="24"/>
          <w:lang w:val="en-ZA" w:eastAsia="en-ZA"/>
        </w:rPr>
        <w:t>[19]</w:t>
      </w:r>
      <w:r>
        <w:rPr>
          <w:rFonts w:ascii="Arial" w:hAnsi="Arial" w:cs="Arial"/>
          <w:noProof/>
          <w:sz w:val="24"/>
          <w:szCs w:val="24"/>
          <w:lang w:val="en-ZA" w:eastAsia="en-ZA"/>
        </w:rPr>
        <w:tab/>
      </w:r>
      <w:r w:rsidR="00A82248" w:rsidRPr="00A87E91">
        <w:rPr>
          <w:rFonts w:ascii="Arial" w:hAnsi="Arial" w:cs="Arial"/>
          <w:noProof/>
          <w:sz w:val="24"/>
          <w:szCs w:val="24"/>
          <w:lang w:val="en-ZA" w:eastAsia="en-ZA"/>
        </w:rPr>
        <w:t xml:space="preserve">For all of the reasons I have given above, </w:t>
      </w:r>
      <w:r w:rsidR="005A0705" w:rsidRPr="00A87E91">
        <w:rPr>
          <w:rFonts w:ascii="Arial" w:hAnsi="Arial" w:cs="Arial"/>
          <w:noProof/>
          <w:sz w:val="24"/>
          <w:szCs w:val="24"/>
          <w:lang w:val="en-ZA" w:eastAsia="en-ZA"/>
        </w:rPr>
        <w:t>I am satisfed that Namwater has made out the case that the managing judge committed an irregularity</w:t>
      </w:r>
      <w:r w:rsidR="00072177" w:rsidRPr="00A87E91">
        <w:rPr>
          <w:rFonts w:ascii="Arial" w:hAnsi="Arial" w:cs="Arial"/>
          <w:noProof/>
          <w:sz w:val="24"/>
          <w:szCs w:val="24"/>
          <w:lang w:val="en-ZA" w:eastAsia="en-ZA"/>
        </w:rPr>
        <w:t>.</w:t>
      </w:r>
      <w:r w:rsidR="005A0705" w:rsidRPr="00A87E91">
        <w:rPr>
          <w:rFonts w:ascii="Arial" w:hAnsi="Arial" w:cs="Arial"/>
          <w:noProof/>
          <w:sz w:val="24"/>
          <w:szCs w:val="24"/>
          <w:lang w:val="en-ZA" w:eastAsia="en-ZA"/>
        </w:rPr>
        <w:t xml:space="preserve"> What remains to consider is wether the basis on which the application for leave to appeal </w:t>
      </w:r>
      <w:r w:rsidR="00A57C5B" w:rsidRPr="00A87E91">
        <w:rPr>
          <w:rFonts w:ascii="Arial" w:hAnsi="Arial" w:cs="Arial"/>
          <w:noProof/>
          <w:sz w:val="24"/>
          <w:szCs w:val="24"/>
          <w:lang w:val="en-ZA" w:eastAsia="en-ZA"/>
        </w:rPr>
        <w:t xml:space="preserve">was struck off from the roll </w:t>
      </w:r>
      <w:r w:rsidR="005A0705" w:rsidRPr="00A87E91">
        <w:rPr>
          <w:rFonts w:ascii="Arial" w:hAnsi="Arial" w:cs="Arial"/>
          <w:noProof/>
          <w:sz w:val="24"/>
          <w:szCs w:val="24"/>
          <w:lang w:val="en-ZA" w:eastAsia="en-ZA"/>
        </w:rPr>
        <w:t xml:space="preserve">is correct in law. </w:t>
      </w:r>
    </w:p>
    <w:p w14:paraId="6500A989" w14:textId="77777777" w:rsidR="008F6117" w:rsidRPr="008F6117" w:rsidRDefault="008F6117" w:rsidP="008F6117">
      <w:pPr>
        <w:spacing w:after="0" w:line="480" w:lineRule="auto"/>
        <w:jc w:val="both"/>
        <w:rPr>
          <w:rFonts w:ascii="Arial" w:hAnsi="Arial" w:cs="Arial"/>
          <w:noProof/>
          <w:sz w:val="24"/>
          <w:szCs w:val="24"/>
          <w:lang w:val="en-ZA" w:eastAsia="en-ZA"/>
        </w:rPr>
      </w:pPr>
    </w:p>
    <w:p w14:paraId="723F4EC9" w14:textId="375F1578" w:rsidR="007A6BD8" w:rsidRPr="00A87E91" w:rsidRDefault="00A87E91" w:rsidP="00A87E91">
      <w:pPr>
        <w:spacing w:after="0" w:line="480" w:lineRule="auto"/>
        <w:jc w:val="both"/>
        <w:rPr>
          <w:rFonts w:ascii="Arial" w:hAnsi="Arial" w:cs="Arial"/>
          <w:noProof/>
          <w:sz w:val="24"/>
          <w:szCs w:val="24"/>
          <w:lang w:val="en-ZA" w:eastAsia="en-ZA"/>
        </w:rPr>
      </w:pPr>
      <w:r w:rsidRPr="00AD2591">
        <w:rPr>
          <w:rFonts w:ascii="Arial" w:hAnsi="Arial" w:cs="Arial"/>
          <w:noProof/>
          <w:sz w:val="24"/>
          <w:szCs w:val="24"/>
          <w:lang w:val="en-ZA" w:eastAsia="en-ZA"/>
        </w:rPr>
        <w:t>[20]</w:t>
      </w:r>
      <w:r w:rsidRPr="00AD2591">
        <w:rPr>
          <w:rFonts w:ascii="Arial" w:hAnsi="Arial" w:cs="Arial"/>
          <w:noProof/>
          <w:sz w:val="24"/>
          <w:szCs w:val="24"/>
          <w:lang w:val="en-ZA" w:eastAsia="en-ZA"/>
        </w:rPr>
        <w:tab/>
      </w:r>
      <w:r w:rsidR="005A0705" w:rsidRPr="00A87E91">
        <w:rPr>
          <w:rFonts w:ascii="Arial" w:hAnsi="Arial" w:cs="Arial"/>
          <w:noProof/>
          <w:sz w:val="24"/>
          <w:szCs w:val="24"/>
          <w:lang w:val="en-ZA" w:eastAsia="en-ZA"/>
        </w:rPr>
        <w:t>Because there are now conflicting High Court decisions on the proper approach to Rule 115</w:t>
      </w:r>
      <w:r w:rsidR="00C96E0B" w:rsidRPr="00A87E91">
        <w:rPr>
          <w:rFonts w:ascii="Arial" w:hAnsi="Arial" w:cs="Arial"/>
          <w:noProof/>
          <w:sz w:val="24"/>
          <w:szCs w:val="24"/>
          <w:lang w:val="en-ZA" w:eastAsia="en-ZA"/>
        </w:rPr>
        <w:t>,</w:t>
      </w:r>
      <w:r w:rsidR="005A0705" w:rsidRPr="00A87E91">
        <w:rPr>
          <w:rFonts w:ascii="Arial" w:hAnsi="Arial" w:cs="Arial"/>
          <w:noProof/>
          <w:sz w:val="24"/>
          <w:szCs w:val="24"/>
          <w:lang w:val="en-ZA" w:eastAsia="en-ZA"/>
        </w:rPr>
        <w:t xml:space="preserve"> it is necessary, as urged by Mr Narib, for this court to settle the matter. </w:t>
      </w:r>
      <w:r w:rsidR="00B67421" w:rsidRPr="00A87E91">
        <w:rPr>
          <w:rFonts w:ascii="Arial" w:hAnsi="Arial" w:cs="Arial"/>
          <w:noProof/>
          <w:sz w:val="24"/>
          <w:szCs w:val="24"/>
          <w:lang w:val="en-ZA" w:eastAsia="en-ZA"/>
        </w:rPr>
        <w:t>I agree that it is in the interest of the proper administration of justice that this Court not only review and set aside the decision by the managing judge but to authoritatively settle the proper approach to Rule 115. I turn to that issue next.</w:t>
      </w:r>
    </w:p>
    <w:p w14:paraId="219E1BFA" w14:textId="77777777" w:rsidR="00687290" w:rsidRPr="00AD2591" w:rsidRDefault="00687290" w:rsidP="00AD2591">
      <w:pPr>
        <w:pStyle w:val="ListParagraph"/>
        <w:spacing w:after="0" w:line="480" w:lineRule="auto"/>
        <w:ind w:left="0"/>
        <w:jc w:val="both"/>
        <w:rPr>
          <w:rFonts w:ascii="Arial" w:hAnsi="Arial" w:cs="Arial"/>
          <w:sz w:val="24"/>
          <w:szCs w:val="24"/>
          <w:u w:val="single"/>
          <w:lang w:val="en-ZA"/>
        </w:rPr>
      </w:pPr>
    </w:p>
    <w:p w14:paraId="4E826AB0" w14:textId="4C02E44C" w:rsidR="00852FB6" w:rsidRPr="00AD2591" w:rsidRDefault="008F6117" w:rsidP="00AD2591">
      <w:pPr>
        <w:pStyle w:val="ListParagraph"/>
        <w:spacing w:after="0" w:line="480" w:lineRule="auto"/>
        <w:ind w:left="0"/>
        <w:jc w:val="both"/>
        <w:rPr>
          <w:rFonts w:ascii="Arial" w:hAnsi="Arial" w:cs="Arial"/>
          <w:sz w:val="24"/>
          <w:szCs w:val="24"/>
          <w:lang w:val="en-ZA"/>
        </w:rPr>
      </w:pPr>
      <w:r>
        <w:rPr>
          <w:rFonts w:ascii="Arial" w:hAnsi="Arial" w:cs="Arial"/>
          <w:sz w:val="24"/>
          <w:szCs w:val="24"/>
          <w:u w:val="single"/>
          <w:lang w:val="en-ZA"/>
        </w:rPr>
        <w:t>Managing judge’s interpretation of Rule 115</w:t>
      </w:r>
    </w:p>
    <w:p w14:paraId="0DB4024B" w14:textId="27D665EB" w:rsidR="00AA373E" w:rsidRPr="00A87E91" w:rsidRDefault="00A87E91" w:rsidP="00A87E91">
      <w:pPr>
        <w:spacing w:after="0" w:line="480" w:lineRule="auto"/>
        <w:jc w:val="both"/>
        <w:rPr>
          <w:rFonts w:ascii="Arial" w:hAnsi="Arial" w:cs="Arial"/>
          <w:noProof/>
          <w:sz w:val="24"/>
          <w:szCs w:val="24"/>
          <w:lang w:val="en-ZA" w:eastAsia="en-ZA"/>
        </w:rPr>
      </w:pPr>
      <w:r w:rsidRPr="00AD2591">
        <w:rPr>
          <w:rFonts w:ascii="Arial" w:hAnsi="Arial" w:cs="Arial"/>
          <w:noProof/>
          <w:sz w:val="24"/>
          <w:szCs w:val="24"/>
          <w:lang w:val="en-ZA" w:eastAsia="en-ZA"/>
        </w:rPr>
        <w:t>[21]</w:t>
      </w:r>
      <w:r w:rsidRPr="00AD2591">
        <w:rPr>
          <w:rFonts w:ascii="Arial" w:hAnsi="Arial" w:cs="Arial"/>
          <w:noProof/>
          <w:sz w:val="24"/>
          <w:szCs w:val="24"/>
          <w:lang w:val="en-ZA" w:eastAsia="en-ZA"/>
        </w:rPr>
        <w:tab/>
      </w:r>
      <w:r w:rsidR="00AA373E" w:rsidRPr="00A87E91">
        <w:rPr>
          <w:rFonts w:ascii="Arial" w:hAnsi="Arial" w:cs="Arial"/>
          <w:noProof/>
          <w:sz w:val="24"/>
          <w:szCs w:val="24"/>
          <w:lang w:val="en-ZA" w:eastAsia="en-ZA"/>
        </w:rPr>
        <w:t xml:space="preserve">Rule 115 reads: </w:t>
      </w:r>
    </w:p>
    <w:p w14:paraId="5E2E28B5" w14:textId="77777777" w:rsidR="005C2331" w:rsidRDefault="005C2331" w:rsidP="00AD2591">
      <w:pPr>
        <w:pStyle w:val="ListParagraph"/>
        <w:spacing w:after="0" w:line="480" w:lineRule="auto"/>
        <w:ind w:left="1440" w:hanging="648"/>
        <w:jc w:val="both"/>
        <w:rPr>
          <w:rFonts w:ascii="Arial" w:hAnsi="Arial" w:cs="Arial"/>
          <w:noProof/>
          <w:sz w:val="24"/>
          <w:szCs w:val="24"/>
          <w:lang w:val="en-ZA" w:eastAsia="en-ZA"/>
        </w:rPr>
      </w:pPr>
    </w:p>
    <w:p w14:paraId="4DC89F1C" w14:textId="77777777" w:rsidR="00AA373E" w:rsidRPr="005C2331" w:rsidRDefault="00AA373E" w:rsidP="005C2331">
      <w:pPr>
        <w:pStyle w:val="ListParagraph"/>
        <w:spacing w:after="0" w:line="360" w:lineRule="auto"/>
        <w:ind w:left="1440" w:hanging="648"/>
        <w:jc w:val="both"/>
        <w:rPr>
          <w:rFonts w:ascii="Arial" w:hAnsi="Arial" w:cs="Arial"/>
          <w:noProof/>
          <w:lang w:val="en-ZA" w:eastAsia="en-ZA"/>
        </w:rPr>
      </w:pPr>
      <w:r w:rsidRPr="005C2331">
        <w:rPr>
          <w:rFonts w:ascii="Arial" w:hAnsi="Arial" w:cs="Arial"/>
          <w:noProof/>
          <w:lang w:val="en-ZA" w:eastAsia="en-ZA"/>
        </w:rPr>
        <w:t>‘(1)</w:t>
      </w:r>
      <w:r w:rsidRPr="005C2331">
        <w:rPr>
          <w:rFonts w:ascii="Arial" w:hAnsi="Arial" w:cs="Arial"/>
          <w:noProof/>
          <w:lang w:val="en-ZA" w:eastAsia="en-ZA"/>
        </w:rPr>
        <w:tab/>
        <w:t xml:space="preserve"> When leave to appeal from a judgment or order of the court is required the person seeking leave to appeal may, on a statement of the grounds for the leave to appeal, request for leave to appeal at the time of the judgment or order.</w:t>
      </w:r>
    </w:p>
    <w:p w14:paraId="248CC0ED" w14:textId="77777777" w:rsidR="00AA373E" w:rsidRPr="005C2331" w:rsidRDefault="00AA373E" w:rsidP="005C2331">
      <w:pPr>
        <w:pStyle w:val="ListParagraph"/>
        <w:spacing w:after="0" w:line="360" w:lineRule="auto"/>
        <w:ind w:left="1440" w:hanging="648"/>
        <w:jc w:val="both"/>
        <w:rPr>
          <w:rFonts w:ascii="Arial" w:hAnsi="Arial" w:cs="Arial"/>
          <w:noProof/>
          <w:lang w:val="en-ZA" w:eastAsia="en-ZA"/>
        </w:rPr>
      </w:pPr>
    </w:p>
    <w:p w14:paraId="46D21013" w14:textId="77777777" w:rsidR="00AA373E" w:rsidRPr="005C2331" w:rsidRDefault="00AA373E" w:rsidP="005C2331">
      <w:pPr>
        <w:spacing w:after="0" w:line="360" w:lineRule="auto"/>
        <w:ind w:left="1440" w:hanging="720"/>
        <w:jc w:val="both"/>
        <w:rPr>
          <w:rFonts w:ascii="Arial" w:hAnsi="Arial" w:cs="Arial"/>
          <w:noProof/>
          <w:lang w:val="en-ZA" w:eastAsia="en-ZA"/>
        </w:rPr>
      </w:pPr>
      <w:r w:rsidRPr="005C2331">
        <w:rPr>
          <w:rFonts w:ascii="Arial" w:hAnsi="Arial" w:cs="Arial"/>
          <w:noProof/>
          <w:lang w:val="en-ZA" w:eastAsia="en-ZA"/>
        </w:rPr>
        <w:t>(2)</w:t>
      </w:r>
      <w:r w:rsidRPr="005C2331">
        <w:rPr>
          <w:rFonts w:ascii="Arial" w:hAnsi="Arial" w:cs="Arial"/>
          <w:noProof/>
          <w:lang w:val="en-ZA" w:eastAsia="en-ZA"/>
        </w:rPr>
        <w:tab/>
        <w:t xml:space="preserve"> When leave to appeal from a judgment or order of the court is required and it has not been requested at the time of the judgment or order, application for such leave must be made together with the grounds for the leave to appeal within 15 days after the date of the order appealed against.</w:t>
      </w:r>
    </w:p>
    <w:p w14:paraId="03BF89CA" w14:textId="77777777" w:rsidR="00AA373E" w:rsidRPr="005C2331" w:rsidRDefault="00AA373E" w:rsidP="005C2331">
      <w:pPr>
        <w:spacing w:after="0" w:line="360" w:lineRule="auto"/>
        <w:ind w:left="1440" w:hanging="720"/>
        <w:jc w:val="both"/>
        <w:rPr>
          <w:rFonts w:ascii="Arial" w:hAnsi="Arial" w:cs="Arial"/>
          <w:noProof/>
          <w:lang w:val="en-ZA" w:eastAsia="en-ZA"/>
        </w:rPr>
      </w:pPr>
    </w:p>
    <w:p w14:paraId="6615B889" w14:textId="77777777" w:rsidR="00AA373E" w:rsidRPr="005C2331" w:rsidRDefault="00AA373E" w:rsidP="005C2331">
      <w:pPr>
        <w:spacing w:after="0" w:line="360" w:lineRule="auto"/>
        <w:ind w:left="1440" w:hanging="720"/>
        <w:jc w:val="both"/>
        <w:rPr>
          <w:rFonts w:ascii="Arial" w:hAnsi="Arial" w:cs="Arial"/>
          <w:noProof/>
          <w:lang w:val="en-ZA" w:eastAsia="en-ZA"/>
        </w:rPr>
      </w:pPr>
      <w:r w:rsidRPr="005C2331">
        <w:rPr>
          <w:rFonts w:ascii="Arial" w:hAnsi="Arial" w:cs="Arial"/>
          <w:noProof/>
          <w:lang w:val="en-ZA" w:eastAsia="en-ZA"/>
        </w:rPr>
        <w:t>(3)</w:t>
      </w:r>
      <w:r w:rsidRPr="005C2331">
        <w:rPr>
          <w:rFonts w:ascii="Arial" w:hAnsi="Arial" w:cs="Arial"/>
          <w:noProof/>
          <w:lang w:val="en-ZA" w:eastAsia="en-ZA"/>
        </w:rPr>
        <w:tab/>
        <w:t xml:space="preserve"> If the reasons or the full reasons for the court’s judgment or order are given on a later date than the date of the judgment or order, the application may be made </w:t>
      </w:r>
      <w:r w:rsidRPr="005C2331">
        <w:rPr>
          <w:rFonts w:ascii="Arial" w:hAnsi="Arial" w:cs="Arial"/>
          <w:noProof/>
          <w:lang w:val="en-ZA" w:eastAsia="en-ZA"/>
        </w:rPr>
        <w:lastRenderedPageBreak/>
        <w:t>within 15 days after the later date and the court may, on good cause shown, extend the period of 15 days. . . .’</w:t>
      </w:r>
    </w:p>
    <w:p w14:paraId="155965AB" w14:textId="77777777" w:rsidR="00687290" w:rsidRPr="00AD2591" w:rsidRDefault="00687290" w:rsidP="00AD2591">
      <w:pPr>
        <w:pStyle w:val="ListParagraph"/>
        <w:spacing w:after="0" w:line="480" w:lineRule="auto"/>
        <w:ind w:left="0"/>
        <w:jc w:val="both"/>
        <w:rPr>
          <w:rFonts w:ascii="Arial" w:hAnsi="Arial" w:cs="Arial"/>
          <w:sz w:val="24"/>
          <w:szCs w:val="24"/>
          <w:lang w:val="en-ZA"/>
        </w:rPr>
      </w:pPr>
    </w:p>
    <w:p w14:paraId="50B7EE3C" w14:textId="067E25C1" w:rsidR="00DE054C" w:rsidRPr="00A87E91" w:rsidRDefault="00A87E91" w:rsidP="00A87E91">
      <w:pPr>
        <w:spacing w:after="0" w:line="480" w:lineRule="auto"/>
        <w:jc w:val="both"/>
        <w:rPr>
          <w:rFonts w:ascii="Arial" w:hAnsi="Arial" w:cs="Arial"/>
          <w:sz w:val="24"/>
          <w:szCs w:val="24"/>
          <w:lang w:val="en-ZA"/>
        </w:rPr>
      </w:pPr>
      <w:r>
        <w:rPr>
          <w:rFonts w:ascii="Arial" w:hAnsi="Arial" w:cs="Arial"/>
          <w:sz w:val="24"/>
          <w:szCs w:val="24"/>
          <w:lang w:val="en-ZA"/>
        </w:rPr>
        <w:t>[22]</w:t>
      </w:r>
      <w:r>
        <w:rPr>
          <w:rFonts w:ascii="Arial" w:hAnsi="Arial" w:cs="Arial"/>
          <w:sz w:val="24"/>
          <w:szCs w:val="24"/>
          <w:lang w:val="en-ZA"/>
        </w:rPr>
        <w:tab/>
      </w:r>
      <w:r w:rsidR="00682BD2" w:rsidRPr="00A87E91">
        <w:rPr>
          <w:rFonts w:ascii="Arial" w:hAnsi="Arial" w:cs="Arial"/>
          <w:sz w:val="24"/>
          <w:szCs w:val="24"/>
          <w:lang w:val="en-ZA"/>
        </w:rPr>
        <w:t xml:space="preserve">According to the </w:t>
      </w:r>
      <w:r w:rsidR="003469D3" w:rsidRPr="00A87E91">
        <w:rPr>
          <w:rFonts w:ascii="Arial" w:hAnsi="Arial" w:cs="Arial"/>
          <w:sz w:val="24"/>
          <w:szCs w:val="24"/>
          <w:lang w:val="en-ZA"/>
        </w:rPr>
        <w:t xml:space="preserve">managing judge, </w:t>
      </w:r>
      <w:r w:rsidR="00EF72A2" w:rsidRPr="00A87E91">
        <w:rPr>
          <w:rFonts w:ascii="Arial" w:hAnsi="Arial" w:cs="Arial"/>
          <w:sz w:val="24"/>
          <w:szCs w:val="24"/>
          <w:lang w:val="en-ZA"/>
        </w:rPr>
        <w:t>R</w:t>
      </w:r>
      <w:r w:rsidR="00D567EF" w:rsidRPr="00A87E91">
        <w:rPr>
          <w:rFonts w:ascii="Arial" w:hAnsi="Arial" w:cs="Arial"/>
          <w:sz w:val="24"/>
          <w:szCs w:val="24"/>
          <w:lang w:val="en-ZA"/>
        </w:rPr>
        <w:t xml:space="preserve">ule 115 creates two opportunities for when </w:t>
      </w:r>
      <w:r w:rsidR="00682BD2" w:rsidRPr="00A87E91">
        <w:rPr>
          <w:rFonts w:ascii="Arial" w:hAnsi="Arial" w:cs="Arial"/>
          <w:sz w:val="24"/>
          <w:szCs w:val="24"/>
          <w:lang w:val="en-ZA"/>
        </w:rPr>
        <w:t>leave to appeal may be brought:</w:t>
      </w:r>
    </w:p>
    <w:p w14:paraId="5C04CF79" w14:textId="77777777" w:rsidR="00202987" w:rsidRPr="00AD2591" w:rsidRDefault="00202987" w:rsidP="00202987">
      <w:pPr>
        <w:pStyle w:val="ListParagraph"/>
        <w:spacing w:after="0" w:line="480" w:lineRule="auto"/>
        <w:ind w:left="0"/>
        <w:jc w:val="both"/>
        <w:rPr>
          <w:rFonts w:ascii="Arial" w:hAnsi="Arial" w:cs="Arial"/>
          <w:sz w:val="24"/>
          <w:szCs w:val="24"/>
          <w:lang w:val="en-ZA"/>
        </w:rPr>
      </w:pPr>
    </w:p>
    <w:p w14:paraId="6FE717D0" w14:textId="17AF7FF4" w:rsidR="00D567EF" w:rsidRPr="00D14967" w:rsidRDefault="00DE054C" w:rsidP="00A043C6">
      <w:pPr>
        <w:spacing w:after="0" w:line="360" w:lineRule="auto"/>
        <w:ind w:left="360"/>
        <w:jc w:val="both"/>
        <w:rPr>
          <w:rFonts w:ascii="Arial" w:hAnsi="Arial" w:cs="Arial"/>
          <w:lang w:val="en-ZA"/>
        </w:rPr>
      </w:pPr>
      <w:r w:rsidRPr="00AD2591">
        <w:rPr>
          <w:rFonts w:ascii="Arial" w:hAnsi="Arial" w:cs="Arial"/>
          <w:sz w:val="24"/>
          <w:szCs w:val="24"/>
          <w:lang w:val="en-ZA"/>
        </w:rPr>
        <w:t>‘</w:t>
      </w:r>
      <w:r w:rsidR="00A043C6">
        <w:rPr>
          <w:rFonts w:ascii="Arial" w:hAnsi="Arial" w:cs="Arial"/>
          <w:sz w:val="24"/>
          <w:szCs w:val="24"/>
          <w:lang w:val="en-ZA"/>
        </w:rPr>
        <w:t xml:space="preserve">a. </w:t>
      </w:r>
      <w:r w:rsidR="00D567EF" w:rsidRPr="00D14967">
        <w:rPr>
          <w:rFonts w:ascii="Arial" w:hAnsi="Arial" w:cs="Arial"/>
          <w:lang w:val="en-ZA"/>
        </w:rPr>
        <w:t>The first opportunity is at the time of delivery of the judgment or order. At this stage, the applicant merely has to request a statement of the grounds for leave to appeal. Nothing more is required than a request on a statement of the grounds at this stage.</w:t>
      </w:r>
    </w:p>
    <w:p w14:paraId="0F896DBE" w14:textId="77777777" w:rsidR="00451870" w:rsidRPr="00D14967" w:rsidRDefault="00451870" w:rsidP="00D14967">
      <w:pPr>
        <w:spacing w:after="0" w:line="360" w:lineRule="auto"/>
        <w:ind w:left="720"/>
        <w:contextualSpacing/>
        <w:jc w:val="both"/>
        <w:rPr>
          <w:rFonts w:ascii="Arial" w:hAnsi="Arial" w:cs="Arial"/>
          <w:lang w:val="en-ZA"/>
        </w:rPr>
      </w:pPr>
    </w:p>
    <w:p w14:paraId="48DA2C62" w14:textId="3F98468C" w:rsidR="00C10ED4" w:rsidRDefault="00A043C6" w:rsidP="00202987">
      <w:pPr>
        <w:spacing w:after="0" w:line="360" w:lineRule="auto"/>
        <w:ind w:left="360"/>
        <w:contextualSpacing/>
        <w:jc w:val="both"/>
        <w:rPr>
          <w:rFonts w:ascii="Arial" w:hAnsi="Arial" w:cs="Arial"/>
          <w:lang w:val="en-ZA"/>
        </w:rPr>
      </w:pPr>
      <w:r>
        <w:rPr>
          <w:rFonts w:ascii="Arial" w:hAnsi="Arial" w:cs="Arial"/>
          <w:lang w:val="en-ZA"/>
        </w:rPr>
        <w:t xml:space="preserve">b. </w:t>
      </w:r>
      <w:r w:rsidR="00D567EF" w:rsidRPr="00D14967">
        <w:rPr>
          <w:rFonts w:ascii="Arial" w:hAnsi="Arial" w:cs="Arial"/>
          <w:lang w:val="en-ZA"/>
        </w:rPr>
        <w:t>If leave is not requested at the time of the judgment, the applicant must bring an application for such leave together with the grounds for the leave to appeal within 15 da</w:t>
      </w:r>
      <w:r w:rsidR="00DE054C" w:rsidRPr="00D14967">
        <w:rPr>
          <w:rFonts w:ascii="Arial" w:hAnsi="Arial" w:cs="Arial"/>
          <w:lang w:val="en-ZA"/>
        </w:rPr>
        <w:t>ys of the order being appealed.’</w:t>
      </w:r>
    </w:p>
    <w:p w14:paraId="11AEC928" w14:textId="77777777" w:rsidR="00D567EF" w:rsidRPr="00AD2591" w:rsidRDefault="00D567EF" w:rsidP="00AD2591">
      <w:pPr>
        <w:spacing w:after="0" w:line="480" w:lineRule="auto"/>
        <w:jc w:val="both"/>
        <w:rPr>
          <w:rFonts w:ascii="Arial" w:hAnsi="Arial" w:cs="Arial"/>
          <w:sz w:val="24"/>
          <w:szCs w:val="24"/>
          <w:lang w:val="en-ZA"/>
        </w:rPr>
      </w:pPr>
    </w:p>
    <w:p w14:paraId="4BC75D67" w14:textId="5E5227DC" w:rsidR="00E66EB0" w:rsidRPr="00A87E91" w:rsidRDefault="00A87E91" w:rsidP="00A87E91">
      <w:pPr>
        <w:spacing w:after="0" w:line="480" w:lineRule="auto"/>
        <w:jc w:val="both"/>
        <w:rPr>
          <w:rFonts w:ascii="Arial" w:hAnsi="Arial" w:cs="Arial"/>
          <w:sz w:val="24"/>
          <w:szCs w:val="24"/>
          <w:lang w:val="en-ZA"/>
        </w:rPr>
      </w:pPr>
      <w:r w:rsidRPr="00AD2591">
        <w:rPr>
          <w:rFonts w:ascii="Arial" w:hAnsi="Arial" w:cs="Arial"/>
          <w:sz w:val="24"/>
          <w:szCs w:val="24"/>
          <w:lang w:val="en-ZA"/>
        </w:rPr>
        <w:t>[23]</w:t>
      </w:r>
      <w:r w:rsidRPr="00AD2591">
        <w:rPr>
          <w:rFonts w:ascii="Arial" w:hAnsi="Arial" w:cs="Arial"/>
          <w:sz w:val="24"/>
          <w:szCs w:val="24"/>
          <w:lang w:val="en-ZA"/>
        </w:rPr>
        <w:tab/>
      </w:r>
      <w:r w:rsidR="00431559" w:rsidRPr="00A87E91">
        <w:rPr>
          <w:rFonts w:ascii="Arial" w:hAnsi="Arial" w:cs="Arial"/>
          <w:sz w:val="24"/>
          <w:szCs w:val="24"/>
          <w:lang w:val="en-ZA"/>
        </w:rPr>
        <w:t>Because Namwater</w:t>
      </w:r>
      <w:r w:rsidR="002A02EC" w:rsidRPr="00A87E91">
        <w:rPr>
          <w:rFonts w:ascii="Arial" w:hAnsi="Arial" w:cs="Arial"/>
          <w:sz w:val="24"/>
          <w:szCs w:val="24"/>
          <w:lang w:val="en-ZA"/>
        </w:rPr>
        <w:t>,</w:t>
      </w:r>
      <w:r w:rsidR="00431559" w:rsidRPr="00A87E91">
        <w:rPr>
          <w:rFonts w:ascii="Arial" w:hAnsi="Arial" w:cs="Arial"/>
          <w:sz w:val="24"/>
          <w:szCs w:val="24"/>
          <w:lang w:val="en-ZA"/>
        </w:rPr>
        <w:t xml:space="preserve"> i</w:t>
      </w:r>
      <w:r w:rsidR="00AA373E" w:rsidRPr="00A87E91">
        <w:rPr>
          <w:rFonts w:ascii="Arial" w:hAnsi="Arial" w:cs="Arial"/>
          <w:sz w:val="24"/>
          <w:szCs w:val="24"/>
          <w:lang w:val="en-ZA"/>
        </w:rPr>
        <w:t>n support of its application for leave to appeal, had filed only a statement of the grounds of appeal unsupported by affidavit</w:t>
      </w:r>
      <w:r w:rsidR="00431559" w:rsidRPr="00A87E91">
        <w:rPr>
          <w:rFonts w:ascii="Arial" w:hAnsi="Arial" w:cs="Arial"/>
          <w:sz w:val="24"/>
          <w:szCs w:val="24"/>
          <w:lang w:val="en-ZA"/>
        </w:rPr>
        <w:t>, the</w:t>
      </w:r>
      <w:r w:rsidR="003469D3" w:rsidRPr="00A87E91">
        <w:rPr>
          <w:rFonts w:ascii="Arial" w:hAnsi="Arial" w:cs="Arial"/>
          <w:sz w:val="24"/>
          <w:szCs w:val="24"/>
          <w:lang w:val="en-ZA"/>
        </w:rPr>
        <w:t xml:space="preserve"> managing judge </w:t>
      </w:r>
      <w:r w:rsidR="004B4DC7" w:rsidRPr="00A87E91">
        <w:rPr>
          <w:rFonts w:ascii="Arial" w:hAnsi="Arial" w:cs="Arial"/>
          <w:sz w:val="24"/>
          <w:szCs w:val="24"/>
          <w:lang w:val="en-ZA"/>
        </w:rPr>
        <w:t>concluded that</w:t>
      </w:r>
      <w:r w:rsidR="001C2D3C" w:rsidRPr="00A87E91">
        <w:rPr>
          <w:rFonts w:ascii="Arial" w:hAnsi="Arial" w:cs="Arial"/>
          <w:sz w:val="24"/>
          <w:szCs w:val="24"/>
          <w:lang w:val="en-ZA"/>
        </w:rPr>
        <w:t xml:space="preserve"> </w:t>
      </w:r>
      <w:r w:rsidR="00431559" w:rsidRPr="00A87E91">
        <w:rPr>
          <w:rFonts w:ascii="Arial" w:hAnsi="Arial" w:cs="Arial"/>
          <w:sz w:val="24"/>
          <w:szCs w:val="24"/>
          <w:lang w:val="en-ZA"/>
        </w:rPr>
        <w:t xml:space="preserve">the application was a nullity. According to the managing judge, </w:t>
      </w:r>
      <w:r w:rsidR="001C2D3C" w:rsidRPr="00A87E91">
        <w:rPr>
          <w:rFonts w:ascii="Arial" w:hAnsi="Arial" w:cs="Arial"/>
          <w:sz w:val="24"/>
          <w:szCs w:val="24"/>
          <w:lang w:val="en-ZA"/>
        </w:rPr>
        <w:t>a</w:t>
      </w:r>
      <w:r w:rsidR="00D567EF" w:rsidRPr="00A87E91">
        <w:rPr>
          <w:rFonts w:ascii="Arial" w:hAnsi="Arial" w:cs="Arial"/>
          <w:sz w:val="24"/>
          <w:szCs w:val="24"/>
          <w:lang w:val="en-ZA"/>
        </w:rPr>
        <w:t xml:space="preserve"> statement of the grounds for leave to appeal is only sufficie</w:t>
      </w:r>
      <w:r w:rsidR="001C2D3C" w:rsidRPr="00A87E91">
        <w:rPr>
          <w:rFonts w:ascii="Arial" w:hAnsi="Arial" w:cs="Arial"/>
          <w:sz w:val="24"/>
          <w:szCs w:val="24"/>
          <w:lang w:val="en-ZA"/>
        </w:rPr>
        <w:t xml:space="preserve">nt at the time of the judgment and that </w:t>
      </w:r>
      <w:r w:rsidR="00D567EF" w:rsidRPr="00A87E91">
        <w:rPr>
          <w:rFonts w:ascii="Arial" w:hAnsi="Arial" w:cs="Arial"/>
          <w:sz w:val="24"/>
          <w:szCs w:val="24"/>
          <w:lang w:val="en-ZA"/>
        </w:rPr>
        <w:t>after</w:t>
      </w:r>
      <w:r w:rsidR="00CA6960" w:rsidRPr="00A87E91">
        <w:rPr>
          <w:rFonts w:ascii="Arial" w:hAnsi="Arial" w:cs="Arial"/>
          <w:sz w:val="24"/>
          <w:szCs w:val="24"/>
          <w:lang w:val="en-ZA"/>
        </w:rPr>
        <w:t xml:space="preserve"> that</w:t>
      </w:r>
      <w:r w:rsidR="00D567EF" w:rsidRPr="00A87E91">
        <w:rPr>
          <w:rFonts w:ascii="Arial" w:hAnsi="Arial" w:cs="Arial"/>
          <w:sz w:val="24"/>
          <w:szCs w:val="24"/>
          <w:lang w:val="en-ZA"/>
        </w:rPr>
        <w:t>, a proper application must be filed wi</w:t>
      </w:r>
      <w:r w:rsidR="001C2D3C" w:rsidRPr="00A87E91">
        <w:rPr>
          <w:rFonts w:ascii="Arial" w:hAnsi="Arial" w:cs="Arial"/>
          <w:sz w:val="24"/>
          <w:szCs w:val="24"/>
          <w:lang w:val="en-ZA"/>
        </w:rPr>
        <w:t>thin 15 days of the court order</w:t>
      </w:r>
      <w:r w:rsidR="003469D3" w:rsidRPr="00A87E91">
        <w:rPr>
          <w:rFonts w:ascii="Arial" w:hAnsi="Arial" w:cs="Arial"/>
          <w:sz w:val="24"/>
          <w:szCs w:val="24"/>
          <w:lang w:val="en-ZA"/>
        </w:rPr>
        <w:t>.</w:t>
      </w:r>
      <w:r w:rsidR="001C2D3C" w:rsidRPr="00A87E91">
        <w:rPr>
          <w:rFonts w:ascii="Arial" w:hAnsi="Arial" w:cs="Arial"/>
          <w:sz w:val="24"/>
          <w:szCs w:val="24"/>
          <w:lang w:val="en-ZA"/>
        </w:rPr>
        <w:t xml:space="preserve"> The court </w:t>
      </w:r>
      <w:r w:rsidR="001C2D3C" w:rsidRPr="00A87E91">
        <w:rPr>
          <w:rFonts w:ascii="Arial" w:hAnsi="Arial" w:cs="Arial"/>
          <w:i/>
          <w:sz w:val="24"/>
          <w:szCs w:val="24"/>
          <w:lang w:val="en-ZA"/>
        </w:rPr>
        <w:t>a quo</w:t>
      </w:r>
      <w:r w:rsidR="001C2D3C" w:rsidRPr="00A87E91">
        <w:rPr>
          <w:rFonts w:ascii="Arial" w:hAnsi="Arial" w:cs="Arial"/>
          <w:sz w:val="24"/>
          <w:szCs w:val="24"/>
          <w:lang w:val="en-ZA"/>
        </w:rPr>
        <w:t xml:space="preserve"> held that </w:t>
      </w:r>
      <w:r w:rsidR="003469D3" w:rsidRPr="00A87E91">
        <w:rPr>
          <w:rFonts w:ascii="Arial" w:hAnsi="Arial" w:cs="Arial"/>
          <w:sz w:val="24"/>
          <w:szCs w:val="24"/>
          <w:lang w:val="en-ZA"/>
        </w:rPr>
        <w:t xml:space="preserve">it is peremptory that </w:t>
      </w:r>
      <w:r w:rsidR="00072177" w:rsidRPr="00A87E91">
        <w:rPr>
          <w:rFonts w:ascii="Arial" w:hAnsi="Arial" w:cs="Arial"/>
          <w:sz w:val="24"/>
          <w:szCs w:val="24"/>
          <w:lang w:val="en-ZA"/>
        </w:rPr>
        <w:t xml:space="preserve">such </w:t>
      </w:r>
      <w:r w:rsidR="001C2D3C" w:rsidRPr="00A87E91">
        <w:rPr>
          <w:rFonts w:ascii="Arial" w:hAnsi="Arial" w:cs="Arial"/>
          <w:sz w:val="24"/>
          <w:szCs w:val="24"/>
          <w:lang w:val="en-ZA"/>
        </w:rPr>
        <w:t xml:space="preserve">an application </w:t>
      </w:r>
      <w:r w:rsidR="00A221E3" w:rsidRPr="00A87E91">
        <w:rPr>
          <w:rFonts w:ascii="Arial" w:hAnsi="Arial" w:cs="Arial"/>
          <w:sz w:val="24"/>
          <w:szCs w:val="24"/>
          <w:lang w:val="en-ZA"/>
        </w:rPr>
        <w:t>should be brought in terms of R</w:t>
      </w:r>
      <w:r w:rsidR="001C2D3C" w:rsidRPr="00A87E91">
        <w:rPr>
          <w:rFonts w:ascii="Arial" w:hAnsi="Arial" w:cs="Arial"/>
          <w:sz w:val="24"/>
          <w:szCs w:val="24"/>
          <w:lang w:val="en-ZA"/>
        </w:rPr>
        <w:t>ule 65</w:t>
      </w:r>
      <w:r w:rsidR="003469D3" w:rsidRPr="00A87E91">
        <w:rPr>
          <w:rFonts w:ascii="Arial" w:hAnsi="Arial" w:cs="Arial"/>
          <w:sz w:val="24"/>
          <w:szCs w:val="24"/>
          <w:lang w:val="en-ZA"/>
        </w:rPr>
        <w:t xml:space="preserve">. </w:t>
      </w:r>
    </w:p>
    <w:p w14:paraId="1EC007C4" w14:textId="77777777" w:rsidR="00AA373E" w:rsidRPr="00AD2591" w:rsidRDefault="00AA373E" w:rsidP="00AD2591">
      <w:pPr>
        <w:spacing w:after="0" w:line="480" w:lineRule="auto"/>
        <w:jc w:val="both"/>
        <w:rPr>
          <w:rFonts w:ascii="Arial" w:eastAsia="Calibri" w:hAnsi="Arial" w:cs="Arial"/>
          <w:sz w:val="24"/>
          <w:szCs w:val="24"/>
          <w:lang w:val="en-ZA"/>
        </w:rPr>
      </w:pPr>
    </w:p>
    <w:p w14:paraId="507F2CBE" w14:textId="3E8079A5" w:rsidR="00A17FD7" w:rsidRPr="00A87E91" w:rsidRDefault="00A87E91" w:rsidP="00A87E91">
      <w:pPr>
        <w:spacing w:after="0" w:line="480" w:lineRule="auto"/>
        <w:jc w:val="both"/>
        <w:rPr>
          <w:rFonts w:ascii="Arial" w:eastAsia="Calibri" w:hAnsi="Arial" w:cs="Arial"/>
          <w:sz w:val="24"/>
          <w:szCs w:val="24"/>
          <w:lang w:val="en-ZA"/>
        </w:rPr>
      </w:pPr>
      <w:r w:rsidRPr="00AD2591">
        <w:rPr>
          <w:rFonts w:ascii="Arial" w:eastAsia="Calibri" w:hAnsi="Arial" w:cs="Arial"/>
          <w:sz w:val="24"/>
          <w:szCs w:val="24"/>
          <w:lang w:val="en-ZA"/>
        </w:rPr>
        <w:t>[24]</w:t>
      </w:r>
      <w:r w:rsidRPr="00AD2591">
        <w:rPr>
          <w:rFonts w:ascii="Arial" w:eastAsia="Calibri" w:hAnsi="Arial" w:cs="Arial"/>
          <w:sz w:val="24"/>
          <w:szCs w:val="24"/>
          <w:lang w:val="en-ZA"/>
        </w:rPr>
        <w:tab/>
      </w:r>
      <w:r w:rsidR="00431559" w:rsidRPr="00A87E91">
        <w:rPr>
          <w:rFonts w:ascii="Arial" w:eastAsia="Calibri" w:hAnsi="Arial" w:cs="Arial"/>
          <w:sz w:val="24"/>
          <w:szCs w:val="24"/>
          <w:lang w:val="en-ZA"/>
        </w:rPr>
        <w:t xml:space="preserve">This approach </w:t>
      </w:r>
      <w:r w:rsidR="000B4C71" w:rsidRPr="00A87E91">
        <w:rPr>
          <w:rFonts w:ascii="Arial" w:eastAsia="Calibri" w:hAnsi="Arial" w:cs="Arial"/>
          <w:sz w:val="24"/>
          <w:szCs w:val="24"/>
          <w:lang w:val="en-ZA"/>
        </w:rPr>
        <w:t xml:space="preserve">differs from that taken by Geier J in </w:t>
      </w:r>
      <w:r w:rsidR="00A17FD7" w:rsidRPr="00A87E91">
        <w:rPr>
          <w:rFonts w:ascii="Arial" w:hAnsi="Arial" w:cs="Arial"/>
          <w:i/>
          <w:sz w:val="24"/>
          <w:szCs w:val="24"/>
          <w:lang w:val="en-ZA"/>
        </w:rPr>
        <w:t>Hollard</w:t>
      </w:r>
      <w:r w:rsidR="000B4C71" w:rsidRPr="00A87E91">
        <w:rPr>
          <w:rFonts w:ascii="Arial" w:hAnsi="Arial" w:cs="Arial"/>
          <w:i/>
          <w:sz w:val="24"/>
          <w:szCs w:val="24"/>
          <w:lang w:val="en-ZA"/>
        </w:rPr>
        <w:t>.</w:t>
      </w:r>
      <w:r w:rsidR="00A17FD7" w:rsidRPr="00AD2591">
        <w:rPr>
          <w:rStyle w:val="FootnoteReference"/>
          <w:rFonts w:ascii="Arial" w:hAnsi="Arial" w:cs="Arial"/>
          <w:sz w:val="24"/>
          <w:szCs w:val="24"/>
          <w:lang w:val="en-ZA"/>
        </w:rPr>
        <w:footnoteReference w:id="7"/>
      </w:r>
      <w:r w:rsidR="000B4C71" w:rsidRPr="00A87E91">
        <w:rPr>
          <w:rFonts w:ascii="Arial" w:hAnsi="Arial" w:cs="Arial"/>
          <w:i/>
          <w:sz w:val="24"/>
          <w:szCs w:val="24"/>
          <w:lang w:val="en-ZA"/>
        </w:rPr>
        <w:t xml:space="preserve"> </w:t>
      </w:r>
      <w:r w:rsidR="000B4C71" w:rsidRPr="00A87E91">
        <w:rPr>
          <w:rFonts w:ascii="Arial" w:hAnsi="Arial" w:cs="Arial"/>
          <w:sz w:val="24"/>
          <w:szCs w:val="24"/>
          <w:lang w:val="en-ZA"/>
        </w:rPr>
        <w:t xml:space="preserve"> In </w:t>
      </w:r>
      <w:r w:rsidR="000B4C71" w:rsidRPr="00A87E91">
        <w:rPr>
          <w:rFonts w:ascii="Arial" w:hAnsi="Arial" w:cs="Arial"/>
          <w:i/>
          <w:sz w:val="24"/>
          <w:szCs w:val="24"/>
          <w:lang w:val="en-ZA"/>
        </w:rPr>
        <w:t>Hollard</w:t>
      </w:r>
      <w:r w:rsidR="000B4C71" w:rsidRPr="00A87E91">
        <w:rPr>
          <w:rFonts w:ascii="Arial" w:hAnsi="Arial" w:cs="Arial"/>
          <w:sz w:val="24"/>
          <w:szCs w:val="24"/>
          <w:lang w:val="en-ZA"/>
        </w:rPr>
        <w:t xml:space="preserve"> Geier J was referred to </w:t>
      </w:r>
      <w:r w:rsidR="005B21E0" w:rsidRPr="00A87E91">
        <w:rPr>
          <w:rFonts w:ascii="Arial" w:hAnsi="Arial" w:cs="Arial"/>
          <w:i/>
          <w:sz w:val="24"/>
          <w:szCs w:val="24"/>
          <w:lang w:val="en-ZA"/>
        </w:rPr>
        <w:t xml:space="preserve">Namibia Water Corporation Ltd v </w:t>
      </w:r>
      <w:r w:rsidR="00BE54B4" w:rsidRPr="00A87E91">
        <w:rPr>
          <w:rFonts w:ascii="Arial" w:hAnsi="Arial" w:cs="Arial"/>
          <w:i/>
          <w:sz w:val="24"/>
          <w:szCs w:val="24"/>
          <w:lang w:val="en-ZA"/>
        </w:rPr>
        <w:t>Tj</w:t>
      </w:r>
      <w:r w:rsidR="00143169" w:rsidRPr="00A87E91">
        <w:rPr>
          <w:rFonts w:ascii="Arial" w:hAnsi="Arial" w:cs="Arial"/>
          <w:i/>
          <w:sz w:val="24"/>
          <w:szCs w:val="24"/>
          <w:lang w:val="en-ZA"/>
        </w:rPr>
        <w:t>i</w:t>
      </w:r>
      <w:r w:rsidR="00BE54B4" w:rsidRPr="00A87E91">
        <w:rPr>
          <w:rFonts w:ascii="Arial" w:hAnsi="Arial" w:cs="Arial"/>
          <w:i/>
          <w:sz w:val="24"/>
          <w:szCs w:val="24"/>
          <w:lang w:val="en-ZA"/>
        </w:rPr>
        <w:t>pangandjara</w:t>
      </w:r>
      <w:r w:rsidR="005B21E0" w:rsidRPr="00A87E91">
        <w:rPr>
          <w:rFonts w:ascii="Arial" w:hAnsi="Arial" w:cs="Arial"/>
          <w:sz w:val="24"/>
          <w:szCs w:val="24"/>
          <w:lang w:val="en-ZA"/>
        </w:rPr>
        <w:t xml:space="preserve"> (LCA 16 &amp; 17/2017) [2019] NALCMD 33 (21 November 2019)</w:t>
      </w:r>
      <w:r w:rsidR="00D60140" w:rsidRPr="00A87E91">
        <w:rPr>
          <w:rFonts w:ascii="Arial" w:hAnsi="Arial" w:cs="Arial"/>
          <w:sz w:val="24"/>
          <w:szCs w:val="24"/>
          <w:lang w:val="en-ZA"/>
        </w:rPr>
        <w:t xml:space="preserve"> </w:t>
      </w:r>
      <w:r w:rsidR="000B4C71" w:rsidRPr="00A87E91">
        <w:rPr>
          <w:rFonts w:ascii="Arial" w:hAnsi="Arial" w:cs="Arial"/>
          <w:sz w:val="24"/>
          <w:szCs w:val="24"/>
          <w:lang w:val="en-ZA"/>
        </w:rPr>
        <w:t xml:space="preserve">where </w:t>
      </w:r>
      <w:r w:rsidR="00C44BF8" w:rsidRPr="00A87E91">
        <w:rPr>
          <w:rFonts w:ascii="Arial" w:hAnsi="Arial" w:cs="Arial"/>
          <w:sz w:val="24"/>
          <w:szCs w:val="24"/>
          <w:lang w:val="en-ZA"/>
        </w:rPr>
        <w:t xml:space="preserve">a different </w:t>
      </w:r>
      <w:r w:rsidR="000B4C71" w:rsidRPr="00A87E91">
        <w:rPr>
          <w:rFonts w:ascii="Arial" w:hAnsi="Arial" w:cs="Arial"/>
          <w:sz w:val="24"/>
          <w:szCs w:val="24"/>
          <w:lang w:val="en-ZA"/>
        </w:rPr>
        <w:t>judge</w:t>
      </w:r>
      <w:r w:rsidR="00C44BF8" w:rsidRPr="00A87E91">
        <w:rPr>
          <w:rFonts w:ascii="Arial" w:hAnsi="Arial" w:cs="Arial"/>
          <w:sz w:val="24"/>
          <w:szCs w:val="24"/>
          <w:lang w:val="en-ZA"/>
        </w:rPr>
        <w:t xml:space="preserve"> of the High Court </w:t>
      </w:r>
      <w:r w:rsidR="000B4C71" w:rsidRPr="00A87E91">
        <w:rPr>
          <w:rFonts w:ascii="Arial" w:hAnsi="Arial" w:cs="Arial"/>
          <w:sz w:val="24"/>
          <w:szCs w:val="24"/>
          <w:lang w:val="en-ZA"/>
        </w:rPr>
        <w:t xml:space="preserve">held </w:t>
      </w:r>
      <w:r w:rsidR="000B4C71" w:rsidRPr="00A87E91">
        <w:rPr>
          <w:rFonts w:ascii="Arial" w:hAnsi="Arial" w:cs="Arial"/>
          <w:sz w:val="24"/>
          <w:szCs w:val="24"/>
          <w:lang w:val="en-ZA"/>
        </w:rPr>
        <w:lastRenderedPageBreak/>
        <w:t xml:space="preserve">that an application under Rule 115 must comply with Rule 65. According to Geier J in </w:t>
      </w:r>
      <w:r w:rsidR="000B4C71" w:rsidRPr="00A87E91">
        <w:rPr>
          <w:rFonts w:ascii="Arial" w:hAnsi="Arial" w:cs="Arial"/>
          <w:i/>
          <w:sz w:val="24"/>
          <w:szCs w:val="24"/>
          <w:lang w:val="en-ZA"/>
        </w:rPr>
        <w:t>Hollard</w:t>
      </w:r>
      <w:r w:rsidR="003B3C7A" w:rsidRPr="00A87E91">
        <w:rPr>
          <w:rFonts w:ascii="Arial" w:hAnsi="Arial" w:cs="Arial"/>
          <w:i/>
          <w:sz w:val="24"/>
          <w:szCs w:val="24"/>
          <w:lang w:val="en-ZA"/>
        </w:rPr>
        <w:t xml:space="preserve"> </w:t>
      </w:r>
      <w:r w:rsidR="003B3C7A" w:rsidRPr="00A87E91">
        <w:rPr>
          <w:rFonts w:ascii="Arial" w:hAnsi="Arial" w:cs="Arial"/>
          <w:sz w:val="24"/>
          <w:szCs w:val="24"/>
          <w:lang w:val="en-ZA"/>
        </w:rPr>
        <w:t>on that case</w:t>
      </w:r>
      <w:r w:rsidR="000B4C71" w:rsidRPr="00A87E91">
        <w:rPr>
          <w:rFonts w:ascii="Arial" w:hAnsi="Arial" w:cs="Arial"/>
          <w:sz w:val="24"/>
          <w:szCs w:val="24"/>
          <w:lang w:val="en-ZA"/>
        </w:rPr>
        <w:t>:</w:t>
      </w:r>
    </w:p>
    <w:p w14:paraId="39E45887" w14:textId="77777777" w:rsidR="00A17FD7" w:rsidRPr="00AD2591" w:rsidRDefault="00A17FD7" w:rsidP="00AD2591">
      <w:pPr>
        <w:pStyle w:val="ListParagraph"/>
        <w:spacing w:after="0" w:line="480" w:lineRule="auto"/>
        <w:jc w:val="both"/>
        <w:rPr>
          <w:rFonts w:ascii="Arial" w:hAnsi="Arial" w:cs="Arial"/>
          <w:sz w:val="24"/>
          <w:szCs w:val="24"/>
          <w:lang w:val="en-ZA"/>
        </w:rPr>
      </w:pPr>
    </w:p>
    <w:p w14:paraId="08251547" w14:textId="3319F42D" w:rsidR="00A17FD7" w:rsidRPr="00D60140" w:rsidRDefault="00A17FD7" w:rsidP="00D60140">
      <w:pPr>
        <w:pStyle w:val="ListParagraph"/>
        <w:spacing w:after="0" w:line="360" w:lineRule="auto"/>
        <w:jc w:val="both"/>
        <w:rPr>
          <w:rFonts w:ascii="Arial" w:hAnsi="Arial" w:cs="Arial"/>
          <w:lang w:val="en-ZA"/>
        </w:rPr>
      </w:pPr>
      <w:r w:rsidRPr="00D60140">
        <w:rPr>
          <w:rFonts w:ascii="Arial" w:hAnsi="Arial" w:cs="Arial"/>
          <w:lang w:val="en-ZA"/>
        </w:rPr>
        <w:t>‘It was submitted that the judgment was clearly wrong, that it was not consistent with Rule 115, which regulates leav</w:t>
      </w:r>
      <w:r w:rsidR="00C434AF" w:rsidRPr="00D60140">
        <w:rPr>
          <w:rFonts w:ascii="Arial" w:hAnsi="Arial" w:cs="Arial"/>
          <w:lang w:val="en-ZA"/>
        </w:rPr>
        <w:t>e</w:t>
      </w:r>
      <w:r w:rsidRPr="00D60140">
        <w:rPr>
          <w:rFonts w:ascii="Arial" w:hAnsi="Arial" w:cs="Arial"/>
          <w:lang w:val="en-ZA"/>
        </w:rPr>
        <w:t xml:space="preserve"> to appeal and were, plainly, no evidence is required on affidavit for purposes of securing leave to appeal. The evidence on which such an application may permissibly rely is already before court.  Indeed, so it was submitted further, this was directly contrary to the logic of appeals and for the determination of the relevant issues against which leave should be granted or refused and that such issues were to be argued and determined on matters extraneous to the record to which an appeal court, (in principle), is confined. Here it was further relevant that leave to appeal may be sought immediately after judgment (without the need to file any process) and thus that all these aspects clearly demonstrate that the Namibia Water Corporation judgment was wrong.’</w:t>
      </w:r>
    </w:p>
    <w:p w14:paraId="3FC118E4" w14:textId="77777777" w:rsidR="000B4C71" w:rsidRPr="00AD2591" w:rsidRDefault="000B4C71" w:rsidP="00AD2591">
      <w:pPr>
        <w:spacing w:after="0" w:line="480" w:lineRule="auto"/>
        <w:jc w:val="both"/>
        <w:rPr>
          <w:rFonts w:ascii="Arial" w:eastAsia="Calibri" w:hAnsi="Arial" w:cs="Arial"/>
          <w:sz w:val="24"/>
          <w:szCs w:val="24"/>
          <w:lang w:val="en-ZA"/>
        </w:rPr>
      </w:pPr>
    </w:p>
    <w:p w14:paraId="3FD1EB5F" w14:textId="7CD90403" w:rsidR="002A2834" w:rsidRPr="00A87E91" w:rsidRDefault="00A87E91" w:rsidP="00A87E91">
      <w:pPr>
        <w:spacing w:after="0" w:line="480" w:lineRule="auto"/>
        <w:jc w:val="both"/>
        <w:rPr>
          <w:rFonts w:ascii="Arial" w:hAnsi="Arial" w:cs="Arial"/>
          <w:sz w:val="24"/>
          <w:szCs w:val="24"/>
          <w:u w:val="single"/>
          <w:lang w:val="en-ZA"/>
        </w:rPr>
      </w:pPr>
      <w:r w:rsidRPr="00D1005D">
        <w:rPr>
          <w:rFonts w:ascii="Arial" w:hAnsi="Arial" w:cs="Arial"/>
          <w:sz w:val="24"/>
          <w:szCs w:val="24"/>
          <w:lang w:val="en-ZA"/>
        </w:rPr>
        <w:t>[25]</w:t>
      </w:r>
      <w:r w:rsidRPr="00D1005D">
        <w:rPr>
          <w:rFonts w:ascii="Arial" w:hAnsi="Arial" w:cs="Arial"/>
          <w:sz w:val="24"/>
          <w:szCs w:val="24"/>
          <w:lang w:val="en-ZA"/>
        </w:rPr>
        <w:tab/>
      </w:r>
      <w:r w:rsidR="001215DC" w:rsidRPr="00A87E91">
        <w:rPr>
          <w:rFonts w:ascii="Arial" w:eastAsia="Calibri" w:hAnsi="Arial" w:cs="Arial"/>
          <w:sz w:val="24"/>
          <w:szCs w:val="24"/>
          <w:lang w:val="en-ZA"/>
        </w:rPr>
        <w:t xml:space="preserve">In </w:t>
      </w:r>
      <w:r w:rsidR="00C1183B" w:rsidRPr="00A87E91">
        <w:rPr>
          <w:rFonts w:ascii="Arial" w:eastAsia="Calibri" w:hAnsi="Arial" w:cs="Arial"/>
          <w:i/>
          <w:sz w:val="24"/>
          <w:szCs w:val="24"/>
          <w:lang w:val="en-ZA"/>
        </w:rPr>
        <w:t xml:space="preserve">Elias </w:t>
      </w:r>
      <w:r w:rsidR="00724E2A" w:rsidRPr="00A87E91">
        <w:rPr>
          <w:rFonts w:ascii="Arial" w:eastAsia="Calibri" w:hAnsi="Arial" w:cs="Arial"/>
          <w:sz w:val="24"/>
          <w:szCs w:val="24"/>
          <w:lang w:val="en-ZA"/>
        </w:rPr>
        <w:t xml:space="preserve">the managing judge </w:t>
      </w:r>
      <w:r w:rsidR="00E67744" w:rsidRPr="00A87E91">
        <w:rPr>
          <w:rFonts w:ascii="Arial" w:eastAsia="Calibri" w:hAnsi="Arial" w:cs="Arial"/>
          <w:sz w:val="24"/>
          <w:szCs w:val="24"/>
          <w:lang w:val="en-ZA"/>
        </w:rPr>
        <w:t>followed Geier J’</w:t>
      </w:r>
      <w:r w:rsidR="007B6354" w:rsidRPr="00A87E91">
        <w:rPr>
          <w:rFonts w:ascii="Arial" w:eastAsia="Calibri" w:hAnsi="Arial" w:cs="Arial"/>
          <w:sz w:val="24"/>
          <w:szCs w:val="24"/>
          <w:lang w:val="en-ZA"/>
        </w:rPr>
        <w:t>s</w:t>
      </w:r>
      <w:r w:rsidR="00E67744" w:rsidRPr="00A87E91">
        <w:rPr>
          <w:rFonts w:ascii="Arial" w:eastAsia="Calibri" w:hAnsi="Arial" w:cs="Arial"/>
          <w:sz w:val="24"/>
          <w:szCs w:val="24"/>
          <w:lang w:val="en-ZA"/>
        </w:rPr>
        <w:t xml:space="preserve"> approach in </w:t>
      </w:r>
      <w:r w:rsidR="008340E9" w:rsidRPr="00A87E91">
        <w:rPr>
          <w:rFonts w:ascii="Arial" w:eastAsia="Calibri" w:hAnsi="Arial" w:cs="Arial"/>
          <w:i/>
          <w:sz w:val="24"/>
          <w:szCs w:val="24"/>
          <w:lang w:val="en-ZA"/>
        </w:rPr>
        <w:t>Hollard</w:t>
      </w:r>
      <w:r w:rsidR="00724E2A" w:rsidRPr="00A87E91">
        <w:rPr>
          <w:rFonts w:ascii="Arial" w:eastAsia="Calibri" w:hAnsi="Arial" w:cs="Arial"/>
          <w:i/>
          <w:sz w:val="24"/>
          <w:szCs w:val="24"/>
          <w:lang w:val="en-ZA"/>
        </w:rPr>
        <w:t xml:space="preserve"> </w:t>
      </w:r>
      <w:r w:rsidR="00724E2A" w:rsidRPr="00A87E91">
        <w:rPr>
          <w:rFonts w:ascii="Arial" w:eastAsia="Calibri" w:hAnsi="Arial" w:cs="Arial"/>
          <w:sz w:val="24"/>
          <w:szCs w:val="24"/>
          <w:lang w:val="en-ZA"/>
        </w:rPr>
        <w:t xml:space="preserve">as I </w:t>
      </w:r>
      <w:r w:rsidR="008836F4" w:rsidRPr="00A87E91">
        <w:rPr>
          <w:rFonts w:ascii="Arial" w:eastAsia="Calibri" w:hAnsi="Arial" w:cs="Arial"/>
          <w:sz w:val="24"/>
          <w:szCs w:val="24"/>
          <w:lang w:val="en-ZA"/>
        </w:rPr>
        <w:t>already demonstrated.</w:t>
      </w:r>
      <w:r w:rsidR="008340E9" w:rsidRPr="00A87E91">
        <w:rPr>
          <w:rFonts w:ascii="Arial" w:eastAsia="Calibri" w:hAnsi="Arial" w:cs="Arial"/>
          <w:sz w:val="24"/>
          <w:szCs w:val="24"/>
          <w:lang w:val="en-ZA"/>
        </w:rPr>
        <w:t xml:space="preserve"> </w:t>
      </w:r>
    </w:p>
    <w:p w14:paraId="17353266" w14:textId="77777777" w:rsidR="00D1005D" w:rsidRPr="00D1005D" w:rsidRDefault="00D1005D" w:rsidP="00D1005D">
      <w:pPr>
        <w:pStyle w:val="ListParagraph"/>
        <w:spacing w:after="0" w:line="480" w:lineRule="auto"/>
        <w:ind w:left="0"/>
        <w:jc w:val="both"/>
        <w:rPr>
          <w:rFonts w:ascii="Arial" w:hAnsi="Arial" w:cs="Arial"/>
          <w:sz w:val="24"/>
          <w:szCs w:val="24"/>
          <w:u w:val="single"/>
          <w:lang w:val="en-ZA"/>
        </w:rPr>
      </w:pPr>
    </w:p>
    <w:p w14:paraId="0692F89D" w14:textId="6DBE7D18" w:rsidR="001D439B" w:rsidRPr="00AD2591" w:rsidRDefault="00C434AF" w:rsidP="00AD2591">
      <w:pPr>
        <w:spacing w:line="480" w:lineRule="auto"/>
        <w:jc w:val="both"/>
        <w:rPr>
          <w:rFonts w:ascii="Arial" w:hAnsi="Arial" w:cs="Arial"/>
          <w:sz w:val="24"/>
          <w:szCs w:val="24"/>
          <w:u w:val="single"/>
          <w:lang w:val="en-ZA"/>
        </w:rPr>
      </w:pPr>
      <w:r w:rsidRPr="00AD2591">
        <w:rPr>
          <w:rFonts w:ascii="Arial" w:hAnsi="Arial" w:cs="Arial"/>
          <w:sz w:val="24"/>
          <w:szCs w:val="24"/>
          <w:u w:val="single"/>
          <w:lang w:val="en-ZA"/>
        </w:rPr>
        <w:t>The proper approach to Rule 115</w:t>
      </w:r>
    </w:p>
    <w:p w14:paraId="1A8721BB" w14:textId="4C0E4F63" w:rsidR="008836F4" w:rsidRPr="00A87E91" w:rsidRDefault="00A87E91" w:rsidP="00A87E91">
      <w:pPr>
        <w:spacing w:after="0" w:line="480" w:lineRule="auto"/>
        <w:jc w:val="both"/>
        <w:rPr>
          <w:rFonts w:ascii="Arial" w:hAnsi="Arial" w:cs="Arial"/>
          <w:sz w:val="24"/>
          <w:szCs w:val="24"/>
          <w:u w:val="single"/>
          <w:lang w:val="en-ZA"/>
        </w:rPr>
      </w:pPr>
      <w:r w:rsidRPr="00945F62">
        <w:rPr>
          <w:rFonts w:ascii="Arial" w:hAnsi="Arial" w:cs="Arial"/>
          <w:sz w:val="24"/>
          <w:szCs w:val="24"/>
          <w:lang w:val="en-ZA"/>
        </w:rPr>
        <w:t>[26]</w:t>
      </w:r>
      <w:r w:rsidRPr="00945F62">
        <w:rPr>
          <w:rFonts w:ascii="Arial" w:hAnsi="Arial" w:cs="Arial"/>
          <w:sz w:val="24"/>
          <w:szCs w:val="24"/>
          <w:lang w:val="en-ZA"/>
        </w:rPr>
        <w:tab/>
      </w:r>
      <w:r w:rsidR="00C434AF" w:rsidRPr="00A87E91">
        <w:rPr>
          <w:rFonts w:ascii="Arial" w:hAnsi="Arial" w:cs="Arial"/>
          <w:sz w:val="24"/>
          <w:szCs w:val="24"/>
          <w:lang w:val="en-ZA"/>
        </w:rPr>
        <w:t>Should an application for leave to appeal be made on notice of motion supported by affidavit? The issue thus defined has resulted in a binary approach in a trilogy of High Court judgments</w:t>
      </w:r>
      <w:r w:rsidR="00945F62" w:rsidRPr="00A87E91">
        <w:rPr>
          <w:rFonts w:ascii="Arial" w:hAnsi="Arial" w:cs="Arial"/>
          <w:sz w:val="24"/>
          <w:szCs w:val="24"/>
          <w:lang w:val="en-ZA"/>
        </w:rPr>
        <w:t>:</w:t>
      </w:r>
      <w:r w:rsidR="00C434AF" w:rsidRPr="00A87E91">
        <w:rPr>
          <w:rFonts w:ascii="Arial" w:hAnsi="Arial" w:cs="Arial"/>
          <w:sz w:val="24"/>
          <w:szCs w:val="24"/>
          <w:lang w:val="en-ZA"/>
        </w:rPr>
        <w:t xml:space="preserve"> (</w:t>
      </w:r>
      <w:r w:rsidR="00963925" w:rsidRPr="00A87E91">
        <w:rPr>
          <w:rFonts w:ascii="Arial" w:hAnsi="Arial" w:cs="Arial"/>
          <w:i/>
          <w:sz w:val="24"/>
          <w:szCs w:val="24"/>
          <w:lang w:val="en-ZA"/>
        </w:rPr>
        <w:t xml:space="preserve">Namibia Water Corporation Ltd v </w:t>
      </w:r>
      <w:r w:rsidR="00BE54B4" w:rsidRPr="00A87E91">
        <w:rPr>
          <w:rFonts w:ascii="Arial" w:hAnsi="Arial" w:cs="Arial"/>
          <w:i/>
          <w:sz w:val="24"/>
          <w:szCs w:val="24"/>
          <w:lang w:val="en-ZA"/>
        </w:rPr>
        <w:t>Tjpangandjara</w:t>
      </w:r>
      <w:r w:rsidR="00E57B10" w:rsidRPr="00A87E91">
        <w:rPr>
          <w:rFonts w:ascii="Arial" w:hAnsi="Arial" w:cs="Arial"/>
          <w:sz w:val="24"/>
          <w:szCs w:val="24"/>
          <w:lang w:val="en-ZA"/>
        </w:rPr>
        <w:t xml:space="preserve"> (LCA 16 &amp; </w:t>
      </w:r>
      <w:r w:rsidR="00963925" w:rsidRPr="00A87E91">
        <w:rPr>
          <w:rFonts w:ascii="Arial" w:hAnsi="Arial" w:cs="Arial"/>
          <w:sz w:val="24"/>
          <w:szCs w:val="24"/>
          <w:lang w:val="en-ZA"/>
        </w:rPr>
        <w:t>17/2017) [2019] NALCMD 33 (21 November 2019)</w:t>
      </w:r>
      <w:r w:rsidR="003D5694" w:rsidRPr="00A87E91">
        <w:rPr>
          <w:rFonts w:ascii="Arial" w:hAnsi="Arial" w:cs="Arial"/>
          <w:sz w:val="24"/>
          <w:szCs w:val="24"/>
          <w:lang w:val="en-ZA"/>
        </w:rPr>
        <w:t xml:space="preserve"> – hereafter Namwater </w:t>
      </w:r>
      <w:r w:rsidR="009D4AC0" w:rsidRPr="00A87E91">
        <w:rPr>
          <w:rFonts w:ascii="Arial" w:hAnsi="Arial" w:cs="Arial"/>
          <w:sz w:val="24"/>
          <w:szCs w:val="24"/>
          <w:lang w:val="en-ZA"/>
        </w:rPr>
        <w:t>Corporation</w:t>
      </w:r>
      <w:r w:rsidR="003D5694" w:rsidRPr="00A87E91">
        <w:rPr>
          <w:rFonts w:ascii="Arial" w:hAnsi="Arial" w:cs="Arial"/>
          <w:sz w:val="24"/>
          <w:szCs w:val="24"/>
          <w:lang w:val="en-ZA"/>
        </w:rPr>
        <w:t xml:space="preserve"> (2017)</w:t>
      </w:r>
      <w:r w:rsidR="008A5D5C" w:rsidRPr="00A87E91">
        <w:rPr>
          <w:rFonts w:ascii="Arial" w:hAnsi="Arial" w:cs="Arial"/>
          <w:sz w:val="24"/>
          <w:szCs w:val="24"/>
          <w:lang w:val="en-ZA"/>
        </w:rPr>
        <w:t xml:space="preserve">, </w:t>
      </w:r>
      <w:r w:rsidR="00C434AF" w:rsidRPr="00A87E91">
        <w:rPr>
          <w:rFonts w:ascii="Arial" w:hAnsi="Arial" w:cs="Arial"/>
          <w:i/>
          <w:sz w:val="24"/>
          <w:szCs w:val="24"/>
        </w:rPr>
        <w:t>Hollard</w:t>
      </w:r>
      <w:r w:rsidR="003D5694" w:rsidRPr="00A87E91">
        <w:rPr>
          <w:rFonts w:ascii="Arial" w:hAnsi="Arial" w:cs="Arial"/>
          <w:i/>
          <w:sz w:val="24"/>
          <w:szCs w:val="24"/>
        </w:rPr>
        <w:t xml:space="preserve"> and </w:t>
      </w:r>
      <w:r w:rsidR="00C434AF" w:rsidRPr="00A87E91">
        <w:rPr>
          <w:rFonts w:ascii="Arial" w:hAnsi="Arial" w:cs="Arial"/>
          <w:i/>
          <w:sz w:val="24"/>
          <w:szCs w:val="24"/>
        </w:rPr>
        <w:t>Elias</w:t>
      </w:r>
      <w:r w:rsidR="003D5694" w:rsidRPr="00A87E91">
        <w:rPr>
          <w:rFonts w:ascii="Arial" w:hAnsi="Arial" w:cs="Arial"/>
          <w:i/>
          <w:sz w:val="24"/>
          <w:szCs w:val="24"/>
        </w:rPr>
        <w:t>.</w:t>
      </w:r>
      <w:r w:rsidR="00C434AF" w:rsidRPr="00A87E91">
        <w:rPr>
          <w:rFonts w:ascii="Arial" w:hAnsi="Arial" w:cs="Arial"/>
          <w:i/>
          <w:sz w:val="24"/>
          <w:szCs w:val="24"/>
        </w:rPr>
        <w:t xml:space="preserve"> </w:t>
      </w:r>
      <w:r w:rsidR="00E57B10" w:rsidRPr="00A87E91">
        <w:rPr>
          <w:rFonts w:ascii="Arial" w:hAnsi="Arial" w:cs="Arial"/>
          <w:i/>
          <w:sz w:val="24"/>
          <w:szCs w:val="24"/>
        </w:rPr>
        <w:t>Namibia Water Corporation</w:t>
      </w:r>
      <w:r w:rsidR="003D5694" w:rsidRPr="00A87E91">
        <w:rPr>
          <w:rFonts w:ascii="Arial" w:hAnsi="Arial" w:cs="Arial"/>
          <w:sz w:val="24"/>
          <w:szCs w:val="24"/>
        </w:rPr>
        <w:t xml:space="preserve"> (2017) </w:t>
      </w:r>
      <w:r w:rsidR="00C44BF8" w:rsidRPr="00A87E91">
        <w:rPr>
          <w:rFonts w:ascii="Arial" w:hAnsi="Arial" w:cs="Arial"/>
          <w:sz w:val="24"/>
          <w:szCs w:val="24"/>
          <w:lang w:val="en-ZA"/>
        </w:rPr>
        <w:t>was</w:t>
      </w:r>
      <w:r w:rsidR="00C434AF" w:rsidRPr="00A87E91">
        <w:rPr>
          <w:rFonts w:ascii="Arial" w:hAnsi="Arial" w:cs="Arial"/>
          <w:sz w:val="24"/>
          <w:szCs w:val="24"/>
        </w:rPr>
        <w:t xml:space="preserve"> followed by the managing judge in the </w:t>
      </w:r>
      <w:r w:rsidR="00C44BF8" w:rsidRPr="00A87E91">
        <w:rPr>
          <w:rFonts w:ascii="Arial" w:hAnsi="Arial" w:cs="Arial"/>
          <w:sz w:val="24"/>
          <w:szCs w:val="24"/>
        </w:rPr>
        <w:t xml:space="preserve">case </w:t>
      </w:r>
      <w:r w:rsidR="00C434AF" w:rsidRPr="00A87E91">
        <w:rPr>
          <w:rFonts w:ascii="Arial" w:hAnsi="Arial" w:cs="Arial"/>
          <w:sz w:val="24"/>
          <w:szCs w:val="24"/>
        </w:rPr>
        <w:t>now under review</w:t>
      </w:r>
      <w:r w:rsidR="00C44BF8" w:rsidRPr="00A87E91">
        <w:rPr>
          <w:rFonts w:ascii="Arial" w:hAnsi="Arial" w:cs="Arial"/>
          <w:sz w:val="24"/>
          <w:szCs w:val="24"/>
        </w:rPr>
        <w:t xml:space="preserve"> </w:t>
      </w:r>
      <w:r w:rsidR="00C44BF8" w:rsidRPr="00A87E91">
        <w:rPr>
          <w:rFonts w:ascii="Arial" w:hAnsi="Arial" w:cs="Arial"/>
          <w:sz w:val="24"/>
          <w:szCs w:val="24"/>
          <w:lang w:val="en-ZA"/>
        </w:rPr>
        <w:t xml:space="preserve">although disapproved by Geier J in </w:t>
      </w:r>
      <w:r w:rsidR="00C44BF8" w:rsidRPr="00A87E91">
        <w:rPr>
          <w:rFonts w:ascii="Arial" w:hAnsi="Arial" w:cs="Arial"/>
          <w:i/>
          <w:sz w:val="24"/>
          <w:szCs w:val="24"/>
          <w:lang w:val="en-ZA"/>
        </w:rPr>
        <w:t>Hollard</w:t>
      </w:r>
      <w:r w:rsidR="00C434AF" w:rsidRPr="00A87E91">
        <w:rPr>
          <w:rFonts w:ascii="Arial" w:hAnsi="Arial" w:cs="Arial"/>
          <w:sz w:val="24"/>
          <w:szCs w:val="24"/>
        </w:rPr>
        <w:t>.</w:t>
      </w:r>
    </w:p>
    <w:p w14:paraId="2734F4FA" w14:textId="77777777" w:rsidR="0025556E" w:rsidRDefault="0025556E" w:rsidP="00015712">
      <w:pPr>
        <w:pStyle w:val="ListParagraph"/>
        <w:spacing w:after="0" w:line="480" w:lineRule="auto"/>
        <w:ind w:left="0"/>
        <w:jc w:val="both"/>
        <w:rPr>
          <w:rFonts w:ascii="Arial" w:hAnsi="Arial" w:cs="Arial"/>
          <w:sz w:val="24"/>
          <w:szCs w:val="24"/>
          <w:u w:val="single"/>
          <w:lang w:val="en-ZA"/>
        </w:rPr>
      </w:pPr>
    </w:p>
    <w:p w14:paraId="09F01C24" w14:textId="087F6660" w:rsidR="00015712" w:rsidRPr="008836F4" w:rsidRDefault="008836F4" w:rsidP="00015712">
      <w:pPr>
        <w:pStyle w:val="ListParagraph"/>
        <w:spacing w:after="0" w:line="480" w:lineRule="auto"/>
        <w:ind w:left="0"/>
        <w:jc w:val="both"/>
        <w:rPr>
          <w:rFonts w:ascii="Arial" w:hAnsi="Arial" w:cs="Arial"/>
          <w:sz w:val="24"/>
          <w:szCs w:val="24"/>
          <w:u w:val="single"/>
          <w:lang w:val="en-ZA"/>
        </w:rPr>
      </w:pPr>
      <w:r w:rsidRPr="008836F4">
        <w:rPr>
          <w:rFonts w:ascii="Arial" w:hAnsi="Arial" w:cs="Arial"/>
          <w:sz w:val="24"/>
          <w:szCs w:val="24"/>
          <w:u w:val="single"/>
          <w:lang w:val="en-ZA"/>
        </w:rPr>
        <w:lastRenderedPageBreak/>
        <w:t>Disposal</w:t>
      </w:r>
    </w:p>
    <w:p w14:paraId="1E9350B6" w14:textId="380449A9" w:rsidR="00AB6AC2" w:rsidRPr="00A87E91" w:rsidRDefault="00A87E91" w:rsidP="00A87E91">
      <w:pPr>
        <w:spacing w:after="0"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AB6AC2" w:rsidRPr="00A87E91">
        <w:rPr>
          <w:rFonts w:ascii="Arial" w:hAnsi="Arial" w:cs="Arial"/>
          <w:sz w:val="24"/>
          <w:szCs w:val="24"/>
        </w:rPr>
        <w:t>In interpreting the Rules of Court, the court is enjoined to have regard to the overriding objective. Rule 1 (3) states:</w:t>
      </w:r>
      <w:r w:rsidR="00F33003" w:rsidRPr="00A87E91">
        <w:rPr>
          <w:rFonts w:ascii="Arial" w:hAnsi="Arial" w:cs="Arial"/>
          <w:sz w:val="24"/>
          <w:szCs w:val="24"/>
        </w:rPr>
        <w:t xml:space="preserve"> </w:t>
      </w:r>
    </w:p>
    <w:p w14:paraId="4DA9EBDC" w14:textId="77777777" w:rsidR="00CD6A6A" w:rsidRPr="00AD2591" w:rsidRDefault="00CD6A6A" w:rsidP="00AD2591">
      <w:pPr>
        <w:spacing w:line="480" w:lineRule="auto"/>
        <w:jc w:val="both"/>
        <w:rPr>
          <w:rFonts w:ascii="Arial" w:hAnsi="Arial" w:cs="Arial"/>
          <w:sz w:val="24"/>
          <w:szCs w:val="24"/>
          <w:u w:val="single"/>
          <w:lang w:val="en-ZA"/>
        </w:rPr>
      </w:pPr>
    </w:p>
    <w:p w14:paraId="4D25C6E5" w14:textId="3D4C0F5D" w:rsidR="008836F4" w:rsidRDefault="00AB6AC2" w:rsidP="008836F4">
      <w:pPr>
        <w:spacing w:line="360" w:lineRule="auto"/>
        <w:ind w:left="720"/>
        <w:jc w:val="both"/>
        <w:rPr>
          <w:rFonts w:ascii="Arial" w:hAnsi="Arial" w:cs="Arial"/>
        </w:rPr>
      </w:pPr>
      <w:r w:rsidRPr="00CD6A6A">
        <w:rPr>
          <w:rFonts w:ascii="Arial" w:hAnsi="Arial" w:cs="Arial"/>
        </w:rPr>
        <w:t>‘The overriding objective of these rules is to facilitate the resolution of the real issues in dispute justly and speedily, efficiently and cost effectively as far as practicable . . .’</w:t>
      </w:r>
    </w:p>
    <w:p w14:paraId="30E49EB9" w14:textId="77777777" w:rsidR="00CD6A6A" w:rsidRPr="00CD6A6A" w:rsidRDefault="00CD6A6A" w:rsidP="00CD6A6A">
      <w:pPr>
        <w:spacing w:line="360" w:lineRule="auto"/>
        <w:ind w:left="720"/>
        <w:jc w:val="both"/>
        <w:rPr>
          <w:rFonts w:ascii="Arial" w:hAnsi="Arial" w:cs="Arial"/>
        </w:rPr>
      </w:pPr>
    </w:p>
    <w:p w14:paraId="29F64A43" w14:textId="61285630" w:rsidR="008836F4" w:rsidRPr="00A87E91" w:rsidRDefault="00A87E91" w:rsidP="00A87E91">
      <w:pPr>
        <w:spacing w:after="0"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8836F4" w:rsidRPr="00A87E91">
        <w:rPr>
          <w:rFonts w:ascii="Arial" w:hAnsi="Arial" w:cs="Arial"/>
          <w:sz w:val="24"/>
          <w:szCs w:val="24"/>
        </w:rPr>
        <w:t>In terms of Rule 17(1):</w:t>
      </w:r>
    </w:p>
    <w:p w14:paraId="19750917" w14:textId="77777777" w:rsidR="00571065" w:rsidRDefault="00571065" w:rsidP="008836F4">
      <w:pPr>
        <w:pStyle w:val="ListParagraph"/>
        <w:spacing w:after="0" w:line="480" w:lineRule="auto"/>
        <w:ind w:left="0"/>
        <w:jc w:val="both"/>
        <w:rPr>
          <w:rFonts w:ascii="Arial" w:hAnsi="Arial" w:cs="Arial"/>
        </w:rPr>
      </w:pPr>
    </w:p>
    <w:p w14:paraId="688BC042" w14:textId="30204F1C" w:rsidR="008836F4" w:rsidRDefault="008836F4" w:rsidP="008836F4">
      <w:pPr>
        <w:pStyle w:val="ListParagraph"/>
        <w:spacing w:after="0" w:line="480" w:lineRule="auto"/>
        <w:ind w:left="0"/>
        <w:jc w:val="both"/>
        <w:rPr>
          <w:rFonts w:ascii="Arial" w:hAnsi="Arial" w:cs="Arial"/>
          <w:sz w:val="24"/>
          <w:szCs w:val="24"/>
        </w:rPr>
      </w:pPr>
      <w:r w:rsidRPr="00EB7E3B">
        <w:rPr>
          <w:rFonts w:ascii="Arial" w:hAnsi="Arial" w:cs="Arial"/>
        </w:rPr>
        <w:t>‘</w:t>
      </w:r>
      <w:r w:rsidR="00EB7E3B" w:rsidRPr="00EB7E3B">
        <w:rPr>
          <w:rFonts w:ascii="Arial" w:hAnsi="Arial" w:cs="Arial"/>
        </w:rPr>
        <w:t xml:space="preserve">The court must seek to give effect to the overriding objective referred to in rule 1 when it exercises any power given to it under these rules </w:t>
      </w:r>
      <w:r w:rsidR="00EB7E3B" w:rsidRPr="00CA66F6">
        <w:rPr>
          <w:rFonts w:ascii="Arial" w:hAnsi="Arial" w:cs="Arial"/>
          <w:u w:val="single"/>
        </w:rPr>
        <w:t xml:space="preserve">or in interpreting any other </w:t>
      </w:r>
      <w:r w:rsidR="00E27119" w:rsidRPr="00CA66F6">
        <w:rPr>
          <w:rFonts w:ascii="Arial" w:hAnsi="Arial" w:cs="Arial"/>
          <w:u w:val="single"/>
        </w:rPr>
        <w:t>rule</w:t>
      </w:r>
      <w:r w:rsidR="00EB7E3B" w:rsidRPr="00CA66F6">
        <w:rPr>
          <w:rFonts w:ascii="Arial" w:hAnsi="Arial" w:cs="Arial"/>
          <w:u w:val="single"/>
        </w:rPr>
        <w:t xml:space="preserve"> of procedure or practice direction applicable in the court</w:t>
      </w:r>
      <w:r w:rsidR="00EB7E3B" w:rsidRPr="00EB7E3B">
        <w:rPr>
          <w:rFonts w:ascii="Arial" w:hAnsi="Arial" w:cs="Arial"/>
        </w:rPr>
        <w:t>.</w:t>
      </w:r>
      <w:r w:rsidR="00EB7E3B">
        <w:rPr>
          <w:rFonts w:ascii="Arial" w:hAnsi="Arial" w:cs="Arial"/>
          <w:sz w:val="24"/>
          <w:szCs w:val="24"/>
        </w:rPr>
        <w:t>’</w:t>
      </w:r>
      <w:r w:rsidR="00CA66F6">
        <w:rPr>
          <w:rFonts w:ascii="Arial" w:hAnsi="Arial" w:cs="Arial"/>
          <w:sz w:val="24"/>
          <w:szCs w:val="24"/>
        </w:rPr>
        <w:t xml:space="preserve"> (My underlining for emphasis).</w:t>
      </w:r>
    </w:p>
    <w:p w14:paraId="535875CB" w14:textId="77777777" w:rsidR="00EB7E3B" w:rsidRDefault="00EB7E3B" w:rsidP="008836F4">
      <w:pPr>
        <w:pStyle w:val="ListParagraph"/>
        <w:spacing w:after="0" w:line="480" w:lineRule="auto"/>
        <w:ind w:left="0"/>
        <w:jc w:val="both"/>
        <w:rPr>
          <w:rFonts w:ascii="Arial" w:hAnsi="Arial" w:cs="Arial"/>
          <w:sz w:val="24"/>
          <w:szCs w:val="24"/>
        </w:rPr>
      </w:pPr>
    </w:p>
    <w:p w14:paraId="185C88F2" w14:textId="59CC24B4" w:rsidR="00D522D7" w:rsidRPr="00A87E91" w:rsidRDefault="00A87E91" w:rsidP="00A87E91">
      <w:pPr>
        <w:spacing w:after="0"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AB6AC2" w:rsidRPr="00A87E91">
        <w:rPr>
          <w:rFonts w:ascii="Arial" w:hAnsi="Arial" w:cs="Arial"/>
          <w:sz w:val="24"/>
          <w:szCs w:val="24"/>
        </w:rPr>
        <w:t xml:space="preserve">Namibia’s civil justice system has changed – with the emphasis now on </w:t>
      </w:r>
      <w:r w:rsidR="00945F62" w:rsidRPr="00A87E91">
        <w:rPr>
          <w:rFonts w:ascii="Arial" w:hAnsi="Arial" w:cs="Arial"/>
          <w:sz w:val="24"/>
          <w:szCs w:val="24"/>
        </w:rPr>
        <w:t xml:space="preserve">the </w:t>
      </w:r>
      <w:r w:rsidR="00AB6AC2" w:rsidRPr="00A87E91">
        <w:rPr>
          <w:rFonts w:ascii="Arial" w:hAnsi="Arial" w:cs="Arial"/>
          <w:sz w:val="24"/>
          <w:szCs w:val="24"/>
        </w:rPr>
        <w:t xml:space="preserve">speedy disposal of cases with minimum costs to the parties. </w:t>
      </w:r>
      <w:r w:rsidR="00D15E35" w:rsidRPr="00A87E91">
        <w:rPr>
          <w:rFonts w:ascii="Arial" w:hAnsi="Arial" w:cs="Arial"/>
          <w:sz w:val="24"/>
          <w:szCs w:val="24"/>
        </w:rPr>
        <w:t xml:space="preserve">This court confirmed as much in </w:t>
      </w:r>
      <w:r w:rsidR="00D15E35" w:rsidRPr="00A87E91">
        <w:rPr>
          <w:rFonts w:ascii="Arial" w:hAnsi="Arial" w:cs="Arial"/>
          <w:i/>
          <w:sz w:val="24"/>
          <w:szCs w:val="24"/>
        </w:rPr>
        <w:t>Arangies &amp; another v Unitrans Namibia (Pty) Ltd</w:t>
      </w:r>
      <w:r w:rsidR="00D15E35">
        <w:rPr>
          <w:rStyle w:val="FootnoteReference"/>
          <w:rFonts w:ascii="Arial" w:hAnsi="Arial" w:cs="Arial"/>
          <w:sz w:val="24"/>
          <w:szCs w:val="24"/>
        </w:rPr>
        <w:footnoteReference w:id="8"/>
      </w:r>
      <w:r w:rsidR="00D15E35" w:rsidRPr="00A87E91">
        <w:rPr>
          <w:rFonts w:ascii="Arial" w:hAnsi="Arial" w:cs="Arial"/>
          <w:sz w:val="24"/>
          <w:szCs w:val="24"/>
        </w:rPr>
        <w:t xml:space="preserve"> and stressed the fundamental purpose of </w:t>
      </w:r>
      <w:r w:rsidR="00CA66F6" w:rsidRPr="00A87E91">
        <w:rPr>
          <w:rFonts w:ascii="Arial" w:hAnsi="Arial" w:cs="Arial"/>
          <w:sz w:val="24"/>
          <w:szCs w:val="24"/>
        </w:rPr>
        <w:t xml:space="preserve">judicial case management </w:t>
      </w:r>
      <w:r w:rsidR="00D15E35" w:rsidRPr="00A87E91">
        <w:rPr>
          <w:rFonts w:ascii="Arial" w:hAnsi="Arial" w:cs="Arial"/>
          <w:sz w:val="24"/>
          <w:szCs w:val="24"/>
        </w:rPr>
        <w:t xml:space="preserve">as being to avoid unnecessary delays in the finalisation of </w:t>
      </w:r>
      <w:r w:rsidR="003D5694" w:rsidRPr="00A87E91">
        <w:rPr>
          <w:rFonts w:ascii="Arial" w:hAnsi="Arial" w:cs="Arial"/>
          <w:sz w:val="24"/>
          <w:szCs w:val="24"/>
        </w:rPr>
        <w:t>cases.</w:t>
      </w:r>
      <w:r w:rsidR="00D15E35" w:rsidRPr="00A87E91">
        <w:rPr>
          <w:rFonts w:ascii="Arial" w:hAnsi="Arial" w:cs="Arial"/>
          <w:sz w:val="24"/>
          <w:szCs w:val="24"/>
        </w:rPr>
        <w:t xml:space="preserve"> As </w:t>
      </w:r>
      <w:r w:rsidR="00AB6AC2" w:rsidRPr="00A87E91">
        <w:rPr>
          <w:rFonts w:ascii="Arial" w:hAnsi="Arial" w:cs="Arial"/>
          <w:sz w:val="24"/>
          <w:szCs w:val="24"/>
        </w:rPr>
        <w:t>Rule</w:t>
      </w:r>
      <w:r w:rsidR="00D15E35" w:rsidRPr="00A87E91">
        <w:rPr>
          <w:rFonts w:ascii="Arial" w:hAnsi="Arial" w:cs="Arial"/>
          <w:sz w:val="24"/>
          <w:szCs w:val="24"/>
        </w:rPr>
        <w:t xml:space="preserve"> 17 (1) makes clear</w:t>
      </w:r>
      <w:r w:rsidR="003D5694" w:rsidRPr="00A87E91">
        <w:rPr>
          <w:rFonts w:ascii="Arial" w:hAnsi="Arial" w:cs="Arial"/>
          <w:sz w:val="24"/>
          <w:szCs w:val="24"/>
        </w:rPr>
        <w:t>,</w:t>
      </w:r>
      <w:r w:rsidR="00D15E35" w:rsidRPr="00A87E91">
        <w:rPr>
          <w:rFonts w:ascii="Arial" w:hAnsi="Arial" w:cs="Arial"/>
          <w:sz w:val="24"/>
          <w:szCs w:val="24"/>
        </w:rPr>
        <w:t xml:space="preserve"> all rules</w:t>
      </w:r>
      <w:r w:rsidR="00AB6AC2" w:rsidRPr="00A87E91">
        <w:rPr>
          <w:rFonts w:ascii="Arial" w:hAnsi="Arial" w:cs="Arial"/>
          <w:sz w:val="24"/>
          <w:szCs w:val="24"/>
        </w:rPr>
        <w:t xml:space="preserve"> of court must be interpreted in a way that gives effect to th</w:t>
      </w:r>
      <w:r w:rsidR="00D15E35" w:rsidRPr="00A87E91">
        <w:rPr>
          <w:rFonts w:ascii="Arial" w:hAnsi="Arial" w:cs="Arial"/>
          <w:sz w:val="24"/>
          <w:szCs w:val="24"/>
        </w:rPr>
        <w:t>e overriding objective.</w:t>
      </w:r>
      <w:r w:rsidR="00724E2A" w:rsidRPr="00A87E91">
        <w:rPr>
          <w:rFonts w:ascii="Arial" w:hAnsi="Arial" w:cs="Arial"/>
          <w:sz w:val="24"/>
          <w:szCs w:val="24"/>
        </w:rPr>
        <w:t xml:space="preserve"> </w:t>
      </w:r>
      <w:r w:rsidR="00CA66F6" w:rsidRPr="00A87E91">
        <w:rPr>
          <w:rFonts w:ascii="Arial" w:hAnsi="Arial" w:cs="Arial"/>
          <w:sz w:val="24"/>
          <w:szCs w:val="24"/>
        </w:rPr>
        <w:t>That includes Rule 115.</w:t>
      </w:r>
    </w:p>
    <w:p w14:paraId="65EE0A6A" w14:textId="77777777" w:rsidR="00F53C16" w:rsidRPr="00AD2591" w:rsidRDefault="00F53C16" w:rsidP="00AD2591">
      <w:pPr>
        <w:spacing w:line="480" w:lineRule="auto"/>
        <w:jc w:val="both"/>
        <w:rPr>
          <w:rFonts w:ascii="Arial" w:hAnsi="Arial" w:cs="Arial"/>
          <w:sz w:val="24"/>
          <w:szCs w:val="24"/>
        </w:rPr>
      </w:pPr>
    </w:p>
    <w:p w14:paraId="20F22797" w14:textId="7C32B689" w:rsidR="005F682C" w:rsidRPr="00A87E91" w:rsidRDefault="00A87E91" w:rsidP="00A87E91">
      <w:pPr>
        <w:spacing w:after="0" w:line="480" w:lineRule="auto"/>
        <w:jc w:val="both"/>
        <w:rPr>
          <w:rFonts w:ascii="Arial" w:hAnsi="Arial" w:cs="Arial"/>
          <w:sz w:val="24"/>
          <w:szCs w:val="24"/>
        </w:rPr>
      </w:pPr>
      <w:r w:rsidRPr="00B976C6">
        <w:rPr>
          <w:rFonts w:ascii="Arial" w:hAnsi="Arial" w:cs="Arial"/>
          <w:sz w:val="24"/>
          <w:szCs w:val="24"/>
        </w:rPr>
        <w:lastRenderedPageBreak/>
        <w:t>[30]</w:t>
      </w:r>
      <w:r w:rsidRPr="00B976C6">
        <w:rPr>
          <w:rFonts w:ascii="Arial" w:hAnsi="Arial" w:cs="Arial"/>
          <w:sz w:val="24"/>
          <w:szCs w:val="24"/>
        </w:rPr>
        <w:tab/>
      </w:r>
      <w:r w:rsidR="00D522D7" w:rsidRPr="00A87E91">
        <w:rPr>
          <w:rFonts w:ascii="Arial" w:hAnsi="Arial" w:cs="Arial"/>
          <w:sz w:val="24"/>
          <w:szCs w:val="24"/>
        </w:rPr>
        <w:t xml:space="preserve">I </w:t>
      </w:r>
      <w:r w:rsidR="00C434AF" w:rsidRPr="00A87E91">
        <w:rPr>
          <w:rFonts w:ascii="Arial" w:hAnsi="Arial" w:cs="Arial"/>
          <w:sz w:val="24"/>
          <w:szCs w:val="24"/>
        </w:rPr>
        <w:t xml:space="preserve">do not </w:t>
      </w:r>
      <w:r w:rsidR="00D522D7" w:rsidRPr="00A87E91">
        <w:rPr>
          <w:rFonts w:ascii="Arial" w:hAnsi="Arial" w:cs="Arial"/>
          <w:sz w:val="24"/>
          <w:szCs w:val="24"/>
        </w:rPr>
        <w:t xml:space="preserve">find </w:t>
      </w:r>
      <w:r w:rsidR="000B4C71" w:rsidRPr="00A87E91">
        <w:rPr>
          <w:rFonts w:ascii="Arial" w:hAnsi="Arial" w:cs="Arial"/>
          <w:sz w:val="24"/>
          <w:szCs w:val="24"/>
        </w:rPr>
        <w:t>anything</w:t>
      </w:r>
      <w:r w:rsidR="00D522D7" w:rsidRPr="00A87E91">
        <w:rPr>
          <w:rFonts w:ascii="Arial" w:hAnsi="Arial" w:cs="Arial"/>
          <w:sz w:val="24"/>
          <w:szCs w:val="24"/>
        </w:rPr>
        <w:t xml:space="preserve"> in the wording of Rule 115 </w:t>
      </w:r>
      <w:r w:rsidR="00945F62" w:rsidRPr="00A87E91">
        <w:rPr>
          <w:rFonts w:ascii="Arial" w:hAnsi="Arial" w:cs="Arial"/>
          <w:sz w:val="24"/>
          <w:szCs w:val="24"/>
        </w:rPr>
        <w:t>–</w:t>
      </w:r>
      <w:r w:rsidR="00022DFA" w:rsidRPr="00A87E91">
        <w:rPr>
          <w:rFonts w:ascii="Arial" w:hAnsi="Arial" w:cs="Arial"/>
          <w:sz w:val="24"/>
          <w:szCs w:val="24"/>
        </w:rPr>
        <w:t xml:space="preserve"> </w:t>
      </w:r>
      <w:r w:rsidR="00D522D7" w:rsidRPr="00A87E91">
        <w:rPr>
          <w:rFonts w:ascii="Arial" w:hAnsi="Arial" w:cs="Arial"/>
          <w:sz w:val="24"/>
          <w:szCs w:val="24"/>
        </w:rPr>
        <w:t xml:space="preserve">or </w:t>
      </w:r>
      <w:r w:rsidR="00C434AF" w:rsidRPr="00A87E91">
        <w:rPr>
          <w:rFonts w:ascii="Arial" w:hAnsi="Arial" w:cs="Arial"/>
          <w:sz w:val="24"/>
          <w:szCs w:val="24"/>
        </w:rPr>
        <w:t xml:space="preserve">indeed in </w:t>
      </w:r>
      <w:r w:rsidR="00D522D7" w:rsidRPr="00A87E91">
        <w:rPr>
          <w:rFonts w:ascii="Arial" w:hAnsi="Arial" w:cs="Arial"/>
          <w:sz w:val="24"/>
          <w:szCs w:val="24"/>
        </w:rPr>
        <w:t xml:space="preserve">public policy </w:t>
      </w:r>
      <w:r w:rsidR="00BC65D0" w:rsidRPr="00A87E91">
        <w:rPr>
          <w:rFonts w:ascii="Arial" w:hAnsi="Arial" w:cs="Arial"/>
          <w:sz w:val="24"/>
          <w:szCs w:val="24"/>
        </w:rPr>
        <w:t>–</w:t>
      </w:r>
      <w:r w:rsidR="00022DFA" w:rsidRPr="00A87E91">
        <w:rPr>
          <w:rFonts w:ascii="Arial" w:hAnsi="Arial" w:cs="Arial"/>
          <w:sz w:val="24"/>
          <w:szCs w:val="24"/>
        </w:rPr>
        <w:t xml:space="preserve"> </w:t>
      </w:r>
      <w:r w:rsidR="00D522D7" w:rsidRPr="00A87E91">
        <w:rPr>
          <w:rFonts w:ascii="Arial" w:hAnsi="Arial" w:cs="Arial"/>
          <w:sz w:val="24"/>
          <w:szCs w:val="24"/>
        </w:rPr>
        <w:t xml:space="preserve">why an application for leave to appeal should be on notice of motion supported by affidavit. We already cautioned against the dogmatic approach that where the word ‘application’ is used, it must be </w:t>
      </w:r>
      <w:r w:rsidR="00CA66F6" w:rsidRPr="00A87E91">
        <w:rPr>
          <w:rFonts w:ascii="Arial" w:hAnsi="Arial" w:cs="Arial"/>
          <w:sz w:val="24"/>
          <w:szCs w:val="24"/>
        </w:rPr>
        <w:t xml:space="preserve">given the same meaning that it bears </w:t>
      </w:r>
      <w:r w:rsidR="003D5694" w:rsidRPr="00A87E91">
        <w:rPr>
          <w:rFonts w:ascii="Arial" w:hAnsi="Arial" w:cs="Arial"/>
          <w:sz w:val="24"/>
          <w:szCs w:val="24"/>
        </w:rPr>
        <w:t xml:space="preserve">in contradistinction </w:t>
      </w:r>
      <w:r w:rsidR="00CA66F6" w:rsidRPr="00A87E91">
        <w:rPr>
          <w:rFonts w:ascii="Arial" w:hAnsi="Arial" w:cs="Arial"/>
          <w:sz w:val="24"/>
          <w:szCs w:val="24"/>
        </w:rPr>
        <w:t xml:space="preserve">to action proceedings </w:t>
      </w:r>
      <w:r w:rsidR="00D522D7" w:rsidRPr="00A87E91">
        <w:rPr>
          <w:rFonts w:ascii="Arial" w:hAnsi="Arial" w:cs="Arial"/>
          <w:sz w:val="24"/>
          <w:szCs w:val="24"/>
        </w:rPr>
        <w:t xml:space="preserve">in </w:t>
      </w:r>
      <w:r w:rsidR="00CA66F6" w:rsidRPr="00A87E91">
        <w:rPr>
          <w:rFonts w:ascii="Arial" w:hAnsi="Arial" w:cs="Arial"/>
          <w:sz w:val="24"/>
          <w:szCs w:val="24"/>
        </w:rPr>
        <w:t>our</w:t>
      </w:r>
      <w:r w:rsidR="00D522D7" w:rsidRPr="00A87E91">
        <w:rPr>
          <w:rFonts w:ascii="Arial" w:hAnsi="Arial" w:cs="Arial"/>
          <w:sz w:val="24"/>
          <w:szCs w:val="24"/>
        </w:rPr>
        <w:t xml:space="preserve"> civil procedure</w:t>
      </w:r>
      <w:r w:rsidR="00CA66F6" w:rsidRPr="00A87E91">
        <w:rPr>
          <w:rFonts w:ascii="Arial" w:hAnsi="Arial" w:cs="Arial"/>
          <w:sz w:val="24"/>
          <w:szCs w:val="24"/>
        </w:rPr>
        <w:t xml:space="preserve"> process</w:t>
      </w:r>
      <w:r w:rsidR="00D522D7" w:rsidRPr="00A87E91">
        <w:rPr>
          <w:rFonts w:ascii="Arial" w:hAnsi="Arial" w:cs="Arial"/>
          <w:sz w:val="24"/>
          <w:szCs w:val="24"/>
        </w:rPr>
        <w:t xml:space="preserve">: </w:t>
      </w:r>
      <w:r w:rsidR="00D522D7" w:rsidRPr="00A87E91">
        <w:rPr>
          <w:rFonts w:ascii="Arial" w:hAnsi="Arial" w:cs="Arial"/>
          <w:i/>
          <w:sz w:val="24"/>
          <w:szCs w:val="24"/>
        </w:rPr>
        <w:t xml:space="preserve">Swakop Uranium (Pty) Ltd v McLaren Ian Robert </w:t>
      </w:r>
      <w:r w:rsidR="007B2E74" w:rsidRPr="00A87E91">
        <w:rPr>
          <w:rFonts w:ascii="Arial" w:hAnsi="Arial" w:cs="Arial"/>
          <w:i/>
          <w:sz w:val="24"/>
          <w:szCs w:val="24"/>
        </w:rPr>
        <w:t>&amp; a</w:t>
      </w:r>
      <w:r w:rsidR="00D522D7" w:rsidRPr="00A87E91">
        <w:rPr>
          <w:rFonts w:ascii="Arial" w:hAnsi="Arial" w:cs="Arial"/>
          <w:i/>
          <w:sz w:val="24"/>
          <w:szCs w:val="24"/>
        </w:rPr>
        <w:t>nother</w:t>
      </w:r>
      <w:r w:rsidR="00D522D7" w:rsidRPr="00AD2591">
        <w:rPr>
          <w:rStyle w:val="FootnoteReference"/>
          <w:rFonts w:ascii="Arial" w:hAnsi="Arial" w:cs="Arial"/>
          <w:i/>
          <w:sz w:val="24"/>
          <w:szCs w:val="24"/>
        </w:rPr>
        <w:footnoteReference w:id="9"/>
      </w:r>
      <w:r w:rsidR="00D522D7" w:rsidRPr="00A87E91">
        <w:rPr>
          <w:rFonts w:ascii="Arial" w:hAnsi="Arial" w:cs="Arial"/>
          <w:sz w:val="24"/>
          <w:szCs w:val="24"/>
        </w:rPr>
        <w:t>.</w:t>
      </w:r>
      <w:r w:rsidR="00C434AF" w:rsidRPr="00A87E91">
        <w:rPr>
          <w:rFonts w:ascii="Arial" w:hAnsi="Arial" w:cs="Arial"/>
          <w:sz w:val="24"/>
          <w:szCs w:val="24"/>
        </w:rPr>
        <w:t xml:space="preserve"> That formulaic approach is what Geier J correctly disapproved in </w:t>
      </w:r>
      <w:r w:rsidR="00C434AF" w:rsidRPr="00A87E91">
        <w:rPr>
          <w:rFonts w:ascii="Arial" w:hAnsi="Arial" w:cs="Arial"/>
          <w:i/>
          <w:sz w:val="24"/>
          <w:szCs w:val="24"/>
        </w:rPr>
        <w:t>Hollard</w:t>
      </w:r>
      <w:r w:rsidR="00B976C6" w:rsidRPr="00A87E91">
        <w:rPr>
          <w:rFonts w:ascii="Arial" w:hAnsi="Arial" w:cs="Arial"/>
          <w:i/>
          <w:sz w:val="24"/>
          <w:szCs w:val="24"/>
        </w:rPr>
        <w:t>.</w:t>
      </w:r>
      <w:r w:rsidR="00C434AF" w:rsidRPr="00A87E91">
        <w:rPr>
          <w:rFonts w:ascii="Arial" w:hAnsi="Arial" w:cs="Arial"/>
          <w:i/>
          <w:sz w:val="24"/>
          <w:szCs w:val="24"/>
        </w:rPr>
        <w:t xml:space="preserve"> </w:t>
      </w:r>
    </w:p>
    <w:p w14:paraId="04E58FBF" w14:textId="77777777" w:rsidR="005F682C" w:rsidRPr="005F682C" w:rsidRDefault="005F682C" w:rsidP="002A2834">
      <w:pPr>
        <w:pStyle w:val="ListParagraph"/>
        <w:spacing w:after="0" w:line="480" w:lineRule="auto"/>
        <w:rPr>
          <w:rFonts w:ascii="Arial" w:hAnsi="Arial" w:cs="Arial"/>
          <w:sz w:val="24"/>
          <w:szCs w:val="24"/>
        </w:rPr>
      </w:pPr>
    </w:p>
    <w:p w14:paraId="27977FA3" w14:textId="3281DF6D" w:rsidR="00502C59" w:rsidRPr="00A87E91" w:rsidRDefault="00A87E91" w:rsidP="00A87E91">
      <w:pPr>
        <w:spacing w:after="0"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AB6AC2" w:rsidRPr="00A87E91">
        <w:rPr>
          <w:rFonts w:ascii="Arial" w:hAnsi="Arial" w:cs="Arial"/>
          <w:sz w:val="24"/>
          <w:szCs w:val="24"/>
        </w:rPr>
        <w:t xml:space="preserve">Apart from stating the obvious – </w:t>
      </w:r>
      <w:r w:rsidR="00146B5B" w:rsidRPr="00A87E91">
        <w:rPr>
          <w:rFonts w:ascii="Arial" w:hAnsi="Arial" w:cs="Arial"/>
          <w:sz w:val="24"/>
          <w:szCs w:val="24"/>
        </w:rPr>
        <w:t xml:space="preserve">ie </w:t>
      </w:r>
      <w:r w:rsidR="00AB6AC2" w:rsidRPr="00A87E91">
        <w:rPr>
          <w:rFonts w:ascii="Arial" w:hAnsi="Arial" w:cs="Arial"/>
          <w:sz w:val="24"/>
          <w:szCs w:val="24"/>
        </w:rPr>
        <w:t>that leave to appeal may arise at two different stages</w:t>
      </w:r>
      <w:r w:rsidR="00374755" w:rsidRPr="00A87E91">
        <w:rPr>
          <w:rFonts w:ascii="Arial" w:hAnsi="Arial" w:cs="Arial"/>
          <w:sz w:val="24"/>
          <w:szCs w:val="24"/>
        </w:rPr>
        <w:t xml:space="preserve"> – </w:t>
      </w:r>
      <w:r w:rsidR="00AB6AC2" w:rsidRPr="00A87E91">
        <w:rPr>
          <w:rFonts w:ascii="Arial" w:hAnsi="Arial" w:cs="Arial"/>
          <w:sz w:val="24"/>
          <w:szCs w:val="24"/>
        </w:rPr>
        <w:t>the</w:t>
      </w:r>
      <w:r w:rsidR="002A19AC" w:rsidRPr="00A87E91">
        <w:rPr>
          <w:rFonts w:ascii="Arial" w:hAnsi="Arial" w:cs="Arial"/>
          <w:sz w:val="24"/>
          <w:szCs w:val="24"/>
        </w:rPr>
        <w:t xml:space="preserve"> managing judge </w:t>
      </w:r>
      <w:r w:rsidR="00AB6AC2" w:rsidRPr="00A87E91">
        <w:rPr>
          <w:rFonts w:ascii="Arial" w:hAnsi="Arial" w:cs="Arial"/>
          <w:sz w:val="24"/>
          <w:szCs w:val="24"/>
        </w:rPr>
        <w:t xml:space="preserve">does not explain why different considerations should apply at either. It is common ground that the jurisdiction plea was adjudicated and dismissed by the managing judge. It may have been arguable if leave to appeal served before a different judge </w:t>
      </w:r>
      <w:r w:rsidR="003D5694" w:rsidRPr="00A87E91">
        <w:rPr>
          <w:rFonts w:ascii="Arial" w:hAnsi="Arial" w:cs="Arial"/>
          <w:sz w:val="24"/>
          <w:szCs w:val="24"/>
        </w:rPr>
        <w:t>who had not decided the issue for which leave to appeal is sought and for that reason</w:t>
      </w:r>
      <w:r w:rsidR="00AB6AC2" w:rsidRPr="00A87E91">
        <w:rPr>
          <w:rFonts w:ascii="Arial" w:hAnsi="Arial" w:cs="Arial"/>
          <w:sz w:val="24"/>
          <w:szCs w:val="24"/>
        </w:rPr>
        <w:t xml:space="preserve"> might have required some elucidation of the history of the matter.</w:t>
      </w:r>
    </w:p>
    <w:p w14:paraId="0802C0ED" w14:textId="77777777" w:rsidR="00CA66F6" w:rsidRPr="00CA66F6" w:rsidRDefault="00CA66F6" w:rsidP="00CA66F6">
      <w:pPr>
        <w:spacing w:after="0" w:line="480" w:lineRule="auto"/>
        <w:jc w:val="both"/>
        <w:rPr>
          <w:rFonts w:ascii="Arial" w:hAnsi="Arial" w:cs="Arial"/>
          <w:sz w:val="24"/>
          <w:szCs w:val="24"/>
        </w:rPr>
      </w:pPr>
    </w:p>
    <w:p w14:paraId="388045D8" w14:textId="142120B7" w:rsidR="00664017" w:rsidRPr="00A87E91" w:rsidRDefault="00A87E91" w:rsidP="00A87E91">
      <w:pPr>
        <w:spacing w:after="0"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CA66F6" w:rsidRPr="00A87E91">
        <w:rPr>
          <w:rFonts w:ascii="Arial" w:hAnsi="Arial" w:cs="Arial"/>
          <w:sz w:val="24"/>
          <w:szCs w:val="24"/>
        </w:rPr>
        <w:t xml:space="preserve">It is not immediately apparent to me what the applicant for leave to appeal is expected to say in such an affidavit. It would have </w:t>
      </w:r>
      <w:r w:rsidR="003D5694" w:rsidRPr="00A87E91">
        <w:rPr>
          <w:rFonts w:ascii="Arial" w:hAnsi="Arial" w:cs="Arial"/>
          <w:sz w:val="24"/>
          <w:szCs w:val="24"/>
        </w:rPr>
        <w:t xml:space="preserve">been </w:t>
      </w:r>
      <w:r w:rsidR="00CA66F6" w:rsidRPr="00A87E91">
        <w:rPr>
          <w:rFonts w:ascii="Arial" w:hAnsi="Arial" w:cs="Arial"/>
          <w:sz w:val="24"/>
          <w:szCs w:val="24"/>
        </w:rPr>
        <w:t xml:space="preserve">helpful if the managing judge said something about that. In my view, the interpretation given to Rule 115 by the managing judge does not promote the overriding objective. If anything, it is inimical to </w:t>
      </w:r>
      <w:r w:rsidR="003D5694" w:rsidRPr="00A87E91">
        <w:rPr>
          <w:rFonts w:ascii="Arial" w:hAnsi="Arial" w:cs="Arial"/>
          <w:sz w:val="24"/>
          <w:szCs w:val="24"/>
        </w:rPr>
        <w:t xml:space="preserve">it. </w:t>
      </w:r>
    </w:p>
    <w:p w14:paraId="5D490A3F" w14:textId="77777777" w:rsidR="00CA66F6" w:rsidRPr="00CA66F6" w:rsidRDefault="00CA66F6" w:rsidP="00CA66F6">
      <w:pPr>
        <w:pStyle w:val="ListParagraph"/>
        <w:spacing w:after="0" w:line="480" w:lineRule="auto"/>
        <w:ind w:left="0"/>
        <w:jc w:val="both"/>
        <w:rPr>
          <w:rFonts w:ascii="Arial" w:hAnsi="Arial" w:cs="Arial"/>
          <w:sz w:val="24"/>
          <w:szCs w:val="24"/>
        </w:rPr>
      </w:pPr>
    </w:p>
    <w:p w14:paraId="60E75982" w14:textId="22BD9A18" w:rsidR="002A311E" w:rsidRPr="00A87E91" w:rsidRDefault="00A87E91" w:rsidP="00A87E91">
      <w:pPr>
        <w:spacing w:after="0" w:line="480" w:lineRule="auto"/>
        <w:jc w:val="both"/>
        <w:rPr>
          <w:rFonts w:ascii="Arial" w:hAnsi="Arial" w:cs="Arial"/>
          <w:sz w:val="24"/>
          <w:szCs w:val="24"/>
        </w:rPr>
      </w:pPr>
      <w:r>
        <w:rPr>
          <w:rFonts w:ascii="Arial" w:hAnsi="Arial" w:cs="Arial"/>
          <w:sz w:val="24"/>
          <w:szCs w:val="24"/>
        </w:rPr>
        <w:lastRenderedPageBreak/>
        <w:t>[33]</w:t>
      </w:r>
      <w:r>
        <w:rPr>
          <w:rFonts w:ascii="Arial" w:hAnsi="Arial" w:cs="Arial"/>
          <w:sz w:val="24"/>
          <w:szCs w:val="24"/>
        </w:rPr>
        <w:tab/>
      </w:r>
      <w:r w:rsidR="002A19AC" w:rsidRPr="00A87E91">
        <w:rPr>
          <w:rFonts w:ascii="Arial" w:hAnsi="Arial" w:cs="Arial"/>
          <w:sz w:val="24"/>
          <w:szCs w:val="24"/>
        </w:rPr>
        <w:t xml:space="preserve">Almost invariably, an application for leave to appeal is heard by the same judge </w:t>
      </w:r>
      <w:r w:rsidR="00664017" w:rsidRPr="00A87E91">
        <w:rPr>
          <w:rFonts w:ascii="Arial" w:hAnsi="Arial" w:cs="Arial"/>
          <w:sz w:val="24"/>
          <w:szCs w:val="24"/>
        </w:rPr>
        <w:t xml:space="preserve">against </w:t>
      </w:r>
      <w:r w:rsidR="002A19AC" w:rsidRPr="00A87E91">
        <w:rPr>
          <w:rFonts w:ascii="Arial" w:hAnsi="Arial" w:cs="Arial"/>
          <w:sz w:val="24"/>
          <w:szCs w:val="24"/>
        </w:rPr>
        <w:t xml:space="preserve">whose order leave to appeal is sought. </w:t>
      </w:r>
      <w:r w:rsidR="00146B5B" w:rsidRPr="00A87E91">
        <w:rPr>
          <w:rFonts w:ascii="Arial" w:hAnsi="Arial" w:cs="Arial"/>
          <w:sz w:val="24"/>
          <w:szCs w:val="24"/>
        </w:rPr>
        <w:t>Where a judge has given judgment and a party wishes to seek leave to appeal against it the judge in question must hear such an application. It is only if that judge loses jurisdiction by no longer being a judge of the High Court or becomes otherwise unavailable that an application for leave to appeal may be heard by another judge. What</w:t>
      </w:r>
      <w:r w:rsidR="002A19AC" w:rsidRPr="00A87E91">
        <w:rPr>
          <w:rFonts w:ascii="Arial" w:hAnsi="Arial" w:cs="Arial"/>
          <w:sz w:val="24"/>
          <w:szCs w:val="24"/>
        </w:rPr>
        <w:t xml:space="preserve"> the</w:t>
      </w:r>
      <w:r w:rsidR="00146B5B" w:rsidRPr="00A87E91">
        <w:rPr>
          <w:rFonts w:ascii="Arial" w:hAnsi="Arial" w:cs="Arial"/>
          <w:sz w:val="24"/>
          <w:szCs w:val="24"/>
        </w:rPr>
        <w:t>n is the</w:t>
      </w:r>
      <w:r w:rsidR="002A19AC" w:rsidRPr="00A87E91">
        <w:rPr>
          <w:rFonts w:ascii="Arial" w:hAnsi="Arial" w:cs="Arial"/>
          <w:sz w:val="24"/>
          <w:szCs w:val="24"/>
        </w:rPr>
        <w:t xml:space="preserve"> pressing need for such a judge to </w:t>
      </w:r>
      <w:r w:rsidR="00EB04E1" w:rsidRPr="00A87E91">
        <w:rPr>
          <w:rFonts w:ascii="Arial" w:hAnsi="Arial" w:cs="Arial"/>
          <w:sz w:val="24"/>
          <w:szCs w:val="24"/>
        </w:rPr>
        <w:t>entertain an application for leave to appeal by way of a full-blown application in terms of Rule 65? I can</w:t>
      </w:r>
      <w:r w:rsidR="00146B5B" w:rsidRPr="00A87E91">
        <w:rPr>
          <w:rFonts w:ascii="Arial" w:hAnsi="Arial" w:cs="Arial"/>
          <w:sz w:val="24"/>
          <w:szCs w:val="24"/>
        </w:rPr>
        <w:t>not see any</w:t>
      </w:r>
      <w:r w:rsidR="00EB04E1" w:rsidRPr="00A87E91">
        <w:rPr>
          <w:rFonts w:ascii="Arial" w:hAnsi="Arial" w:cs="Arial"/>
          <w:sz w:val="24"/>
          <w:szCs w:val="24"/>
        </w:rPr>
        <w:t xml:space="preserve">. </w:t>
      </w:r>
    </w:p>
    <w:p w14:paraId="5161CD57" w14:textId="77777777" w:rsidR="00146B5B" w:rsidRPr="00146B5B" w:rsidRDefault="00146B5B" w:rsidP="00146B5B">
      <w:pPr>
        <w:spacing w:after="0" w:line="480" w:lineRule="auto"/>
        <w:jc w:val="both"/>
        <w:rPr>
          <w:rFonts w:ascii="Arial" w:hAnsi="Arial" w:cs="Arial"/>
          <w:sz w:val="24"/>
          <w:szCs w:val="24"/>
          <w:lang w:val="en-ZA"/>
        </w:rPr>
      </w:pPr>
    </w:p>
    <w:p w14:paraId="12905E9E" w14:textId="79327B41" w:rsidR="00BE54B4" w:rsidRPr="00A87E91" w:rsidRDefault="00A87E91" w:rsidP="00A87E91">
      <w:pPr>
        <w:spacing w:after="0" w:line="480" w:lineRule="auto"/>
        <w:jc w:val="both"/>
        <w:rPr>
          <w:rFonts w:ascii="Arial" w:hAnsi="Arial" w:cs="Arial"/>
          <w:sz w:val="24"/>
          <w:szCs w:val="24"/>
        </w:rPr>
      </w:pPr>
      <w:r w:rsidRPr="00146B5B">
        <w:rPr>
          <w:rFonts w:ascii="Arial" w:hAnsi="Arial" w:cs="Arial"/>
          <w:sz w:val="24"/>
          <w:szCs w:val="24"/>
        </w:rPr>
        <w:t>[34]</w:t>
      </w:r>
      <w:r w:rsidRPr="00146B5B">
        <w:rPr>
          <w:rFonts w:ascii="Arial" w:hAnsi="Arial" w:cs="Arial"/>
          <w:sz w:val="24"/>
          <w:szCs w:val="24"/>
        </w:rPr>
        <w:tab/>
      </w:r>
      <w:r w:rsidR="00502C59" w:rsidRPr="00A87E91">
        <w:rPr>
          <w:rFonts w:ascii="Arial" w:hAnsi="Arial" w:cs="Arial"/>
          <w:sz w:val="24"/>
          <w:szCs w:val="24"/>
          <w:lang w:val="en-ZA"/>
        </w:rPr>
        <w:t>The reason</w:t>
      </w:r>
      <w:r w:rsidR="00E67744" w:rsidRPr="00A87E91">
        <w:rPr>
          <w:rFonts w:ascii="Arial" w:hAnsi="Arial" w:cs="Arial"/>
          <w:sz w:val="24"/>
          <w:szCs w:val="24"/>
          <w:lang w:val="en-ZA"/>
        </w:rPr>
        <w:t xml:space="preserve">ing </w:t>
      </w:r>
      <w:r w:rsidR="00502C59" w:rsidRPr="00A87E91">
        <w:rPr>
          <w:rFonts w:ascii="Arial" w:hAnsi="Arial" w:cs="Arial"/>
          <w:sz w:val="24"/>
          <w:szCs w:val="24"/>
          <w:lang w:val="en-ZA"/>
        </w:rPr>
        <w:t xml:space="preserve">in </w:t>
      </w:r>
      <w:r w:rsidR="00146B5B" w:rsidRPr="00A87E91">
        <w:rPr>
          <w:rFonts w:ascii="Arial" w:hAnsi="Arial" w:cs="Arial"/>
          <w:i/>
          <w:sz w:val="24"/>
          <w:szCs w:val="24"/>
          <w:lang w:val="en-ZA"/>
        </w:rPr>
        <w:t>Hollard</w:t>
      </w:r>
      <w:r w:rsidR="00146B5B" w:rsidRPr="00A87E91">
        <w:rPr>
          <w:rFonts w:ascii="Arial" w:hAnsi="Arial" w:cs="Arial"/>
          <w:sz w:val="24"/>
          <w:szCs w:val="24"/>
          <w:lang w:val="en-ZA"/>
        </w:rPr>
        <w:t xml:space="preserve"> and </w:t>
      </w:r>
      <w:r w:rsidR="00146B5B" w:rsidRPr="00A87E91">
        <w:rPr>
          <w:rFonts w:ascii="Arial" w:hAnsi="Arial" w:cs="Arial"/>
          <w:i/>
          <w:sz w:val="24"/>
          <w:szCs w:val="24"/>
          <w:lang w:val="en-ZA"/>
        </w:rPr>
        <w:t xml:space="preserve">Elias </w:t>
      </w:r>
      <w:r w:rsidR="00146B5B" w:rsidRPr="00A87E91">
        <w:rPr>
          <w:rFonts w:ascii="Arial" w:hAnsi="Arial" w:cs="Arial"/>
          <w:sz w:val="24"/>
          <w:szCs w:val="24"/>
          <w:lang w:val="en-ZA"/>
        </w:rPr>
        <w:t xml:space="preserve">on the proper approach to Rule 115 </w:t>
      </w:r>
      <w:r w:rsidR="00502C59" w:rsidRPr="00A87E91">
        <w:rPr>
          <w:rFonts w:ascii="Arial" w:hAnsi="Arial" w:cs="Arial"/>
          <w:sz w:val="24"/>
          <w:szCs w:val="24"/>
          <w:lang w:val="en-ZA"/>
        </w:rPr>
        <w:t xml:space="preserve">is </w:t>
      </w:r>
      <w:r w:rsidR="00EB04E1" w:rsidRPr="00A87E91">
        <w:rPr>
          <w:rFonts w:ascii="Arial" w:hAnsi="Arial" w:cs="Arial"/>
          <w:sz w:val="24"/>
          <w:szCs w:val="24"/>
          <w:lang w:val="en-ZA"/>
        </w:rPr>
        <w:t xml:space="preserve">thus </w:t>
      </w:r>
      <w:r w:rsidR="00502C59" w:rsidRPr="00A87E91">
        <w:rPr>
          <w:rFonts w:ascii="Arial" w:hAnsi="Arial" w:cs="Arial"/>
          <w:sz w:val="24"/>
          <w:szCs w:val="24"/>
          <w:lang w:val="en-ZA"/>
        </w:rPr>
        <w:t xml:space="preserve">to be preferred. </w:t>
      </w:r>
    </w:p>
    <w:p w14:paraId="61C8D9B5" w14:textId="77777777" w:rsidR="00146B5B" w:rsidRDefault="00146B5B" w:rsidP="00AD2591">
      <w:pPr>
        <w:spacing w:line="480" w:lineRule="auto"/>
        <w:jc w:val="both"/>
        <w:rPr>
          <w:rFonts w:ascii="Arial" w:hAnsi="Arial" w:cs="Arial"/>
          <w:sz w:val="24"/>
          <w:szCs w:val="24"/>
          <w:u w:val="single"/>
          <w:lang w:val="en-ZA"/>
        </w:rPr>
      </w:pPr>
    </w:p>
    <w:p w14:paraId="74D3299E" w14:textId="334B16BC" w:rsidR="00664017" w:rsidRPr="00A87E91" w:rsidRDefault="00A87E91" w:rsidP="00A87E91">
      <w:pPr>
        <w:spacing w:after="0" w:line="480" w:lineRule="auto"/>
        <w:jc w:val="both"/>
        <w:rPr>
          <w:rFonts w:ascii="Arial" w:hAnsi="Arial" w:cs="Arial"/>
          <w:sz w:val="24"/>
          <w:szCs w:val="24"/>
          <w:u w:val="single"/>
          <w:lang w:val="en-ZA"/>
        </w:rPr>
      </w:pPr>
      <w:r w:rsidRPr="00AD2591">
        <w:rPr>
          <w:rFonts w:ascii="Arial" w:hAnsi="Arial" w:cs="Arial"/>
          <w:sz w:val="24"/>
          <w:szCs w:val="24"/>
          <w:lang w:val="en-ZA"/>
        </w:rPr>
        <w:t>[35]</w:t>
      </w:r>
      <w:r w:rsidRPr="00AD2591">
        <w:rPr>
          <w:rFonts w:ascii="Arial" w:hAnsi="Arial" w:cs="Arial"/>
          <w:sz w:val="24"/>
          <w:szCs w:val="24"/>
          <w:lang w:val="en-ZA"/>
        </w:rPr>
        <w:tab/>
      </w:r>
      <w:r w:rsidR="00664017" w:rsidRPr="00A87E91">
        <w:rPr>
          <w:rFonts w:ascii="Arial" w:hAnsi="Arial" w:cs="Arial"/>
          <w:sz w:val="24"/>
          <w:szCs w:val="24"/>
          <w:lang w:val="en-ZA"/>
        </w:rPr>
        <w:t>T</w:t>
      </w:r>
      <w:r w:rsidR="00E67744" w:rsidRPr="00A87E91">
        <w:rPr>
          <w:rFonts w:ascii="Arial" w:hAnsi="Arial" w:cs="Arial"/>
          <w:sz w:val="24"/>
          <w:szCs w:val="24"/>
          <w:lang w:val="en-ZA"/>
        </w:rPr>
        <w:t xml:space="preserve">he managing judge </w:t>
      </w:r>
      <w:r w:rsidR="00502C59" w:rsidRPr="00A87E91">
        <w:rPr>
          <w:rFonts w:ascii="Arial" w:hAnsi="Arial" w:cs="Arial"/>
          <w:sz w:val="24"/>
          <w:szCs w:val="24"/>
          <w:lang w:val="en-ZA"/>
        </w:rPr>
        <w:t xml:space="preserve">erred in holding that an application for leave to appeal must be brought on notice of motion supported by affidavit. The consequent order striking </w:t>
      </w:r>
      <w:r w:rsidR="00CA66F6" w:rsidRPr="00A87E91">
        <w:rPr>
          <w:rFonts w:ascii="Arial" w:hAnsi="Arial" w:cs="Arial"/>
          <w:sz w:val="24"/>
          <w:szCs w:val="24"/>
          <w:lang w:val="en-ZA"/>
        </w:rPr>
        <w:t xml:space="preserve">off </w:t>
      </w:r>
      <w:r w:rsidR="00502C59" w:rsidRPr="00A87E91">
        <w:rPr>
          <w:rFonts w:ascii="Arial" w:hAnsi="Arial" w:cs="Arial"/>
          <w:sz w:val="24"/>
          <w:szCs w:val="24"/>
          <w:lang w:val="en-ZA"/>
        </w:rPr>
        <w:t xml:space="preserve">from the roll </w:t>
      </w:r>
      <w:r w:rsidR="00664017" w:rsidRPr="00A87E91">
        <w:rPr>
          <w:rFonts w:ascii="Arial" w:hAnsi="Arial" w:cs="Arial"/>
          <w:sz w:val="24"/>
          <w:szCs w:val="24"/>
          <w:lang w:val="en-ZA"/>
        </w:rPr>
        <w:t xml:space="preserve">Namwater’s </w:t>
      </w:r>
      <w:r w:rsidR="00502C59" w:rsidRPr="00A87E91">
        <w:rPr>
          <w:rFonts w:ascii="Arial" w:hAnsi="Arial" w:cs="Arial"/>
          <w:sz w:val="24"/>
          <w:szCs w:val="24"/>
          <w:lang w:val="en-ZA"/>
        </w:rPr>
        <w:t xml:space="preserve">application for leave to appeal </w:t>
      </w:r>
      <w:r w:rsidR="00664017" w:rsidRPr="00A87E91">
        <w:rPr>
          <w:rFonts w:ascii="Arial" w:hAnsi="Arial" w:cs="Arial"/>
          <w:sz w:val="24"/>
          <w:szCs w:val="24"/>
          <w:lang w:val="en-ZA"/>
        </w:rPr>
        <w:t>should therefore</w:t>
      </w:r>
      <w:r w:rsidR="00502C59" w:rsidRPr="00A87E91">
        <w:rPr>
          <w:rFonts w:ascii="Arial" w:hAnsi="Arial" w:cs="Arial"/>
          <w:sz w:val="24"/>
          <w:szCs w:val="24"/>
          <w:lang w:val="en-ZA"/>
        </w:rPr>
        <w:t xml:space="preserve"> be set aside.</w:t>
      </w:r>
    </w:p>
    <w:p w14:paraId="1C1C02A1" w14:textId="77777777" w:rsidR="00E04768" w:rsidRDefault="00E04768" w:rsidP="00AD2591">
      <w:pPr>
        <w:spacing w:after="0" w:line="480" w:lineRule="auto"/>
        <w:jc w:val="both"/>
        <w:rPr>
          <w:rFonts w:ascii="Arial" w:hAnsi="Arial" w:cs="Arial"/>
          <w:sz w:val="24"/>
          <w:szCs w:val="24"/>
          <w:u w:val="single"/>
          <w:lang w:val="en-ZA"/>
        </w:rPr>
      </w:pPr>
    </w:p>
    <w:p w14:paraId="42BE5A2E" w14:textId="48B1993E" w:rsidR="00664017" w:rsidRPr="00AD2591" w:rsidRDefault="00606391" w:rsidP="00AD2591">
      <w:pPr>
        <w:spacing w:after="0" w:line="480" w:lineRule="auto"/>
        <w:jc w:val="both"/>
        <w:rPr>
          <w:rFonts w:ascii="Arial" w:hAnsi="Arial" w:cs="Arial"/>
          <w:sz w:val="24"/>
          <w:szCs w:val="24"/>
          <w:u w:val="single"/>
          <w:lang w:val="en-ZA"/>
        </w:rPr>
      </w:pPr>
      <w:r w:rsidRPr="00AD2591">
        <w:rPr>
          <w:rFonts w:ascii="Arial" w:hAnsi="Arial" w:cs="Arial"/>
          <w:sz w:val="24"/>
          <w:szCs w:val="24"/>
          <w:u w:val="single"/>
          <w:lang w:val="en-ZA"/>
        </w:rPr>
        <w:t>Costs</w:t>
      </w:r>
    </w:p>
    <w:p w14:paraId="1B07A986" w14:textId="43BC42E4" w:rsidR="00606391" w:rsidRPr="00A87E91" w:rsidRDefault="00A87E91" w:rsidP="00A87E91">
      <w:pPr>
        <w:spacing w:after="0" w:line="480" w:lineRule="auto"/>
        <w:jc w:val="both"/>
        <w:rPr>
          <w:rFonts w:ascii="Arial" w:hAnsi="Arial" w:cs="Arial"/>
          <w:sz w:val="24"/>
          <w:szCs w:val="24"/>
          <w:lang w:val="en-ZA"/>
        </w:rPr>
      </w:pPr>
      <w:r w:rsidRPr="00AD2591">
        <w:rPr>
          <w:rFonts w:ascii="Arial" w:hAnsi="Arial" w:cs="Arial"/>
          <w:sz w:val="24"/>
          <w:szCs w:val="24"/>
          <w:lang w:val="en-ZA"/>
        </w:rPr>
        <w:t>[36]</w:t>
      </w:r>
      <w:r w:rsidRPr="00AD2591">
        <w:rPr>
          <w:rFonts w:ascii="Arial" w:hAnsi="Arial" w:cs="Arial"/>
          <w:sz w:val="24"/>
          <w:szCs w:val="24"/>
          <w:lang w:val="en-ZA"/>
        </w:rPr>
        <w:tab/>
      </w:r>
      <w:r w:rsidR="00EB04E1" w:rsidRPr="00A87E91">
        <w:rPr>
          <w:rFonts w:ascii="Arial" w:hAnsi="Arial" w:cs="Arial"/>
          <w:sz w:val="24"/>
          <w:szCs w:val="24"/>
          <w:lang w:val="en-ZA"/>
        </w:rPr>
        <w:t xml:space="preserve">Namwater did not ask for costs </w:t>
      </w:r>
      <w:r w:rsidR="00C92B91" w:rsidRPr="00A87E91">
        <w:rPr>
          <w:rFonts w:ascii="Arial" w:hAnsi="Arial" w:cs="Arial"/>
          <w:sz w:val="24"/>
          <w:szCs w:val="24"/>
          <w:lang w:val="en-ZA"/>
        </w:rPr>
        <w:t xml:space="preserve">and accordingly </w:t>
      </w:r>
      <w:r w:rsidR="009C62F4" w:rsidRPr="00A87E91">
        <w:rPr>
          <w:rFonts w:ascii="Arial" w:hAnsi="Arial" w:cs="Arial"/>
          <w:sz w:val="24"/>
          <w:szCs w:val="24"/>
          <w:lang w:val="en-ZA"/>
        </w:rPr>
        <w:t xml:space="preserve">I do </w:t>
      </w:r>
      <w:r w:rsidR="00C92B91" w:rsidRPr="00A87E91">
        <w:rPr>
          <w:rFonts w:ascii="Arial" w:hAnsi="Arial" w:cs="Arial"/>
          <w:sz w:val="24"/>
          <w:szCs w:val="24"/>
          <w:lang w:val="en-ZA"/>
        </w:rPr>
        <w:t xml:space="preserve">not make </w:t>
      </w:r>
      <w:r w:rsidR="00EB04E1" w:rsidRPr="00A87E91">
        <w:rPr>
          <w:rFonts w:ascii="Arial" w:hAnsi="Arial" w:cs="Arial"/>
          <w:sz w:val="24"/>
          <w:szCs w:val="24"/>
          <w:lang w:val="en-ZA"/>
        </w:rPr>
        <w:t xml:space="preserve">such an </w:t>
      </w:r>
      <w:r w:rsidR="00C92B91" w:rsidRPr="00A87E91">
        <w:rPr>
          <w:rFonts w:ascii="Arial" w:hAnsi="Arial" w:cs="Arial"/>
          <w:sz w:val="24"/>
          <w:szCs w:val="24"/>
          <w:lang w:val="en-ZA"/>
        </w:rPr>
        <w:t>order</w:t>
      </w:r>
      <w:r w:rsidR="00EB04E1" w:rsidRPr="00A87E91">
        <w:rPr>
          <w:rFonts w:ascii="Arial" w:hAnsi="Arial" w:cs="Arial"/>
          <w:sz w:val="24"/>
          <w:szCs w:val="24"/>
          <w:lang w:val="en-ZA"/>
        </w:rPr>
        <w:t>.</w:t>
      </w:r>
      <w:r w:rsidR="00C92B91" w:rsidRPr="00A87E91">
        <w:rPr>
          <w:rFonts w:ascii="Arial" w:hAnsi="Arial" w:cs="Arial"/>
          <w:sz w:val="24"/>
          <w:szCs w:val="24"/>
          <w:lang w:val="en-ZA"/>
        </w:rPr>
        <w:t xml:space="preserve"> </w:t>
      </w:r>
    </w:p>
    <w:p w14:paraId="34C09645" w14:textId="77777777" w:rsidR="00EB04E1" w:rsidRPr="00AD2591" w:rsidRDefault="00EB04E1" w:rsidP="00AD2591">
      <w:pPr>
        <w:spacing w:after="0" w:line="480" w:lineRule="auto"/>
        <w:jc w:val="both"/>
        <w:rPr>
          <w:rFonts w:ascii="Arial" w:hAnsi="Arial" w:cs="Arial"/>
          <w:sz w:val="24"/>
          <w:szCs w:val="24"/>
          <w:u w:val="single"/>
          <w:lang w:val="en-ZA"/>
        </w:rPr>
      </w:pPr>
    </w:p>
    <w:p w14:paraId="0CBD12E6" w14:textId="14A1ADED" w:rsidR="001D439B" w:rsidRPr="00AD2591" w:rsidRDefault="00606391" w:rsidP="00AD2591">
      <w:pPr>
        <w:spacing w:after="0" w:line="480" w:lineRule="auto"/>
        <w:jc w:val="both"/>
        <w:rPr>
          <w:rFonts w:ascii="Arial" w:hAnsi="Arial" w:cs="Arial"/>
          <w:sz w:val="24"/>
          <w:szCs w:val="24"/>
          <w:u w:val="single"/>
          <w:lang w:val="en-ZA"/>
        </w:rPr>
      </w:pPr>
      <w:r w:rsidRPr="00AD2591">
        <w:rPr>
          <w:rFonts w:ascii="Arial" w:hAnsi="Arial" w:cs="Arial"/>
          <w:sz w:val="24"/>
          <w:szCs w:val="24"/>
          <w:u w:val="single"/>
          <w:lang w:val="en-ZA"/>
        </w:rPr>
        <w:t>Order</w:t>
      </w:r>
    </w:p>
    <w:p w14:paraId="4CD2D96D" w14:textId="00276542" w:rsidR="00606391" w:rsidRPr="00A87E91" w:rsidRDefault="00A87E91" w:rsidP="00A87E91">
      <w:pPr>
        <w:spacing w:after="0" w:line="360" w:lineRule="auto"/>
        <w:jc w:val="both"/>
        <w:rPr>
          <w:rFonts w:ascii="Arial" w:hAnsi="Arial" w:cs="Arial"/>
          <w:sz w:val="24"/>
          <w:szCs w:val="24"/>
          <w:lang w:val="en-ZA"/>
        </w:rPr>
      </w:pPr>
      <w:r>
        <w:rPr>
          <w:rFonts w:ascii="Arial" w:hAnsi="Arial" w:cs="Arial"/>
          <w:sz w:val="24"/>
          <w:szCs w:val="24"/>
          <w:lang w:val="en-ZA"/>
        </w:rPr>
        <w:t>[37]</w:t>
      </w:r>
      <w:r>
        <w:rPr>
          <w:rFonts w:ascii="Arial" w:hAnsi="Arial" w:cs="Arial"/>
          <w:sz w:val="24"/>
          <w:szCs w:val="24"/>
          <w:lang w:val="en-ZA"/>
        </w:rPr>
        <w:tab/>
      </w:r>
      <w:r w:rsidR="0037574E" w:rsidRPr="00A87E91">
        <w:rPr>
          <w:rFonts w:ascii="Arial" w:hAnsi="Arial" w:cs="Arial"/>
          <w:sz w:val="24"/>
          <w:szCs w:val="24"/>
          <w:lang w:val="en-ZA"/>
        </w:rPr>
        <w:t xml:space="preserve">In the result, </w:t>
      </w:r>
      <w:r w:rsidR="00C92B91" w:rsidRPr="00A87E91">
        <w:rPr>
          <w:rFonts w:ascii="Arial" w:hAnsi="Arial" w:cs="Arial"/>
          <w:sz w:val="24"/>
          <w:szCs w:val="24"/>
          <w:lang w:val="en-ZA"/>
        </w:rPr>
        <w:t>the following order is made:</w:t>
      </w:r>
    </w:p>
    <w:p w14:paraId="79FF9FAF" w14:textId="77777777" w:rsidR="00D30900" w:rsidRPr="00AD2591" w:rsidRDefault="00D30900" w:rsidP="00D30900">
      <w:pPr>
        <w:pStyle w:val="ListParagraph"/>
        <w:spacing w:after="0" w:line="360" w:lineRule="auto"/>
        <w:ind w:left="0"/>
        <w:jc w:val="both"/>
        <w:rPr>
          <w:rFonts w:ascii="Arial" w:hAnsi="Arial" w:cs="Arial"/>
          <w:sz w:val="24"/>
          <w:szCs w:val="24"/>
          <w:lang w:val="en-ZA"/>
        </w:rPr>
      </w:pPr>
    </w:p>
    <w:p w14:paraId="2BC6961F" w14:textId="18E9C29B" w:rsidR="00BD08DC" w:rsidRPr="00A87E91" w:rsidRDefault="00A87E91" w:rsidP="00A87E91">
      <w:pPr>
        <w:spacing w:after="0" w:line="360" w:lineRule="auto"/>
        <w:ind w:left="360" w:hanging="360"/>
        <w:jc w:val="both"/>
        <w:rPr>
          <w:rFonts w:ascii="Arial" w:hAnsi="Arial" w:cs="Arial"/>
          <w:sz w:val="24"/>
          <w:szCs w:val="24"/>
          <w:lang w:val="en-ZA"/>
        </w:rPr>
      </w:pPr>
      <w:r w:rsidRPr="00AD2591">
        <w:rPr>
          <w:rFonts w:ascii="Arial" w:hAnsi="Arial" w:cs="Arial"/>
          <w:sz w:val="24"/>
          <w:szCs w:val="24"/>
          <w:lang w:val="en-ZA"/>
        </w:rPr>
        <w:t>1.</w:t>
      </w:r>
      <w:r w:rsidRPr="00AD2591">
        <w:rPr>
          <w:rFonts w:ascii="Arial" w:hAnsi="Arial" w:cs="Arial"/>
          <w:sz w:val="24"/>
          <w:szCs w:val="24"/>
          <w:lang w:val="en-ZA"/>
        </w:rPr>
        <w:tab/>
      </w:r>
      <w:r w:rsidR="00BD08DC" w:rsidRPr="00A87E91">
        <w:rPr>
          <w:rFonts w:ascii="Arial" w:hAnsi="Arial" w:cs="Arial"/>
          <w:sz w:val="24"/>
          <w:szCs w:val="24"/>
          <w:lang w:val="en-ZA"/>
        </w:rPr>
        <w:t>T</w:t>
      </w:r>
      <w:r w:rsidR="00C92B91" w:rsidRPr="00A87E91">
        <w:rPr>
          <w:rFonts w:ascii="Arial" w:hAnsi="Arial" w:cs="Arial"/>
          <w:sz w:val="24"/>
          <w:szCs w:val="24"/>
          <w:lang w:val="en-ZA"/>
        </w:rPr>
        <w:t xml:space="preserve">he applicant's non-compliance with Direction 1(c) </w:t>
      </w:r>
      <w:r w:rsidR="00EF32F9" w:rsidRPr="00A87E91">
        <w:rPr>
          <w:rFonts w:ascii="Arial" w:hAnsi="Arial" w:cs="Arial"/>
          <w:sz w:val="24"/>
          <w:szCs w:val="24"/>
          <w:lang w:val="en-ZA"/>
        </w:rPr>
        <w:t>issued on 18 July 2023 is hereby condoned</w:t>
      </w:r>
      <w:r w:rsidR="00C92B91" w:rsidRPr="00A87E91">
        <w:rPr>
          <w:rFonts w:ascii="Arial" w:hAnsi="Arial" w:cs="Arial"/>
          <w:sz w:val="24"/>
          <w:szCs w:val="24"/>
          <w:lang w:val="en-ZA"/>
        </w:rPr>
        <w:t>.</w:t>
      </w:r>
    </w:p>
    <w:p w14:paraId="6BAE059F" w14:textId="0CCED9B2" w:rsidR="00BD08DC" w:rsidRPr="00A87E91" w:rsidRDefault="00A87E91" w:rsidP="00A87E91">
      <w:pPr>
        <w:spacing w:after="0" w:line="480" w:lineRule="auto"/>
        <w:ind w:left="360" w:hanging="360"/>
        <w:jc w:val="both"/>
        <w:rPr>
          <w:rFonts w:ascii="Arial" w:hAnsi="Arial" w:cs="Arial"/>
          <w:sz w:val="24"/>
          <w:szCs w:val="24"/>
          <w:lang w:val="en-ZA"/>
        </w:rPr>
      </w:pPr>
      <w:r w:rsidRPr="00AD2591">
        <w:rPr>
          <w:rFonts w:ascii="Arial" w:hAnsi="Arial" w:cs="Arial"/>
          <w:sz w:val="24"/>
          <w:szCs w:val="24"/>
          <w:lang w:val="en-ZA"/>
        </w:rPr>
        <w:lastRenderedPageBreak/>
        <w:t>2.</w:t>
      </w:r>
      <w:r w:rsidRPr="00AD2591">
        <w:rPr>
          <w:rFonts w:ascii="Arial" w:hAnsi="Arial" w:cs="Arial"/>
          <w:sz w:val="24"/>
          <w:szCs w:val="24"/>
          <w:lang w:val="en-ZA"/>
        </w:rPr>
        <w:tab/>
      </w:r>
      <w:r w:rsidR="00C116BA" w:rsidRPr="00A87E91">
        <w:rPr>
          <w:rFonts w:ascii="Arial" w:hAnsi="Arial" w:cs="Arial"/>
          <w:sz w:val="24"/>
          <w:szCs w:val="24"/>
          <w:lang w:val="en-ZA"/>
        </w:rPr>
        <w:t>The order</w:t>
      </w:r>
      <w:r w:rsidR="00C92B91" w:rsidRPr="00A87E91">
        <w:rPr>
          <w:rFonts w:ascii="Arial" w:hAnsi="Arial" w:cs="Arial"/>
          <w:sz w:val="24"/>
          <w:szCs w:val="24"/>
          <w:lang w:val="en-ZA"/>
        </w:rPr>
        <w:t xml:space="preserve"> of the court </w:t>
      </w:r>
      <w:r w:rsidR="00C92B91" w:rsidRPr="00A87E91">
        <w:rPr>
          <w:rFonts w:ascii="Arial" w:hAnsi="Arial" w:cs="Arial"/>
          <w:i/>
          <w:sz w:val="24"/>
          <w:szCs w:val="24"/>
          <w:lang w:val="en-ZA"/>
        </w:rPr>
        <w:t>a quo</w:t>
      </w:r>
      <w:r w:rsidR="00C92B91" w:rsidRPr="00A87E91">
        <w:rPr>
          <w:rFonts w:ascii="Arial" w:hAnsi="Arial" w:cs="Arial"/>
          <w:sz w:val="24"/>
          <w:szCs w:val="24"/>
          <w:lang w:val="en-ZA"/>
        </w:rPr>
        <w:t xml:space="preserve"> </w:t>
      </w:r>
      <w:r w:rsidR="005711A3" w:rsidRPr="00A87E91">
        <w:rPr>
          <w:rFonts w:ascii="Arial" w:hAnsi="Arial" w:cs="Arial"/>
          <w:sz w:val="24"/>
          <w:szCs w:val="24"/>
          <w:lang w:val="en-ZA"/>
        </w:rPr>
        <w:t>of 6</w:t>
      </w:r>
      <w:r w:rsidR="00C92B91" w:rsidRPr="00A87E91">
        <w:rPr>
          <w:rFonts w:ascii="Arial" w:hAnsi="Arial" w:cs="Arial"/>
          <w:sz w:val="24"/>
          <w:szCs w:val="24"/>
          <w:lang w:val="en-ZA"/>
        </w:rPr>
        <w:t xml:space="preserve"> April 2023 under Case Number: HC-MD-CIV-ACT-CON-2021/04068, </w:t>
      </w:r>
      <w:r w:rsidR="00F644BD" w:rsidRPr="00A87E91">
        <w:rPr>
          <w:rFonts w:ascii="Arial" w:hAnsi="Arial" w:cs="Arial"/>
          <w:sz w:val="24"/>
          <w:szCs w:val="24"/>
          <w:lang w:val="en-ZA"/>
        </w:rPr>
        <w:t>is</w:t>
      </w:r>
      <w:r w:rsidR="00BD08DC" w:rsidRPr="00A87E91">
        <w:rPr>
          <w:rFonts w:ascii="Arial" w:hAnsi="Arial" w:cs="Arial"/>
          <w:sz w:val="24"/>
          <w:szCs w:val="24"/>
          <w:lang w:val="en-ZA"/>
        </w:rPr>
        <w:t xml:space="preserve"> reviewed and set aside</w:t>
      </w:r>
      <w:r w:rsidR="00C92B91" w:rsidRPr="00A87E91">
        <w:rPr>
          <w:rFonts w:ascii="Arial" w:hAnsi="Arial" w:cs="Arial"/>
          <w:sz w:val="24"/>
          <w:szCs w:val="24"/>
          <w:lang w:val="en-ZA"/>
        </w:rPr>
        <w:t>.</w:t>
      </w:r>
    </w:p>
    <w:p w14:paraId="0E1A8400" w14:textId="77777777" w:rsidR="00BD08DC" w:rsidRPr="00AD2591" w:rsidRDefault="00BD08DC" w:rsidP="00AD2591">
      <w:pPr>
        <w:pStyle w:val="ListParagraph"/>
        <w:spacing w:line="480" w:lineRule="auto"/>
        <w:jc w:val="both"/>
        <w:rPr>
          <w:rFonts w:ascii="Arial" w:hAnsi="Arial" w:cs="Arial"/>
          <w:sz w:val="24"/>
          <w:szCs w:val="24"/>
          <w:lang w:val="en-ZA"/>
        </w:rPr>
      </w:pPr>
    </w:p>
    <w:p w14:paraId="72D04DC9" w14:textId="1BDFC518" w:rsidR="00BD08DC" w:rsidRPr="00A87E91" w:rsidRDefault="00A87E91" w:rsidP="00A87E91">
      <w:pPr>
        <w:spacing w:after="0" w:line="480" w:lineRule="auto"/>
        <w:ind w:left="360" w:hanging="360"/>
        <w:jc w:val="both"/>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r>
      <w:r w:rsidR="00C92B91" w:rsidRPr="00A87E91">
        <w:rPr>
          <w:rFonts w:ascii="Arial" w:hAnsi="Arial" w:cs="Arial"/>
          <w:sz w:val="24"/>
          <w:szCs w:val="24"/>
          <w:lang w:val="en-ZA"/>
        </w:rPr>
        <w:t xml:space="preserve">The matter is remitted to </w:t>
      </w:r>
      <w:r w:rsidR="00EB04E1" w:rsidRPr="00A87E91">
        <w:rPr>
          <w:rFonts w:ascii="Arial" w:hAnsi="Arial" w:cs="Arial"/>
          <w:sz w:val="24"/>
          <w:szCs w:val="24"/>
          <w:lang w:val="en-ZA"/>
        </w:rPr>
        <w:t xml:space="preserve">the managing judge </w:t>
      </w:r>
      <w:r w:rsidR="00C116BA" w:rsidRPr="00A87E91">
        <w:rPr>
          <w:rFonts w:ascii="Arial" w:hAnsi="Arial" w:cs="Arial"/>
          <w:sz w:val="24"/>
          <w:szCs w:val="24"/>
          <w:lang w:val="en-ZA"/>
        </w:rPr>
        <w:t xml:space="preserve">for her to give </w:t>
      </w:r>
      <w:r w:rsidR="00046E32" w:rsidRPr="00A87E91">
        <w:rPr>
          <w:rFonts w:ascii="Arial" w:hAnsi="Arial" w:cs="Arial"/>
          <w:sz w:val="24"/>
          <w:szCs w:val="24"/>
          <w:lang w:val="en-ZA"/>
        </w:rPr>
        <w:t xml:space="preserve">judgment </w:t>
      </w:r>
      <w:r w:rsidR="00C116BA" w:rsidRPr="00A87E91">
        <w:rPr>
          <w:rFonts w:ascii="Arial" w:hAnsi="Arial" w:cs="Arial"/>
          <w:sz w:val="24"/>
          <w:szCs w:val="24"/>
          <w:lang w:val="en-ZA"/>
        </w:rPr>
        <w:t xml:space="preserve">on the </w:t>
      </w:r>
      <w:r w:rsidR="00C92B91" w:rsidRPr="00A87E91">
        <w:rPr>
          <w:rFonts w:ascii="Arial" w:hAnsi="Arial" w:cs="Arial"/>
          <w:sz w:val="24"/>
          <w:szCs w:val="24"/>
          <w:lang w:val="en-ZA"/>
        </w:rPr>
        <w:t>applicant's application for leave</w:t>
      </w:r>
      <w:r w:rsidR="00BD08DC" w:rsidRPr="00A87E91">
        <w:rPr>
          <w:rFonts w:ascii="Arial" w:hAnsi="Arial" w:cs="Arial"/>
          <w:sz w:val="24"/>
          <w:szCs w:val="24"/>
          <w:lang w:val="en-ZA"/>
        </w:rPr>
        <w:t xml:space="preserve"> to appeal </w:t>
      </w:r>
      <w:r w:rsidR="00C92B91" w:rsidRPr="00A87E91">
        <w:rPr>
          <w:rFonts w:ascii="Arial" w:hAnsi="Arial" w:cs="Arial"/>
          <w:sz w:val="24"/>
          <w:szCs w:val="24"/>
          <w:lang w:val="en-ZA"/>
        </w:rPr>
        <w:t>in terms of Rule 115 of the High Court</w:t>
      </w:r>
      <w:r w:rsidR="00F644BD" w:rsidRPr="00A87E91">
        <w:rPr>
          <w:rFonts w:ascii="Arial" w:hAnsi="Arial" w:cs="Arial"/>
          <w:sz w:val="24"/>
          <w:szCs w:val="24"/>
          <w:lang w:val="en-ZA"/>
        </w:rPr>
        <w:t xml:space="preserve"> Rules</w:t>
      </w:r>
      <w:r w:rsidR="008A13CC" w:rsidRPr="00A87E91">
        <w:rPr>
          <w:rFonts w:ascii="Arial" w:hAnsi="Arial" w:cs="Arial"/>
          <w:sz w:val="24"/>
          <w:szCs w:val="24"/>
          <w:lang w:val="en-ZA"/>
        </w:rPr>
        <w:t>.</w:t>
      </w:r>
      <w:r w:rsidR="00F33003" w:rsidRPr="00A87E91">
        <w:rPr>
          <w:rFonts w:ascii="Arial" w:hAnsi="Arial" w:cs="Arial"/>
          <w:sz w:val="24"/>
          <w:szCs w:val="24"/>
          <w:lang w:val="en-ZA"/>
        </w:rPr>
        <w:t xml:space="preserve"> </w:t>
      </w:r>
    </w:p>
    <w:p w14:paraId="57AA2490" w14:textId="77777777" w:rsidR="0062276E" w:rsidRPr="0062276E" w:rsidRDefault="0062276E" w:rsidP="0062276E">
      <w:pPr>
        <w:spacing w:after="0" w:line="480" w:lineRule="auto"/>
        <w:jc w:val="both"/>
        <w:rPr>
          <w:rFonts w:ascii="Arial" w:hAnsi="Arial" w:cs="Arial"/>
          <w:sz w:val="24"/>
          <w:szCs w:val="24"/>
          <w:lang w:val="en-ZA"/>
        </w:rPr>
      </w:pPr>
    </w:p>
    <w:p w14:paraId="65CB3D33" w14:textId="6E0AEB50" w:rsidR="00037BA1" w:rsidRPr="00A87E91" w:rsidRDefault="00A87E91" w:rsidP="00A87E91">
      <w:pPr>
        <w:spacing w:after="0" w:line="480" w:lineRule="auto"/>
        <w:ind w:left="360" w:hanging="360"/>
        <w:jc w:val="both"/>
        <w:rPr>
          <w:rFonts w:ascii="Arial" w:hAnsi="Arial" w:cs="Arial"/>
          <w:sz w:val="24"/>
          <w:szCs w:val="24"/>
          <w:lang w:val="en-ZA"/>
        </w:rPr>
      </w:pPr>
      <w:r w:rsidRPr="00AD2591">
        <w:rPr>
          <w:rFonts w:ascii="Arial" w:hAnsi="Arial" w:cs="Arial"/>
          <w:sz w:val="24"/>
          <w:szCs w:val="24"/>
          <w:lang w:val="en-ZA"/>
        </w:rPr>
        <w:t>4.</w:t>
      </w:r>
      <w:r w:rsidRPr="00AD2591">
        <w:rPr>
          <w:rFonts w:ascii="Arial" w:hAnsi="Arial" w:cs="Arial"/>
          <w:sz w:val="24"/>
          <w:szCs w:val="24"/>
          <w:lang w:val="en-ZA"/>
        </w:rPr>
        <w:tab/>
      </w:r>
      <w:r w:rsidR="002E76CA" w:rsidRPr="00A87E91">
        <w:rPr>
          <w:rFonts w:ascii="Arial" w:hAnsi="Arial" w:cs="Arial"/>
          <w:sz w:val="24"/>
          <w:szCs w:val="24"/>
          <w:lang w:val="en-ZA"/>
        </w:rPr>
        <w:t xml:space="preserve">There is no </w:t>
      </w:r>
      <w:r w:rsidR="00C92B91" w:rsidRPr="00A87E91">
        <w:rPr>
          <w:rFonts w:ascii="Arial" w:hAnsi="Arial" w:cs="Arial"/>
          <w:sz w:val="24"/>
          <w:szCs w:val="24"/>
          <w:lang w:val="en-ZA"/>
        </w:rPr>
        <w:t>order as to costs.</w:t>
      </w:r>
    </w:p>
    <w:p w14:paraId="40F7C8EF" w14:textId="77777777" w:rsidR="00606391" w:rsidRPr="00AD2591" w:rsidRDefault="00606391" w:rsidP="00AD2591">
      <w:pPr>
        <w:spacing w:after="0" w:line="480" w:lineRule="auto"/>
        <w:jc w:val="both"/>
        <w:rPr>
          <w:rFonts w:ascii="Arial" w:hAnsi="Arial" w:cs="Arial"/>
          <w:b/>
          <w:sz w:val="24"/>
          <w:szCs w:val="24"/>
          <w:lang w:val="en-ZA"/>
        </w:rPr>
      </w:pPr>
    </w:p>
    <w:p w14:paraId="7CE458E1" w14:textId="77777777" w:rsidR="00EE1EED" w:rsidRDefault="00EE1EED" w:rsidP="00AD3406">
      <w:pPr>
        <w:spacing w:after="0" w:line="240" w:lineRule="auto"/>
        <w:rPr>
          <w:rFonts w:ascii="Arial" w:hAnsi="Arial" w:cs="Arial"/>
          <w:b/>
          <w:sz w:val="24"/>
          <w:szCs w:val="24"/>
          <w:lang w:val="en-ZA"/>
        </w:rPr>
      </w:pPr>
    </w:p>
    <w:p w14:paraId="5F32AAB2" w14:textId="77777777" w:rsidR="00EE1EED" w:rsidRDefault="00EE1EED" w:rsidP="00AD3406">
      <w:pPr>
        <w:spacing w:after="0" w:line="240" w:lineRule="auto"/>
        <w:rPr>
          <w:rFonts w:ascii="Arial" w:hAnsi="Arial" w:cs="Arial"/>
          <w:b/>
          <w:sz w:val="24"/>
          <w:szCs w:val="24"/>
          <w:lang w:val="en-ZA"/>
        </w:rPr>
      </w:pPr>
    </w:p>
    <w:p w14:paraId="35CB4B5A" w14:textId="77777777" w:rsidR="00172710" w:rsidRPr="00AD3406" w:rsidRDefault="00172710" w:rsidP="00AD3406">
      <w:pPr>
        <w:spacing w:after="0" w:line="240" w:lineRule="auto"/>
        <w:rPr>
          <w:rFonts w:ascii="Arial" w:hAnsi="Arial" w:cs="Arial"/>
          <w:b/>
          <w:sz w:val="24"/>
          <w:szCs w:val="24"/>
          <w:lang w:val="en-ZA"/>
        </w:rPr>
      </w:pPr>
    </w:p>
    <w:p w14:paraId="5316899F" w14:textId="77777777" w:rsidR="00AD3406" w:rsidRPr="00AD3406" w:rsidRDefault="00AD3406" w:rsidP="00AD3406">
      <w:pPr>
        <w:tabs>
          <w:tab w:val="left" w:pos="3119"/>
        </w:tabs>
        <w:spacing w:after="0" w:line="240" w:lineRule="auto"/>
        <w:rPr>
          <w:rFonts w:ascii="Arial" w:hAnsi="Arial" w:cs="Arial"/>
          <w:b/>
          <w:sz w:val="24"/>
          <w:szCs w:val="24"/>
          <w:lang w:val="en-ZA"/>
        </w:rPr>
      </w:pPr>
      <w:r w:rsidRPr="00AD3406">
        <w:rPr>
          <w:rFonts w:ascii="Arial" w:hAnsi="Arial" w:cs="Arial"/>
          <w:b/>
          <w:sz w:val="24"/>
          <w:szCs w:val="24"/>
          <w:lang w:val="en-ZA"/>
        </w:rPr>
        <w:t>_______________________</w:t>
      </w:r>
    </w:p>
    <w:p w14:paraId="22AA6F02" w14:textId="4EB71D2D" w:rsidR="00AD3406" w:rsidRPr="00AD3406" w:rsidRDefault="00AD3406" w:rsidP="00AD3406">
      <w:pPr>
        <w:spacing w:after="0" w:line="240" w:lineRule="auto"/>
        <w:rPr>
          <w:rFonts w:ascii="Arial" w:hAnsi="Arial" w:cs="Arial"/>
          <w:b/>
          <w:sz w:val="24"/>
          <w:szCs w:val="24"/>
          <w:lang w:val="en-ZA"/>
        </w:rPr>
      </w:pPr>
      <w:r w:rsidRPr="00AD3406">
        <w:rPr>
          <w:rFonts w:ascii="Arial" w:hAnsi="Arial" w:cs="Arial"/>
          <w:b/>
          <w:sz w:val="24"/>
          <w:szCs w:val="24"/>
          <w:lang w:val="en-ZA"/>
        </w:rPr>
        <w:t>DAMASEB DCJ</w:t>
      </w:r>
    </w:p>
    <w:p w14:paraId="7F7155D2" w14:textId="77777777" w:rsidR="00AD3406" w:rsidRDefault="00AD3406" w:rsidP="00AD3406">
      <w:pPr>
        <w:spacing w:after="0" w:line="240" w:lineRule="auto"/>
        <w:rPr>
          <w:rFonts w:ascii="Arial" w:hAnsi="Arial" w:cs="Arial"/>
          <w:b/>
          <w:sz w:val="24"/>
          <w:szCs w:val="24"/>
          <w:lang w:val="en-ZA"/>
        </w:rPr>
      </w:pPr>
    </w:p>
    <w:p w14:paraId="39F65F09" w14:textId="77777777" w:rsidR="00B17417" w:rsidRDefault="00B17417" w:rsidP="00AD3406">
      <w:pPr>
        <w:spacing w:after="0" w:line="240" w:lineRule="auto"/>
        <w:rPr>
          <w:rFonts w:ascii="Arial" w:hAnsi="Arial" w:cs="Arial"/>
          <w:b/>
          <w:sz w:val="24"/>
          <w:szCs w:val="24"/>
          <w:lang w:val="en-ZA"/>
        </w:rPr>
      </w:pPr>
    </w:p>
    <w:p w14:paraId="3BA8BEF3" w14:textId="77777777" w:rsidR="00B17417" w:rsidRDefault="00B17417" w:rsidP="00AD3406">
      <w:pPr>
        <w:spacing w:after="0" w:line="240" w:lineRule="auto"/>
        <w:rPr>
          <w:rFonts w:ascii="Arial" w:hAnsi="Arial" w:cs="Arial"/>
          <w:b/>
          <w:sz w:val="24"/>
          <w:szCs w:val="24"/>
          <w:lang w:val="en-ZA"/>
        </w:rPr>
      </w:pPr>
    </w:p>
    <w:p w14:paraId="53B25295" w14:textId="77777777" w:rsidR="00B17417" w:rsidRPr="00AD3406" w:rsidRDefault="00B17417" w:rsidP="00AD3406">
      <w:pPr>
        <w:spacing w:after="0" w:line="240" w:lineRule="auto"/>
        <w:rPr>
          <w:rFonts w:ascii="Arial" w:hAnsi="Arial" w:cs="Arial"/>
          <w:b/>
          <w:sz w:val="24"/>
          <w:szCs w:val="24"/>
          <w:lang w:val="en-ZA"/>
        </w:rPr>
      </w:pPr>
    </w:p>
    <w:p w14:paraId="7B1703F4" w14:textId="77777777" w:rsidR="00AD3406" w:rsidRPr="00AD3406" w:rsidRDefault="00AD3406" w:rsidP="00AD3406">
      <w:pPr>
        <w:spacing w:after="0" w:line="240" w:lineRule="auto"/>
        <w:rPr>
          <w:rFonts w:ascii="Arial" w:hAnsi="Arial" w:cs="Arial"/>
          <w:b/>
          <w:sz w:val="24"/>
          <w:szCs w:val="24"/>
          <w:lang w:val="en-ZA"/>
        </w:rPr>
      </w:pPr>
    </w:p>
    <w:p w14:paraId="3CFFA213" w14:textId="77777777" w:rsidR="00B17417" w:rsidRPr="00B17417" w:rsidRDefault="00B17417" w:rsidP="00B17417">
      <w:pPr>
        <w:spacing w:after="0" w:line="240" w:lineRule="auto"/>
        <w:rPr>
          <w:rFonts w:ascii="Arial" w:hAnsi="Arial" w:cs="Arial"/>
          <w:b/>
          <w:sz w:val="24"/>
          <w:szCs w:val="24"/>
          <w:lang w:val="en-ZA"/>
        </w:rPr>
      </w:pPr>
      <w:r w:rsidRPr="00B17417">
        <w:rPr>
          <w:rFonts w:ascii="Arial" w:hAnsi="Arial" w:cs="Arial"/>
          <w:b/>
          <w:sz w:val="24"/>
          <w:szCs w:val="24"/>
          <w:lang w:val="en-ZA"/>
        </w:rPr>
        <w:t>_______________________</w:t>
      </w:r>
    </w:p>
    <w:p w14:paraId="35F98540" w14:textId="77777777" w:rsidR="00AD3406" w:rsidRPr="00AD3406" w:rsidRDefault="00B17417" w:rsidP="00B17417">
      <w:pPr>
        <w:spacing w:after="0" w:line="240" w:lineRule="auto"/>
        <w:rPr>
          <w:rFonts w:ascii="Arial" w:hAnsi="Arial" w:cs="Arial"/>
          <w:b/>
          <w:sz w:val="24"/>
          <w:szCs w:val="24"/>
          <w:lang w:val="en-ZA"/>
        </w:rPr>
      </w:pPr>
      <w:r w:rsidRPr="00B17417">
        <w:rPr>
          <w:rFonts w:ascii="Arial" w:hAnsi="Arial" w:cs="Arial"/>
          <w:b/>
          <w:sz w:val="24"/>
          <w:szCs w:val="24"/>
          <w:lang w:val="en-ZA"/>
        </w:rPr>
        <w:t>HOFF JA</w:t>
      </w:r>
    </w:p>
    <w:p w14:paraId="4079B3A1" w14:textId="77777777" w:rsidR="00AD3406" w:rsidRPr="00AD3406" w:rsidRDefault="00AD3406" w:rsidP="00AD3406">
      <w:pPr>
        <w:spacing w:after="0" w:line="240" w:lineRule="auto"/>
        <w:rPr>
          <w:rFonts w:ascii="Arial" w:hAnsi="Arial" w:cs="Arial"/>
          <w:b/>
          <w:sz w:val="24"/>
          <w:szCs w:val="24"/>
          <w:lang w:val="en-ZA"/>
        </w:rPr>
      </w:pPr>
    </w:p>
    <w:p w14:paraId="17ECF6FD" w14:textId="77777777" w:rsidR="00AD3406" w:rsidRDefault="00AD3406" w:rsidP="00AD3406">
      <w:pPr>
        <w:spacing w:after="0" w:line="240" w:lineRule="auto"/>
        <w:rPr>
          <w:rFonts w:ascii="Arial" w:hAnsi="Arial" w:cs="Arial"/>
          <w:b/>
          <w:sz w:val="24"/>
          <w:szCs w:val="24"/>
          <w:lang w:val="en-ZA"/>
        </w:rPr>
      </w:pPr>
    </w:p>
    <w:p w14:paraId="78CC1708" w14:textId="77777777" w:rsidR="00B17417" w:rsidRDefault="00B17417" w:rsidP="00AD3406">
      <w:pPr>
        <w:spacing w:after="0" w:line="240" w:lineRule="auto"/>
        <w:rPr>
          <w:rFonts w:ascii="Arial" w:hAnsi="Arial" w:cs="Arial"/>
          <w:b/>
          <w:sz w:val="24"/>
          <w:szCs w:val="24"/>
          <w:lang w:val="en-ZA"/>
        </w:rPr>
      </w:pPr>
    </w:p>
    <w:p w14:paraId="489C86EA" w14:textId="77777777" w:rsidR="00B17417" w:rsidRDefault="00B17417" w:rsidP="00AD3406">
      <w:pPr>
        <w:spacing w:after="0" w:line="240" w:lineRule="auto"/>
        <w:rPr>
          <w:rFonts w:ascii="Arial" w:hAnsi="Arial" w:cs="Arial"/>
          <w:b/>
          <w:sz w:val="24"/>
          <w:szCs w:val="24"/>
          <w:lang w:val="en-ZA"/>
        </w:rPr>
      </w:pPr>
    </w:p>
    <w:p w14:paraId="37F0A656" w14:textId="77777777" w:rsidR="00B17417" w:rsidRPr="00AD3406" w:rsidRDefault="00B17417" w:rsidP="00AD3406">
      <w:pPr>
        <w:spacing w:after="0" w:line="240" w:lineRule="auto"/>
        <w:rPr>
          <w:rFonts w:ascii="Arial" w:hAnsi="Arial" w:cs="Arial"/>
          <w:b/>
          <w:sz w:val="24"/>
          <w:szCs w:val="24"/>
          <w:lang w:val="en-ZA"/>
        </w:rPr>
      </w:pPr>
    </w:p>
    <w:p w14:paraId="2629F73A" w14:textId="77777777" w:rsidR="00AD3406" w:rsidRPr="00AD3406" w:rsidRDefault="00AD3406" w:rsidP="00AD3406">
      <w:pPr>
        <w:spacing w:after="0" w:line="240" w:lineRule="auto"/>
        <w:rPr>
          <w:rFonts w:ascii="Arial" w:hAnsi="Arial" w:cs="Arial"/>
          <w:b/>
          <w:sz w:val="24"/>
          <w:szCs w:val="24"/>
          <w:lang w:val="en-ZA"/>
        </w:rPr>
      </w:pPr>
      <w:r w:rsidRPr="00AD3406">
        <w:rPr>
          <w:rFonts w:ascii="Arial" w:hAnsi="Arial" w:cs="Arial"/>
          <w:b/>
          <w:sz w:val="24"/>
          <w:szCs w:val="24"/>
          <w:lang w:val="en-ZA"/>
        </w:rPr>
        <w:t>_______________________</w:t>
      </w:r>
    </w:p>
    <w:p w14:paraId="32FE3893" w14:textId="77777777" w:rsidR="00AD3406" w:rsidRPr="00AD3406" w:rsidRDefault="00AD3406" w:rsidP="00AD3406">
      <w:pPr>
        <w:autoSpaceDE w:val="0"/>
        <w:autoSpaceDN w:val="0"/>
        <w:adjustRightInd w:val="0"/>
        <w:spacing w:after="0" w:line="240" w:lineRule="auto"/>
        <w:rPr>
          <w:rFonts w:ascii="Arial" w:eastAsia="Times New Roman" w:hAnsi="Arial" w:cs="Arial"/>
          <w:b/>
          <w:sz w:val="24"/>
          <w:szCs w:val="24"/>
          <w:lang w:val="en-GB"/>
        </w:rPr>
      </w:pPr>
      <w:r w:rsidRPr="00AD3406">
        <w:rPr>
          <w:rFonts w:ascii="Arial" w:eastAsia="Times New Roman" w:hAnsi="Arial" w:cs="Arial"/>
          <w:b/>
          <w:sz w:val="24"/>
          <w:szCs w:val="24"/>
          <w:lang w:val="en-GB"/>
        </w:rPr>
        <w:t>PRINSLOO AJA</w:t>
      </w:r>
    </w:p>
    <w:p w14:paraId="624C3E27" w14:textId="77777777" w:rsidR="00C1786D" w:rsidRDefault="00C1786D" w:rsidP="00AD3406">
      <w:pPr>
        <w:autoSpaceDE w:val="0"/>
        <w:autoSpaceDN w:val="0"/>
        <w:adjustRightInd w:val="0"/>
        <w:spacing w:after="0" w:line="480" w:lineRule="auto"/>
        <w:jc w:val="both"/>
        <w:rPr>
          <w:rFonts w:ascii="Arial" w:eastAsia="Times New Roman" w:hAnsi="Arial" w:cs="Arial"/>
          <w:sz w:val="24"/>
          <w:szCs w:val="24"/>
          <w:lang w:val="en-GB"/>
        </w:rPr>
      </w:pPr>
    </w:p>
    <w:p w14:paraId="3788E9F2" w14:textId="77777777" w:rsidR="002A2834" w:rsidRDefault="002A2834">
      <w:pPr>
        <w:rPr>
          <w:rFonts w:ascii="Arial" w:eastAsia="Times New Roman" w:hAnsi="Arial" w:cs="Arial"/>
          <w:sz w:val="24"/>
          <w:szCs w:val="24"/>
          <w:lang w:val="en-GB"/>
        </w:rPr>
      </w:pPr>
      <w:r>
        <w:rPr>
          <w:rFonts w:ascii="Arial" w:eastAsia="Times New Roman" w:hAnsi="Arial" w:cs="Arial"/>
          <w:sz w:val="24"/>
          <w:szCs w:val="24"/>
          <w:lang w:val="en-GB"/>
        </w:rPr>
        <w:br w:type="page"/>
      </w:r>
    </w:p>
    <w:p w14:paraId="72EE3F4F" w14:textId="03498BE8" w:rsidR="00AD3406" w:rsidRPr="00AD3406" w:rsidRDefault="00AD3406" w:rsidP="00AD3406">
      <w:pPr>
        <w:autoSpaceDE w:val="0"/>
        <w:autoSpaceDN w:val="0"/>
        <w:adjustRightInd w:val="0"/>
        <w:spacing w:after="0" w:line="480" w:lineRule="auto"/>
        <w:jc w:val="both"/>
        <w:rPr>
          <w:rFonts w:ascii="Arial" w:eastAsia="Times New Roman" w:hAnsi="Arial" w:cs="Arial"/>
          <w:sz w:val="24"/>
          <w:szCs w:val="24"/>
          <w:lang w:val="en-GB"/>
        </w:rPr>
      </w:pPr>
      <w:r w:rsidRPr="00AD3406">
        <w:rPr>
          <w:rFonts w:ascii="Arial" w:eastAsia="Times New Roman" w:hAnsi="Arial" w:cs="Arial"/>
          <w:sz w:val="24"/>
          <w:szCs w:val="24"/>
          <w:lang w:val="en-GB"/>
        </w:rPr>
        <w:lastRenderedPageBreak/>
        <w:t>APPEARANCES</w:t>
      </w:r>
    </w:p>
    <w:p w14:paraId="38FF9EA1" w14:textId="77777777" w:rsidR="00AD3406" w:rsidRPr="00AD3406" w:rsidRDefault="00AD3406" w:rsidP="00AD3406">
      <w:pPr>
        <w:autoSpaceDE w:val="0"/>
        <w:autoSpaceDN w:val="0"/>
        <w:adjustRightInd w:val="0"/>
        <w:spacing w:after="0" w:line="480" w:lineRule="auto"/>
        <w:jc w:val="both"/>
        <w:rPr>
          <w:rFonts w:ascii="Arial" w:eastAsia="Times New Roman" w:hAnsi="Arial"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AD3406" w:rsidRPr="00AD3406" w14:paraId="0791B533" w14:textId="77777777" w:rsidTr="007201E0">
        <w:tc>
          <w:tcPr>
            <w:tcW w:w="4555" w:type="dxa"/>
          </w:tcPr>
          <w:p w14:paraId="417553BD" w14:textId="77777777" w:rsidR="00AD3406" w:rsidRPr="00AD3406" w:rsidRDefault="00AD3406" w:rsidP="00AD3406">
            <w:pPr>
              <w:autoSpaceDE w:val="0"/>
              <w:autoSpaceDN w:val="0"/>
              <w:adjustRightInd w:val="0"/>
              <w:spacing w:line="480" w:lineRule="auto"/>
              <w:ind w:left="-108"/>
              <w:jc w:val="both"/>
              <w:rPr>
                <w:rFonts w:ascii="Arial" w:eastAsia="Times New Roman" w:hAnsi="Arial" w:cs="Arial"/>
                <w:sz w:val="24"/>
                <w:szCs w:val="24"/>
                <w:lang w:val="en-GB"/>
              </w:rPr>
            </w:pPr>
            <w:r w:rsidRPr="00AD3406">
              <w:rPr>
                <w:rFonts w:ascii="Arial" w:eastAsia="Times New Roman" w:hAnsi="Arial" w:cs="Arial"/>
                <w:sz w:val="24"/>
                <w:szCs w:val="24"/>
                <w:lang w:val="en-GB"/>
              </w:rPr>
              <w:t>APPELLANT:</w:t>
            </w:r>
          </w:p>
        </w:tc>
        <w:tc>
          <w:tcPr>
            <w:tcW w:w="4556" w:type="dxa"/>
          </w:tcPr>
          <w:p w14:paraId="4D1A5DEA" w14:textId="4B0EA71A" w:rsidR="000A3E61" w:rsidRPr="000A3E61" w:rsidRDefault="00EA7A78" w:rsidP="000A3E61">
            <w:pPr>
              <w:autoSpaceDE w:val="0"/>
              <w:autoSpaceDN w:val="0"/>
              <w:adjustRightInd w:val="0"/>
              <w:spacing w:line="480" w:lineRule="auto"/>
              <w:ind w:left="-108"/>
              <w:rPr>
                <w:rFonts w:ascii="Arial" w:eastAsia="Times New Roman" w:hAnsi="Arial" w:cs="Arial"/>
                <w:sz w:val="24"/>
                <w:szCs w:val="24"/>
              </w:rPr>
            </w:pPr>
            <w:r>
              <w:rPr>
                <w:rFonts w:ascii="Arial" w:eastAsia="Times New Roman" w:hAnsi="Arial" w:cs="Arial"/>
                <w:sz w:val="24"/>
                <w:szCs w:val="24"/>
              </w:rPr>
              <w:t>G Narib assisted by T</w:t>
            </w:r>
            <w:r w:rsidR="000A3E61">
              <w:rPr>
                <w:rFonts w:ascii="Arial" w:eastAsia="Times New Roman" w:hAnsi="Arial" w:cs="Arial"/>
                <w:sz w:val="24"/>
                <w:szCs w:val="24"/>
              </w:rPr>
              <w:t xml:space="preserve"> Muhongo</w:t>
            </w:r>
          </w:p>
        </w:tc>
      </w:tr>
      <w:tr w:rsidR="00AD3406" w:rsidRPr="00AD3406" w14:paraId="73BFEA8F" w14:textId="77777777" w:rsidTr="007201E0">
        <w:tc>
          <w:tcPr>
            <w:tcW w:w="4555" w:type="dxa"/>
          </w:tcPr>
          <w:p w14:paraId="7BE11B2C" w14:textId="77777777" w:rsidR="00AD3406" w:rsidRPr="00AD3406" w:rsidRDefault="00AD3406" w:rsidP="00AD3406">
            <w:pPr>
              <w:autoSpaceDE w:val="0"/>
              <w:autoSpaceDN w:val="0"/>
              <w:adjustRightInd w:val="0"/>
              <w:spacing w:line="480" w:lineRule="auto"/>
              <w:jc w:val="both"/>
              <w:rPr>
                <w:rFonts w:ascii="Arial" w:eastAsia="Times New Roman" w:hAnsi="Arial" w:cs="Arial"/>
                <w:sz w:val="24"/>
                <w:szCs w:val="24"/>
                <w:lang w:val="en-GB"/>
              </w:rPr>
            </w:pPr>
          </w:p>
        </w:tc>
        <w:tc>
          <w:tcPr>
            <w:tcW w:w="4556" w:type="dxa"/>
          </w:tcPr>
          <w:p w14:paraId="05DC694A" w14:textId="062C3B8F" w:rsidR="00AD3406" w:rsidRPr="00AD3406" w:rsidRDefault="00AD3406" w:rsidP="00EA7A78">
            <w:pPr>
              <w:autoSpaceDE w:val="0"/>
              <w:autoSpaceDN w:val="0"/>
              <w:adjustRightInd w:val="0"/>
              <w:spacing w:line="480" w:lineRule="auto"/>
              <w:ind w:left="-108"/>
              <w:rPr>
                <w:rFonts w:ascii="Arial" w:eastAsia="Times New Roman" w:hAnsi="Arial" w:cs="Arial"/>
                <w:sz w:val="24"/>
                <w:szCs w:val="24"/>
                <w:lang w:val="en-GB"/>
              </w:rPr>
            </w:pPr>
            <w:r w:rsidRPr="00AD3406">
              <w:rPr>
                <w:rFonts w:ascii="Arial" w:eastAsia="Times New Roman" w:hAnsi="Arial" w:cs="Arial"/>
                <w:sz w:val="24"/>
                <w:szCs w:val="24"/>
                <w:lang w:val="en-GB"/>
              </w:rPr>
              <w:t xml:space="preserve">Instructed by </w:t>
            </w:r>
            <w:r w:rsidR="00EA7A78">
              <w:rPr>
                <w:rFonts w:ascii="Arial" w:eastAsia="Times New Roman" w:hAnsi="Arial" w:cs="Arial"/>
                <w:sz w:val="24"/>
                <w:szCs w:val="24"/>
                <w:lang w:val="en-GB"/>
              </w:rPr>
              <w:t xml:space="preserve">ENSafrica | </w:t>
            </w:r>
            <w:r w:rsidR="00C06BBD">
              <w:rPr>
                <w:rFonts w:ascii="Arial" w:eastAsia="Times New Roman" w:hAnsi="Arial" w:cs="Arial"/>
                <w:sz w:val="24"/>
                <w:szCs w:val="24"/>
                <w:lang w:val="en-GB"/>
              </w:rPr>
              <w:t>Namibia</w:t>
            </w:r>
            <w:r w:rsidRPr="00AD3406">
              <w:rPr>
                <w:rFonts w:ascii="Arial" w:eastAsia="Times New Roman" w:hAnsi="Arial" w:cs="Arial"/>
                <w:sz w:val="24"/>
                <w:szCs w:val="24"/>
                <w:lang w:val="en-GB"/>
              </w:rPr>
              <w:t xml:space="preserve"> </w:t>
            </w:r>
          </w:p>
        </w:tc>
      </w:tr>
      <w:tr w:rsidR="00AD3406" w:rsidRPr="00AD3406" w14:paraId="51B27B29" w14:textId="77777777" w:rsidTr="007201E0">
        <w:tc>
          <w:tcPr>
            <w:tcW w:w="4555" w:type="dxa"/>
          </w:tcPr>
          <w:p w14:paraId="2496765F" w14:textId="77777777" w:rsidR="00AD3406" w:rsidRPr="00AD3406" w:rsidRDefault="00AD3406" w:rsidP="00AD3406">
            <w:pPr>
              <w:autoSpaceDE w:val="0"/>
              <w:autoSpaceDN w:val="0"/>
              <w:adjustRightInd w:val="0"/>
              <w:spacing w:line="480" w:lineRule="auto"/>
              <w:ind w:left="-108"/>
              <w:jc w:val="both"/>
              <w:rPr>
                <w:rFonts w:ascii="Arial" w:eastAsia="Times New Roman" w:hAnsi="Arial" w:cs="Arial"/>
                <w:sz w:val="24"/>
                <w:szCs w:val="24"/>
                <w:lang w:val="en-GB"/>
              </w:rPr>
            </w:pPr>
          </w:p>
        </w:tc>
        <w:tc>
          <w:tcPr>
            <w:tcW w:w="4556" w:type="dxa"/>
          </w:tcPr>
          <w:p w14:paraId="3B47EF42" w14:textId="77777777" w:rsidR="00AD3406" w:rsidRPr="00AD3406" w:rsidRDefault="00AD3406" w:rsidP="00AD3406">
            <w:pPr>
              <w:autoSpaceDE w:val="0"/>
              <w:autoSpaceDN w:val="0"/>
              <w:adjustRightInd w:val="0"/>
              <w:spacing w:line="480" w:lineRule="auto"/>
              <w:ind w:left="-108"/>
              <w:rPr>
                <w:rFonts w:ascii="Arial" w:eastAsia="Times New Roman" w:hAnsi="Arial" w:cs="Arial"/>
                <w:sz w:val="24"/>
                <w:szCs w:val="24"/>
                <w:lang w:val="en-GB"/>
              </w:rPr>
            </w:pPr>
          </w:p>
        </w:tc>
      </w:tr>
      <w:tr w:rsidR="00AD3406" w:rsidRPr="00AD3406" w14:paraId="5EE9CD15" w14:textId="77777777" w:rsidTr="007201E0">
        <w:tc>
          <w:tcPr>
            <w:tcW w:w="4555" w:type="dxa"/>
          </w:tcPr>
          <w:p w14:paraId="472BB8F9" w14:textId="77777777" w:rsidR="00AD3406" w:rsidRPr="00AD3406" w:rsidRDefault="00AD3406" w:rsidP="00AD3406">
            <w:pPr>
              <w:autoSpaceDE w:val="0"/>
              <w:autoSpaceDN w:val="0"/>
              <w:adjustRightInd w:val="0"/>
              <w:spacing w:line="480" w:lineRule="auto"/>
              <w:ind w:left="-108"/>
              <w:jc w:val="both"/>
              <w:rPr>
                <w:rFonts w:ascii="Arial" w:eastAsia="Times New Roman" w:hAnsi="Arial" w:cs="Arial"/>
                <w:sz w:val="24"/>
                <w:szCs w:val="24"/>
                <w:lang w:val="en-GB"/>
              </w:rPr>
            </w:pPr>
          </w:p>
        </w:tc>
        <w:tc>
          <w:tcPr>
            <w:tcW w:w="4556" w:type="dxa"/>
          </w:tcPr>
          <w:p w14:paraId="73640391" w14:textId="77777777" w:rsidR="00AD3406" w:rsidRPr="00AD3406" w:rsidRDefault="00AD3406" w:rsidP="00AD3406">
            <w:pPr>
              <w:autoSpaceDE w:val="0"/>
              <w:autoSpaceDN w:val="0"/>
              <w:adjustRightInd w:val="0"/>
              <w:spacing w:line="480" w:lineRule="auto"/>
              <w:ind w:left="-108"/>
              <w:rPr>
                <w:rFonts w:ascii="Arial" w:eastAsia="Times New Roman" w:hAnsi="Arial" w:cs="Arial"/>
                <w:sz w:val="24"/>
                <w:szCs w:val="24"/>
                <w:lang w:val="en-GB"/>
              </w:rPr>
            </w:pPr>
          </w:p>
        </w:tc>
      </w:tr>
      <w:tr w:rsidR="00AD3406" w:rsidRPr="00AD3406" w14:paraId="005B79EA" w14:textId="77777777" w:rsidTr="007201E0">
        <w:tc>
          <w:tcPr>
            <w:tcW w:w="4555" w:type="dxa"/>
          </w:tcPr>
          <w:p w14:paraId="4A6D7EC3" w14:textId="77777777" w:rsidR="00AD3406" w:rsidRPr="00AD3406" w:rsidRDefault="005228E1" w:rsidP="00AD3406">
            <w:pPr>
              <w:autoSpaceDE w:val="0"/>
              <w:autoSpaceDN w:val="0"/>
              <w:adjustRightInd w:val="0"/>
              <w:spacing w:line="480" w:lineRule="auto"/>
              <w:ind w:left="-108"/>
              <w:jc w:val="both"/>
              <w:rPr>
                <w:rFonts w:ascii="Arial" w:eastAsia="Times New Roman" w:hAnsi="Arial" w:cs="Arial"/>
                <w:sz w:val="24"/>
                <w:szCs w:val="24"/>
                <w:lang w:val="en-GB"/>
              </w:rPr>
            </w:pPr>
            <w:r>
              <w:rPr>
                <w:rFonts w:ascii="Arial" w:eastAsia="Times New Roman" w:hAnsi="Arial" w:cs="Arial"/>
                <w:sz w:val="24"/>
                <w:szCs w:val="24"/>
                <w:lang w:val="en-GB"/>
              </w:rPr>
              <w:t>RESPONDENT</w:t>
            </w:r>
            <w:r w:rsidR="00AD3406" w:rsidRPr="00AD3406">
              <w:rPr>
                <w:rFonts w:ascii="Arial" w:eastAsia="Times New Roman" w:hAnsi="Arial" w:cs="Arial"/>
                <w:sz w:val="24"/>
                <w:szCs w:val="24"/>
                <w:lang w:val="en-GB"/>
              </w:rPr>
              <w:t>:</w:t>
            </w:r>
          </w:p>
        </w:tc>
        <w:tc>
          <w:tcPr>
            <w:tcW w:w="4556" w:type="dxa"/>
          </w:tcPr>
          <w:p w14:paraId="65A4DA66" w14:textId="77777777" w:rsidR="00AD3406" w:rsidRPr="00AD3406" w:rsidRDefault="000A3E61" w:rsidP="00AD3406">
            <w:pPr>
              <w:autoSpaceDE w:val="0"/>
              <w:autoSpaceDN w:val="0"/>
              <w:adjustRightInd w:val="0"/>
              <w:spacing w:line="480" w:lineRule="auto"/>
              <w:ind w:left="-108"/>
              <w:rPr>
                <w:rFonts w:ascii="Arial" w:eastAsia="Times New Roman" w:hAnsi="Arial" w:cs="Arial"/>
                <w:sz w:val="24"/>
                <w:szCs w:val="24"/>
                <w:lang w:val="en-GB"/>
              </w:rPr>
            </w:pPr>
            <w:r>
              <w:rPr>
                <w:rFonts w:ascii="Arial" w:eastAsia="Times New Roman" w:hAnsi="Arial" w:cs="Arial"/>
                <w:sz w:val="24"/>
                <w:szCs w:val="24"/>
                <w:lang w:val="en-GB"/>
              </w:rPr>
              <w:t>No appearance</w:t>
            </w:r>
          </w:p>
        </w:tc>
      </w:tr>
      <w:tr w:rsidR="00AD3406" w:rsidRPr="00AD3406" w14:paraId="444A9EA0" w14:textId="77777777" w:rsidTr="007201E0">
        <w:tc>
          <w:tcPr>
            <w:tcW w:w="4555" w:type="dxa"/>
          </w:tcPr>
          <w:p w14:paraId="5060A6FA" w14:textId="77777777" w:rsidR="00AD3406" w:rsidRPr="00AD3406" w:rsidRDefault="00AD3406" w:rsidP="00AD3406">
            <w:pPr>
              <w:autoSpaceDE w:val="0"/>
              <w:autoSpaceDN w:val="0"/>
              <w:adjustRightInd w:val="0"/>
              <w:spacing w:line="480" w:lineRule="auto"/>
              <w:jc w:val="both"/>
              <w:rPr>
                <w:rFonts w:ascii="Arial" w:eastAsia="Times New Roman" w:hAnsi="Arial" w:cs="Arial"/>
                <w:sz w:val="24"/>
                <w:szCs w:val="24"/>
                <w:lang w:val="en-GB"/>
              </w:rPr>
            </w:pPr>
          </w:p>
        </w:tc>
        <w:tc>
          <w:tcPr>
            <w:tcW w:w="4556" w:type="dxa"/>
          </w:tcPr>
          <w:p w14:paraId="26F29BAA" w14:textId="77777777" w:rsidR="00AD3406" w:rsidRPr="00AD3406" w:rsidRDefault="00AD3406" w:rsidP="00AD3406">
            <w:pPr>
              <w:autoSpaceDE w:val="0"/>
              <w:autoSpaceDN w:val="0"/>
              <w:adjustRightInd w:val="0"/>
              <w:spacing w:line="480" w:lineRule="auto"/>
              <w:ind w:left="-108"/>
              <w:rPr>
                <w:rFonts w:ascii="Arial" w:eastAsia="Times New Roman" w:hAnsi="Arial" w:cs="Arial"/>
                <w:sz w:val="24"/>
                <w:szCs w:val="24"/>
                <w:lang w:val="en-GB"/>
              </w:rPr>
            </w:pPr>
          </w:p>
        </w:tc>
      </w:tr>
    </w:tbl>
    <w:p w14:paraId="7DB4401B" w14:textId="77777777" w:rsidR="00AD3406" w:rsidRPr="00AD3406" w:rsidRDefault="00AD3406" w:rsidP="00AD3406">
      <w:pPr>
        <w:autoSpaceDE w:val="0"/>
        <w:autoSpaceDN w:val="0"/>
        <w:adjustRightInd w:val="0"/>
        <w:spacing w:after="0" w:line="480" w:lineRule="auto"/>
        <w:jc w:val="both"/>
        <w:rPr>
          <w:rFonts w:ascii="Arial" w:eastAsia="Times New Roman" w:hAnsi="Arial" w:cs="Arial"/>
          <w:sz w:val="24"/>
          <w:szCs w:val="24"/>
          <w:lang w:val="en-GB"/>
        </w:rPr>
      </w:pPr>
    </w:p>
    <w:p w14:paraId="070C3FCD" w14:textId="77777777" w:rsidR="00AD3406" w:rsidRPr="00AD3406" w:rsidRDefault="00AD3406" w:rsidP="00AD3406">
      <w:pPr>
        <w:rPr>
          <w:lang w:val="en-ZA"/>
        </w:rPr>
      </w:pPr>
    </w:p>
    <w:p w14:paraId="7BF855D7" w14:textId="77777777" w:rsidR="00AD3406" w:rsidRPr="00AD3406" w:rsidRDefault="00AD3406" w:rsidP="00AD3406"/>
    <w:p w14:paraId="0102060E" w14:textId="77777777" w:rsidR="00000000" w:rsidRDefault="00000000"/>
    <w:sectPr w:rsidR="004E6AB8" w:rsidSect="009441CE">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4B16" w14:textId="77777777" w:rsidR="007E343C" w:rsidRDefault="007E343C" w:rsidP="00AD3406">
      <w:pPr>
        <w:spacing w:after="0" w:line="240" w:lineRule="auto"/>
      </w:pPr>
      <w:r>
        <w:separator/>
      </w:r>
    </w:p>
  </w:endnote>
  <w:endnote w:type="continuationSeparator" w:id="0">
    <w:p w14:paraId="0C5BC04C" w14:textId="77777777" w:rsidR="007E343C" w:rsidRDefault="007E343C" w:rsidP="00AD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4612" w14:textId="77777777" w:rsidR="007E343C" w:rsidRDefault="007E343C" w:rsidP="00AD3406">
      <w:pPr>
        <w:spacing w:after="0" w:line="240" w:lineRule="auto"/>
      </w:pPr>
      <w:r>
        <w:separator/>
      </w:r>
    </w:p>
  </w:footnote>
  <w:footnote w:type="continuationSeparator" w:id="0">
    <w:p w14:paraId="4002A93C" w14:textId="77777777" w:rsidR="007E343C" w:rsidRDefault="007E343C" w:rsidP="00AD3406">
      <w:pPr>
        <w:spacing w:after="0" w:line="240" w:lineRule="auto"/>
      </w:pPr>
      <w:r>
        <w:continuationSeparator/>
      </w:r>
    </w:p>
  </w:footnote>
  <w:footnote w:id="1">
    <w:p w14:paraId="395F4F2D" w14:textId="360016B0" w:rsidR="00223448" w:rsidRPr="00E42E4C" w:rsidRDefault="00223448" w:rsidP="00E42E4C">
      <w:pPr>
        <w:pStyle w:val="FootnoteText"/>
        <w:jc w:val="both"/>
        <w:rPr>
          <w:rFonts w:ascii="Arial" w:hAnsi="Arial" w:cs="Arial"/>
        </w:rPr>
      </w:pPr>
      <w:r w:rsidRPr="00E42E4C">
        <w:rPr>
          <w:rStyle w:val="FootnoteReference"/>
          <w:rFonts w:ascii="Arial" w:hAnsi="Arial" w:cs="Arial"/>
        </w:rPr>
        <w:footnoteRef/>
      </w:r>
      <w:r w:rsidRPr="00E42E4C">
        <w:rPr>
          <w:rFonts w:ascii="Arial" w:hAnsi="Arial" w:cs="Arial"/>
          <w:i/>
        </w:rPr>
        <w:t xml:space="preserve"> </w:t>
      </w:r>
      <w:r w:rsidR="00E42E4C" w:rsidRPr="00E42E4C">
        <w:rPr>
          <w:rFonts w:ascii="Arial" w:hAnsi="Arial" w:cs="Arial"/>
          <w:i/>
        </w:rPr>
        <w:t>Hollard Insurance Company of Namibia v Minister of Finance</w:t>
      </w:r>
      <w:r w:rsidR="00E42E4C" w:rsidRPr="00E42E4C">
        <w:rPr>
          <w:rFonts w:ascii="Arial" w:hAnsi="Arial" w:cs="Arial"/>
        </w:rPr>
        <w:t xml:space="preserve"> (HC-MD-CIV-MOT-REV-2018/00127) [2020] NAHCMD 247 (24 June 2020).</w:t>
      </w:r>
    </w:p>
  </w:footnote>
  <w:footnote w:id="2">
    <w:p w14:paraId="1AB5093C" w14:textId="0B67504F" w:rsidR="005A0705" w:rsidRPr="00235284" w:rsidRDefault="005A0705" w:rsidP="00223448">
      <w:pPr>
        <w:pStyle w:val="FootnoteText"/>
        <w:jc w:val="both"/>
        <w:rPr>
          <w:rFonts w:ascii="Arial" w:hAnsi="Arial" w:cs="Arial"/>
        </w:rPr>
      </w:pPr>
      <w:r w:rsidRPr="00235284">
        <w:rPr>
          <w:rStyle w:val="FootnoteReference"/>
          <w:rFonts w:ascii="Arial" w:hAnsi="Arial" w:cs="Arial"/>
        </w:rPr>
        <w:footnoteRef/>
      </w:r>
      <w:r w:rsidRPr="00235284">
        <w:rPr>
          <w:rFonts w:ascii="Arial" w:hAnsi="Arial" w:cs="Arial"/>
        </w:rPr>
        <w:t xml:space="preserve"> </w:t>
      </w:r>
      <w:r w:rsidR="000C6BEE">
        <w:rPr>
          <w:rFonts w:ascii="Arial" w:hAnsi="Arial" w:cs="Arial"/>
          <w:i/>
        </w:rPr>
        <w:t>Hollard, ibid</w:t>
      </w:r>
      <w:r w:rsidR="00223448" w:rsidRPr="00235284">
        <w:rPr>
          <w:rFonts w:ascii="Arial" w:hAnsi="Arial" w:cs="Arial"/>
        </w:rPr>
        <w:t>.</w:t>
      </w:r>
    </w:p>
  </w:footnote>
  <w:footnote w:id="3">
    <w:p w14:paraId="2E2FF779" w14:textId="21069626" w:rsidR="005A0705" w:rsidRPr="00235284" w:rsidRDefault="005A0705" w:rsidP="005A0705">
      <w:pPr>
        <w:pStyle w:val="FootnoteText"/>
        <w:rPr>
          <w:rFonts w:ascii="Arial" w:hAnsi="Arial" w:cs="Arial"/>
        </w:rPr>
      </w:pPr>
      <w:r w:rsidRPr="00235284">
        <w:rPr>
          <w:rStyle w:val="FootnoteReference"/>
          <w:rFonts w:ascii="Arial" w:hAnsi="Arial" w:cs="Arial"/>
        </w:rPr>
        <w:footnoteRef/>
      </w:r>
      <w:r w:rsidRPr="00235284">
        <w:rPr>
          <w:rFonts w:ascii="Arial" w:hAnsi="Arial" w:cs="Arial"/>
        </w:rPr>
        <w:t xml:space="preserve"> </w:t>
      </w:r>
      <w:r w:rsidR="008E7332">
        <w:rPr>
          <w:rFonts w:ascii="Arial" w:hAnsi="Arial" w:cs="Arial"/>
          <w:i/>
        </w:rPr>
        <w:t>Elias</w:t>
      </w:r>
      <w:r w:rsidR="00EB723F">
        <w:rPr>
          <w:rFonts w:ascii="Arial" w:hAnsi="Arial" w:cs="Arial"/>
          <w:i/>
        </w:rPr>
        <w:t>,</w:t>
      </w:r>
      <w:r w:rsidR="005B4313" w:rsidRPr="00235284">
        <w:rPr>
          <w:rFonts w:ascii="Arial" w:hAnsi="Arial" w:cs="Arial"/>
        </w:rPr>
        <w:t xml:space="preserve"> para 6.</w:t>
      </w:r>
    </w:p>
  </w:footnote>
  <w:footnote w:id="4">
    <w:p w14:paraId="0135AB09" w14:textId="3447941E" w:rsidR="005A0705" w:rsidRPr="00235284" w:rsidRDefault="005A0705" w:rsidP="005A0705">
      <w:pPr>
        <w:pStyle w:val="FootnoteText"/>
        <w:rPr>
          <w:rFonts w:ascii="Arial" w:hAnsi="Arial" w:cs="Arial"/>
        </w:rPr>
      </w:pPr>
      <w:r w:rsidRPr="00235284">
        <w:rPr>
          <w:rStyle w:val="FootnoteReference"/>
          <w:rFonts w:ascii="Arial" w:hAnsi="Arial" w:cs="Arial"/>
        </w:rPr>
        <w:footnoteRef/>
      </w:r>
      <w:r w:rsidRPr="00235284">
        <w:rPr>
          <w:rFonts w:ascii="Arial" w:hAnsi="Arial" w:cs="Arial"/>
        </w:rPr>
        <w:t xml:space="preserve"> </w:t>
      </w:r>
      <w:r w:rsidR="005B4313" w:rsidRPr="00235284">
        <w:rPr>
          <w:rFonts w:ascii="Arial" w:hAnsi="Arial" w:cs="Arial"/>
          <w:i/>
        </w:rPr>
        <w:t>Ibid</w:t>
      </w:r>
      <w:r w:rsidRPr="00235284">
        <w:rPr>
          <w:rFonts w:ascii="Arial" w:hAnsi="Arial" w:cs="Arial"/>
        </w:rPr>
        <w:t>.</w:t>
      </w:r>
    </w:p>
  </w:footnote>
  <w:footnote w:id="5">
    <w:p w14:paraId="02EF3617" w14:textId="0C901B9C" w:rsidR="005A0705" w:rsidRPr="00235284" w:rsidRDefault="005A0705" w:rsidP="005A0705">
      <w:pPr>
        <w:pStyle w:val="FootnoteText"/>
        <w:jc w:val="both"/>
        <w:rPr>
          <w:rFonts w:ascii="Arial" w:hAnsi="Arial" w:cs="Arial"/>
        </w:rPr>
      </w:pPr>
      <w:r w:rsidRPr="00235284">
        <w:rPr>
          <w:rStyle w:val="FootnoteReference"/>
          <w:rFonts w:ascii="Arial" w:hAnsi="Arial" w:cs="Arial"/>
        </w:rPr>
        <w:footnoteRef/>
      </w:r>
      <w:r w:rsidRPr="00235284">
        <w:rPr>
          <w:rFonts w:ascii="Arial" w:hAnsi="Arial" w:cs="Arial"/>
        </w:rPr>
        <w:t xml:space="preserve"> </w:t>
      </w:r>
      <w:r w:rsidR="008D38DF" w:rsidRPr="00235284">
        <w:rPr>
          <w:rFonts w:ascii="Arial" w:hAnsi="Arial" w:cs="Arial"/>
          <w:i/>
        </w:rPr>
        <w:t>Hollard, Ibid.</w:t>
      </w:r>
    </w:p>
  </w:footnote>
  <w:footnote w:id="6">
    <w:p w14:paraId="2DFABE37" w14:textId="6073AE1B" w:rsidR="005A0705" w:rsidRDefault="005A0705" w:rsidP="005A0705">
      <w:pPr>
        <w:pStyle w:val="FootnoteText"/>
      </w:pPr>
      <w:r w:rsidRPr="00235284">
        <w:rPr>
          <w:rStyle w:val="FootnoteReference"/>
          <w:rFonts w:ascii="Arial" w:hAnsi="Arial" w:cs="Arial"/>
        </w:rPr>
        <w:footnoteRef/>
      </w:r>
      <w:r w:rsidRPr="00235284">
        <w:rPr>
          <w:rFonts w:ascii="Arial" w:hAnsi="Arial" w:cs="Arial"/>
        </w:rPr>
        <w:t xml:space="preserve"> </w:t>
      </w:r>
      <w:r w:rsidR="007E3FAB" w:rsidRPr="007E3FAB">
        <w:rPr>
          <w:rFonts w:ascii="Arial" w:hAnsi="Arial" w:cs="Arial"/>
          <w:i/>
        </w:rPr>
        <w:t xml:space="preserve">Digashu v GRN, </w:t>
      </w:r>
      <w:r w:rsidR="00235284" w:rsidRPr="007E3FAB">
        <w:rPr>
          <w:rFonts w:ascii="Arial" w:hAnsi="Arial" w:cs="Arial"/>
          <w:i/>
        </w:rPr>
        <w:t>Seiler-Lilles v GRN</w:t>
      </w:r>
      <w:r w:rsidR="00235284" w:rsidRPr="00235284">
        <w:rPr>
          <w:rFonts w:ascii="Arial" w:hAnsi="Arial" w:cs="Arial"/>
        </w:rPr>
        <w:t xml:space="preserve"> (SA 7-2022 and SA 6-2022) [2023] NASC (16 May 2023).</w:t>
      </w:r>
    </w:p>
  </w:footnote>
  <w:footnote w:id="7">
    <w:p w14:paraId="11ADFD4B" w14:textId="585150B1" w:rsidR="00A17FD7" w:rsidRDefault="00A17FD7" w:rsidP="00A17FD7">
      <w:pPr>
        <w:pStyle w:val="FootnoteText"/>
        <w:jc w:val="both"/>
      </w:pPr>
      <w:r>
        <w:rPr>
          <w:rStyle w:val="FootnoteReference"/>
        </w:rPr>
        <w:footnoteRef/>
      </w:r>
      <w:r>
        <w:t xml:space="preserve"> </w:t>
      </w:r>
      <w:r w:rsidR="00954741">
        <w:rPr>
          <w:rFonts w:ascii="Arial" w:hAnsi="Arial" w:cs="Arial"/>
          <w:i/>
        </w:rPr>
        <w:t xml:space="preserve">Hollard, </w:t>
      </w:r>
      <w:r>
        <w:rPr>
          <w:rFonts w:ascii="Arial" w:hAnsi="Arial" w:cs="Arial"/>
        </w:rPr>
        <w:t>para 7.</w:t>
      </w:r>
    </w:p>
  </w:footnote>
  <w:footnote w:id="8">
    <w:p w14:paraId="027F7F95" w14:textId="3E4B881E" w:rsidR="00D15E35" w:rsidRPr="00B41C30" w:rsidRDefault="00D15E35" w:rsidP="00D15E35">
      <w:pPr>
        <w:pStyle w:val="FootnoteText"/>
        <w:jc w:val="both"/>
        <w:rPr>
          <w:rFonts w:ascii="Arial" w:hAnsi="Arial" w:cs="Arial"/>
        </w:rPr>
      </w:pPr>
      <w:r w:rsidRPr="00AD2299">
        <w:rPr>
          <w:rStyle w:val="FootnoteReference"/>
          <w:rFonts w:ascii="Arial" w:hAnsi="Arial" w:cs="Arial"/>
        </w:rPr>
        <w:footnoteRef/>
      </w:r>
      <w:r w:rsidRPr="00AD2299">
        <w:rPr>
          <w:rFonts w:ascii="Arial" w:hAnsi="Arial" w:cs="Arial"/>
        </w:rPr>
        <w:t xml:space="preserve"> </w:t>
      </w:r>
      <w:r>
        <w:rPr>
          <w:rFonts w:ascii="Arial" w:hAnsi="Arial" w:cs="Arial"/>
          <w:i/>
        </w:rPr>
        <w:t>Arangies &amp; a</w:t>
      </w:r>
      <w:r w:rsidRPr="00E936A0">
        <w:rPr>
          <w:rFonts w:ascii="Arial" w:hAnsi="Arial" w:cs="Arial"/>
          <w:i/>
        </w:rPr>
        <w:t xml:space="preserve">nother </w:t>
      </w:r>
      <w:r>
        <w:rPr>
          <w:rFonts w:ascii="Arial" w:hAnsi="Arial" w:cs="Arial"/>
          <w:i/>
        </w:rPr>
        <w:t>v Unitrans Namibia (PTY) LTD &amp; a</w:t>
      </w:r>
      <w:r w:rsidRPr="00E936A0">
        <w:rPr>
          <w:rFonts w:ascii="Arial" w:hAnsi="Arial" w:cs="Arial"/>
          <w:i/>
        </w:rPr>
        <w:t xml:space="preserve">nother </w:t>
      </w:r>
      <w:r w:rsidRPr="00B41C30">
        <w:rPr>
          <w:rFonts w:ascii="Arial" w:hAnsi="Arial" w:cs="Arial"/>
        </w:rPr>
        <w:t>(1 of 2018</w:t>
      </w:r>
      <w:r w:rsidR="00C421EB">
        <w:rPr>
          <w:rFonts w:ascii="Arial" w:hAnsi="Arial" w:cs="Arial"/>
        </w:rPr>
        <w:t>) 2018 NASC 401 (27 July 2018)</w:t>
      </w:r>
      <w:r w:rsidRPr="00B41C30">
        <w:rPr>
          <w:rFonts w:ascii="Arial" w:hAnsi="Arial" w:cs="Arial"/>
        </w:rPr>
        <w:t xml:space="preserve"> para</w:t>
      </w:r>
      <w:r w:rsidR="00C421EB">
        <w:rPr>
          <w:rFonts w:ascii="Arial" w:hAnsi="Arial" w:cs="Arial"/>
        </w:rPr>
        <w:t>s</w:t>
      </w:r>
      <w:r w:rsidRPr="00B41C30">
        <w:rPr>
          <w:rFonts w:ascii="Arial" w:hAnsi="Arial" w:cs="Arial"/>
        </w:rPr>
        <w:t xml:space="preserve"> 9</w:t>
      </w:r>
      <w:r w:rsidR="0093157F">
        <w:rPr>
          <w:rFonts w:ascii="Arial" w:hAnsi="Arial" w:cs="Arial"/>
        </w:rPr>
        <w:t xml:space="preserve"> </w:t>
      </w:r>
      <w:r w:rsidRPr="00B41C30">
        <w:rPr>
          <w:rFonts w:ascii="Arial" w:hAnsi="Arial" w:cs="Arial"/>
        </w:rPr>
        <w:t>-11.</w:t>
      </w:r>
    </w:p>
  </w:footnote>
  <w:footnote w:id="9">
    <w:p w14:paraId="2908D7BA" w14:textId="0A3A4F92" w:rsidR="00D522D7" w:rsidRPr="00D94272" w:rsidRDefault="00D522D7" w:rsidP="00AD2299">
      <w:pPr>
        <w:pStyle w:val="FootnoteText"/>
        <w:jc w:val="both"/>
        <w:rPr>
          <w:rFonts w:ascii="Arial" w:hAnsi="Arial" w:cs="Arial"/>
        </w:rPr>
      </w:pPr>
      <w:r w:rsidRPr="00AD2299">
        <w:rPr>
          <w:rStyle w:val="FootnoteReference"/>
          <w:rFonts w:ascii="Arial" w:hAnsi="Arial" w:cs="Arial"/>
        </w:rPr>
        <w:footnoteRef/>
      </w:r>
      <w:r w:rsidRPr="00AD2299">
        <w:rPr>
          <w:rFonts w:ascii="Arial" w:hAnsi="Arial" w:cs="Arial"/>
        </w:rPr>
        <w:t xml:space="preserve"> </w:t>
      </w:r>
      <w:r w:rsidRPr="00AD2299">
        <w:rPr>
          <w:rFonts w:ascii="Arial" w:hAnsi="Arial" w:cs="Arial"/>
          <w:i/>
        </w:rPr>
        <w:t>Swakop Uranium (</w:t>
      </w:r>
      <w:r w:rsidR="00550764" w:rsidRPr="00AD2299">
        <w:rPr>
          <w:rFonts w:ascii="Arial" w:hAnsi="Arial" w:cs="Arial"/>
          <w:i/>
        </w:rPr>
        <w:t>Pty) Ltd v McLaren Ian Robert &amp;</w:t>
      </w:r>
      <w:r w:rsidRPr="00AD2299">
        <w:rPr>
          <w:rFonts w:ascii="Arial" w:hAnsi="Arial" w:cs="Arial"/>
          <w:i/>
        </w:rPr>
        <w:t xml:space="preserve"> </w:t>
      </w:r>
      <w:r w:rsidR="00FF43CC" w:rsidRPr="00AD2299">
        <w:rPr>
          <w:rFonts w:ascii="Arial" w:hAnsi="Arial" w:cs="Arial"/>
          <w:i/>
        </w:rPr>
        <w:t>a</w:t>
      </w:r>
      <w:r w:rsidRPr="00AD2299">
        <w:rPr>
          <w:rFonts w:ascii="Arial" w:hAnsi="Arial" w:cs="Arial"/>
          <w:i/>
        </w:rPr>
        <w:t>nother</w:t>
      </w:r>
      <w:r w:rsidRPr="00AD2299">
        <w:rPr>
          <w:rFonts w:ascii="Arial" w:hAnsi="Arial" w:cs="Arial"/>
        </w:rPr>
        <w:t xml:space="preserve"> (SA 64-2020)</w:t>
      </w:r>
      <w:r w:rsidR="005272E8">
        <w:rPr>
          <w:rFonts w:ascii="Arial" w:hAnsi="Arial" w:cs="Arial"/>
        </w:rPr>
        <w:t xml:space="preserve"> 2022 NASC (21 November 2022)</w:t>
      </w:r>
      <w:r w:rsidRPr="00AD2299">
        <w:rPr>
          <w:rFonts w:ascii="Arial" w:hAnsi="Arial" w:cs="Arial"/>
        </w:rPr>
        <w:t xml:space="preserve"> para</w:t>
      </w:r>
      <w:r w:rsidR="000C65BB">
        <w:rPr>
          <w:rFonts w:ascii="Arial" w:hAnsi="Arial" w:cs="Arial"/>
        </w:rPr>
        <w:t>s</w:t>
      </w:r>
      <w:r w:rsidRPr="00AD2299">
        <w:rPr>
          <w:rFonts w:ascii="Arial" w:hAnsi="Arial" w:cs="Arial"/>
        </w:rPr>
        <w:t xml:space="preserve"> 31-33.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215326"/>
      <w:docPartObj>
        <w:docPartGallery w:val="Page Numbers (Top of Page)"/>
        <w:docPartUnique/>
      </w:docPartObj>
    </w:sdtPr>
    <w:sdtEndPr>
      <w:rPr>
        <w:noProof/>
      </w:rPr>
    </w:sdtEndPr>
    <w:sdtContent>
      <w:p w14:paraId="4FC5F933" w14:textId="77777777" w:rsidR="00000000" w:rsidRDefault="00F764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F608DE"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69284777"/>
      <w:docPartObj>
        <w:docPartGallery w:val="Page Numbers (Top of Page)"/>
        <w:docPartUnique/>
      </w:docPartObj>
    </w:sdtPr>
    <w:sdtEndPr>
      <w:rPr>
        <w:noProof/>
      </w:rPr>
    </w:sdtEndPr>
    <w:sdtContent>
      <w:p w14:paraId="6DAFBE5F" w14:textId="77777777" w:rsidR="00000000" w:rsidRPr="003177C3" w:rsidRDefault="00F764DE">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EA7A78">
          <w:rPr>
            <w:rFonts w:ascii="Arial" w:hAnsi="Arial" w:cs="Arial"/>
            <w:noProof/>
            <w:sz w:val="24"/>
            <w:szCs w:val="24"/>
          </w:rPr>
          <w:t>16</w:t>
        </w:r>
        <w:r w:rsidRPr="003177C3">
          <w:rPr>
            <w:rFonts w:ascii="Arial" w:hAnsi="Arial" w:cs="Arial"/>
            <w:noProof/>
            <w:sz w:val="24"/>
            <w:szCs w:val="24"/>
          </w:rPr>
          <w:fldChar w:fldCharType="end"/>
        </w:r>
      </w:p>
    </w:sdtContent>
  </w:sdt>
  <w:p w14:paraId="0A273681" w14:textId="77777777" w:rsidR="00000000" w:rsidRPr="003177C3" w:rsidRDefault="00000000">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EA8"/>
    <w:multiLevelType w:val="hybridMultilevel"/>
    <w:tmpl w:val="6840B522"/>
    <w:lvl w:ilvl="0" w:tplc="7AB6FC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4382C"/>
    <w:multiLevelType w:val="hybridMultilevel"/>
    <w:tmpl w:val="87E8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634C7"/>
    <w:multiLevelType w:val="hybridMultilevel"/>
    <w:tmpl w:val="160E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82B53"/>
    <w:multiLevelType w:val="hybridMultilevel"/>
    <w:tmpl w:val="0E1CCA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8C5162"/>
    <w:multiLevelType w:val="multilevel"/>
    <w:tmpl w:val="DEC4B07C"/>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BB77A49"/>
    <w:multiLevelType w:val="hybridMultilevel"/>
    <w:tmpl w:val="52C01840"/>
    <w:lvl w:ilvl="0" w:tplc="4866D690">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3798B"/>
    <w:multiLevelType w:val="hybridMultilevel"/>
    <w:tmpl w:val="A044DE96"/>
    <w:lvl w:ilvl="0" w:tplc="4D287C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CB70D4"/>
    <w:multiLevelType w:val="hybridMultilevel"/>
    <w:tmpl w:val="22FEDA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FDA062B"/>
    <w:multiLevelType w:val="hybridMultilevel"/>
    <w:tmpl w:val="46B6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0101B"/>
    <w:multiLevelType w:val="multilevel"/>
    <w:tmpl w:val="DEC4B07C"/>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C202CC"/>
    <w:multiLevelType w:val="hybridMultilevel"/>
    <w:tmpl w:val="190A0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6196F"/>
    <w:multiLevelType w:val="hybridMultilevel"/>
    <w:tmpl w:val="0DE0C88E"/>
    <w:lvl w:ilvl="0" w:tplc="BAFCC75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14FAB"/>
    <w:multiLevelType w:val="hybridMultilevel"/>
    <w:tmpl w:val="B9E8A162"/>
    <w:lvl w:ilvl="0" w:tplc="BAFCC758">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BB37A71"/>
    <w:multiLevelType w:val="hybridMultilevel"/>
    <w:tmpl w:val="138C54B2"/>
    <w:lvl w:ilvl="0" w:tplc="030666F8">
      <w:start w:val="1"/>
      <w:numFmt w:val="lowerLetter"/>
      <w:lvlText w:val="%1."/>
      <w:lvlJc w:val="left"/>
      <w:pPr>
        <w:ind w:left="720" w:hanging="360"/>
      </w:pPr>
      <w:rPr>
        <w:rFonts w:hint="default"/>
      </w:rPr>
    </w:lvl>
    <w:lvl w:ilvl="1" w:tplc="C92C59D0" w:tentative="1">
      <w:start w:val="1"/>
      <w:numFmt w:val="lowerLetter"/>
      <w:lvlText w:val="%2."/>
      <w:lvlJc w:val="left"/>
      <w:pPr>
        <w:ind w:left="1440" w:hanging="360"/>
      </w:pPr>
    </w:lvl>
    <w:lvl w:ilvl="2" w:tplc="FC96BE16" w:tentative="1">
      <w:start w:val="1"/>
      <w:numFmt w:val="lowerRoman"/>
      <w:lvlText w:val="%3."/>
      <w:lvlJc w:val="right"/>
      <w:pPr>
        <w:ind w:left="2160" w:hanging="180"/>
      </w:pPr>
    </w:lvl>
    <w:lvl w:ilvl="3" w:tplc="CE6A6DDE" w:tentative="1">
      <w:start w:val="1"/>
      <w:numFmt w:val="decimal"/>
      <w:lvlText w:val="%4."/>
      <w:lvlJc w:val="left"/>
      <w:pPr>
        <w:ind w:left="2880" w:hanging="360"/>
      </w:pPr>
    </w:lvl>
    <w:lvl w:ilvl="4" w:tplc="3F309902" w:tentative="1">
      <w:start w:val="1"/>
      <w:numFmt w:val="lowerLetter"/>
      <w:lvlText w:val="%5."/>
      <w:lvlJc w:val="left"/>
      <w:pPr>
        <w:ind w:left="3600" w:hanging="360"/>
      </w:pPr>
    </w:lvl>
    <w:lvl w:ilvl="5" w:tplc="8FC86638" w:tentative="1">
      <w:start w:val="1"/>
      <w:numFmt w:val="lowerRoman"/>
      <w:lvlText w:val="%6."/>
      <w:lvlJc w:val="right"/>
      <w:pPr>
        <w:ind w:left="4320" w:hanging="180"/>
      </w:pPr>
    </w:lvl>
    <w:lvl w:ilvl="6" w:tplc="FFF2864E" w:tentative="1">
      <w:start w:val="1"/>
      <w:numFmt w:val="decimal"/>
      <w:lvlText w:val="%7."/>
      <w:lvlJc w:val="left"/>
      <w:pPr>
        <w:ind w:left="5040" w:hanging="360"/>
      </w:pPr>
    </w:lvl>
    <w:lvl w:ilvl="7" w:tplc="D564F638" w:tentative="1">
      <w:start w:val="1"/>
      <w:numFmt w:val="lowerLetter"/>
      <w:lvlText w:val="%8."/>
      <w:lvlJc w:val="left"/>
      <w:pPr>
        <w:ind w:left="5760" w:hanging="360"/>
      </w:pPr>
    </w:lvl>
    <w:lvl w:ilvl="8" w:tplc="4282ED60" w:tentative="1">
      <w:start w:val="1"/>
      <w:numFmt w:val="lowerRoman"/>
      <w:lvlText w:val="%9."/>
      <w:lvlJc w:val="right"/>
      <w:pPr>
        <w:ind w:left="6480" w:hanging="180"/>
      </w:pPr>
    </w:lvl>
  </w:abstractNum>
  <w:abstractNum w:abstractNumId="14" w15:restartNumberingAfterBreak="0">
    <w:nsid w:val="52235D59"/>
    <w:multiLevelType w:val="hybridMultilevel"/>
    <w:tmpl w:val="2F94CB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DE3A12"/>
    <w:multiLevelType w:val="hybridMultilevel"/>
    <w:tmpl w:val="7A36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71921"/>
    <w:multiLevelType w:val="hybridMultilevel"/>
    <w:tmpl w:val="614E6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F2669A"/>
    <w:multiLevelType w:val="hybridMultilevel"/>
    <w:tmpl w:val="035411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0381CCB"/>
    <w:multiLevelType w:val="hybridMultilevel"/>
    <w:tmpl w:val="E13445D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4624BFB"/>
    <w:multiLevelType w:val="hybridMultilevel"/>
    <w:tmpl w:val="EF286E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802264046">
    <w:abstractNumId w:val="8"/>
  </w:num>
  <w:num w:numId="2" w16cid:durableId="1708875823">
    <w:abstractNumId w:val="15"/>
  </w:num>
  <w:num w:numId="3" w16cid:durableId="1855149315">
    <w:abstractNumId w:val="3"/>
  </w:num>
  <w:num w:numId="4" w16cid:durableId="1827696406">
    <w:abstractNumId w:val="4"/>
  </w:num>
  <w:num w:numId="5" w16cid:durableId="895556258">
    <w:abstractNumId w:val="6"/>
  </w:num>
  <w:num w:numId="6" w16cid:durableId="1031340298">
    <w:abstractNumId w:val="10"/>
  </w:num>
  <w:num w:numId="7" w16cid:durableId="1149788649">
    <w:abstractNumId w:val="1"/>
  </w:num>
  <w:num w:numId="8" w16cid:durableId="1240167047">
    <w:abstractNumId w:val="5"/>
  </w:num>
  <w:num w:numId="9" w16cid:durableId="166529889">
    <w:abstractNumId w:val="18"/>
  </w:num>
  <w:num w:numId="10" w16cid:durableId="1422873262">
    <w:abstractNumId w:val="9"/>
  </w:num>
  <w:num w:numId="11" w16cid:durableId="342822460">
    <w:abstractNumId w:val="14"/>
  </w:num>
  <w:num w:numId="12" w16cid:durableId="1698846570">
    <w:abstractNumId w:val="7"/>
  </w:num>
  <w:num w:numId="13" w16cid:durableId="1742755243">
    <w:abstractNumId w:val="0"/>
  </w:num>
  <w:num w:numId="14" w16cid:durableId="1796099877">
    <w:abstractNumId w:val="12"/>
  </w:num>
  <w:num w:numId="15" w16cid:durableId="271671879">
    <w:abstractNumId w:val="13"/>
  </w:num>
  <w:num w:numId="16" w16cid:durableId="1304237204">
    <w:abstractNumId w:val="17"/>
  </w:num>
  <w:num w:numId="17" w16cid:durableId="1885672589">
    <w:abstractNumId w:val="2"/>
  </w:num>
  <w:num w:numId="18" w16cid:durableId="1367750404">
    <w:abstractNumId w:val="16"/>
  </w:num>
  <w:num w:numId="19" w16cid:durableId="968509255">
    <w:abstractNumId w:val="19"/>
  </w:num>
  <w:num w:numId="20" w16cid:durableId="19486596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406"/>
    <w:rsid w:val="00000F64"/>
    <w:rsid w:val="00001A0F"/>
    <w:rsid w:val="0000340E"/>
    <w:rsid w:val="00012DAD"/>
    <w:rsid w:val="000130BE"/>
    <w:rsid w:val="00015712"/>
    <w:rsid w:val="000176A1"/>
    <w:rsid w:val="00021A05"/>
    <w:rsid w:val="00022DFA"/>
    <w:rsid w:val="00030BB8"/>
    <w:rsid w:val="00037BA1"/>
    <w:rsid w:val="000442C8"/>
    <w:rsid w:val="0004571E"/>
    <w:rsid w:val="00046E32"/>
    <w:rsid w:val="000515C9"/>
    <w:rsid w:val="000533BE"/>
    <w:rsid w:val="0007076B"/>
    <w:rsid w:val="00072177"/>
    <w:rsid w:val="00090273"/>
    <w:rsid w:val="00093500"/>
    <w:rsid w:val="000A0C73"/>
    <w:rsid w:val="000A3E61"/>
    <w:rsid w:val="000B0F32"/>
    <w:rsid w:val="000B33D1"/>
    <w:rsid w:val="000B4C71"/>
    <w:rsid w:val="000C02C7"/>
    <w:rsid w:val="000C65BB"/>
    <w:rsid w:val="000C6AFD"/>
    <w:rsid w:val="000C6BEE"/>
    <w:rsid w:val="000D45C0"/>
    <w:rsid w:val="000D50D8"/>
    <w:rsid w:val="000D719D"/>
    <w:rsid w:val="000F24EC"/>
    <w:rsid w:val="001114B9"/>
    <w:rsid w:val="00113343"/>
    <w:rsid w:val="001215DC"/>
    <w:rsid w:val="00123C16"/>
    <w:rsid w:val="001366BC"/>
    <w:rsid w:val="00143169"/>
    <w:rsid w:val="001451DB"/>
    <w:rsid w:val="0014641B"/>
    <w:rsid w:val="00146B5B"/>
    <w:rsid w:val="001477EC"/>
    <w:rsid w:val="0014797E"/>
    <w:rsid w:val="00150A7A"/>
    <w:rsid w:val="00154568"/>
    <w:rsid w:val="00154AF0"/>
    <w:rsid w:val="00166297"/>
    <w:rsid w:val="00172710"/>
    <w:rsid w:val="00177BD0"/>
    <w:rsid w:val="00190D60"/>
    <w:rsid w:val="001C2D3C"/>
    <w:rsid w:val="001C458F"/>
    <w:rsid w:val="001C759D"/>
    <w:rsid w:val="001D439B"/>
    <w:rsid w:val="001D558E"/>
    <w:rsid w:val="001E7BBF"/>
    <w:rsid w:val="001F2DED"/>
    <w:rsid w:val="00202987"/>
    <w:rsid w:val="00202EB3"/>
    <w:rsid w:val="002053B4"/>
    <w:rsid w:val="00206CB7"/>
    <w:rsid w:val="00223448"/>
    <w:rsid w:val="00226497"/>
    <w:rsid w:val="00235284"/>
    <w:rsid w:val="0023564E"/>
    <w:rsid w:val="00237865"/>
    <w:rsid w:val="00252461"/>
    <w:rsid w:val="0025556E"/>
    <w:rsid w:val="002566FE"/>
    <w:rsid w:val="00271690"/>
    <w:rsid w:val="002779CE"/>
    <w:rsid w:val="002812BB"/>
    <w:rsid w:val="00284226"/>
    <w:rsid w:val="002A02EC"/>
    <w:rsid w:val="002A19AC"/>
    <w:rsid w:val="002A282F"/>
    <w:rsid w:val="002A2834"/>
    <w:rsid w:val="002A311E"/>
    <w:rsid w:val="002A70E7"/>
    <w:rsid w:val="002B7A8B"/>
    <w:rsid w:val="002C129D"/>
    <w:rsid w:val="002C5D62"/>
    <w:rsid w:val="002D3ECF"/>
    <w:rsid w:val="002E2435"/>
    <w:rsid w:val="002E4195"/>
    <w:rsid w:val="002E538E"/>
    <w:rsid w:val="002E76CA"/>
    <w:rsid w:val="002E7DE8"/>
    <w:rsid w:val="002F1D0E"/>
    <w:rsid w:val="003013D6"/>
    <w:rsid w:val="0030349E"/>
    <w:rsid w:val="00310471"/>
    <w:rsid w:val="00312552"/>
    <w:rsid w:val="00321622"/>
    <w:rsid w:val="00324A04"/>
    <w:rsid w:val="00342DDD"/>
    <w:rsid w:val="00343BF5"/>
    <w:rsid w:val="00344D8B"/>
    <w:rsid w:val="003469D3"/>
    <w:rsid w:val="00351E12"/>
    <w:rsid w:val="003562C2"/>
    <w:rsid w:val="003565EB"/>
    <w:rsid w:val="003568F5"/>
    <w:rsid w:val="003624B7"/>
    <w:rsid w:val="0036583D"/>
    <w:rsid w:val="00374755"/>
    <w:rsid w:val="0037574E"/>
    <w:rsid w:val="00376124"/>
    <w:rsid w:val="00381F0E"/>
    <w:rsid w:val="00387E63"/>
    <w:rsid w:val="003A199A"/>
    <w:rsid w:val="003A5B2B"/>
    <w:rsid w:val="003A6FA9"/>
    <w:rsid w:val="003B3C7A"/>
    <w:rsid w:val="003C16CB"/>
    <w:rsid w:val="003D5694"/>
    <w:rsid w:val="003D60B9"/>
    <w:rsid w:val="003D6BE6"/>
    <w:rsid w:val="003E301A"/>
    <w:rsid w:val="003F1D49"/>
    <w:rsid w:val="003F22F0"/>
    <w:rsid w:val="003F5F99"/>
    <w:rsid w:val="003F6F04"/>
    <w:rsid w:val="00407494"/>
    <w:rsid w:val="004122F7"/>
    <w:rsid w:val="00414A4F"/>
    <w:rsid w:val="004206E0"/>
    <w:rsid w:val="0043084B"/>
    <w:rsid w:val="00431559"/>
    <w:rsid w:val="004316E9"/>
    <w:rsid w:val="0043186E"/>
    <w:rsid w:val="00437CA4"/>
    <w:rsid w:val="004502D9"/>
    <w:rsid w:val="004515F8"/>
    <w:rsid w:val="00451870"/>
    <w:rsid w:val="004519C5"/>
    <w:rsid w:val="00475B92"/>
    <w:rsid w:val="00475EDC"/>
    <w:rsid w:val="00476B6A"/>
    <w:rsid w:val="00477C32"/>
    <w:rsid w:val="0048104F"/>
    <w:rsid w:val="0048421D"/>
    <w:rsid w:val="004977AD"/>
    <w:rsid w:val="004A0F59"/>
    <w:rsid w:val="004A59F9"/>
    <w:rsid w:val="004B410B"/>
    <w:rsid w:val="004B450D"/>
    <w:rsid w:val="004B4DC7"/>
    <w:rsid w:val="004B7CB2"/>
    <w:rsid w:val="004D32C6"/>
    <w:rsid w:val="004D3922"/>
    <w:rsid w:val="004D469A"/>
    <w:rsid w:val="004D485E"/>
    <w:rsid w:val="004F6353"/>
    <w:rsid w:val="00501CD0"/>
    <w:rsid w:val="00502C59"/>
    <w:rsid w:val="00505184"/>
    <w:rsid w:val="00511430"/>
    <w:rsid w:val="00521065"/>
    <w:rsid w:val="005228E1"/>
    <w:rsid w:val="00526E3E"/>
    <w:rsid w:val="005272E8"/>
    <w:rsid w:val="00532D29"/>
    <w:rsid w:val="005352BC"/>
    <w:rsid w:val="00536C1D"/>
    <w:rsid w:val="00542264"/>
    <w:rsid w:val="00543A30"/>
    <w:rsid w:val="00550764"/>
    <w:rsid w:val="00550C14"/>
    <w:rsid w:val="0055285E"/>
    <w:rsid w:val="0055592B"/>
    <w:rsid w:val="0055624D"/>
    <w:rsid w:val="00560EED"/>
    <w:rsid w:val="00560FF3"/>
    <w:rsid w:val="005633A8"/>
    <w:rsid w:val="00565E98"/>
    <w:rsid w:val="00566BB0"/>
    <w:rsid w:val="00571065"/>
    <w:rsid w:val="005711A3"/>
    <w:rsid w:val="00571732"/>
    <w:rsid w:val="00581EDA"/>
    <w:rsid w:val="005830EC"/>
    <w:rsid w:val="00591762"/>
    <w:rsid w:val="005919D1"/>
    <w:rsid w:val="00593FAE"/>
    <w:rsid w:val="00597DDD"/>
    <w:rsid w:val="005A0705"/>
    <w:rsid w:val="005A0F6B"/>
    <w:rsid w:val="005A7748"/>
    <w:rsid w:val="005B21E0"/>
    <w:rsid w:val="005B2B3F"/>
    <w:rsid w:val="005B3F32"/>
    <w:rsid w:val="005B4313"/>
    <w:rsid w:val="005C2331"/>
    <w:rsid w:val="005D0CF2"/>
    <w:rsid w:val="005E6736"/>
    <w:rsid w:val="005E7D4B"/>
    <w:rsid w:val="005F09D6"/>
    <w:rsid w:val="005F682C"/>
    <w:rsid w:val="0060299E"/>
    <w:rsid w:val="00602C0C"/>
    <w:rsid w:val="00604017"/>
    <w:rsid w:val="00606391"/>
    <w:rsid w:val="00610B34"/>
    <w:rsid w:val="00617927"/>
    <w:rsid w:val="0062276E"/>
    <w:rsid w:val="0062470F"/>
    <w:rsid w:val="00636477"/>
    <w:rsid w:val="00646F47"/>
    <w:rsid w:val="006477C6"/>
    <w:rsid w:val="006479BB"/>
    <w:rsid w:val="00650643"/>
    <w:rsid w:val="006507EF"/>
    <w:rsid w:val="00650AD4"/>
    <w:rsid w:val="0065138B"/>
    <w:rsid w:val="00651D8C"/>
    <w:rsid w:val="00662020"/>
    <w:rsid w:val="00664017"/>
    <w:rsid w:val="006718F5"/>
    <w:rsid w:val="00673CC3"/>
    <w:rsid w:val="00682BD2"/>
    <w:rsid w:val="00687290"/>
    <w:rsid w:val="006973F2"/>
    <w:rsid w:val="006B0711"/>
    <w:rsid w:val="006B0A76"/>
    <w:rsid w:val="006B185F"/>
    <w:rsid w:val="006B4AD1"/>
    <w:rsid w:val="006E79A7"/>
    <w:rsid w:val="006F1D2E"/>
    <w:rsid w:val="006F1FA0"/>
    <w:rsid w:val="006F5B42"/>
    <w:rsid w:val="006F677F"/>
    <w:rsid w:val="00700193"/>
    <w:rsid w:val="0071533C"/>
    <w:rsid w:val="00715ED7"/>
    <w:rsid w:val="00724E2A"/>
    <w:rsid w:val="007300C4"/>
    <w:rsid w:val="00741791"/>
    <w:rsid w:val="00744AD4"/>
    <w:rsid w:val="00747036"/>
    <w:rsid w:val="00751BCB"/>
    <w:rsid w:val="00751E75"/>
    <w:rsid w:val="0075547D"/>
    <w:rsid w:val="00757175"/>
    <w:rsid w:val="00766F56"/>
    <w:rsid w:val="0077452C"/>
    <w:rsid w:val="007758F4"/>
    <w:rsid w:val="007810C0"/>
    <w:rsid w:val="007877DE"/>
    <w:rsid w:val="00791960"/>
    <w:rsid w:val="0079536D"/>
    <w:rsid w:val="007A5FF9"/>
    <w:rsid w:val="007A6BD8"/>
    <w:rsid w:val="007B2C05"/>
    <w:rsid w:val="007B2E74"/>
    <w:rsid w:val="007B4D51"/>
    <w:rsid w:val="007B6354"/>
    <w:rsid w:val="007C1024"/>
    <w:rsid w:val="007C61BA"/>
    <w:rsid w:val="007D1441"/>
    <w:rsid w:val="007D248C"/>
    <w:rsid w:val="007D580E"/>
    <w:rsid w:val="007D67BF"/>
    <w:rsid w:val="007E343C"/>
    <w:rsid w:val="007E3FAB"/>
    <w:rsid w:val="007E60E6"/>
    <w:rsid w:val="007F0C75"/>
    <w:rsid w:val="007F5213"/>
    <w:rsid w:val="00817B20"/>
    <w:rsid w:val="008219CF"/>
    <w:rsid w:val="00823389"/>
    <w:rsid w:val="008267A9"/>
    <w:rsid w:val="008340E9"/>
    <w:rsid w:val="00834A3E"/>
    <w:rsid w:val="008365F6"/>
    <w:rsid w:val="00836DA6"/>
    <w:rsid w:val="008375D0"/>
    <w:rsid w:val="0084286C"/>
    <w:rsid w:val="00844623"/>
    <w:rsid w:val="00852FB6"/>
    <w:rsid w:val="00861096"/>
    <w:rsid w:val="00864FB4"/>
    <w:rsid w:val="00873CEC"/>
    <w:rsid w:val="008836F4"/>
    <w:rsid w:val="00892842"/>
    <w:rsid w:val="00897B18"/>
    <w:rsid w:val="008A13CC"/>
    <w:rsid w:val="008A5D5C"/>
    <w:rsid w:val="008B3907"/>
    <w:rsid w:val="008D38DF"/>
    <w:rsid w:val="008D6AD8"/>
    <w:rsid w:val="008E2AFF"/>
    <w:rsid w:val="008E6AC7"/>
    <w:rsid w:val="008E7332"/>
    <w:rsid w:val="008F6117"/>
    <w:rsid w:val="009004D2"/>
    <w:rsid w:val="00903E17"/>
    <w:rsid w:val="00906986"/>
    <w:rsid w:val="00907BBC"/>
    <w:rsid w:val="00915943"/>
    <w:rsid w:val="00917E75"/>
    <w:rsid w:val="0093157F"/>
    <w:rsid w:val="00932B98"/>
    <w:rsid w:val="00936FFD"/>
    <w:rsid w:val="00942886"/>
    <w:rsid w:val="00944CAF"/>
    <w:rsid w:val="00945F62"/>
    <w:rsid w:val="00946FD4"/>
    <w:rsid w:val="00951A6F"/>
    <w:rsid w:val="0095271F"/>
    <w:rsid w:val="00954741"/>
    <w:rsid w:val="00954DD9"/>
    <w:rsid w:val="00956755"/>
    <w:rsid w:val="00963925"/>
    <w:rsid w:val="009677EB"/>
    <w:rsid w:val="00972022"/>
    <w:rsid w:val="00995C7C"/>
    <w:rsid w:val="00996F79"/>
    <w:rsid w:val="009B23C9"/>
    <w:rsid w:val="009C24FA"/>
    <w:rsid w:val="009C62F4"/>
    <w:rsid w:val="009D40C8"/>
    <w:rsid w:val="009D4AC0"/>
    <w:rsid w:val="009D514C"/>
    <w:rsid w:val="009D5ED9"/>
    <w:rsid w:val="009E5DC4"/>
    <w:rsid w:val="009F0B2B"/>
    <w:rsid w:val="009F4F9F"/>
    <w:rsid w:val="009F7BA3"/>
    <w:rsid w:val="00A0112F"/>
    <w:rsid w:val="00A043C6"/>
    <w:rsid w:val="00A17FD7"/>
    <w:rsid w:val="00A221E3"/>
    <w:rsid w:val="00A34897"/>
    <w:rsid w:val="00A36E16"/>
    <w:rsid w:val="00A47B68"/>
    <w:rsid w:val="00A51A90"/>
    <w:rsid w:val="00A54191"/>
    <w:rsid w:val="00A55D2E"/>
    <w:rsid w:val="00A57C5B"/>
    <w:rsid w:val="00A61FDD"/>
    <w:rsid w:val="00A6424C"/>
    <w:rsid w:val="00A65F16"/>
    <w:rsid w:val="00A81E38"/>
    <w:rsid w:val="00A82248"/>
    <w:rsid w:val="00A87E91"/>
    <w:rsid w:val="00A90C56"/>
    <w:rsid w:val="00A91F3F"/>
    <w:rsid w:val="00A94DA4"/>
    <w:rsid w:val="00A9580B"/>
    <w:rsid w:val="00AA373E"/>
    <w:rsid w:val="00AA4625"/>
    <w:rsid w:val="00AB6AC2"/>
    <w:rsid w:val="00AD2299"/>
    <w:rsid w:val="00AD2591"/>
    <w:rsid w:val="00AD3406"/>
    <w:rsid w:val="00AD3965"/>
    <w:rsid w:val="00AD4736"/>
    <w:rsid w:val="00AE2044"/>
    <w:rsid w:val="00AF6F61"/>
    <w:rsid w:val="00B006AE"/>
    <w:rsid w:val="00B03209"/>
    <w:rsid w:val="00B04813"/>
    <w:rsid w:val="00B12AA7"/>
    <w:rsid w:val="00B15C47"/>
    <w:rsid w:val="00B17417"/>
    <w:rsid w:val="00B17975"/>
    <w:rsid w:val="00B258F5"/>
    <w:rsid w:val="00B304A4"/>
    <w:rsid w:val="00B41C30"/>
    <w:rsid w:val="00B451FC"/>
    <w:rsid w:val="00B503D0"/>
    <w:rsid w:val="00B513DB"/>
    <w:rsid w:val="00B5266A"/>
    <w:rsid w:val="00B67421"/>
    <w:rsid w:val="00B7579F"/>
    <w:rsid w:val="00B76E8B"/>
    <w:rsid w:val="00B8194A"/>
    <w:rsid w:val="00B81D3B"/>
    <w:rsid w:val="00B84569"/>
    <w:rsid w:val="00B84BB0"/>
    <w:rsid w:val="00B95BD4"/>
    <w:rsid w:val="00B976C6"/>
    <w:rsid w:val="00BB1607"/>
    <w:rsid w:val="00BB1BBB"/>
    <w:rsid w:val="00BB7DB8"/>
    <w:rsid w:val="00BC03B9"/>
    <w:rsid w:val="00BC0558"/>
    <w:rsid w:val="00BC65D0"/>
    <w:rsid w:val="00BC7E58"/>
    <w:rsid w:val="00BD0337"/>
    <w:rsid w:val="00BD06BA"/>
    <w:rsid w:val="00BD08DC"/>
    <w:rsid w:val="00BD15EC"/>
    <w:rsid w:val="00BD7B3F"/>
    <w:rsid w:val="00BE54B4"/>
    <w:rsid w:val="00BF1A75"/>
    <w:rsid w:val="00C01649"/>
    <w:rsid w:val="00C0675B"/>
    <w:rsid w:val="00C06BBD"/>
    <w:rsid w:val="00C10ED4"/>
    <w:rsid w:val="00C116BA"/>
    <w:rsid w:val="00C1183B"/>
    <w:rsid w:val="00C15FDC"/>
    <w:rsid w:val="00C16274"/>
    <w:rsid w:val="00C16D4D"/>
    <w:rsid w:val="00C1786D"/>
    <w:rsid w:val="00C231B2"/>
    <w:rsid w:val="00C24B97"/>
    <w:rsid w:val="00C30DEC"/>
    <w:rsid w:val="00C31D55"/>
    <w:rsid w:val="00C332BF"/>
    <w:rsid w:val="00C35C70"/>
    <w:rsid w:val="00C376E8"/>
    <w:rsid w:val="00C421EB"/>
    <w:rsid w:val="00C434AF"/>
    <w:rsid w:val="00C44BF8"/>
    <w:rsid w:val="00C540D5"/>
    <w:rsid w:val="00C5649B"/>
    <w:rsid w:val="00C640EA"/>
    <w:rsid w:val="00C71D4C"/>
    <w:rsid w:val="00C72160"/>
    <w:rsid w:val="00C75DA8"/>
    <w:rsid w:val="00C83547"/>
    <w:rsid w:val="00C92B91"/>
    <w:rsid w:val="00C96E0B"/>
    <w:rsid w:val="00CA1BF0"/>
    <w:rsid w:val="00CA2864"/>
    <w:rsid w:val="00CA66F6"/>
    <w:rsid w:val="00CA6960"/>
    <w:rsid w:val="00CB3DAC"/>
    <w:rsid w:val="00CB474B"/>
    <w:rsid w:val="00CB6826"/>
    <w:rsid w:val="00CC264E"/>
    <w:rsid w:val="00CD0719"/>
    <w:rsid w:val="00CD6A6A"/>
    <w:rsid w:val="00CF09E4"/>
    <w:rsid w:val="00CF31F0"/>
    <w:rsid w:val="00CF6922"/>
    <w:rsid w:val="00D1005D"/>
    <w:rsid w:val="00D14967"/>
    <w:rsid w:val="00D15E35"/>
    <w:rsid w:val="00D2211C"/>
    <w:rsid w:val="00D2350A"/>
    <w:rsid w:val="00D2675D"/>
    <w:rsid w:val="00D277B2"/>
    <w:rsid w:val="00D30900"/>
    <w:rsid w:val="00D30D3C"/>
    <w:rsid w:val="00D323DB"/>
    <w:rsid w:val="00D327F2"/>
    <w:rsid w:val="00D40087"/>
    <w:rsid w:val="00D4636E"/>
    <w:rsid w:val="00D46C5E"/>
    <w:rsid w:val="00D522D7"/>
    <w:rsid w:val="00D567EF"/>
    <w:rsid w:val="00D60140"/>
    <w:rsid w:val="00D609D8"/>
    <w:rsid w:val="00D623D6"/>
    <w:rsid w:val="00D64523"/>
    <w:rsid w:val="00D71638"/>
    <w:rsid w:val="00D832F9"/>
    <w:rsid w:val="00D951E9"/>
    <w:rsid w:val="00DA1BD4"/>
    <w:rsid w:val="00DA3A55"/>
    <w:rsid w:val="00DA4025"/>
    <w:rsid w:val="00DB7928"/>
    <w:rsid w:val="00DD10FA"/>
    <w:rsid w:val="00DD4370"/>
    <w:rsid w:val="00DD51B8"/>
    <w:rsid w:val="00DE054C"/>
    <w:rsid w:val="00DE1D12"/>
    <w:rsid w:val="00DF21E3"/>
    <w:rsid w:val="00DF2F8D"/>
    <w:rsid w:val="00E01DD0"/>
    <w:rsid w:val="00E04768"/>
    <w:rsid w:val="00E24FAA"/>
    <w:rsid w:val="00E27119"/>
    <w:rsid w:val="00E30520"/>
    <w:rsid w:val="00E376AC"/>
    <w:rsid w:val="00E42E4C"/>
    <w:rsid w:val="00E572DE"/>
    <w:rsid w:val="00E57B10"/>
    <w:rsid w:val="00E66EB0"/>
    <w:rsid w:val="00E67744"/>
    <w:rsid w:val="00E711C2"/>
    <w:rsid w:val="00E7406D"/>
    <w:rsid w:val="00E74449"/>
    <w:rsid w:val="00E75E95"/>
    <w:rsid w:val="00E862C5"/>
    <w:rsid w:val="00E87C6A"/>
    <w:rsid w:val="00E92383"/>
    <w:rsid w:val="00E936A0"/>
    <w:rsid w:val="00E96F98"/>
    <w:rsid w:val="00E97B7F"/>
    <w:rsid w:val="00EA7A78"/>
    <w:rsid w:val="00EB04E1"/>
    <w:rsid w:val="00EB495D"/>
    <w:rsid w:val="00EB53F7"/>
    <w:rsid w:val="00EB723F"/>
    <w:rsid w:val="00EB7E3B"/>
    <w:rsid w:val="00EC19DD"/>
    <w:rsid w:val="00EC488B"/>
    <w:rsid w:val="00ED15CB"/>
    <w:rsid w:val="00ED2CB1"/>
    <w:rsid w:val="00EE1EED"/>
    <w:rsid w:val="00EE21DE"/>
    <w:rsid w:val="00EE4F19"/>
    <w:rsid w:val="00EF32F9"/>
    <w:rsid w:val="00EF4627"/>
    <w:rsid w:val="00EF630A"/>
    <w:rsid w:val="00EF65FF"/>
    <w:rsid w:val="00EF7234"/>
    <w:rsid w:val="00EF72A2"/>
    <w:rsid w:val="00F023C9"/>
    <w:rsid w:val="00F03D30"/>
    <w:rsid w:val="00F0749A"/>
    <w:rsid w:val="00F157F4"/>
    <w:rsid w:val="00F3018E"/>
    <w:rsid w:val="00F3268D"/>
    <w:rsid w:val="00F33003"/>
    <w:rsid w:val="00F35F0F"/>
    <w:rsid w:val="00F37909"/>
    <w:rsid w:val="00F430B5"/>
    <w:rsid w:val="00F454B3"/>
    <w:rsid w:val="00F53C16"/>
    <w:rsid w:val="00F644BD"/>
    <w:rsid w:val="00F707FC"/>
    <w:rsid w:val="00F72567"/>
    <w:rsid w:val="00F764DE"/>
    <w:rsid w:val="00F775EA"/>
    <w:rsid w:val="00F850BD"/>
    <w:rsid w:val="00F8750C"/>
    <w:rsid w:val="00F919A7"/>
    <w:rsid w:val="00FA2439"/>
    <w:rsid w:val="00FD290D"/>
    <w:rsid w:val="00FD3C3A"/>
    <w:rsid w:val="00FD6B3A"/>
    <w:rsid w:val="00FF43CC"/>
    <w:rsid w:val="00FF5192"/>
    <w:rsid w:val="00FF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A7D6"/>
  <w15:chartTrackingRefBased/>
  <w15:docId w15:val="{32F730ED-6BC5-45BE-AF4B-2EE78BEA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34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3406"/>
  </w:style>
  <w:style w:type="table" w:styleId="TableGrid">
    <w:name w:val="Table Grid"/>
    <w:basedOn w:val="TableNormal"/>
    <w:uiPriority w:val="39"/>
    <w:rsid w:val="00AD340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406"/>
    <w:pPr>
      <w:ind w:left="720"/>
      <w:contextualSpacing/>
    </w:pPr>
  </w:style>
  <w:style w:type="paragraph" w:customStyle="1" w:styleId="FootnoteText1">
    <w:name w:val="Footnote Text1"/>
    <w:basedOn w:val="Normal"/>
    <w:next w:val="FootnoteText"/>
    <w:link w:val="FootnoteTextChar"/>
    <w:uiPriority w:val="99"/>
    <w:semiHidden/>
    <w:unhideWhenUsed/>
    <w:rsid w:val="00AD3406"/>
    <w:pPr>
      <w:spacing w:after="0" w:line="240" w:lineRule="auto"/>
    </w:pPr>
    <w:rPr>
      <w:sz w:val="20"/>
      <w:szCs w:val="20"/>
    </w:rPr>
  </w:style>
  <w:style w:type="character" w:customStyle="1" w:styleId="FootnoteTextChar">
    <w:name w:val="Footnote Text Char"/>
    <w:basedOn w:val="DefaultParagraphFont"/>
    <w:link w:val="FootnoteText1"/>
    <w:uiPriority w:val="99"/>
    <w:rsid w:val="00AD3406"/>
    <w:rPr>
      <w:sz w:val="20"/>
      <w:szCs w:val="20"/>
    </w:rPr>
  </w:style>
  <w:style w:type="character" w:styleId="FootnoteReference">
    <w:name w:val="footnote reference"/>
    <w:basedOn w:val="DefaultParagraphFont"/>
    <w:uiPriority w:val="99"/>
    <w:unhideWhenUsed/>
    <w:rsid w:val="00AD3406"/>
    <w:rPr>
      <w:vertAlign w:val="superscript"/>
    </w:rPr>
  </w:style>
  <w:style w:type="paragraph" w:styleId="FootnoteText">
    <w:name w:val="footnote text"/>
    <w:basedOn w:val="Normal"/>
    <w:link w:val="FootnoteTextChar1"/>
    <w:uiPriority w:val="99"/>
    <w:unhideWhenUsed/>
    <w:rsid w:val="00AD3406"/>
    <w:pPr>
      <w:spacing w:after="0" w:line="240" w:lineRule="auto"/>
    </w:pPr>
    <w:rPr>
      <w:sz w:val="20"/>
      <w:szCs w:val="20"/>
    </w:rPr>
  </w:style>
  <w:style w:type="character" w:customStyle="1" w:styleId="FootnoteTextChar1">
    <w:name w:val="Footnote Text Char1"/>
    <w:basedOn w:val="DefaultParagraphFont"/>
    <w:link w:val="FootnoteText"/>
    <w:uiPriority w:val="99"/>
    <w:rsid w:val="00AD3406"/>
    <w:rPr>
      <w:sz w:val="20"/>
      <w:szCs w:val="20"/>
    </w:rPr>
  </w:style>
  <w:style w:type="paragraph" w:styleId="NormalWeb">
    <w:name w:val="Normal (Web)"/>
    <w:basedOn w:val="Normal"/>
    <w:uiPriority w:val="99"/>
    <w:unhideWhenUsed/>
    <w:rsid w:val="00AD3406"/>
    <w:pPr>
      <w:spacing w:before="100" w:beforeAutospacing="1" w:after="100" w:afterAutospacing="1" w:line="240" w:lineRule="auto"/>
    </w:pPr>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D340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340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2023-11-21T18:30:00+00:00</Judgment_x0020_Date>
    <Year xmlns="63bdd487-88aa-4c54-b893-ddaa81ed2e7c">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4D729-E538-4983-92B1-21A1DC172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4A45A-8CC0-45DC-97FB-393604978006}">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7124D252-FD10-43E6-A0A1-0B80E67817C2}">
  <ds:schemaRefs>
    <ds:schemaRef ds:uri="http://schemas.microsoft.com/sharepoint/v3/contenttype/forms"/>
  </ds:schemaRefs>
</ds:datastoreItem>
</file>

<file path=customXml/itemProps4.xml><?xml version="1.0" encoding="utf-8"?>
<ds:datastoreItem xmlns:ds="http://schemas.openxmlformats.org/officeDocument/2006/customXml" ds:itemID="{346C74CC-036E-4C65-88C6-CF89273D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Water Corporation Limited v Kuiri Fanual Tjipangandjara (SCR 1-2023) NASC [2023] (22 November 2023)</dc:title>
  <dc:subject/>
  <dc:creator>Helvi Hilifilwa</dc:creator>
  <cp:keywords/>
  <dc:description/>
  <cp:lastModifiedBy>Mariana Anguelov</cp:lastModifiedBy>
  <cp:revision>3</cp:revision>
  <cp:lastPrinted>2023-11-22T07:50:00Z</cp:lastPrinted>
  <dcterms:created xsi:type="dcterms:W3CDTF">2023-11-22T09:23:00Z</dcterms:created>
  <dcterms:modified xsi:type="dcterms:W3CDTF">2023-11-22T16:26:00Z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