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15CEC" w14:textId="77777777" w:rsidR="00296610" w:rsidRDefault="00296610" w:rsidP="00742222">
      <w:pPr>
        <w:jc w:val="center"/>
      </w:pPr>
    </w:p>
    <w:p w14:paraId="4E4681A1" w14:textId="77777777" w:rsidR="00296610" w:rsidRDefault="00296610" w:rsidP="00742222">
      <w:pPr>
        <w:jc w:val="center"/>
      </w:pPr>
    </w:p>
    <w:p w14:paraId="01E7EAAA" w14:textId="77777777" w:rsidR="00296610" w:rsidRDefault="00296610" w:rsidP="00742222">
      <w:pPr>
        <w:jc w:val="center"/>
      </w:pPr>
    </w:p>
    <w:p w14:paraId="392221D2" w14:textId="77777777" w:rsidR="00296610" w:rsidRDefault="00296610" w:rsidP="00742222">
      <w:pPr>
        <w:jc w:val="center"/>
      </w:pPr>
    </w:p>
    <w:p w14:paraId="6D78599E" w14:textId="77777777" w:rsidR="00296610" w:rsidRDefault="00296610" w:rsidP="00742222">
      <w:pPr>
        <w:jc w:val="center"/>
      </w:pPr>
    </w:p>
    <w:p w14:paraId="3D12FB8F" w14:textId="77777777" w:rsidR="00296610" w:rsidRDefault="00296610" w:rsidP="00742222">
      <w:pPr>
        <w:jc w:val="center"/>
      </w:pPr>
    </w:p>
    <w:p w14:paraId="1C496BDA" w14:textId="77777777" w:rsidR="00296610" w:rsidRDefault="00296610" w:rsidP="00742222">
      <w:pPr>
        <w:jc w:val="center"/>
      </w:pPr>
    </w:p>
    <w:p w14:paraId="47BB47F0" w14:textId="77777777" w:rsidR="00296610" w:rsidRDefault="00296610" w:rsidP="00742222">
      <w:pPr>
        <w:jc w:val="center"/>
      </w:pPr>
    </w:p>
    <w:p w14:paraId="76C38F70" w14:textId="77777777" w:rsidR="00F32D1C" w:rsidRDefault="00333412" w:rsidP="00296610">
      <w:pPr>
        <w:spacing w:line="480" w:lineRule="auto"/>
        <w:jc w:val="right"/>
        <w:rPr>
          <w:b/>
        </w:rPr>
      </w:pPr>
      <w:r w:rsidRPr="00296610">
        <w:rPr>
          <w:b/>
          <w:noProof/>
          <w:lang w:val="en-ZA" w:eastAsia="en-ZA"/>
        </w:rPr>
        <w:drawing>
          <wp:anchor distT="0" distB="0" distL="114300" distR="114300" simplePos="0" relativeHeight="251659264" behindDoc="0" locked="0" layoutInCell="1" allowOverlap="1" wp14:anchorId="46C62A1F" wp14:editId="3B4AC047">
            <wp:simplePos x="0" y="0"/>
            <wp:positionH relativeFrom="margin">
              <wp:align>center</wp:align>
            </wp:positionH>
            <wp:positionV relativeFrom="margin">
              <wp:posOffset>-171450</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r w:rsidR="00296610" w:rsidRPr="00296610">
        <w:rPr>
          <w:b/>
        </w:rPr>
        <w:t>REPORTABLE</w:t>
      </w:r>
    </w:p>
    <w:p w14:paraId="47629FF1" w14:textId="195E5F3B" w:rsidR="00296610" w:rsidRDefault="00296610" w:rsidP="00296610">
      <w:pPr>
        <w:spacing w:line="480" w:lineRule="auto"/>
        <w:jc w:val="right"/>
      </w:pPr>
      <w:r w:rsidRPr="00296610">
        <w:t>CASE NO: SA 1</w:t>
      </w:r>
      <w:r w:rsidR="00AB6D83">
        <w:t>30</w:t>
      </w:r>
      <w:r w:rsidRPr="00296610">
        <w:t>/202</w:t>
      </w:r>
      <w:r w:rsidR="00AB6D83">
        <w:t>3</w:t>
      </w:r>
    </w:p>
    <w:p w14:paraId="2D9EBBE4" w14:textId="77777777" w:rsidR="00296610" w:rsidRDefault="00296610" w:rsidP="00296610">
      <w:pPr>
        <w:spacing w:line="480" w:lineRule="auto"/>
        <w:rPr>
          <w:b/>
        </w:rPr>
      </w:pPr>
      <w:r w:rsidRPr="00296610">
        <w:rPr>
          <w:b/>
        </w:rPr>
        <w:t>IN THE SUPREME COURT OF NAMIBIA</w:t>
      </w:r>
    </w:p>
    <w:p w14:paraId="3D9ADD6A" w14:textId="77777777" w:rsidR="00296610" w:rsidRDefault="00296610" w:rsidP="00296610">
      <w:pPr>
        <w:spacing w:line="480" w:lineRule="auto"/>
        <w:rPr>
          <w:b/>
        </w:rPr>
      </w:pPr>
    </w:p>
    <w:p w14:paraId="792CFF33" w14:textId="5E39931F" w:rsidR="00296610" w:rsidRDefault="00296610" w:rsidP="00296610">
      <w:pPr>
        <w:spacing w:line="480" w:lineRule="auto"/>
      </w:pPr>
      <w:r w:rsidRPr="00296610">
        <w:t>In the matter between</w:t>
      </w:r>
      <w:r w:rsidR="00492948">
        <w:t>:</w:t>
      </w:r>
    </w:p>
    <w:p w14:paraId="4E47439C" w14:textId="77777777" w:rsidR="00296610" w:rsidRDefault="00296610" w:rsidP="00296610">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7"/>
        <w:gridCol w:w="3190"/>
      </w:tblGrid>
      <w:tr w:rsidR="00296610" w:rsidRPr="00296610" w14:paraId="3B577F1A" w14:textId="77777777" w:rsidTr="00B56710">
        <w:tc>
          <w:tcPr>
            <w:tcW w:w="5597" w:type="dxa"/>
          </w:tcPr>
          <w:p w14:paraId="1EF989B8" w14:textId="5CFA555E" w:rsidR="00296610" w:rsidRPr="00296610" w:rsidRDefault="00447171" w:rsidP="00296610">
            <w:pPr>
              <w:spacing w:line="480" w:lineRule="auto"/>
              <w:ind w:hanging="108"/>
              <w:rPr>
                <w:b/>
              </w:rPr>
            </w:pPr>
            <w:r>
              <w:rPr>
                <w:b/>
              </w:rPr>
              <w:t>GEOFFREY KUPUZO MWILIMA</w:t>
            </w:r>
          </w:p>
        </w:tc>
        <w:tc>
          <w:tcPr>
            <w:tcW w:w="3190" w:type="dxa"/>
          </w:tcPr>
          <w:p w14:paraId="66252DB6" w14:textId="17C894BC" w:rsidR="00296610" w:rsidRPr="00296610" w:rsidRDefault="00517844" w:rsidP="00517844">
            <w:pPr>
              <w:spacing w:line="480" w:lineRule="auto"/>
              <w:ind w:hanging="108"/>
              <w:jc w:val="right"/>
              <w:rPr>
                <w:b/>
              </w:rPr>
            </w:pPr>
            <w:r w:rsidRPr="00296610">
              <w:rPr>
                <w:b/>
              </w:rPr>
              <w:t>A</w:t>
            </w:r>
            <w:r>
              <w:rPr>
                <w:b/>
              </w:rPr>
              <w:t>ppellant</w:t>
            </w:r>
          </w:p>
        </w:tc>
      </w:tr>
      <w:tr w:rsidR="00296610" w14:paraId="750D9DF9" w14:textId="77777777" w:rsidTr="00B56710">
        <w:tc>
          <w:tcPr>
            <w:tcW w:w="5597" w:type="dxa"/>
          </w:tcPr>
          <w:p w14:paraId="26B3D613" w14:textId="77777777" w:rsidR="00296610" w:rsidRDefault="00296610" w:rsidP="00296610">
            <w:pPr>
              <w:spacing w:line="480" w:lineRule="auto"/>
              <w:ind w:hanging="108"/>
            </w:pPr>
          </w:p>
          <w:p w14:paraId="5C285145" w14:textId="04FEBEAD" w:rsidR="00296610" w:rsidRDefault="00517844" w:rsidP="00296610">
            <w:pPr>
              <w:spacing w:line="480" w:lineRule="auto"/>
              <w:ind w:hanging="108"/>
            </w:pPr>
            <w:r>
              <w:t>a</w:t>
            </w:r>
            <w:r w:rsidR="00296610">
              <w:t>nd</w:t>
            </w:r>
          </w:p>
        </w:tc>
        <w:tc>
          <w:tcPr>
            <w:tcW w:w="3190" w:type="dxa"/>
          </w:tcPr>
          <w:p w14:paraId="11C2B104" w14:textId="77777777" w:rsidR="00296610" w:rsidRDefault="00296610" w:rsidP="00296610">
            <w:pPr>
              <w:spacing w:line="480" w:lineRule="auto"/>
              <w:ind w:hanging="108"/>
            </w:pPr>
          </w:p>
        </w:tc>
      </w:tr>
      <w:tr w:rsidR="00296610" w:rsidRPr="00296610" w14:paraId="0B545B5E" w14:textId="77777777" w:rsidTr="00B56710">
        <w:tc>
          <w:tcPr>
            <w:tcW w:w="5597" w:type="dxa"/>
          </w:tcPr>
          <w:p w14:paraId="26724A27" w14:textId="77777777" w:rsidR="00296610" w:rsidRPr="00296610" w:rsidRDefault="00296610" w:rsidP="00296610">
            <w:pPr>
              <w:spacing w:line="480" w:lineRule="auto"/>
              <w:ind w:hanging="108"/>
              <w:rPr>
                <w:b/>
              </w:rPr>
            </w:pPr>
          </w:p>
          <w:p w14:paraId="29E1DD4A" w14:textId="77777777" w:rsidR="0095676C" w:rsidRDefault="00447171" w:rsidP="00296610">
            <w:pPr>
              <w:spacing w:line="480" w:lineRule="auto"/>
              <w:ind w:hanging="108"/>
              <w:rPr>
                <w:b/>
              </w:rPr>
            </w:pPr>
            <w:r>
              <w:rPr>
                <w:b/>
              </w:rPr>
              <w:t>MINISTER OF HOME AFFAIRS, IMMIGRATION,</w:t>
            </w:r>
          </w:p>
          <w:p w14:paraId="4F208DB7" w14:textId="20DBC358" w:rsidR="00296610" w:rsidRDefault="00447171" w:rsidP="00296610">
            <w:pPr>
              <w:spacing w:line="480" w:lineRule="auto"/>
              <w:ind w:hanging="108"/>
              <w:rPr>
                <w:b/>
              </w:rPr>
            </w:pPr>
            <w:r>
              <w:rPr>
                <w:b/>
              </w:rPr>
              <w:t>SAFETY AND SECURITY</w:t>
            </w:r>
          </w:p>
          <w:p w14:paraId="099374D7" w14:textId="18E4B3A5" w:rsidR="00447171" w:rsidRPr="00296610" w:rsidRDefault="00447171" w:rsidP="00296610">
            <w:pPr>
              <w:spacing w:line="480" w:lineRule="auto"/>
              <w:ind w:hanging="108"/>
              <w:rPr>
                <w:b/>
              </w:rPr>
            </w:pPr>
            <w:r>
              <w:rPr>
                <w:b/>
              </w:rPr>
              <w:t xml:space="preserve">DR TONY LUMBIDI N.O.                                                      </w:t>
            </w:r>
          </w:p>
        </w:tc>
        <w:tc>
          <w:tcPr>
            <w:tcW w:w="3190" w:type="dxa"/>
          </w:tcPr>
          <w:p w14:paraId="78F61832" w14:textId="77777777" w:rsidR="00296610" w:rsidRPr="00296610" w:rsidRDefault="00296610" w:rsidP="00296610">
            <w:pPr>
              <w:spacing w:line="480" w:lineRule="auto"/>
              <w:ind w:hanging="108"/>
              <w:rPr>
                <w:b/>
              </w:rPr>
            </w:pPr>
          </w:p>
          <w:p w14:paraId="198C679B" w14:textId="77777777" w:rsidR="00447171" w:rsidRDefault="00447171" w:rsidP="00296610">
            <w:pPr>
              <w:spacing w:line="480" w:lineRule="auto"/>
              <w:ind w:hanging="108"/>
              <w:jc w:val="right"/>
              <w:rPr>
                <w:b/>
              </w:rPr>
            </w:pPr>
          </w:p>
          <w:p w14:paraId="4CEA772D" w14:textId="434F9743" w:rsidR="00447171" w:rsidRDefault="00517844" w:rsidP="00447171">
            <w:pPr>
              <w:spacing w:line="480" w:lineRule="auto"/>
              <w:ind w:hanging="108"/>
              <w:rPr>
                <w:b/>
              </w:rPr>
            </w:pPr>
            <w:r>
              <w:rPr>
                <w:b/>
              </w:rPr>
              <w:t xml:space="preserve">         </w:t>
            </w:r>
            <w:r w:rsidR="00447171">
              <w:rPr>
                <w:b/>
              </w:rPr>
              <w:t xml:space="preserve"> </w:t>
            </w:r>
            <w:r>
              <w:rPr>
                <w:b/>
              </w:rPr>
              <w:t xml:space="preserve">        First respondent</w:t>
            </w:r>
          </w:p>
          <w:p w14:paraId="140B29EE" w14:textId="5F6AB2E4" w:rsidR="00447171" w:rsidRPr="00296610" w:rsidRDefault="00517844" w:rsidP="00517844">
            <w:pPr>
              <w:spacing w:line="480" w:lineRule="auto"/>
              <w:ind w:right="-141" w:hanging="108"/>
              <w:rPr>
                <w:b/>
              </w:rPr>
            </w:pPr>
            <w:r>
              <w:rPr>
                <w:b/>
              </w:rPr>
              <w:t xml:space="preserve">             Second respondent</w:t>
            </w:r>
          </w:p>
        </w:tc>
      </w:tr>
    </w:tbl>
    <w:p w14:paraId="6CDC061D" w14:textId="2592E8DC" w:rsidR="0095676C" w:rsidRDefault="00447171" w:rsidP="00B56710">
      <w:pPr>
        <w:spacing w:line="276" w:lineRule="auto"/>
        <w:rPr>
          <w:b/>
        </w:rPr>
      </w:pPr>
      <w:r w:rsidRPr="0095676C">
        <w:rPr>
          <w:b/>
        </w:rPr>
        <w:t>COMMISSIONER</w:t>
      </w:r>
      <w:r w:rsidR="00EF5641">
        <w:rPr>
          <w:b/>
        </w:rPr>
        <w:t>-</w:t>
      </w:r>
      <w:r w:rsidRPr="0095676C">
        <w:rPr>
          <w:b/>
        </w:rPr>
        <w:t>GENERAL</w:t>
      </w:r>
      <w:r w:rsidR="00022E5B">
        <w:rPr>
          <w:b/>
        </w:rPr>
        <w:t xml:space="preserve"> OF</w:t>
      </w:r>
      <w:r w:rsidR="007479A5">
        <w:rPr>
          <w:b/>
        </w:rPr>
        <w:t xml:space="preserve"> THE</w:t>
      </w:r>
      <w:r w:rsidR="0095676C">
        <w:rPr>
          <w:b/>
        </w:rPr>
        <w:t xml:space="preserve"> </w:t>
      </w:r>
      <w:r w:rsidRPr="0095676C">
        <w:rPr>
          <w:b/>
        </w:rPr>
        <w:t>NAMIBIAN</w:t>
      </w:r>
    </w:p>
    <w:p w14:paraId="3E41D8B3" w14:textId="1B5DAE98" w:rsidR="00296610" w:rsidRDefault="0095676C" w:rsidP="00296610">
      <w:pPr>
        <w:spacing w:line="480" w:lineRule="auto"/>
        <w:rPr>
          <w:b/>
        </w:rPr>
      </w:pPr>
      <w:r>
        <w:rPr>
          <w:b/>
        </w:rPr>
        <w:t>CORRECTIONAL SERVICE</w:t>
      </w:r>
      <w:r w:rsidR="00447171" w:rsidRPr="0095676C">
        <w:rPr>
          <w:b/>
        </w:rPr>
        <w:t xml:space="preserve"> </w:t>
      </w:r>
      <w:r>
        <w:rPr>
          <w:b/>
        </w:rPr>
        <w:t xml:space="preserve">                                            </w:t>
      </w:r>
      <w:r w:rsidR="00517844">
        <w:rPr>
          <w:b/>
        </w:rPr>
        <w:t xml:space="preserve">          Third respondent</w:t>
      </w:r>
    </w:p>
    <w:p w14:paraId="1B5A65E8" w14:textId="3433DAD3" w:rsidR="0095676C" w:rsidRDefault="0095676C" w:rsidP="00B56710">
      <w:pPr>
        <w:spacing w:line="276" w:lineRule="auto"/>
        <w:rPr>
          <w:b/>
        </w:rPr>
      </w:pPr>
      <w:r>
        <w:rPr>
          <w:b/>
        </w:rPr>
        <w:t>OFFICE</w:t>
      </w:r>
      <w:r w:rsidR="00C87A55">
        <w:rPr>
          <w:b/>
        </w:rPr>
        <w:t xml:space="preserve">R </w:t>
      </w:r>
      <w:r>
        <w:rPr>
          <w:b/>
        </w:rPr>
        <w:t>IN CHARGE</w:t>
      </w:r>
      <w:r w:rsidR="00C87A55">
        <w:rPr>
          <w:b/>
        </w:rPr>
        <w:t>:</w:t>
      </w:r>
      <w:r w:rsidR="00EA33EF">
        <w:rPr>
          <w:b/>
        </w:rPr>
        <w:t xml:space="preserve"> WINDHOEK</w:t>
      </w:r>
      <w:r>
        <w:rPr>
          <w:b/>
        </w:rPr>
        <w:t xml:space="preserve"> CORRECTIONAL </w:t>
      </w:r>
    </w:p>
    <w:p w14:paraId="4BFA1DF1" w14:textId="73FFC7EB" w:rsidR="0095676C" w:rsidRPr="0095676C" w:rsidRDefault="0095676C" w:rsidP="00296610">
      <w:pPr>
        <w:spacing w:line="480" w:lineRule="auto"/>
        <w:rPr>
          <w:b/>
        </w:rPr>
      </w:pPr>
      <w:r>
        <w:rPr>
          <w:b/>
        </w:rPr>
        <w:t xml:space="preserve">FACILITY                                                                          </w:t>
      </w:r>
      <w:r w:rsidR="00517844">
        <w:rPr>
          <w:b/>
        </w:rPr>
        <w:t xml:space="preserve">         Fourth respondent</w:t>
      </w:r>
    </w:p>
    <w:p w14:paraId="138D902D" w14:textId="77777777" w:rsidR="00447171" w:rsidRDefault="00447171" w:rsidP="00296610">
      <w:pPr>
        <w:spacing w:line="480" w:lineRule="auto"/>
      </w:pPr>
    </w:p>
    <w:p w14:paraId="7F2323AA" w14:textId="2AFFC23D" w:rsidR="00296610" w:rsidRDefault="00296610" w:rsidP="00296610">
      <w:pPr>
        <w:spacing w:line="480" w:lineRule="auto"/>
      </w:pPr>
      <w:r w:rsidRPr="00296610">
        <w:rPr>
          <w:b/>
        </w:rPr>
        <w:t>CORAM</w:t>
      </w:r>
      <w:r>
        <w:t>:</w:t>
      </w:r>
      <w:r>
        <w:tab/>
        <w:t xml:space="preserve">SHIVUTE CJ, </w:t>
      </w:r>
      <w:r w:rsidR="0095676C">
        <w:t>SMUTS</w:t>
      </w:r>
      <w:r>
        <w:t xml:space="preserve"> JA and </w:t>
      </w:r>
      <w:r w:rsidR="0095676C">
        <w:t>FRANK A</w:t>
      </w:r>
      <w:r>
        <w:t>JA</w:t>
      </w:r>
    </w:p>
    <w:p w14:paraId="0DDFC715" w14:textId="720513F0" w:rsidR="00296610" w:rsidRPr="00492948" w:rsidRDefault="00296610" w:rsidP="00296610">
      <w:pPr>
        <w:spacing w:line="480" w:lineRule="auto"/>
        <w:rPr>
          <w:b/>
        </w:rPr>
      </w:pPr>
      <w:r w:rsidRPr="00492948">
        <w:rPr>
          <w:b/>
        </w:rPr>
        <w:t>Heard:</w:t>
      </w:r>
      <w:r w:rsidRPr="00492948">
        <w:rPr>
          <w:b/>
        </w:rPr>
        <w:tab/>
      </w:r>
      <w:r w:rsidR="0095676C" w:rsidRPr="00492948">
        <w:rPr>
          <w:b/>
        </w:rPr>
        <w:t>25</w:t>
      </w:r>
      <w:r w:rsidRPr="00492948">
        <w:rPr>
          <w:b/>
        </w:rPr>
        <w:t xml:space="preserve"> </w:t>
      </w:r>
      <w:r w:rsidR="0095676C" w:rsidRPr="00492948">
        <w:rPr>
          <w:b/>
        </w:rPr>
        <w:t>April</w:t>
      </w:r>
      <w:r w:rsidRPr="00492948">
        <w:rPr>
          <w:b/>
        </w:rPr>
        <w:t xml:space="preserve"> 202</w:t>
      </w:r>
      <w:r w:rsidR="0095676C" w:rsidRPr="00492948">
        <w:rPr>
          <w:b/>
        </w:rPr>
        <w:t>4</w:t>
      </w:r>
    </w:p>
    <w:p w14:paraId="5CE5206F" w14:textId="20D8B5BE" w:rsidR="00296610" w:rsidRPr="00492948" w:rsidRDefault="00296610" w:rsidP="00296610">
      <w:pPr>
        <w:spacing w:line="480" w:lineRule="auto"/>
        <w:rPr>
          <w:b/>
        </w:rPr>
      </w:pPr>
      <w:r w:rsidRPr="00492948">
        <w:rPr>
          <w:b/>
        </w:rPr>
        <w:t>Delivered:</w:t>
      </w:r>
      <w:r w:rsidRPr="00492948">
        <w:rPr>
          <w:b/>
        </w:rPr>
        <w:tab/>
      </w:r>
      <w:r w:rsidR="008C46E7" w:rsidRPr="00492948">
        <w:rPr>
          <w:b/>
        </w:rPr>
        <w:t xml:space="preserve">22 </w:t>
      </w:r>
      <w:r w:rsidR="0095676C" w:rsidRPr="00492948">
        <w:rPr>
          <w:b/>
        </w:rPr>
        <w:t>May 2024</w:t>
      </w:r>
    </w:p>
    <w:p w14:paraId="5D1A2ED2" w14:textId="77777777" w:rsidR="00296610" w:rsidRDefault="00296610" w:rsidP="00296610">
      <w:pPr>
        <w:spacing w:line="480" w:lineRule="auto"/>
        <w:rPr>
          <w:b/>
        </w:rPr>
      </w:pPr>
    </w:p>
    <w:p w14:paraId="1BEDCA33" w14:textId="77777777" w:rsidR="00EB4FAC" w:rsidRDefault="004E35F4" w:rsidP="004E35F4">
      <w:pPr>
        <w:spacing w:line="360" w:lineRule="auto"/>
      </w:pPr>
      <w:r w:rsidRPr="00D11990">
        <w:rPr>
          <w:b/>
        </w:rPr>
        <w:lastRenderedPageBreak/>
        <w:t>Summary:</w:t>
      </w:r>
      <w:r w:rsidRPr="00D11990">
        <w:rPr>
          <w:b/>
        </w:rPr>
        <w:tab/>
      </w:r>
      <w:r>
        <w:t>This appeal concerns the interpretation of s 109 of the Correctional Service Act 9 of 2012 (the Act). The appellant, a 68 year old Namibian male offender was sentenced to 18 years imprisonment in 2015 following a conviction of murder and high treason. He is incarcerated at the Windhoek Correctional Facility (the facility). The appellant brought an application</w:t>
      </w:r>
      <w:r w:rsidR="00EB4FAC">
        <w:t xml:space="preserve"> in the High Court</w:t>
      </w:r>
      <w:r>
        <w:t xml:space="preserve"> for </w:t>
      </w:r>
      <w:r w:rsidRPr="00912F62">
        <w:t>review of the</w:t>
      </w:r>
      <w:r>
        <w:t xml:space="preserve"> </w:t>
      </w:r>
      <w:r w:rsidR="00EB4FAC">
        <w:t>medical officer’s</w:t>
      </w:r>
      <w:r>
        <w:t xml:space="preserve"> decision declining to recommend the appellant’s release from the facility on medical grounds. Prior to the review application, the appellant had launched an application w</w:t>
      </w:r>
      <w:r w:rsidR="00EB4FAC">
        <w:t>h</w:t>
      </w:r>
      <w:r>
        <w:t xml:space="preserve">ere he sought a declarator that reg 274 of the Namibian Correctional Service Regulations made in terms of s 132 of the Act was ultra vires        s 109 of the Act. This application was decided in his favour on 14 November 2022. The court in that case found reg 274 to be ultra vires s 109 read with s 132 of the Act. </w:t>
      </w:r>
    </w:p>
    <w:p w14:paraId="28118D24" w14:textId="77777777" w:rsidR="00EB4FAC" w:rsidRDefault="00EB4FAC" w:rsidP="004E35F4">
      <w:pPr>
        <w:spacing w:line="360" w:lineRule="auto"/>
      </w:pPr>
    </w:p>
    <w:p w14:paraId="00CAB6FE" w14:textId="73CD19BC" w:rsidR="00EB4FAC" w:rsidRDefault="004E35F4" w:rsidP="004E35F4">
      <w:pPr>
        <w:spacing w:line="360" w:lineRule="auto"/>
      </w:pPr>
      <w:r>
        <w:t>Additional to this order, the court directed the following: (a) that the medical officer determine within 15 days from the date of the order whether or not the appellant was afflicted by a dangerous disease ‘or whether or not [his] continued incarceration is detrimental to [his] health on the ground of his physical condition in terms of s 109 of the Correctional Service Act 9 of 2012’; (b) in the event that the medical officer determine</w:t>
      </w:r>
      <w:r w:rsidR="006A5572">
        <w:t>d</w:t>
      </w:r>
      <w:r>
        <w:t xml:space="preserve"> that the appellant </w:t>
      </w:r>
      <w:r w:rsidR="00EB4FAC">
        <w:t>wa</w:t>
      </w:r>
      <w:r>
        <w:t>s suffering from one or more dangerous diseases, then the medical officer was ordered to make a recommendation to the Minister within 20 days of the order, and lastly; (c) if the medical officer declined to make a recommendation to the Minster, he was directed to so inform the appellant and provide reasons therefor within 15 days of the order.</w:t>
      </w:r>
    </w:p>
    <w:p w14:paraId="14FF8C5A" w14:textId="77777777" w:rsidR="00EB4FAC" w:rsidRDefault="00EB4FAC" w:rsidP="004E35F4">
      <w:pPr>
        <w:spacing w:line="360" w:lineRule="auto"/>
      </w:pPr>
    </w:p>
    <w:p w14:paraId="6DFF1D35" w14:textId="2AB81277" w:rsidR="004E35F4" w:rsidRDefault="004E35F4" w:rsidP="004E35F4">
      <w:pPr>
        <w:spacing w:line="360" w:lineRule="auto"/>
      </w:pPr>
      <w:r>
        <w:t>After this order, a medical examination was conducted on the appellant by the medical officer and he confirmed the appellant’s existing diagnosis of diabetes mellitus and kidney disease (both classified as ‘dangerous diseases’ by the World Health Organisation). A letter of this determination was delivered to the Minister on 24 November 2022. The letter further stated that the continued incarceration of the appellant was not detrimental to his health ‘as he has access to regular dialysis sessions and also to his private doctors when needed. . .’. Appellant alleged that the respondents did not comply with the 14 November 2022 order – consequently, he instituted the proceedings that ultimately culminated in this appeal.</w:t>
      </w:r>
    </w:p>
    <w:p w14:paraId="6F1075A9" w14:textId="77777777" w:rsidR="004E35F4" w:rsidRDefault="004E35F4" w:rsidP="004E35F4">
      <w:pPr>
        <w:spacing w:line="360" w:lineRule="auto"/>
      </w:pPr>
    </w:p>
    <w:p w14:paraId="78E2E3B2" w14:textId="7B5727C1" w:rsidR="00EB4FAC" w:rsidRDefault="004E35F4" w:rsidP="004E35F4">
      <w:pPr>
        <w:spacing w:line="360" w:lineRule="auto"/>
      </w:pPr>
      <w:r>
        <w:t xml:space="preserve">To be determined on appeal is whether appellant’s interpretation of s 109 of the Act is correct. Appellant advanced three grounds of appeal. The first is that the medical officer’s refusal to recommend the appellant’s release was arbitrary, unreasonable and irrational. Secondly, </w:t>
      </w:r>
      <w:r w:rsidR="00EB4FAC">
        <w:t xml:space="preserve">his right to </w:t>
      </w:r>
      <w:r w:rsidR="00EB4FAC" w:rsidRPr="00B56710">
        <w:rPr>
          <w:i/>
        </w:rPr>
        <w:t>audi alteram</w:t>
      </w:r>
      <w:r w:rsidR="00EB4FAC">
        <w:t xml:space="preserve"> </w:t>
      </w:r>
      <w:r w:rsidR="00EB4FAC" w:rsidRPr="00B56710">
        <w:rPr>
          <w:i/>
        </w:rPr>
        <w:t>partem</w:t>
      </w:r>
      <w:r w:rsidR="00EB4FAC">
        <w:t xml:space="preserve"> was violated in that</w:t>
      </w:r>
      <w:r>
        <w:t xml:space="preserve"> he was not granted a hearing before the medical officer rendered h</w:t>
      </w:r>
      <w:r w:rsidR="00504790">
        <w:t>is decision not to recommend</w:t>
      </w:r>
      <w:r>
        <w:t xml:space="preserve"> </w:t>
      </w:r>
      <w:r w:rsidR="00EB4FAC">
        <w:t>hi</w:t>
      </w:r>
      <w:r>
        <w:t>s release</w:t>
      </w:r>
      <w:r w:rsidR="00EB4FAC">
        <w:t>;</w:t>
      </w:r>
      <w:r>
        <w:t xml:space="preserve"> and lastly that the court a quo interpr</w:t>
      </w:r>
      <w:r w:rsidR="00EB4FAC">
        <w:t>eted</w:t>
      </w:r>
      <w:r>
        <w:t xml:space="preserve"> s 109(a) of the Act wrongly. </w:t>
      </w:r>
    </w:p>
    <w:p w14:paraId="21AA7220" w14:textId="77777777" w:rsidR="00EB4FAC" w:rsidRDefault="00EB4FAC" w:rsidP="004E35F4">
      <w:pPr>
        <w:spacing w:line="360" w:lineRule="auto"/>
      </w:pPr>
    </w:p>
    <w:p w14:paraId="657EB487" w14:textId="18A34C5A" w:rsidR="004E35F4" w:rsidRDefault="00EB4FAC" w:rsidP="004E35F4">
      <w:pPr>
        <w:spacing w:line="360" w:lineRule="auto"/>
      </w:pPr>
      <w:r>
        <w:t>Appellant’s argument was</w:t>
      </w:r>
      <w:r w:rsidR="004E35F4">
        <w:t xml:space="preserve"> essentially </w:t>
      </w:r>
      <w:r w:rsidR="004E35F4" w:rsidRPr="00912F62">
        <w:t>that an offender determined to be suffering from a dangerous, infectious or contagious disease upon his committal to a correctional facility must be recommended and authorised for release on medical grounds irrespective of the facilities that may be available in the Correctional Service system to manage their condition.</w:t>
      </w:r>
      <w:r w:rsidR="004E35F4">
        <w:t xml:space="preserve"> The appellant urged the court to set aside the medical officer’s decision and direct the Minister to authorise the appellant’s release.</w:t>
      </w:r>
    </w:p>
    <w:p w14:paraId="48E07AAE" w14:textId="77777777" w:rsidR="004E35F4" w:rsidRDefault="004E35F4" w:rsidP="004E35F4">
      <w:pPr>
        <w:spacing w:line="360" w:lineRule="auto"/>
      </w:pPr>
    </w:p>
    <w:p w14:paraId="66CF44AB" w14:textId="78300BCA" w:rsidR="004E35F4" w:rsidRDefault="004E35F4" w:rsidP="004E35F4">
      <w:pPr>
        <w:spacing w:line="360" w:lineRule="auto"/>
      </w:pPr>
      <w:r>
        <w:t>The respondents contended that the interpretation of s 109 advanced by the appellant would lead to unreasonable and absurd results. The respondents supported the court a quo’s judgment and contended that the appellant ha</w:t>
      </w:r>
      <w:r w:rsidR="00EB4FAC">
        <w:t>d</w:t>
      </w:r>
      <w:r>
        <w:t xml:space="preserve"> not made out a case for the reviewing and setting aside of the medical officer’s decision.</w:t>
      </w:r>
    </w:p>
    <w:p w14:paraId="388A3DB2" w14:textId="77777777" w:rsidR="004E35F4" w:rsidRDefault="004E35F4" w:rsidP="004E35F4">
      <w:pPr>
        <w:spacing w:line="360" w:lineRule="auto"/>
      </w:pPr>
    </w:p>
    <w:p w14:paraId="2A6DACE2" w14:textId="77777777" w:rsidR="004E35F4" w:rsidRDefault="004E35F4" w:rsidP="004E35F4">
      <w:pPr>
        <w:spacing w:line="360" w:lineRule="auto"/>
      </w:pPr>
      <w:r w:rsidRPr="004A03BB">
        <w:rPr>
          <w:i/>
        </w:rPr>
        <w:t>Held that</w:t>
      </w:r>
      <w:r w:rsidRPr="004A03BB">
        <w:t>, the release of an offender from a correctional facility on medical grounds can be justified for several reasons</w:t>
      </w:r>
      <w:r>
        <w:t xml:space="preserve">. Those addressing humanitarian concerns; the foundational constitutional value of dignity of a human being (ie in cases of terminally ill offenders requiring specialised or palliative medical care not available in the correctional facilities) and those aimed at preventing the spread of infectious diseases within the overcrowded prison environment </w:t>
      </w:r>
      <w:r w:rsidRPr="00C91B3A">
        <w:t>– protecting both the members of the correctional service and the incarcerated population</w:t>
      </w:r>
      <w:r>
        <w:t>.</w:t>
      </w:r>
    </w:p>
    <w:p w14:paraId="4C8E1E10" w14:textId="77777777" w:rsidR="004E35F4" w:rsidRPr="00252F34" w:rsidRDefault="004E35F4" w:rsidP="004E35F4">
      <w:pPr>
        <w:spacing w:line="360" w:lineRule="auto"/>
      </w:pPr>
    </w:p>
    <w:p w14:paraId="03241BFD" w14:textId="77777777" w:rsidR="004E35F4" w:rsidRPr="00252F34" w:rsidRDefault="004E35F4" w:rsidP="004E35F4">
      <w:pPr>
        <w:spacing w:line="360" w:lineRule="auto"/>
      </w:pPr>
      <w:r w:rsidRPr="00252F34">
        <w:rPr>
          <w:i/>
        </w:rPr>
        <w:t>Held that</w:t>
      </w:r>
      <w:r w:rsidRPr="00252F34">
        <w:t>, in interpreting legislation, a court must pay attention to both the language and context of the legislation or document in question. In the context</w:t>
      </w:r>
      <w:r>
        <w:t xml:space="preserve"> of this case</w:t>
      </w:r>
      <w:r w:rsidRPr="00252F34">
        <w:t xml:space="preserve">, it can safely be assumed that the legislator could never have intended to produce a result that an offender suffering from a dangerous, infectious or contagious disease </w:t>
      </w:r>
      <w:r w:rsidRPr="00252F34">
        <w:lastRenderedPageBreak/>
        <w:t>should potentially not serve his or her sentence. To g</w:t>
      </w:r>
      <w:r>
        <w:t xml:space="preserve">ive the provision this meaning as </w:t>
      </w:r>
      <w:r w:rsidRPr="00252F34">
        <w:t>contended for by the appellant, would simply undermine the correctional service regime and to that extent would be absurd.</w:t>
      </w:r>
    </w:p>
    <w:p w14:paraId="1B527A07" w14:textId="77777777" w:rsidR="004E35F4" w:rsidRDefault="004E35F4" w:rsidP="004E35F4">
      <w:pPr>
        <w:pStyle w:val="ListParagraph"/>
        <w:spacing w:line="480" w:lineRule="auto"/>
        <w:ind w:left="0"/>
        <w:rPr>
          <w:lang w:val="en-ZA"/>
        </w:rPr>
      </w:pPr>
    </w:p>
    <w:p w14:paraId="46200C1A" w14:textId="77777777" w:rsidR="004E35F4" w:rsidRDefault="004E35F4" w:rsidP="004E35F4">
      <w:pPr>
        <w:pStyle w:val="ListParagraph"/>
        <w:spacing w:line="360" w:lineRule="auto"/>
        <w:ind w:left="0"/>
      </w:pPr>
      <w:r w:rsidRPr="002808A6">
        <w:rPr>
          <w:i/>
        </w:rPr>
        <w:t>Held that</w:t>
      </w:r>
      <w:r>
        <w:t>, the word ‘or’ between the two paragraphs should be read to mean ‘</w:t>
      </w:r>
      <w:r w:rsidRPr="00AB6D83">
        <w:t>and</w:t>
      </w:r>
      <w:r>
        <w:t>’. This is a sensible approach that would not render the meaning of the provision absurd.</w:t>
      </w:r>
    </w:p>
    <w:p w14:paraId="66738A9C" w14:textId="77777777" w:rsidR="00EB4FAC" w:rsidRDefault="00EB4FAC" w:rsidP="004E35F4">
      <w:pPr>
        <w:pStyle w:val="ListParagraph"/>
        <w:spacing w:line="360" w:lineRule="auto"/>
        <w:ind w:left="0"/>
        <w:rPr>
          <w:i/>
        </w:rPr>
      </w:pPr>
    </w:p>
    <w:p w14:paraId="567D1CB5" w14:textId="6902E437" w:rsidR="004E35F4" w:rsidRDefault="004E35F4" w:rsidP="004E35F4">
      <w:pPr>
        <w:pStyle w:val="ListParagraph"/>
        <w:spacing w:line="360" w:lineRule="auto"/>
        <w:ind w:left="0"/>
      </w:pPr>
      <w:r w:rsidRPr="002808A6">
        <w:rPr>
          <w:i/>
        </w:rPr>
        <w:t>Held that</w:t>
      </w:r>
      <w:r>
        <w:t>, the High Court erred when it found that s 109(a) should be understood to mean an offender ‘who is suffering fro</w:t>
      </w:r>
      <w:r w:rsidR="009E5AF9">
        <w:t>m a dangerous infectious</w:t>
      </w:r>
      <w:r>
        <w:t xml:space="preserve"> </w:t>
      </w:r>
      <w:r w:rsidR="000F60E1">
        <w:t xml:space="preserve">disease </w:t>
      </w:r>
      <w:r>
        <w:t>or a dangerous contagious disease’. The phrase ‘dangerous</w:t>
      </w:r>
      <w:r w:rsidR="00EB4FAC">
        <w:t>,</w:t>
      </w:r>
      <w:r>
        <w:t xml:space="preserve"> infectious or contagious disease’ as contained in s 109 of the Act is clear and requires no interpretation. The reasoning behind the court a quo’s interpretation</w:t>
      </w:r>
      <w:r w:rsidR="00504790">
        <w:t xml:space="preserve"> is not understood and this</w:t>
      </w:r>
      <w:r>
        <w:t xml:space="preserve"> Court finds that that interpretation is not supported by the language or context of the provision.</w:t>
      </w:r>
    </w:p>
    <w:p w14:paraId="18C32EBD" w14:textId="77777777" w:rsidR="004E35F4" w:rsidRDefault="004E35F4" w:rsidP="004E35F4">
      <w:pPr>
        <w:pStyle w:val="ListParagraph"/>
        <w:spacing w:line="360" w:lineRule="auto"/>
        <w:ind w:left="0"/>
      </w:pPr>
    </w:p>
    <w:p w14:paraId="12E4BA1E" w14:textId="77777777" w:rsidR="004E35F4" w:rsidRDefault="004E35F4" w:rsidP="004E35F4">
      <w:pPr>
        <w:pStyle w:val="ListParagraph"/>
        <w:spacing w:line="360" w:lineRule="auto"/>
        <w:ind w:left="0"/>
      </w:pPr>
      <w:r w:rsidRPr="002808A6">
        <w:rPr>
          <w:i/>
        </w:rPr>
        <w:t>Held that</w:t>
      </w:r>
      <w:r>
        <w:t xml:space="preserve">, there are no valid grounds for this Court to review the medical officer’s decision. </w:t>
      </w:r>
    </w:p>
    <w:p w14:paraId="6BC4BFE0" w14:textId="77777777" w:rsidR="004E35F4" w:rsidRDefault="004E35F4" w:rsidP="004E35F4">
      <w:pPr>
        <w:pStyle w:val="ListParagraph"/>
        <w:spacing w:line="360" w:lineRule="auto"/>
        <w:ind w:left="0"/>
      </w:pPr>
    </w:p>
    <w:p w14:paraId="7601F04E" w14:textId="0693983B" w:rsidR="004E35F4" w:rsidRDefault="004E35F4" w:rsidP="004E35F4">
      <w:pPr>
        <w:pStyle w:val="ListParagraph"/>
        <w:spacing w:line="360" w:lineRule="auto"/>
        <w:ind w:left="0"/>
      </w:pPr>
      <w:r w:rsidRPr="002808A6">
        <w:rPr>
          <w:i/>
        </w:rPr>
        <w:t>Held that</w:t>
      </w:r>
      <w:r>
        <w:t>, t</w:t>
      </w:r>
      <w:r>
        <w:rPr>
          <w:rFonts w:eastAsia="Calibri"/>
          <w:lang w:val="en-ZA"/>
        </w:rPr>
        <w:t xml:space="preserve">he principles of natural justice do not require an administrative body to hold trial-type hearings when these are not prescribed by statute. What is required is that the administrative agency should act fairly in affording the affected individual a fair </w:t>
      </w:r>
      <w:r w:rsidR="00DE72D8">
        <w:rPr>
          <w:rFonts w:eastAsia="Calibri"/>
          <w:lang w:val="en-ZA"/>
        </w:rPr>
        <w:t>hearing. This C</w:t>
      </w:r>
      <w:r>
        <w:rPr>
          <w:rFonts w:eastAsia="Calibri"/>
          <w:lang w:val="en-ZA"/>
        </w:rPr>
        <w:t xml:space="preserve">ourt finds that there was no arbitrariness, capriciousness, unreasonableness or irrationality about the medical officer’s determination. If the appellant had any representations to make to the medical officer, that opportunity existed during the medical examination. </w:t>
      </w:r>
    </w:p>
    <w:p w14:paraId="436CCAF6" w14:textId="77777777" w:rsidR="004E35F4" w:rsidRDefault="004E35F4" w:rsidP="004E35F4">
      <w:pPr>
        <w:pStyle w:val="ListParagraph"/>
        <w:spacing w:line="360" w:lineRule="auto"/>
        <w:ind w:left="0"/>
      </w:pPr>
    </w:p>
    <w:p w14:paraId="3FB30520" w14:textId="210E6828" w:rsidR="004E35F4" w:rsidRDefault="004E35F4" w:rsidP="004E35F4">
      <w:pPr>
        <w:pStyle w:val="ListParagraph"/>
        <w:spacing w:line="360" w:lineRule="auto"/>
        <w:ind w:left="0"/>
        <w:rPr>
          <w:lang w:val="en-US"/>
        </w:rPr>
      </w:pPr>
      <w:r w:rsidRPr="00433538">
        <w:rPr>
          <w:i/>
        </w:rPr>
        <w:t>Held that</w:t>
      </w:r>
      <w:r w:rsidRPr="00433538">
        <w:t>,</w:t>
      </w:r>
      <w:r>
        <w:t xml:space="preserve"> a recommendation by the medical officer is a pre-condition for the Minister to exercise the power conferred on him by statute. The </w:t>
      </w:r>
      <w:r w:rsidR="001F4BE3">
        <w:t xml:space="preserve">facts of the </w:t>
      </w:r>
      <w:r>
        <w:t xml:space="preserve">cases </w:t>
      </w:r>
      <w:r w:rsidR="00DE72D8">
        <w:t>from a foreign jurisdiction</w:t>
      </w:r>
      <w:r w:rsidR="001F4BE3">
        <w:t xml:space="preserve"> relied upon by the appellant</w:t>
      </w:r>
      <w:r w:rsidR="00DE72D8">
        <w:t xml:space="preserve"> </w:t>
      </w:r>
      <w:r>
        <w:rPr>
          <w:lang w:val="en-US"/>
        </w:rPr>
        <w:t>are distinguishable from the facts of this matter.</w:t>
      </w:r>
    </w:p>
    <w:p w14:paraId="51D87A96" w14:textId="77777777" w:rsidR="004E35F4" w:rsidRDefault="004E35F4" w:rsidP="004E35F4">
      <w:pPr>
        <w:pStyle w:val="ListParagraph"/>
        <w:spacing w:line="360" w:lineRule="auto"/>
        <w:ind w:left="0"/>
        <w:rPr>
          <w:lang w:val="en-US"/>
        </w:rPr>
      </w:pPr>
    </w:p>
    <w:p w14:paraId="78E39DC9" w14:textId="3135ED69" w:rsidR="004E35F4" w:rsidRDefault="004E35F4" w:rsidP="004E35F4">
      <w:pPr>
        <w:pStyle w:val="ListParagraph"/>
        <w:spacing w:line="360" w:lineRule="auto"/>
        <w:ind w:left="0"/>
      </w:pPr>
      <w:r w:rsidRPr="00C1024B">
        <w:rPr>
          <w:i/>
          <w:lang w:val="en-US"/>
        </w:rPr>
        <w:lastRenderedPageBreak/>
        <w:t>Held that</w:t>
      </w:r>
      <w:r>
        <w:rPr>
          <w:lang w:val="en-US"/>
        </w:rPr>
        <w:t>,</w:t>
      </w:r>
      <w:r w:rsidR="00DE72D8">
        <w:rPr>
          <w:lang w:val="en-US"/>
        </w:rPr>
        <w:t xml:space="preserve"> the Court could not make an order of</w:t>
      </w:r>
      <w:r>
        <w:rPr>
          <w:lang w:val="en-US"/>
        </w:rPr>
        <w:t xml:space="preserve"> </w:t>
      </w:r>
      <w:r w:rsidR="00DE72D8">
        <w:rPr>
          <w:lang w:val="en-US"/>
        </w:rPr>
        <w:t xml:space="preserve">substitution, because </w:t>
      </w:r>
      <w:r>
        <w:rPr>
          <w:lang w:val="en-US"/>
        </w:rPr>
        <w:t xml:space="preserve">the </w:t>
      </w:r>
      <w:r>
        <w:t>Minister ha</w:t>
      </w:r>
      <w:r w:rsidR="00DE72D8">
        <w:t>d</w:t>
      </w:r>
      <w:r>
        <w:t xml:space="preserve"> not decided whether or not to authorise the appellant’s release, rightly so because he was not furnished with a recommendation by the medical officer as required by law.</w:t>
      </w:r>
    </w:p>
    <w:p w14:paraId="4F292B4B" w14:textId="77777777" w:rsidR="004E35F4" w:rsidRDefault="004E35F4" w:rsidP="004E35F4">
      <w:pPr>
        <w:spacing w:line="360" w:lineRule="auto"/>
      </w:pPr>
    </w:p>
    <w:p w14:paraId="796EBF13" w14:textId="77777777" w:rsidR="004E35F4" w:rsidRPr="00433538" w:rsidRDefault="004E35F4" w:rsidP="004E35F4">
      <w:pPr>
        <w:spacing w:line="360" w:lineRule="auto"/>
      </w:pPr>
      <w:r>
        <w:t>The appeal is dismissed.</w:t>
      </w:r>
    </w:p>
    <w:p w14:paraId="71889AE8" w14:textId="77777777" w:rsidR="00296610" w:rsidRDefault="00296610" w:rsidP="00296610">
      <w:pPr>
        <w:pBdr>
          <w:bottom w:val="single" w:sz="4" w:space="1" w:color="auto"/>
        </w:pBdr>
        <w:spacing w:line="480" w:lineRule="auto"/>
        <w:rPr>
          <w:b/>
        </w:rPr>
      </w:pPr>
    </w:p>
    <w:p w14:paraId="20ABADDE" w14:textId="77777777" w:rsidR="005303F7" w:rsidRDefault="005303F7" w:rsidP="00296610">
      <w:pPr>
        <w:jc w:val="center"/>
        <w:rPr>
          <w:b/>
        </w:rPr>
      </w:pPr>
    </w:p>
    <w:p w14:paraId="7539F397" w14:textId="63FEC6D8" w:rsidR="00296610" w:rsidRPr="00296610" w:rsidRDefault="00296610" w:rsidP="00296610">
      <w:pPr>
        <w:jc w:val="center"/>
        <w:rPr>
          <w:b/>
        </w:rPr>
      </w:pPr>
      <w:r w:rsidRPr="00296610">
        <w:rPr>
          <w:b/>
        </w:rPr>
        <w:t>APPEAL JUDGMENT</w:t>
      </w:r>
    </w:p>
    <w:p w14:paraId="4B42CECE" w14:textId="77777777" w:rsidR="00296610" w:rsidRDefault="00296610" w:rsidP="00296610">
      <w:pPr>
        <w:pBdr>
          <w:bottom w:val="single" w:sz="4" w:space="1" w:color="auto"/>
        </w:pBdr>
        <w:jc w:val="center"/>
      </w:pPr>
    </w:p>
    <w:p w14:paraId="5D04A4DA" w14:textId="77777777" w:rsidR="00296610" w:rsidRDefault="00296610" w:rsidP="00296610">
      <w:pPr>
        <w:jc w:val="center"/>
      </w:pPr>
    </w:p>
    <w:p w14:paraId="16352E3E" w14:textId="77777777" w:rsidR="00296610" w:rsidRDefault="00296610" w:rsidP="00296610">
      <w:pPr>
        <w:jc w:val="center"/>
      </w:pPr>
    </w:p>
    <w:p w14:paraId="113BBB58" w14:textId="18A963F5" w:rsidR="00296610" w:rsidRDefault="00296610" w:rsidP="00296610">
      <w:r>
        <w:t>SHIVUTE CJ (</w:t>
      </w:r>
      <w:r w:rsidR="00D9606F">
        <w:t xml:space="preserve">SMUTS </w:t>
      </w:r>
      <w:r>
        <w:t xml:space="preserve">JA and </w:t>
      </w:r>
      <w:r w:rsidR="00447A53">
        <w:t>FRANK A</w:t>
      </w:r>
      <w:r>
        <w:t>JA concurring):</w:t>
      </w:r>
    </w:p>
    <w:p w14:paraId="3B8EE900" w14:textId="77777777" w:rsidR="00296610" w:rsidRDefault="00296610" w:rsidP="009F6186"/>
    <w:p w14:paraId="748D6A28" w14:textId="506824FA" w:rsidR="00296610" w:rsidRPr="00296610" w:rsidRDefault="007259C2">
      <w:pPr>
        <w:spacing w:line="480" w:lineRule="auto"/>
        <w:rPr>
          <w:u w:val="single"/>
        </w:rPr>
      </w:pPr>
      <w:r>
        <w:rPr>
          <w:u w:val="single"/>
        </w:rPr>
        <w:t>Introduction</w:t>
      </w:r>
    </w:p>
    <w:p w14:paraId="280D8291" w14:textId="3D3FF954" w:rsidR="00AA1816" w:rsidRDefault="0073660D" w:rsidP="0073660D">
      <w:pPr>
        <w:spacing w:line="480" w:lineRule="auto"/>
      </w:pPr>
      <w:r>
        <w:t>[1]</w:t>
      </w:r>
      <w:r>
        <w:tab/>
      </w:r>
      <w:r w:rsidR="00751556">
        <w:t xml:space="preserve">This </w:t>
      </w:r>
      <w:r w:rsidR="00236CBD">
        <w:t xml:space="preserve">is an </w:t>
      </w:r>
      <w:r w:rsidR="007259C2">
        <w:t xml:space="preserve">appeal against the </w:t>
      </w:r>
      <w:r w:rsidR="00236CBD">
        <w:t xml:space="preserve">judgment and order </w:t>
      </w:r>
      <w:r w:rsidR="007259C2">
        <w:t xml:space="preserve">of the High Court dismissing </w:t>
      </w:r>
      <w:r w:rsidR="00236CBD">
        <w:t xml:space="preserve">the appellant’s </w:t>
      </w:r>
      <w:r w:rsidR="007259C2">
        <w:t>application for</w:t>
      </w:r>
      <w:r w:rsidR="00236CBD">
        <w:t xml:space="preserve"> </w:t>
      </w:r>
      <w:r w:rsidR="007259C2">
        <w:t xml:space="preserve">review </w:t>
      </w:r>
      <w:r w:rsidR="00236CBD">
        <w:t xml:space="preserve">of the second respondent’s decision declining to recommend </w:t>
      </w:r>
      <w:r w:rsidR="007259C2">
        <w:t>the appellant</w:t>
      </w:r>
      <w:r w:rsidR="00236CBD">
        <w:t>’s release from a correctional facility on medical grounds</w:t>
      </w:r>
      <w:r w:rsidR="007259C2">
        <w:t xml:space="preserve">. </w:t>
      </w:r>
      <w:r w:rsidR="00747ADF">
        <w:t>Th</w:t>
      </w:r>
      <w:r w:rsidR="007259C2">
        <w:t>e</w:t>
      </w:r>
      <w:r w:rsidR="00543729">
        <w:t xml:space="preserve"> app</w:t>
      </w:r>
      <w:r w:rsidR="00747ADF">
        <w:t>e</w:t>
      </w:r>
      <w:r w:rsidR="00543729">
        <w:t xml:space="preserve">al </w:t>
      </w:r>
      <w:r w:rsidR="007259C2">
        <w:t xml:space="preserve">principally </w:t>
      </w:r>
      <w:r w:rsidR="00543729">
        <w:t xml:space="preserve">concerns the interpretation of s 109 of the Correctional Service Act 9 of 2012 (the Act). </w:t>
      </w:r>
      <w:r w:rsidR="00C87A55">
        <w:t>The</w:t>
      </w:r>
      <w:r w:rsidR="00747ADF">
        <w:t xml:space="preserve"> appellant</w:t>
      </w:r>
      <w:r w:rsidR="00C87A55">
        <w:t xml:space="preserve"> is</w:t>
      </w:r>
      <w:r w:rsidR="00254E69">
        <w:t xml:space="preserve"> </w:t>
      </w:r>
      <w:r w:rsidR="00747ADF">
        <w:t>a</w:t>
      </w:r>
      <w:r w:rsidR="006F70B5">
        <w:t xml:space="preserve"> 6</w:t>
      </w:r>
      <w:r w:rsidR="007479A5">
        <w:t>8</w:t>
      </w:r>
      <w:r w:rsidR="006F70B5">
        <w:t xml:space="preserve"> year old Namibian male</w:t>
      </w:r>
      <w:r w:rsidR="00747ADF">
        <w:t xml:space="preserve"> </w:t>
      </w:r>
      <w:r w:rsidR="00E7381F">
        <w:t xml:space="preserve">offender </w:t>
      </w:r>
      <w:r w:rsidR="00747ADF">
        <w:t xml:space="preserve">incarcerated at </w:t>
      </w:r>
      <w:r w:rsidR="006F70B5">
        <w:t xml:space="preserve">the </w:t>
      </w:r>
      <w:r w:rsidR="00747ADF">
        <w:t>Windhoek Correctional Facility</w:t>
      </w:r>
      <w:r w:rsidR="00254E69">
        <w:t xml:space="preserve"> (the facility).</w:t>
      </w:r>
      <w:r w:rsidR="00AA1816">
        <w:t xml:space="preserve"> Having been convicted of serious crimes including murder and high treason</w:t>
      </w:r>
      <w:r w:rsidR="006F66D6">
        <w:t>,</w:t>
      </w:r>
      <w:r w:rsidR="00AA1816">
        <w:t xml:space="preserve"> he</w:t>
      </w:r>
      <w:r w:rsidR="00165A72">
        <w:t xml:space="preserve"> was sentenced to</w:t>
      </w:r>
      <w:r w:rsidR="00A6623F">
        <w:t xml:space="preserve"> an effective</w:t>
      </w:r>
      <w:r w:rsidR="00165A72">
        <w:t xml:space="preserve"> 18 years imprisonment </w:t>
      </w:r>
      <w:r w:rsidR="00A6623F">
        <w:t xml:space="preserve">on 8 December </w:t>
      </w:r>
      <w:r w:rsidR="00C5320A">
        <w:t>2015</w:t>
      </w:r>
      <w:r w:rsidR="008C46E7">
        <w:t xml:space="preserve"> prior to lodging an</w:t>
      </w:r>
      <w:r w:rsidR="00A6623F">
        <w:t xml:space="preserve"> appeal to this Court, in which appeal an effective 15 years imprisonment was imposed on him on 22 December 2021.</w:t>
      </w:r>
    </w:p>
    <w:p w14:paraId="7C2479DC" w14:textId="77777777" w:rsidR="00AB6D83" w:rsidRDefault="00AB6D83" w:rsidP="009F6186">
      <w:pPr>
        <w:pStyle w:val="ListParagraph"/>
        <w:spacing w:line="480" w:lineRule="auto"/>
        <w:ind w:left="0"/>
      </w:pPr>
    </w:p>
    <w:p w14:paraId="3E126ABC" w14:textId="125AB618" w:rsidR="00E7381F" w:rsidRDefault="0073660D" w:rsidP="0073660D">
      <w:pPr>
        <w:spacing w:line="480" w:lineRule="auto"/>
      </w:pPr>
      <w:r>
        <w:t>[2]</w:t>
      </w:r>
      <w:r>
        <w:tab/>
      </w:r>
      <w:r w:rsidR="00254E69">
        <w:t xml:space="preserve">The first respondent is the Minister responsible for </w:t>
      </w:r>
      <w:r w:rsidR="007479A5">
        <w:t>Correctional Service</w:t>
      </w:r>
      <w:r w:rsidR="006C7666">
        <w:t xml:space="preserve"> </w:t>
      </w:r>
      <w:r w:rsidR="00254E69">
        <w:t xml:space="preserve">(the Minister). The second respondent is a medical </w:t>
      </w:r>
      <w:r w:rsidR="00E56758">
        <w:t xml:space="preserve">practitioner </w:t>
      </w:r>
      <w:r w:rsidR="007C70D9">
        <w:t xml:space="preserve">appointed or assigned as a medical officer </w:t>
      </w:r>
      <w:r w:rsidR="00254E69">
        <w:t>at the facility</w:t>
      </w:r>
      <w:r w:rsidR="00195C35">
        <w:t xml:space="preserve"> (the medical officer)</w:t>
      </w:r>
      <w:r w:rsidR="00254E69">
        <w:t xml:space="preserve">. </w:t>
      </w:r>
      <w:r w:rsidR="00E7381F">
        <w:t>The third respondent is the Commissioner-General of the Namibian Correctional Service</w:t>
      </w:r>
      <w:r w:rsidR="00543729">
        <w:t xml:space="preserve"> (the Commissioner-</w:t>
      </w:r>
      <w:r w:rsidR="00543729">
        <w:lastRenderedPageBreak/>
        <w:t>General)</w:t>
      </w:r>
      <w:r w:rsidR="00E7381F">
        <w:t xml:space="preserve">. </w:t>
      </w:r>
      <w:r w:rsidR="00254E69">
        <w:t>The fourth respondent is the Officer</w:t>
      </w:r>
      <w:r w:rsidR="007479A5">
        <w:t xml:space="preserve"> </w:t>
      </w:r>
      <w:r w:rsidR="00254E69">
        <w:t>in</w:t>
      </w:r>
      <w:r w:rsidR="007479A5">
        <w:t xml:space="preserve"> </w:t>
      </w:r>
      <w:r w:rsidR="00254E69">
        <w:t>charge of the facility</w:t>
      </w:r>
      <w:r w:rsidR="00543729">
        <w:t xml:space="preserve"> (the Officer</w:t>
      </w:r>
      <w:r w:rsidR="007479A5">
        <w:t xml:space="preserve"> </w:t>
      </w:r>
      <w:r w:rsidR="00543729">
        <w:t>in</w:t>
      </w:r>
      <w:r w:rsidR="007479A5">
        <w:t xml:space="preserve"> </w:t>
      </w:r>
      <w:r w:rsidR="00543729">
        <w:t>charge)</w:t>
      </w:r>
      <w:r w:rsidR="00254E69">
        <w:t xml:space="preserve">. </w:t>
      </w:r>
    </w:p>
    <w:p w14:paraId="6E53CF84" w14:textId="77777777" w:rsidR="00496C5E" w:rsidRDefault="00496C5E" w:rsidP="009F6186">
      <w:pPr>
        <w:spacing w:line="480" w:lineRule="auto"/>
        <w:rPr>
          <w:u w:val="single"/>
        </w:rPr>
      </w:pPr>
    </w:p>
    <w:p w14:paraId="2FD1424A" w14:textId="71D0B244" w:rsidR="00715073" w:rsidRPr="00B56710" w:rsidRDefault="00715073" w:rsidP="00B56710">
      <w:pPr>
        <w:pStyle w:val="ListParagraph"/>
        <w:spacing w:line="480" w:lineRule="auto"/>
        <w:ind w:left="0"/>
        <w:rPr>
          <w:u w:val="single"/>
        </w:rPr>
      </w:pPr>
      <w:r w:rsidRPr="00B56710">
        <w:rPr>
          <w:u w:val="single"/>
        </w:rPr>
        <w:t>Background</w:t>
      </w:r>
    </w:p>
    <w:p w14:paraId="4C60C3A3" w14:textId="6BD406C1" w:rsidR="00CD12B9" w:rsidRDefault="0073660D" w:rsidP="0073660D">
      <w:pPr>
        <w:spacing w:line="480" w:lineRule="auto"/>
      </w:pPr>
      <w:r>
        <w:t>[3]</w:t>
      </w:r>
      <w:r>
        <w:tab/>
      </w:r>
      <w:r w:rsidR="00504790">
        <w:t>Before commencing</w:t>
      </w:r>
      <w:r w:rsidR="00CA612D">
        <w:t xml:space="preserve"> the proceedings that </w:t>
      </w:r>
      <w:r w:rsidR="00504790">
        <w:t xml:space="preserve">led to </w:t>
      </w:r>
      <w:r w:rsidR="00CA612D">
        <w:t xml:space="preserve">the </w:t>
      </w:r>
      <w:r w:rsidR="00504790">
        <w:t xml:space="preserve">current </w:t>
      </w:r>
      <w:r w:rsidR="00CA612D">
        <w:t xml:space="preserve">appeal, the appellant had </w:t>
      </w:r>
      <w:r w:rsidR="00504790">
        <w:t>initiated a separate</w:t>
      </w:r>
      <w:r w:rsidR="00CA612D">
        <w:t xml:space="preserve"> application in which </w:t>
      </w:r>
      <w:r w:rsidR="00CA612D" w:rsidRPr="00AB6D83">
        <w:t>al</w:t>
      </w:r>
      <w:r w:rsidR="00CA612D">
        <w:t xml:space="preserve">l the respondents were cited as parties. </w:t>
      </w:r>
      <w:r w:rsidR="00C5320A">
        <w:t>In that application, t</w:t>
      </w:r>
      <w:r w:rsidR="00CA612D">
        <w:t>h</w:t>
      </w:r>
      <w:r w:rsidR="00447DC2">
        <w:t>e</w:t>
      </w:r>
      <w:r w:rsidR="00CA612D">
        <w:t xml:space="preserve"> </w:t>
      </w:r>
      <w:r w:rsidR="00C5320A">
        <w:t xml:space="preserve">appellant </w:t>
      </w:r>
      <w:r w:rsidR="00CA612D">
        <w:t>sought a declarato</w:t>
      </w:r>
      <w:r w:rsidR="00AB6D83">
        <w:t>r</w:t>
      </w:r>
      <w:r w:rsidR="00CA612D">
        <w:t xml:space="preserve"> that reg</w:t>
      </w:r>
      <w:r w:rsidR="00504790">
        <w:t xml:space="preserve"> </w:t>
      </w:r>
      <w:r w:rsidR="006A7307">
        <w:t>274 of the Namibian Correction</w:t>
      </w:r>
      <w:r w:rsidR="00236CBD">
        <w:t>al</w:t>
      </w:r>
      <w:r w:rsidR="006A7307">
        <w:t xml:space="preserve"> Service Regulations </w:t>
      </w:r>
      <w:r w:rsidR="00CA612D" w:rsidRPr="001E5CAB">
        <w:t>made in terms of</w:t>
      </w:r>
      <w:r w:rsidR="00CA612D">
        <w:t xml:space="preserve"> s 132 of the Act was ultra vires s 109 of the Act. </w:t>
      </w:r>
    </w:p>
    <w:p w14:paraId="674E498A" w14:textId="77777777" w:rsidR="00AB6D83" w:rsidRDefault="00AB6D83" w:rsidP="009F6186">
      <w:pPr>
        <w:pStyle w:val="ListParagraph"/>
        <w:spacing w:line="480" w:lineRule="auto"/>
        <w:ind w:left="0"/>
      </w:pPr>
    </w:p>
    <w:p w14:paraId="675596C3" w14:textId="2B77CD17" w:rsidR="00CD12B9" w:rsidRDefault="0073660D" w:rsidP="0073660D">
      <w:pPr>
        <w:spacing w:line="480" w:lineRule="auto"/>
      </w:pPr>
      <w:r>
        <w:t>[4]</w:t>
      </w:r>
      <w:r>
        <w:tab/>
      </w:r>
      <w:r w:rsidR="007E7327">
        <w:t>Paraphr</w:t>
      </w:r>
      <w:r w:rsidR="00C2614A">
        <w:t>a</w:t>
      </w:r>
      <w:r w:rsidR="007E7327">
        <w:t>sed</w:t>
      </w:r>
      <w:r w:rsidR="00C2614A">
        <w:t>, t</w:t>
      </w:r>
      <w:r w:rsidR="00C5320A">
        <w:t xml:space="preserve">he </w:t>
      </w:r>
      <w:r w:rsidR="00C2614A">
        <w:t xml:space="preserve">elaborate </w:t>
      </w:r>
      <w:r w:rsidR="00C5320A">
        <w:t xml:space="preserve">regulation </w:t>
      </w:r>
      <w:r w:rsidR="00C86D0B">
        <w:t xml:space="preserve">provided </w:t>
      </w:r>
      <w:r w:rsidR="007E7327">
        <w:t>t</w:t>
      </w:r>
      <w:r w:rsidR="00C86D0B">
        <w:t xml:space="preserve">hat </w:t>
      </w:r>
      <w:r w:rsidR="006A7307">
        <w:t xml:space="preserve">an offender </w:t>
      </w:r>
      <w:r w:rsidR="00C86D0B">
        <w:t xml:space="preserve">may be recommended for release on medical grounds </w:t>
      </w:r>
      <w:r w:rsidR="00841D2E">
        <w:t>–</w:t>
      </w:r>
      <w:r w:rsidR="00CD12B9">
        <w:t xml:space="preserve"> </w:t>
      </w:r>
      <w:r w:rsidR="00C86D0B">
        <w:t xml:space="preserve">if he </w:t>
      </w:r>
      <w:r w:rsidR="007E7327">
        <w:t xml:space="preserve">or she </w:t>
      </w:r>
      <w:r w:rsidR="00CD12B9">
        <w:t>wa</w:t>
      </w:r>
      <w:r w:rsidR="00C86D0B">
        <w:t xml:space="preserve">s suffering from a dangerous disease </w:t>
      </w:r>
      <w:r w:rsidR="00C2614A">
        <w:t xml:space="preserve">in respect </w:t>
      </w:r>
      <w:r w:rsidR="00C86D0B">
        <w:t>o</w:t>
      </w:r>
      <w:r w:rsidR="00C2614A">
        <w:t>f</w:t>
      </w:r>
      <w:r w:rsidR="00C86D0B">
        <w:t xml:space="preserve"> which the medical officer </w:t>
      </w:r>
      <w:r w:rsidR="00C2614A">
        <w:t>ha</w:t>
      </w:r>
      <w:r w:rsidR="00CD12B9">
        <w:t>d</w:t>
      </w:r>
      <w:r w:rsidR="00C2614A">
        <w:t xml:space="preserve"> </w:t>
      </w:r>
      <w:r w:rsidR="00C86D0B">
        <w:t>certifie</w:t>
      </w:r>
      <w:r w:rsidR="00C2614A">
        <w:t>d</w:t>
      </w:r>
      <w:r w:rsidR="00C86D0B">
        <w:t xml:space="preserve"> that </w:t>
      </w:r>
      <w:r w:rsidR="00C2614A">
        <w:t xml:space="preserve">the disease </w:t>
      </w:r>
      <w:r w:rsidR="00C86D0B">
        <w:t>w</w:t>
      </w:r>
      <w:r w:rsidR="00F00D3E">
        <w:t xml:space="preserve">ould </w:t>
      </w:r>
      <w:r w:rsidR="00C86D0B">
        <w:t>lead to the offender’s death</w:t>
      </w:r>
      <w:r w:rsidR="00C2614A">
        <w:t xml:space="preserve"> if he o</w:t>
      </w:r>
      <w:r w:rsidR="00CD12B9">
        <w:t xml:space="preserve">r she </w:t>
      </w:r>
      <w:r w:rsidR="00F00D3E">
        <w:t>wa</w:t>
      </w:r>
      <w:r w:rsidR="00C2614A">
        <w:t xml:space="preserve">s not immediately released, or if the offender </w:t>
      </w:r>
      <w:r w:rsidR="00CD12B9">
        <w:t>wa</w:t>
      </w:r>
      <w:r w:rsidR="00C2614A">
        <w:t xml:space="preserve">s suffering from an infectious or contagious disease for which the medical officer had certified that the spread </w:t>
      </w:r>
      <w:r w:rsidR="00CD12B9">
        <w:t>there</w:t>
      </w:r>
      <w:r w:rsidR="00C2614A">
        <w:t xml:space="preserve">of could not be prevented in any way </w:t>
      </w:r>
      <w:r w:rsidR="00F00D3E">
        <w:t xml:space="preserve">other </w:t>
      </w:r>
      <w:r w:rsidR="00C2614A">
        <w:t xml:space="preserve">than </w:t>
      </w:r>
      <w:r w:rsidR="00F00D3E">
        <w:t xml:space="preserve">the offender’s </w:t>
      </w:r>
      <w:r w:rsidR="00C2614A">
        <w:t xml:space="preserve">release, or </w:t>
      </w:r>
      <w:r w:rsidR="00CD12B9">
        <w:t>if</w:t>
      </w:r>
      <w:r w:rsidR="00C2614A">
        <w:t xml:space="preserve"> the offender was certified by the medical officer to </w:t>
      </w:r>
      <w:r w:rsidR="00CD12B9">
        <w:t xml:space="preserve">have </w:t>
      </w:r>
      <w:r w:rsidR="00C2614A">
        <w:t>be</w:t>
      </w:r>
      <w:r w:rsidR="00CD12B9">
        <w:t>en</w:t>
      </w:r>
      <w:r w:rsidR="00C2614A">
        <w:t xml:space="preserve"> ‘totally blind or crippled to such an extent that his or her continued incarceration is detrimental to his or </w:t>
      </w:r>
      <w:r w:rsidR="00841D2E">
        <w:t xml:space="preserve">her </w:t>
      </w:r>
      <w:r w:rsidR="00C2614A">
        <w:t>health</w:t>
      </w:r>
      <w:r w:rsidR="00841D2E">
        <w:t>’</w:t>
      </w:r>
      <w:r w:rsidR="00C2614A">
        <w:t>.</w:t>
      </w:r>
      <w:r w:rsidR="00C86D0B">
        <w:t xml:space="preserve"> </w:t>
      </w:r>
    </w:p>
    <w:p w14:paraId="5213C39E" w14:textId="77777777" w:rsidR="00AB6D83" w:rsidRDefault="00AB6D83" w:rsidP="009F6186">
      <w:pPr>
        <w:pStyle w:val="ListParagraph"/>
        <w:spacing w:line="480" w:lineRule="auto"/>
        <w:ind w:left="0"/>
      </w:pPr>
    </w:p>
    <w:p w14:paraId="584B5916" w14:textId="46C18802" w:rsidR="00CA612D" w:rsidRDefault="0073660D" w:rsidP="0073660D">
      <w:pPr>
        <w:spacing w:line="480" w:lineRule="auto"/>
      </w:pPr>
      <w:r>
        <w:t>[5]</w:t>
      </w:r>
      <w:r>
        <w:tab/>
      </w:r>
      <w:r w:rsidR="007E7327">
        <w:t xml:space="preserve">The application was decided in the appellant’s favour on 14 November 2022. </w:t>
      </w:r>
      <w:r w:rsidR="00C86D0B">
        <w:t xml:space="preserve">The </w:t>
      </w:r>
      <w:r w:rsidR="00CD12B9">
        <w:t xml:space="preserve">differently constituted </w:t>
      </w:r>
      <w:r w:rsidR="00C86D0B">
        <w:t xml:space="preserve">court held that </w:t>
      </w:r>
      <w:r w:rsidR="006A7307">
        <w:t>t</w:t>
      </w:r>
      <w:r w:rsidR="00C86D0B">
        <w:t xml:space="preserve">he regulation was ultra vires s 109 read </w:t>
      </w:r>
      <w:r w:rsidR="00C86D0B">
        <w:lastRenderedPageBreak/>
        <w:t>with s 132 of the Act.</w:t>
      </w:r>
      <w:r w:rsidR="00AB6D83">
        <w:rPr>
          <w:rStyle w:val="FootnoteReference"/>
        </w:rPr>
        <w:footnoteReference w:id="1"/>
      </w:r>
      <w:r w:rsidR="00C86D0B">
        <w:t xml:space="preserve"> </w:t>
      </w:r>
      <w:r w:rsidR="00CD12B9">
        <w:t>A</w:t>
      </w:r>
      <w:r w:rsidR="00EB2DF5">
        <w:t>dditional to the order declaring the regulation ultra vires</w:t>
      </w:r>
      <w:r w:rsidR="00CD12B9">
        <w:t>, the court made the following three consequential orders</w:t>
      </w:r>
      <w:r w:rsidR="00CA612D">
        <w:t xml:space="preserve">. </w:t>
      </w:r>
    </w:p>
    <w:p w14:paraId="63D5F001" w14:textId="77777777" w:rsidR="00AB6D83" w:rsidRDefault="00AB6D83" w:rsidP="009F6186">
      <w:pPr>
        <w:pStyle w:val="ListParagraph"/>
        <w:spacing w:line="480" w:lineRule="auto"/>
        <w:ind w:left="0"/>
      </w:pPr>
    </w:p>
    <w:p w14:paraId="5DA5761C" w14:textId="22A57E13" w:rsidR="00CA612D" w:rsidRDefault="0073660D" w:rsidP="0073660D">
      <w:pPr>
        <w:spacing w:line="480" w:lineRule="auto"/>
      </w:pPr>
      <w:r>
        <w:t>[6]</w:t>
      </w:r>
      <w:r>
        <w:tab/>
      </w:r>
      <w:r w:rsidR="00CA612D">
        <w:t>First, the medical officer was ordered to determine within 15 days from the date of the order whether or not the appellant was afflicted by a dangerous disease, ‘or whether or not [his] continued incarceration is detrimental to [his] health on the ground of his physical condition in terms of s 109 of the Correctional Service Act 9 of 2012</w:t>
      </w:r>
      <w:r w:rsidR="0022497B">
        <w:t>’</w:t>
      </w:r>
      <w:r w:rsidR="00CA612D">
        <w:t xml:space="preserve">. </w:t>
      </w:r>
    </w:p>
    <w:p w14:paraId="2B004754" w14:textId="77777777" w:rsidR="00AB6D83" w:rsidRDefault="00AB6D83" w:rsidP="009F6186">
      <w:pPr>
        <w:pStyle w:val="ListParagraph"/>
        <w:spacing w:line="480" w:lineRule="auto"/>
        <w:ind w:left="0"/>
      </w:pPr>
    </w:p>
    <w:p w14:paraId="2FB0F733" w14:textId="01A8609D" w:rsidR="00CA612D" w:rsidRDefault="0073660D" w:rsidP="0073660D">
      <w:pPr>
        <w:spacing w:line="480" w:lineRule="auto"/>
      </w:pPr>
      <w:r>
        <w:t>[7]</w:t>
      </w:r>
      <w:r>
        <w:tab/>
      </w:r>
      <w:r w:rsidR="00CA612D">
        <w:t xml:space="preserve">Secondly, in the event that the medical officer had determined that one or more of the diseases the appellant was suffering from was a dangerous disease, ‘or that [his] continued incarceration [was] detrimental to his health on the ground of his physical condition . . .’, then the medical officer was ordered to make a recommendation to the Minister within 20 days of the order. </w:t>
      </w:r>
    </w:p>
    <w:p w14:paraId="28EE9700" w14:textId="77777777" w:rsidR="00AB6D83" w:rsidRDefault="00AB6D83" w:rsidP="009F6186">
      <w:pPr>
        <w:pStyle w:val="ListParagraph"/>
        <w:spacing w:line="480" w:lineRule="auto"/>
        <w:ind w:left="0"/>
      </w:pPr>
    </w:p>
    <w:p w14:paraId="599684D4" w14:textId="6317181B" w:rsidR="00447DC2" w:rsidRDefault="0073660D" w:rsidP="0073660D">
      <w:pPr>
        <w:spacing w:line="480" w:lineRule="auto"/>
      </w:pPr>
      <w:r>
        <w:t>[8]</w:t>
      </w:r>
      <w:r>
        <w:tab/>
      </w:r>
      <w:r w:rsidR="00CA612D">
        <w:t xml:space="preserve">Lastly, if the medical officer declined to make a recommendation to the Minister, he was directed to so inform the appellant and provide reasons therefor within 15 days of the order.  </w:t>
      </w:r>
    </w:p>
    <w:p w14:paraId="48D4CE2A" w14:textId="77777777" w:rsidR="00AB6D83" w:rsidRDefault="00AB6D83" w:rsidP="009F6186">
      <w:pPr>
        <w:pStyle w:val="ListParagraph"/>
        <w:spacing w:line="480" w:lineRule="auto"/>
        <w:ind w:left="0"/>
      </w:pPr>
    </w:p>
    <w:p w14:paraId="2591753D" w14:textId="448EEB16" w:rsidR="00CA612D" w:rsidRDefault="0073660D" w:rsidP="0073660D">
      <w:pPr>
        <w:spacing w:line="480" w:lineRule="auto"/>
      </w:pPr>
      <w:r>
        <w:t>[9]</w:t>
      </w:r>
      <w:r>
        <w:tab/>
      </w:r>
      <w:r w:rsidR="00CA612D">
        <w:t xml:space="preserve">The </w:t>
      </w:r>
      <w:r w:rsidR="00AB6D83">
        <w:t>judgment and order of 14 November 2022 has not been appealed</w:t>
      </w:r>
      <w:r w:rsidR="00C1435C">
        <w:t xml:space="preserve"> against</w:t>
      </w:r>
      <w:r w:rsidR="00CA612D">
        <w:t>. The appellant alleged that the respondents did not comply with th</w:t>
      </w:r>
      <w:r w:rsidR="00AB6D83">
        <w:t>at</w:t>
      </w:r>
      <w:r w:rsidR="00CA612D">
        <w:t xml:space="preserve"> order, hence the institution of the proceedings that ultimately </w:t>
      </w:r>
      <w:r w:rsidR="00F00D3E">
        <w:t xml:space="preserve">culminated in </w:t>
      </w:r>
      <w:r w:rsidR="00CA612D">
        <w:t xml:space="preserve">the </w:t>
      </w:r>
      <w:r w:rsidR="00447DC2">
        <w:t>instant</w:t>
      </w:r>
      <w:r w:rsidR="00CA612D">
        <w:t xml:space="preserve"> appeal.  </w:t>
      </w:r>
    </w:p>
    <w:p w14:paraId="4777CB31" w14:textId="77777777" w:rsidR="00AB6D83" w:rsidRDefault="00AB6D83" w:rsidP="009F6186">
      <w:pPr>
        <w:pStyle w:val="ListParagraph"/>
        <w:spacing w:line="480" w:lineRule="auto"/>
        <w:ind w:left="0"/>
      </w:pPr>
    </w:p>
    <w:p w14:paraId="3A855974" w14:textId="7F4BE4BC" w:rsidR="0042575E" w:rsidRDefault="0073660D" w:rsidP="0073660D">
      <w:pPr>
        <w:spacing w:line="480" w:lineRule="auto"/>
      </w:pPr>
      <w:r>
        <w:t>[10]</w:t>
      </w:r>
      <w:r>
        <w:tab/>
      </w:r>
      <w:r w:rsidR="00CA612D">
        <w:t>In the proceedings g</w:t>
      </w:r>
      <w:r w:rsidR="00447DC2">
        <w:t>i</w:t>
      </w:r>
      <w:r w:rsidR="00CA612D">
        <w:t>v</w:t>
      </w:r>
      <w:r w:rsidR="00447DC2">
        <w:t>ing</w:t>
      </w:r>
      <w:r w:rsidR="00CA612D">
        <w:t xml:space="preserve"> rise to the appeal, t</w:t>
      </w:r>
      <w:r w:rsidR="00122597">
        <w:t xml:space="preserve">he appellant </w:t>
      </w:r>
      <w:r w:rsidR="00770468">
        <w:t xml:space="preserve">brought </w:t>
      </w:r>
      <w:r w:rsidR="004E6C69">
        <w:t>a</w:t>
      </w:r>
      <w:r w:rsidR="00254E69">
        <w:t xml:space="preserve"> </w:t>
      </w:r>
      <w:r w:rsidR="00122597">
        <w:t xml:space="preserve">two-pronged </w:t>
      </w:r>
      <w:r w:rsidR="00747ADF">
        <w:t xml:space="preserve">application </w:t>
      </w:r>
      <w:r w:rsidR="004E6C69">
        <w:t xml:space="preserve">on notice of motion </w:t>
      </w:r>
      <w:r w:rsidR="00747ADF">
        <w:t>in th</w:t>
      </w:r>
      <w:r w:rsidR="00496C5E">
        <w:t>e High Court</w:t>
      </w:r>
      <w:r w:rsidR="00E7381F">
        <w:t xml:space="preserve">. </w:t>
      </w:r>
      <w:r w:rsidR="00254E69">
        <w:t>I</w:t>
      </w:r>
      <w:r w:rsidR="004E6C69">
        <w:t xml:space="preserve">n Part A, </w:t>
      </w:r>
      <w:r w:rsidR="00E7381F">
        <w:t xml:space="preserve">he sought </w:t>
      </w:r>
      <w:r w:rsidR="00AA55D8">
        <w:t xml:space="preserve">an </w:t>
      </w:r>
      <w:r w:rsidR="00543729">
        <w:t xml:space="preserve">interim </w:t>
      </w:r>
      <w:r w:rsidR="00AA55D8">
        <w:t>mandatory</w:t>
      </w:r>
      <w:r w:rsidR="00496C5E">
        <w:t xml:space="preserve"> interdict</w:t>
      </w:r>
      <w:r w:rsidR="00AA55D8">
        <w:t xml:space="preserve">, </w:t>
      </w:r>
      <w:r w:rsidR="00496C5E" w:rsidRPr="001E5CAB">
        <w:t>on an urgent basis</w:t>
      </w:r>
      <w:r w:rsidR="006C7666">
        <w:t>,</w:t>
      </w:r>
      <w:r w:rsidR="00496C5E">
        <w:t xml:space="preserve"> </w:t>
      </w:r>
      <w:r w:rsidR="00195C35">
        <w:t>pending the determination of Part B</w:t>
      </w:r>
      <w:r w:rsidR="00E7381F">
        <w:t xml:space="preserve"> of the application</w:t>
      </w:r>
      <w:r w:rsidR="00195C35">
        <w:t xml:space="preserve">, </w:t>
      </w:r>
      <w:r w:rsidR="00C87A55">
        <w:t xml:space="preserve">directing </w:t>
      </w:r>
      <w:r w:rsidR="004E6C69">
        <w:t>the Minister to</w:t>
      </w:r>
      <w:r w:rsidR="00543729">
        <w:t xml:space="preserve"> </w:t>
      </w:r>
      <w:r w:rsidR="004E6C69">
        <w:t xml:space="preserve">authorise the appellant’s release from the correctional facility on </w:t>
      </w:r>
      <w:r w:rsidR="00254E69" w:rsidRPr="00F86447">
        <w:t xml:space="preserve">the </w:t>
      </w:r>
      <w:r w:rsidR="006C7666">
        <w:t xml:space="preserve">ground </w:t>
      </w:r>
      <w:r w:rsidR="004E6C69" w:rsidRPr="00F86447">
        <w:t xml:space="preserve">that the appellant was suffering from </w:t>
      </w:r>
      <w:r w:rsidR="00BC75F8" w:rsidRPr="00F86447">
        <w:t xml:space="preserve">a </w:t>
      </w:r>
      <w:r w:rsidR="004E6C69" w:rsidRPr="00F86447">
        <w:t>dangerous disease</w:t>
      </w:r>
      <w:r w:rsidR="00BC75F8">
        <w:t xml:space="preserve"> as contemplated in </w:t>
      </w:r>
      <w:r w:rsidR="00C87A55">
        <w:t xml:space="preserve">s 109 of </w:t>
      </w:r>
      <w:r w:rsidR="00BC75F8">
        <w:t>the Act</w:t>
      </w:r>
      <w:r w:rsidR="002B01A9">
        <w:t xml:space="preserve"> and as diagnosed by the medical officer</w:t>
      </w:r>
      <w:r w:rsidR="00227338">
        <w:t>.</w:t>
      </w:r>
      <w:r w:rsidR="00254E69">
        <w:t xml:space="preserve"> </w:t>
      </w:r>
    </w:p>
    <w:p w14:paraId="438C59A2" w14:textId="77777777" w:rsidR="00AB6D83" w:rsidRDefault="00AB6D83" w:rsidP="009F6186">
      <w:pPr>
        <w:pStyle w:val="ListParagraph"/>
        <w:spacing w:line="480" w:lineRule="auto"/>
        <w:ind w:left="0"/>
      </w:pPr>
    </w:p>
    <w:p w14:paraId="11256476" w14:textId="18CB85A1" w:rsidR="00BD3CA2" w:rsidRDefault="0073660D" w:rsidP="0073660D">
      <w:pPr>
        <w:spacing w:line="480" w:lineRule="auto"/>
      </w:pPr>
      <w:r>
        <w:t>[11]</w:t>
      </w:r>
      <w:r>
        <w:tab/>
      </w:r>
      <w:r w:rsidR="004E6C69">
        <w:t xml:space="preserve">In Part B, the appellant </w:t>
      </w:r>
      <w:r w:rsidR="00D9606F">
        <w:t>sought t</w:t>
      </w:r>
      <w:r w:rsidR="00BC75F8">
        <w:t xml:space="preserve">o </w:t>
      </w:r>
      <w:r w:rsidR="00D9606F">
        <w:t xml:space="preserve">review and set aside the </w:t>
      </w:r>
      <w:r w:rsidR="006C7666">
        <w:t>M</w:t>
      </w:r>
      <w:r w:rsidR="002B01A9">
        <w:t>inister</w:t>
      </w:r>
      <w:r w:rsidR="00841243">
        <w:t xml:space="preserve">’s </w:t>
      </w:r>
      <w:r w:rsidR="00D9606F">
        <w:t xml:space="preserve">decision </w:t>
      </w:r>
      <w:r w:rsidR="002B01A9">
        <w:t xml:space="preserve">refusing </w:t>
      </w:r>
      <w:r w:rsidR="00262768">
        <w:t xml:space="preserve">– as perceived by the appellant – </w:t>
      </w:r>
      <w:r w:rsidR="002B01A9">
        <w:t>and/or failing to release the appellant on medical grounds as allegedly recommended by the medical officer.</w:t>
      </w:r>
      <w:r w:rsidR="001E5CAB">
        <w:t xml:space="preserve"> </w:t>
      </w:r>
      <w:r w:rsidR="0042575E">
        <w:t xml:space="preserve">As an alternative relief in Part B, the appellant sought, amongst others, orders </w:t>
      </w:r>
      <w:r w:rsidR="002B01A9">
        <w:t xml:space="preserve">holding </w:t>
      </w:r>
      <w:r w:rsidR="0042575E">
        <w:t xml:space="preserve">the medical officer </w:t>
      </w:r>
      <w:r w:rsidR="006F70B5">
        <w:t xml:space="preserve">in </w:t>
      </w:r>
      <w:r w:rsidR="0042575E">
        <w:t>contempt of court and directing him to recommend to the Minister the appellant’s release</w:t>
      </w:r>
      <w:r w:rsidR="006F70B5">
        <w:t xml:space="preserve"> as well as to give reasons why he did not recommend the appellant’s release should he have declined to make such </w:t>
      </w:r>
      <w:r w:rsidR="006C7666">
        <w:t xml:space="preserve">a </w:t>
      </w:r>
      <w:r w:rsidR="006F70B5">
        <w:t>recommendation</w:t>
      </w:r>
      <w:r w:rsidR="0042575E">
        <w:t xml:space="preserve">. </w:t>
      </w:r>
    </w:p>
    <w:p w14:paraId="085098B8" w14:textId="77777777" w:rsidR="00AB6D83" w:rsidRDefault="00AB6D83" w:rsidP="009F6186">
      <w:pPr>
        <w:pStyle w:val="ListParagraph"/>
        <w:spacing w:line="480" w:lineRule="auto"/>
        <w:ind w:left="0"/>
      </w:pPr>
    </w:p>
    <w:p w14:paraId="2145B8A2" w14:textId="18203130" w:rsidR="00F86447" w:rsidRDefault="0073660D" w:rsidP="0073660D">
      <w:pPr>
        <w:spacing w:line="480" w:lineRule="auto"/>
      </w:pPr>
      <w:r>
        <w:t>[12]</w:t>
      </w:r>
      <w:r>
        <w:tab/>
      </w:r>
      <w:r w:rsidR="0042575E">
        <w:t xml:space="preserve">This prayer was predicated upon the appellant’s understanding that the medical officer was bound, without more, to recommend the appellant’s release once he had </w:t>
      </w:r>
      <w:r w:rsidR="00447DC2">
        <w:t xml:space="preserve">determined </w:t>
      </w:r>
      <w:r w:rsidR="0042575E">
        <w:t xml:space="preserve">that the appellant </w:t>
      </w:r>
      <w:r w:rsidR="0061339F">
        <w:t xml:space="preserve">was </w:t>
      </w:r>
      <w:r w:rsidR="0042575E">
        <w:t>suffer</w:t>
      </w:r>
      <w:r w:rsidR="0061339F">
        <w:t>ing</w:t>
      </w:r>
      <w:r w:rsidR="0042575E">
        <w:t xml:space="preserve"> from a dangerous disease. The </w:t>
      </w:r>
      <w:r w:rsidR="001F4BE3">
        <w:t xml:space="preserve">alleged </w:t>
      </w:r>
      <w:r w:rsidR="0042575E">
        <w:t xml:space="preserve">failure to </w:t>
      </w:r>
      <w:r w:rsidR="00504790">
        <w:t>provide a</w:t>
      </w:r>
      <w:r w:rsidR="0042575E">
        <w:t xml:space="preserve"> recommendation </w:t>
      </w:r>
      <w:r w:rsidR="00504790">
        <w:t>served as</w:t>
      </w:r>
      <w:r w:rsidR="0042575E">
        <w:t xml:space="preserve"> the basis for the </w:t>
      </w:r>
      <w:r w:rsidR="0042575E" w:rsidRPr="00656A47">
        <w:t>prayer</w:t>
      </w:r>
      <w:r w:rsidR="0042575E">
        <w:t xml:space="preserve"> for contempt of court.</w:t>
      </w:r>
      <w:r w:rsidR="00032972">
        <w:t xml:space="preserve"> </w:t>
      </w:r>
      <w:r w:rsidR="00B14858">
        <w:t xml:space="preserve"> </w:t>
      </w:r>
    </w:p>
    <w:p w14:paraId="61507076" w14:textId="77777777" w:rsidR="00AB6D83" w:rsidRDefault="00AB6D83" w:rsidP="009F6186">
      <w:pPr>
        <w:pStyle w:val="ListParagraph"/>
        <w:spacing w:line="480" w:lineRule="auto"/>
        <w:ind w:left="0"/>
      </w:pPr>
    </w:p>
    <w:p w14:paraId="5ADC6BAE" w14:textId="3953B02D" w:rsidR="00AB6D83" w:rsidRDefault="0073660D" w:rsidP="0073660D">
      <w:pPr>
        <w:spacing w:line="480" w:lineRule="auto"/>
      </w:pPr>
      <w:r>
        <w:t>[13]</w:t>
      </w:r>
      <w:r>
        <w:tab/>
      </w:r>
      <w:r w:rsidR="00656A47">
        <w:t xml:space="preserve">Part A of the </w:t>
      </w:r>
      <w:r w:rsidR="00713BD7">
        <w:t>appellant</w:t>
      </w:r>
      <w:r w:rsidR="002558F1">
        <w:t>’s</w:t>
      </w:r>
      <w:r w:rsidR="00713BD7">
        <w:t xml:space="preserve"> </w:t>
      </w:r>
      <w:r w:rsidR="00656A47">
        <w:t>application</w:t>
      </w:r>
      <w:r w:rsidR="00713BD7">
        <w:t xml:space="preserve"> was dismissed</w:t>
      </w:r>
      <w:r w:rsidR="00656A47">
        <w:t>.</w:t>
      </w:r>
      <w:r w:rsidR="00713BD7">
        <w:t xml:space="preserve"> The court held that </w:t>
      </w:r>
      <w:r w:rsidR="007E2894">
        <w:t>the Minister may authorise the release of an offender in terms of s 109</w:t>
      </w:r>
      <w:r w:rsidR="00456EF0">
        <w:t xml:space="preserve"> </w:t>
      </w:r>
      <w:r w:rsidR="007E2894">
        <w:t xml:space="preserve">only on the recommendation </w:t>
      </w:r>
      <w:r w:rsidR="00324153">
        <w:t xml:space="preserve">by </w:t>
      </w:r>
      <w:r w:rsidR="00447DC2">
        <w:t xml:space="preserve">a </w:t>
      </w:r>
      <w:r w:rsidR="007E2894">
        <w:t>medical officer</w:t>
      </w:r>
      <w:r w:rsidR="00456EF0">
        <w:t>.</w:t>
      </w:r>
      <w:r w:rsidR="007E2894">
        <w:t xml:space="preserve"> </w:t>
      </w:r>
      <w:r w:rsidR="002558F1">
        <w:t>The court noted that i</w:t>
      </w:r>
      <w:r w:rsidR="00324153">
        <w:t xml:space="preserve">t was common cause </w:t>
      </w:r>
      <w:r w:rsidR="002558F1">
        <w:lastRenderedPageBreak/>
        <w:t xml:space="preserve">between the parties </w:t>
      </w:r>
      <w:r w:rsidR="00324153">
        <w:t xml:space="preserve">that </w:t>
      </w:r>
      <w:r w:rsidR="002558F1">
        <w:t>t</w:t>
      </w:r>
      <w:r w:rsidR="00324153">
        <w:t xml:space="preserve">he </w:t>
      </w:r>
      <w:r w:rsidR="002558F1">
        <w:t xml:space="preserve">medical officer </w:t>
      </w:r>
      <w:r w:rsidR="00324153">
        <w:t xml:space="preserve">had not </w:t>
      </w:r>
      <w:r w:rsidR="002558F1">
        <w:t xml:space="preserve">made a recommendation to the Minister for the appellant’s release. </w:t>
      </w:r>
    </w:p>
    <w:p w14:paraId="551BD6D7" w14:textId="77777777" w:rsidR="00AB6D83" w:rsidRDefault="00AB6D83" w:rsidP="00B56710">
      <w:pPr>
        <w:pStyle w:val="ListParagraph"/>
        <w:spacing w:line="480" w:lineRule="auto"/>
        <w:ind w:left="0"/>
      </w:pPr>
    </w:p>
    <w:p w14:paraId="697CFD0E" w14:textId="52033A99" w:rsidR="00FA614A" w:rsidRDefault="0073660D" w:rsidP="0073660D">
      <w:pPr>
        <w:spacing w:line="480" w:lineRule="auto"/>
      </w:pPr>
      <w:r>
        <w:t>[14]</w:t>
      </w:r>
      <w:r>
        <w:tab/>
      </w:r>
      <w:r w:rsidR="00BD3CA2">
        <w:t>It held further that t</w:t>
      </w:r>
      <w:r w:rsidR="007E2894">
        <w:t>he grant</w:t>
      </w:r>
      <w:r w:rsidR="00BD3CA2">
        <w:t>ing</w:t>
      </w:r>
      <w:r w:rsidR="007E2894">
        <w:t xml:space="preserve"> of a mandatory interim order in circumstances where there </w:t>
      </w:r>
      <w:r w:rsidR="00324153">
        <w:t xml:space="preserve">had </w:t>
      </w:r>
      <w:r w:rsidR="001F35A8">
        <w:t xml:space="preserve">not </w:t>
      </w:r>
      <w:r w:rsidR="00324153">
        <w:t xml:space="preserve">been </w:t>
      </w:r>
      <w:r w:rsidR="001F35A8">
        <w:t xml:space="preserve">a </w:t>
      </w:r>
      <w:r w:rsidR="007E2894">
        <w:t xml:space="preserve">recommendation would have </w:t>
      </w:r>
      <w:r w:rsidR="00BD3CA2">
        <w:t xml:space="preserve">had </w:t>
      </w:r>
      <w:r w:rsidR="007E2894">
        <w:t xml:space="preserve">the effect of compelling the Minister to act without the requisite </w:t>
      </w:r>
      <w:r w:rsidR="00324153">
        <w:t>authority</w:t>
      </w:r>
      <w:r w:rsidR="002558F1">
        <w:t xml:space="preserve"> in terms of the Act</w:t>
      </w:r>
      <w:r w:rsidR="00324153">
        <w:t>, which ordinarily would make such a decision</w:t>
      </w:r>
      <w:r w:rsidR="007E2894">
        <w:t xml:space="preserve"> a nullity in accordance with the principles set out in </w:t>
      </w:r>
      <w:r w:rsidR="007E2894" w:rsidRPr="0073660D">
        <w:rPr>
          <w:i/>
        </w:rPr>
        <w:t>Sikunda</w:t>
      </w:r>
      <w:r w:rsidR="00504790" w:rsidRPr="0073660D">
        <w:rPr>
          <w:i/>
        </w:rPr>
        <w:t>.</w:t>
      </w:r>
      <w:r w:rsidR="007E2894">
        <w:rPr>
          <w:rStyle w:val="FootnoteReference"/>
        </w:rPr>
        <w:footnoteReference w:id="2"/>
      </w:r>
      <w:r w:rsidR="007E2894">
        <w:t xml:space="preserve"> </w:t>
      </w:r>
      <w:r w:rsidR="00324153">
        <w:t>The appellant has not appeal</w:t>
      </w:r>
      <w:r w:rsidR="00BD3CA2">
        <w:t>ed</w:t>
      </w:r>
      <w:r w:rsidR="00324153">
        <w:t xml:space="preserve"> against this judgment or order.</w:t>
      </w:r>
      <w:r w:rsidR="00FA614A">
        <w:t xml:space="preserve"> </w:t>
      </w:r>
      <w:r w:rsidR="00BD3CA2">
        <w:t xml:space="preserve">On the contrary, </w:t>
      </w:r>
      <w:r w:rsidR="00504790">
        <w:t>it was</w:t>
      </w:r>
      <w:r w:rsidR="002558F1">
        <w:t xml:space="preserve"> </w:t>
      </w:r>
      <w:r w:rsidR="0061339F">
        <w:t xml:space="preserve">positively </w:t>
      </w:r>
      <w:r w:rsidR="00BD3CA2">
        <w:t xml:space="preserve">asserted in the heads of argument </w:t>
      </w:r>
      <w:r w:rsidR="002558F1">
        <w:t xml:space="preserve">that the decision was accepted without </w:t>
      </w:r>
      <w:r w:rsidR="00447DC2">
        <w:t>demur</w:t>
      </w:r>
      <w:r w:rsidR="002558F1">
        <w:t>.</w:t>
      </w:r>
    </w:p>
    <w:p w14:paraId="3D813266" w14:textId="77777777" w:rsidR="00AB6D83" w:rsidRDefault="00AB6D83" w:rsidP="009F6186">
      <w:pPr>
        <w:pStyle w:val="ListParagraph"/>
        <w:spacing w:line="480" w:lineRule="auto"/>
        <w:ind w:left="0"/>
      </w:pPr>
    </w:p>
    <w:p w14:paraId="178F0A81" w14:textId="095E0D70" w:rsidR="00D95BAF" w:rsidRDefault="0073660D" w:rsidP="0073660D">
      <w:pPr>
        <w:spacing w:line="480" w:lineRule="auto"/>
      </w:pPr>
      <w:r>
        <w:t>[15]</w:t>
      </w:r>
      <w:r>
        <w:tab/>
      </w:r>
      <w:r w:rsidR="00447DC2">
        <w:t>Subsequent to</w:t>
      </w:r>
      <w:r w:rsidR="00BD3CA2">
        <w:t xml:space="preserve"> the dismissal of Part A of </w:t>
      </w:r>
      <w:r w:rsidR="00EB2DF5">
        <w:t>t</w:t>
      </w:r>
      <w:r w:rsidR="00BD3CA2">
        <w:t>h</w:t>
      </w:r>
      <w:r w:rsidR="00EB2DF5">
        <w:t>e</w:t>
      </w:r>
      <w:r w:rsidR="00BD3CA2">
        <w:t xml:space="preserve"> application</w:t>
      </w:r>
      <w:r w:rsidR="00447DC2">
        <w:t>,</w:t>
      </w:r>
      <w:r w:rsidR="00324153">
        <w:t xml:space="preserve"> </w:t>
      </w:r>
      <w:r w:rsidR="002558F1">
        <w:t>t</w:t>
      </w:r>
      <w:r w:rsidR="00FA614A">
        <w:t xml:space="preserve">he </w:t>
      </w:r>
      <w:r w:rsidR="002558F1">
        <w:t xml:space="preserve">appellant </w:t>
      </w:r>
      <w:r w:rsidR="00324153">
        <w:t xml:space="preserve">proceeded to </w:t>
      </w:r>
      <w:r w:rsidR="00FA614A">
        <w:t xml:space="preserve">amend </w:t>
      </w:r>
      <w:r w:rsidR="007E2331">
        <w:t xml:space="preserve">Part B </w:t>
      </w:r>
      <w:r w:rsidR="00BD3CA2">
        <w:t xml:space="preserve">thereof </w:t>
      </w:r>
      <w:r w:rsidR="00FA614A">
        <w:t xml:space="preserve">by </w:t>
      </w:r>
      <w:r w:rsidR="002558F1">
        <w:t xml:space="preserve">ensuring that only the medical officer’s decision was sought to be </w:t>
      </w:r>
      <w:r w:rsidR="00AB11E6">
        <w:t>impugned</w:t>
      </w:r>
      <w:r w:rsidR="002558F1">
        <w:t xml:space="preserve">. Accordingly, </w:t>
      </w:r>
      <w:r w:rsidR="00AB11E6">
        <w:t xml:space="preserve">the appellant sought an order </w:t>
      </w:r>
      <w:r w:rsidR="00E00716">
        <w:t xml:space="preserve">embodying the following prayers: </w:t>
      </w:r>
      <w:r w:rsidR="00AB11E6">
        <w:t xml:space="preserve">declaring the medical officer to be in contempt of court of the order </w:t>
      </w:r>
      <w:r w:rsidR="007700D2">
        <w:t xml:space="preserve">made </w:t>
      </w:r>
      <w:r w:rsidR="00AB11E6">
        <w:t>on 14 November 2022</w:t>
      </w:r>
      <w:r w:rsidR="00447DC2">
        <w:t xml:space="preserve"> for</w:t>
      </w:r>
      <w:r w:rsidR="00AB11E6">
        <w:t xml:space="preserve"> declining to recommend </w:t>
      </w:r>
      <w:r w:rsidR="00F6018B">
        <w:t>the appellant’s rel</w:t>
      </w:r>
      <w:r w:rsidR="008D46F1">
        <w:t>e</w:t>
      </w:r>
      <w:r w:rsidR="00F6018B">
        <w:t>ase</w:t>
      </w:r>
      <w:r w:rsidR="00E00716">
        <w:t>,</w:t>
      </w:r>
      <w:r w:rsidR="00AB11E6">
        <w:t xml:space="preserve"> and for refusing to </w:t>
      </w:r>
      <w:r w:rsidR="00EB2DF5">
        <w:t>give</w:t>
      </w:r>
      <w:r w:rsidR="00AB11E6">
        <w:t xml:space="preserve"> the appellant reasons for </w:t>
      </w:r>
      <w:r w:rsidR="00E251DB">
        <w:t>his decision</w:t>
      </w:r>
      <w:r w:rsidR="00E00716">
        <w:t xml:space="preserve">; for the medical officer to be convicted of contempt of court; for the medical officer to be directed to recommend to the Minister for the appellant’s release; </w:t>
      </w:r>
      <w:r w:rsidR="00D95BAF">
        <w:t xml:space="preserve">for the issuance of a warrant for the medical officer’s arrest and committal to imprisonment for contempt of court until he </w:t>
      </w:r>
      <w:r w:rsidR="00EB2DF5">
        <w:t xml:space="preserve">had </w:t>
      </w:r>
      <w:r w:rsidR="00D95BAF">
        <w:t xml:space="preserve">made the recommendation to the Minister, and for the Minister to be directed to authorise the appellant’s release within four calendar days. </w:t>
      </w:r>
    </w:p>
    <w:p w14:paraId="1B9F06A0" w14:textId="3ECDDA54" w:rsidR="00807DD4" w:rsidRPr="00B56710" w:rsidRDefault="00D95BAF" w:rsidP="00B56710">
      <w:pPr>
        <w:pStyle w:val="ListParagraph"/>
        <w:spacing w:line="480" w:lineRule="auto"/>
        <w:ind w:left="0"/>
        <w:rPr>
          <w:u w:val="single"/>
        </w:rPr>
      </w:pPr>
      <w:r w:rsidRPr="00B56710">
        <w:rPr>
          <w:u w:val="single"/>
        </w:rPr>
        <w:lastRenderedPageBreak/>
        <w:t>The parties’ respective positions</w:t>
      </w:r>
      <w:r w:rsidR="005E16EA" w:rsidRPr="00B56710">
        <w:rPr>
          <w:u w:val="single"/>
        </w:rPr>
        <w:t xml:space="preserve">  </w:t>
      </w:r>
    </w:p>
    <w:p w14:paraId="78238B40" w14:textId="1368194B" w:rsidR="008D46F1" w:rsidRPr="00807DD4" w:rsidRDefault="008D46F1">
      <w:pPr>
        <w:pStyle w:val="ListParagraph"/>
        <w:spacing w:line="480" w:lineRule="auto"/>
        <w:ind w:left="0"/>
        <w:rPr>
          <w:i/>
        </w:rPr>
      </w:pPr>
      <w:r w:rsidRPr="00807DD4">
        <w:rPr>
          <w:i/>
        </w:rPr>
        <w:t>The appellant’s case</w:t>
      </w:r>
    </w:p>
    <w:p w14:paraId="2FA0E230" w14:textId="13E6CDCE" w:rsidR="00AB6D83" w:rsidRDefault="0073660D" w:rsidP="0073660D">
      <w:pPr>
        <w:spacing w:line="480" w:lineRule="auto"/>
      </w:pPr>
      <w:r>
        <w:t>[16]</w:t>
      </w:r>
      <w:r>
        <w:tab/>
      </w:r>
      <w:r w:rsidR="008D46F1">
        <w:t>The appellant’s case essentially was that after the order of 14 November 2022</w:t>
      </w:r>
      <w:r w:rsidR="00807DD4">
        <w:t xml:space="preserve"> was made</w:t>
      </w:r>
      <w:r w:rsidR="008D46F1">
        <w:t xml:space="preserve">, he was not </w:t>
      </w:r>
      <w:r w:rsidR="00CE3402">
        <w:t xml:space="preserve">informed </w:t>
      </w:r>
      <w:r w:rsidR="008D46F1">
        <w:t xml:space="preserve">whether or not a recommendation </w:t>
      </w:r>
      <w:r w:rsidR="0009261D">
        <w:t xml:space="preserve">for his release </w:t>
      </w:r>
      <w:r w:rsidR="008D46F1">
        <w:t xml:space="preserve">had been made. </w:t>
      </w:r>
      <w:r w:rsidR="00720230">
        <w:t>A letter</w:t>
      </w:r>
      <w:r w:rsidR="00807DD4">
        <w:t xml:space="preserve"> addressed to the Minister by the medical officer, dated 24 November 2022, in which the medical officer determined the appellant’s medical conditions but did not recommend his release</w:t>
      </w:r>
      <w:r w:rsidR="00720230">
        <w:t xml:space="preserve"> was later delivered to the appellant</w:t>
      </w:r>
      <w:r w:rsidR="00807DD4">
        <w:t>. The appellant says he was not informed of the reasons why a recommendation for his release was not made</w:t>
      </w:r>
      <w:r w:rsidR="00CE3402">
        <w:t xml:space="preserve"> either</w:t>
      </w:r>
      <w:r w:rsidR="00807DD4">
        <w:t xml:space="preserve">. </w:t>
      </w:r>
      <w:r w:rsidR="00CE3402">
        <w:t>H</w:t>
      </w:r>
      <w:r w:rsidR="00720230">
        <w:t>e</w:t>
      </w:r>
      <w:r w:rsidR="00CE3402">
        <w:t xml:space="preserve"> was asked by the Officer in charge to</w:t>
      </w:r>
      <w:r w:rsidR="00720230">
        <w:t xml:space="preserve"> accept </w:t>
      </w:r>
      <w:r w:rsidR="00CE3402">
        <w:t xml:space="preserve">delivery of </w:t>
      </w:r>
      <w:r w:rsidR="0035386C">
        <w:t xml:space="preserve">a document </w:t>
      </w:r>
      <w:r w:rsidR="00720230">
        <w:t xml:space="preserve">dated </w:t>
      </w:r>
      <w:r w:rsidR="0035386C">
        <w:t>1</w:t>
      </w:r>
      <w:r w:rsidR="00720230">
        <w:t xml:space="preserve"> </w:t>
      </w:r>
      <w:r w:rsidR="0035386C">
        <w:t xml:space="preserve">December </w:t>
      </w:r>
      <w:r w:rsidR="00720230">
        <w:t>2022</w:t>
      </w:r>
      <w:r w:rsidR="0009261D">
        <w:t>, an offer</w:t>
      </w:r>
      <w:r w:rsidR="00CE3402">
        <w:t xml:space="preserve"> he declined. </w:t>
      </w:r>
    </w:p>
    <w:p w14:paraId="321949E7" w14:textId="77777777" w:rsidR="00AB6D83" w:rsidRDefault="00AB6D83" w:rsidP="009F6186">
      <w:pPr>
        <w:pStyle w:val="ListParagraph"/>
        <w:spacing w:line="480" w:lineRule="auto"/>
        <w:ind w:left="0"/>
      </w:pPr>
    </w:p>
    <w:p w14:paraId="31239937" w14:textId="45D9924C" w:rsidR="00720230" w:rsidRDefault="0073660D" w:rsidP="0073660D">
      <w:pPr>
        <w:spacing w:line="480" w:lineRule="auto"/>
      </w:pPr>
      <w:r>
        <w:t>[17]</w:t>
      </w:r>
      <w:r>
        <w:tab/>
      </w:r>
      <w:r w:rsidR="00AB6D83">
        <w:t xml:space="preserve">A minor digression is called for here to note that </w:t>
      </w:r>
      <w:r w:rsidR="00CE3402">
        <w:t>th</w:t>
      </w:r>
      <w:r w:rsidR="007700D2">
        <w:t xml:space="preserve">e document the appellant refused to accept delivery of </w:t>
      </w:r>
      <w:r w:rsidR="00CE3402">
        <w:t>contain</w:t>
      </w:r>
      <w:r w:rsidR="007700D2">
        <w:t>ed</w:t>
      </w:r>
      <w:r w:rsidR="00CE3402">
        <w:t xml:space="preserve"> </w:t>
      </w:r>
      <w:r w:rsidR="0035386C">
        <w:t xml:space="preserve">what </w:t>
      </w:r>
      <w:r w:rsidR="00CE3402">
        <w:t>the medical officer</w:t>
      </w:r>
      <w:r w:rsidR="0035386C">
        <w:t xml:space="preserve"> referred to a</w:t>
      </w:r>
      <w:r w:rsidR="00CE3402">
        <w:t xml:space="preserve">s </w:t>
      </w:r>
      <w:r w:rsidR="0035386C">
        <w:t xml:space="preserve">his ‘detailed reasons’ for the </w:t>
      </w:r>
      <w:r w:rsidR="00823D3F">
        <w:t xml:space="preserve">decision he made </w:t>
      </w:r>
      <w:r w:rsidR="0009261D">
        <w:t xml:space="preserve">pursuant to </w:t>
      </w:r>
      <w:r w:rsidR="00823D3F">
        <w:t>the court order of 14 November 2022</w:t>
      </w:r>
      <w:r w:rsidR="00720230">
        <w:t>.</w:t>
      </w:r>
    </w:p>
    <w:p w14:paraId="54658BE7" w14:textId="77777777" w:rsidR="00AB6D83" w:rsidRDefault="00AB6D83" w:rsidP="009F6186">
      <w:pPr>
        <w:pStyle w:val="ListParagraph"/>
        <w:spacing w:line="480" w:lineRule="auto"/>
        <w:ind w:left="0"/>
      </w:pPr>
    </w:p>
    <w:p w14:paraId="34A640AF" w14:textId="67CECC63" w:rsidR="001E629F" w:rsidRDefault="0073660D" w:rsidP="0073660D">
      <w:pPr>
        <w:spacing w:line="480" w:lineRule="auto"/>
      </w:pPr>
      <w:r>
        <w:t>[18]</w:t>
      </w:r>
      <w:r>
        <w:tab/>
      </w:r>
      <w:r w:rsidR="00AB6D83">
        <w:t>Co</w:t>
      </w:r>
      <w:r w:rsidR="00537ED3">
        <w:t>ncluding</w:t>
      </w:r>
      <w:r w:rsidR="00AB6D83">
        <w:t xml:space="preserve"> now the presentation of the </w:t>
      </w:r>
      <w:r w:rsidR="00537ED3">
        <w:t xml:space="preserve">summary of the </w:t>
      </w:r>
      <w:r w:rsidR="00AB6D83">
        <w:t>appellant’s case during the review proceedings, t</w:t>
      </w:r>
      <w:r w:rsidR="00CE3402">
        <w:t>h</w:t>
      </w:r>
      <w:r w:rsidR="00720230">
        <w:t xml:space="preserve">e </w:t>
      </w:r>
      <w:r w:rsidR="00CE3402">
        <w:t xml:space="preserve">appellant stated that he </w:t>
      </w:r>
      <w:r w:rsidR="00720230">
        <w:t xml:space="preserve">sought to have the medical officer’s decision reviewed on the grounds that it was </w:t>
      </w:r>
      <w:r w:rsidR="001E629F">
        <w:t xml:space="preserve">arbitrary, unreasonable, irrational and/or capricious. He </w:t>
      </w:r>
      <w:r w:rsidR="007700D2">
        <w:t xml:space="preserve">also </w:t>
      </w:r>
      <w:r w:rsidR="001E629F">
        <w:t>sought the decision impugned on the grounds that the medical officer failed to give him an opportunity to make representations before he could take a decision adverse to him and for the failure to give reasons for his decision.</w:t>
      </w:r>
    </w:p>
    <w:p w14:paraId="265892DB" w14:textId="77777777" w:rsidR="001E629F" w:rsidRDefault="001E629F" w:rsidP="009F6186">
      <w:pPr>
        <w:spacing w:line="480" w:lineRule="auto"/>
        <w:rPr>
          <w:u w:val="single"/>
        </w:rPr>
      </w:pPr>
    </w:p>
    <w:p w14:paraId="1027F5CA" w14:textId="7C935F2F" w:rsidR="008D46F1" w:rsidRPr="00B56710" w:rsidRDefault="001E629F" w:rsidP="00B56710">
      <w:pPr>
        <w:pStyle w:val="ListParagraph"/>
        <w:spacing w:line="480" w:lineRule="auto"/>
        <w:ind w:left="0"/>
        <w:rPr>
          <w:i/>
        </w:rPr>
      </w:pPr>
      <w:r w:rsidRPr="00B56710">
        <w:rPr>
          <w:i/>
        </w:rPr>
        <w:lastRenderedPageBreak/>
        <w:t xml:space="preserve">The </w:t>
      </w:r>
      <w:r w:rsidR="00BA2DC1" w:rsidRPr="00B56710">
        <w:rPr>
          <w:i/>
        </w:rPr>
        <w:t>m</w:t>
      </w:r>
      <w:r w:rsidRPr="00B56710">
        <w:rPr>
          <w:i/>
        </w:rPr>
        <w:t>edical officer’s position</w:t>
      </w:r>
      <w:r w:rsidR="00720230" w:rsidRPr="00B56710">
        <w:rPr>
          <w:i/>
        </w:rPr>
        <w:t xml:space="preserve"> </w:t>
      </w:r>
    </w:p>
    <w:p w14:paraId="587AC0E8" w14:textId="0A08F71C" w:rsidR="00F95B7D" w:rsidRDefault="0073660D" w:rsidP="0073660D">
      <w:pPr>
        <w:spacing w:line="480" w:lineRule="auto"/>
      </w:pPr>
      <w:r>
        <w:t>[19]</w:t>
      </w:r>
      <w:r>
        <w:tab/>
      </w:r>
      <w:r w:rsidR="001E629F">
        <w:t xml:space="preserve">The medical officer denied </w:t>
      </w:r>
      <w:r w:rsidR="00F95B7D">
        <w:t>disobey</w:t>
      </w:r>
      <w:r w:rsidR="0009261D">
        <w:t>ing</w:t>
      </w:r>
      <w:r w:rsidR="00F95B7D">
        <w:t xml:space="preserve"> the court order and </w:t>
      </w:r>
      <w:r w:rsidR="00BA2DC1">
        <w:t xml:space="preserve">insisted </w:t>
      </w:r>
      <w:r w:rsidR="00F95B7D">
        <w:t xml:space="preserve">that he acted swiftly to comply with </w:t>
      </w:r>
      <w:r w:rsidR="00DB2450">
        <w:t>i</w:t>
      </w:r>
      <w:r w:rsidR="00F95B7D">
        <w:t>t</w:t>
      </w:r>
      <w:r w:rsidR="00E33C87">
        <w:t xml:space="preserve">. He explained </w:t>
      </w:r>
      <w:r w:rsidR="00F95B7D">
        <w:t xml:space="preserve">that </w:t>
      </w:r>
      <w:r w:rsidR="00E33C87">
        <w:t xml:space="preserve">the delay in informing the appellant of his decision was caused by uncertainty </w:t>
      </w:r>
      <w:r w:rsidR="00BA2DC1">
        <w:t xml:space="preserve">on his part </w:t>
      </w:r>
      <w:r w:rsidR="00F95B7D">
        <w:t>as t</w:t>
      </w:r>
      <w:r w:rsidR="00E33C87">
        <w:t>o wh</w:t>
      </w:r>
      <w:r w:rsidR="00BA2DC1">
        <w:t xml:space="preserve">o between </w:t>
      </w:r>
      <w:r w:rsidR="00F95B7D">
        <w:t xml:space="preserve">the Minister </w:t>
      </w:r>
      <w:r w:rsidR="00BA2DC1">
        <w:t xml:space="preserve">and </w:t>
      </w:r>
      <w:r w:rsidR="00F95B7D">
        <w:t xml:space="preserve">the </w:t>
      </w:r>
      <w:r w:rsidR="00E33C87">
        <w:t xml:space="preserve">appellant </w:t>
      </w:r>
      <w:r w:rsidR="00BA2DC1">
        <w:t xml:space="preserve">should be informed </w:t>
      </w:r>
      <w:r w:rsidR="00E33C87">
        <w:t>of his decision</w:t>
      </w:r>
      <w:r w:rsidR="0061339F">
        <w:t xml:space="preserve"> first</w:t>
      </w:r>
      <w:r w:rsidR="00E33C87">
        <w:t xml:space="preserve">. </w:t>
      </w:r>
    </w:p>
    <w:p w14:paraId="0F996D54" w14:textId="77777777" w:rsidR="00253B03" w:rsidRDefault="00253B03" w:rsidP="00B56710">
      <w:pPr>
        <w:pStyle w:val="ListParagraph"/>
        <w:spacing w:line="480" w:lineRule="auto"/>
        <w:ind w:left="0"/>
      </w:pPr>
    </w:p>
    <w:p w14:paraId="56C28AC7" w14:textId="1C415D89" w:rsidR="000D1BF4" w:rsidRDefault="0073660D" w:rsidP="0073660D">
      <w:pPr>
        <w:spacing w:line="480" w:lineRule="auto"/>
      </w:pPr>
      <w:r>
        <w:t>[20]</w:t>
      </w:r>
      <w:r>
        <w:tab/>
      </w:r>
      <w:r w:rsidR="00F95B7D">
        <w:t xml:space="preserve">He stated that after the delivery of </w:t>
      </w:r>
      <w:r w:rsidR="00E33C87">
        <w:t xml:space="preserve">the </w:t>
      </w:r>
      <w:r w:rsidR="00F95B7D">
        <w:t>court order of 14 November 2022, a meeting was held at the Minister’s offices where it was agreed that the court order must be implemented.</w:t>
      </w:r>
      <w:r w:rsidR="00841243">
        <w:t xml:space="preserve"> </w:t>
      </w:r>
      <w:r w:rsidR="00CE3402">
        <w:t>Following that meeting, h</w:t>
      </w:r>
      <w:r w:rsidR="00F95B7D">
        <w:t xml:space="preserve">e proceeded to </w:t>
      </w:r>
      <w:r w:rsidR="00BA2DC1">
        <w:t xml:space="preserve">medically </w:t>
      </w:r>
      <w:r w:rsidR="00F95B7D">
        <w:t>examine the appellant. He confirmed th</w:t>
      </w:r>
      <w:r w:rsidR="006867A2">
        <w:t xml:space="preserve">e </w:t>
      </w:r>
      <w:r w:rsidR="00CE3402">
        <w:t xml:space="preserve">existing </w:t>
      </w:r>
      <w:r w:rsidR="006867A2">
        <w:t xml:space="preserve">diagnosis </w:t>
      </w:r>
      <w:r w:rsidR="00F95B7D">
        <w:t>t</w:t>
      </w:r>
      <w:r w:rsidR="006867A2">
        <w:t>hat</w:t>
      </w:r>
      <w:r w:rsidR="00F95B7D">
        <w:t xml:space="preserve"> the appellant </w:t>
      </w:r>
      <w:r w:rsidR="00E33C87">
        <w:t xml:space="preserve">was </w:t>
      </w:r>
      <w:r w:rsidR="00F95B7D">
        <w:t>suffer</w:t>
      </w:r>
      <w:r w:rsidR="00E33C87">
        <w:t xml:space="preserve">ing </w:t>
      </w:r>
      <w:r w:rsidR="00F95B7D">
        <w:t>from diabetes m</w:t>
      </w:r>
      <w:r w:rsidR="00E33C87">
        <w:t>e</w:t>
      </w:r>
      <w:r w:rsidR="00F95B7D">
        <w:t>l</w:t>
      </w:r>
      <w:r w:rsidR="00E33C87">
        <w:t>l</w:t>
      </w:r>
      <w:r w:rsidR="00F95B7D">
        <w:t>it</w:t>
      </w:r>
      <w:r w:rsidR="00E33C87">
        <w:t>u</w:t>
      </w:r>
      <w:r w:rsidR="00F95B7D">
        <w:t>s and a kidney disease</w:t>
      </w:r>
      <w:r w:rsidR="00E33C87">
        <w:t xml:space="preserve">, both of which were ‘dangerous diseases’ according to the </w:t>
      </w:r>
      <w:r w:rsidR="00F95B7D">
        <w:t>World He</w:t>
      </w:r>
      <w:r w:rsidR="009967A8">
        <w:t>a</w:t>
      </w:r>
      <w:r w:rsidR="00F95B7D">
        <w:t xml:space="preserve">lth Organisation </w:t>
      </w:r>
      <w:r w:rsidR="009967A8">
        <w:t>classification</w:t>
      </w:r>
      <w:r w:rsidR="00E33C87">
        <w:t>.</w:t>
      </w:r>
      <w:r w:rsidR="009967A8">
        <w:t xml:space="preserve"> </w:t>
      </w:r>
    </w:p>
    <w:p w14:paraId="6561D393" w14:textId="77777777" w:rsidR="00AB6D83" w:rsidRDefault="00AB6D83" w:rsidP="009F6186">
      <w:pPr>
        <w:pStyle w:val="ListParagraph"/>
        <w:spacing w:line="480" w:lineRule="auto"/>
        <w:ind w:left="0"/>
      </w:pPr>
    </w:p>
    <w:p w14:paraId="08F461A4" w14:textId="0BF45BA0" w:rsidR="0009261D" w:rsidRDefault="0073660D" w:rsidP="0073660D">
      <w:pPr>
        <w:spacing w:line="480" w:lineRule="auto"/>
      </w:pPr>
      <w:r>
        <w:t>[21]</w:t>
      </w:r>
      <w:r>
        <w:tab/>
      </w:r>
      <w:r w:rsidR="00E33C87">
        <w:t xml:space="preserve">He informed the Minister of his </w:t>
      </w:r>
      <w:r w:rsidR="006867A2">
        <w:t>determination i</w:t>
      </w:r>
      <w:r w:rsidR="00E33C87">
        <w:t xml:space="preserve">n a </w:t>
      </w:r>
      <w:r w:rsidR="00841243">
        <w:t>letter dated 24 November 2022</w:t>
      </w:r>
      <w:r w:rsidR="006867A2">
        <w:t>.</w:t>
      </w:r>
      <w:r w:rsidR="00433278">
        <w:t xml:space="preserve"> </w:t>
      </w:r>
      <w:r w:rsidR="00BA2DC1">
        <w:t xml:space="preserve">In that letter, the medical officer </w:t>
      </w:r>
      <w:r w:rsidR="00E9395F">
        <w:t xml:space="preserve">recorded that the appellant was suffering from a dangerous disease as per the wording of s 109(a). </w:t>
      </w:r>
      <w:r w:rsidR="0061339F">
        <w:t>Th</w:t>
      </w:r>
      <w:r w:rsidR="0000104D">
        <w:t>e paragraph containing th</w:t>
      </w:r>
      <w:r w:rsidR="0061339F">
        <w:t xml:space="preserve">at determination </w:t>
      </w:r>
      <w:r w:rsidR="0000104D">
        <w:t xml:space="preserve">was followed by the paragraph </w:t>
      </w:r>
      <w:r w:rsidR="00E9395F">
        <w:t xml:space="preserve">with a heading in the form of a question, namely </w:t>
      </w:r>
      <w:r w:rsidR="00E9395F" w:rsidRPr="0073660D">
        <w:rPr>
          <w:i/>
        </w:rPr>
        <w:t>‘Would the continued incarceration be detrimental to Mwilima’s health?</w:t>
      </w:r>
      <w:r w:rsidR="0037280D" w:rsidRPr="0073660D">
        <w:rPr>
          <w:i/>
        </w:rPr>
        <w:t>’</w:t>
      </w:r>
      <w:r w:rsidR="00E9395F">
        <w:t xml:space="preserve"> </w:t>
      </w:r>
      <w:r w:rsidR="00EB6EEA">
        <w:t>T</w:t>
      </w:r>
      <w:r w:rsidR="00E9395F">
        <w:t xml:space="preserve">he answer </w:t>
      </w:r>
      <w:r w:rsidR="0000104D">
        <w:t xml:space="preserve">given </w:t>
      </w:r>
      <w:r w:rsidR="00E9395F">
        <w:t xml:space="preserve">was </w:t>
      </w:r>
      <w:r w:rsidR="00EF3D47">
        <w:t xml:space="preserve">in the negative and </w:t>
      </w:r>
      <w:r w:rsidR="0000104D">
        <w:t>t</w:t>
      </w:r>
      <w:r w:rsidR="00E9395F">
        <w:t xml:space="preserve">he </w:t>
      </w:r>
      <w:r w:rsidR="0000104D">
        <w:t xml:space="preserve">medical officer </w:t>
      </w:r>
      <w:r w:rsidR="000346EF">
        <w:t xml:space="preserve">briefly </w:t>
      </w:r>
      <w:r w:rsidR="00EF3D47">
        <w:t xml:space="preserve">motivated his opinion as follows: </w:t>
      </w:r>
    </w:p>
    <w:p w14:paraId="610A6CCC" w14:textId="77777777" w:rsidR="00721B0C" w:rsidRDefault="00721B0C" w:rsidP="009F6186">
      <w:pPr>
        <w:pStyle w:val="ListParagraph"/>
        <w:spacing w:line="480" w:lineRule="auto"/>
        <w:ind w:left="0"/>
        <w:rPr>
          <w:sz w:val="22"/>
          <w:szCs w:val="22"/>
        </w:rPr>
      </w:pPr>
    </w:p>
    <w:p w14:paraId="522B040F" w14:textId="6BC834C4" w:rsidR="0009261D" w:rsidRPr="0009261D" w:rsidRDefault="00EF3D47" w:rsidP="00442286">
      <w:pPr>
        <w:pStyle w:val="ListParagraph"/>
        <w:spacing w:line="360" w:lineRule="auto"/>
      </w:pPr>
      <w:r w:rsidRPr="0009261D">
        <w:rPr>
          <w:sz w:val="22"/>
          <w:szCs w:val="22"/>
        </w:rPr>
        <w:t>‘No, for the simple reason that he has access to regular dialysis sessions and also to his private doctors when needed. His current blood re</w:t>
      </w:r>
      <w:r w:rsidR="00442286">
        <w:rPr>
          <w:sz w:val="22"/>
          <w:szCs w:val="22"/>
        </w:rPr>
        <w:t>sults show improvement compared</w:t>
      </w:r>
      <w:r w:rsidRPr="0009261D">
        <w:rPr>
          <w:sz w:val="22"/>
          <w:szCs w:val="22"/>
        </w:rPr>
        <w:t xml:space="preserve"> the past results, which means that his incarceration does not affect his physical condition.’ </w:t>
      </w:r>
      <w:r w:rsidR="00841243" w:rsidRPr="0009261D">
        <w:rPr>
          <w:sz w:val="22"/>
          <w:szCs w:val="22"/>
        </w:rPr>
        <w:t xml:space="preserve"> </w:t>
      </w:r>
    </w:p>
    <w:p w14:paraId="303E8034" w14:textId="77777777" w:rsidR="00721B0C" w:rsidRDefault="00721B0C" w:rsidP="00B56710">
      <w:pPr>
        <w:spacing w:line="480" w:lineRule="auto"/>
      </w:pPr>
    </w:p>
    <w:p w14:paraId="211596D7" w14:textId="020B642B" w:rsidR="0009261D" w:rsidRDefault="0073660D" w:rsidP="0073660D">
      <w:pPr>
        <w:spacing w:line="480" w:lineRule="auto"/>
      </w:pPr>
      <w:r>
        <w:lastRenderedPageBreak/>
        <w:t>[22]</w:t>
      </w:r>
      <w:r>
        <w:tab/>
      </w:r>
      <w:r w:rsidR="00CE3402" w:rsidRPr="00112C1A">
        <w:t xml:space="preserve">The medical officer </w:t>
      </w:r>
      <w:r w:rsidR="00640128" w:rsidRPr="00112C1A">
        <w:t>alleged that ‘a considerable number’ of offenders at the Windhoek Correctional Facility and other facilities in the country suffer</w:t>
      </w:r>
      <w:r w:rsidR="00823D3F">
        <w:t>ed</w:t>
      </w:r>
      <w:r w:rsidR="00640128" w:rsidRPr="00112C1A">
        <w:t xml:space="preserve"> from the type of diseases the appellant was diagnosed </w:t>
      </w:r>
      <w:r w:rsidR="0037280D">
        <w:t>with</w:t>
      </w:r>
      <w:r w:rsidR="00E9395F">
        <w:t xml:space="preserve"> and</w:t>
      </w:r>
      <w:r w:rsidR="00640128" w:rsidRPr="00112C1A">
        <w:t xml:space="preserve"> </w:t>
      </w:r>
      <w:r w:rsidR="00E9395F">
        <w:t>that</w:t>
      </w:r>
      <w:r w:rsidR="000F112D">
        <w:t xml:space="preserve"> they receive de</w:t>
      </w:r>
      <w:r w:rsidR="00640128" w:rsidRPr="00112C1A">
        <w:t xml:space="preserve">cent health treatment and care. </w:t>
      </w:r>
      <w:r w:rsidR="0000104D">
        <w:t>In</w:t>
      </w:r>
      <w:r w:rsidR="00640128" w:rsidRPr="00112C1A">
        <w:t xml:space="preserve"> the Windhoek Correctional Facility </w:t>
      </w:r>
      <w:r w:rsidR="0000104D">
        <w:t>alone</w:t>
      </w:r>
      <w:r w:rsidR="00640128" w:rsidRPr="00112C1A">
        <w:t xml:space="preserve">, </w:t>
      </w:r>
      <w:r w:rsidR="0000104D">
        <w:t xml:space="preserve">65 </w:t>
      </w:r>
      <w:r w:rsidR="00640128" w:rsidRPr="00112C1A">
        <w:t>offenders</w:t>
      </w:r>
      <w:r w:rsidR="00112C1A" w:rsidRPr="00112C1A">
        <w:t xml:space="preserve"> liv</w:t>
      </w:r>
      <w:r w:rsidR="0000104D">
        <w:t>e</w:t>
      </w:r>
      <w:r w:rsidR="00AB6D83">
        <w:t>d</w:t>
      </w:r>
      <w:r w:rsidR="00112C1A" w:rsidRPr="00112C1A">
        <w:t xml:space="preserve"> with what would be classified as dangerous diseases, which represented 6.5 per cent of </w:t>
      </w:r>
      <w:r w:rsidR="00112C1A">
        <w:t xml:space="preserve">the </w:t>
      </w:r>
      <w:r w:rsidR="00112C1A" w:rsidRPr="00112C1A">
        <w:t>offenders</w:t>
      </w:r>
      <w:r w:rsidR="00AB6D83">
        <w:t>’</w:t>
      </w:r>
      <w:r w:rsidR="00112C1A" w:rsidRPr="00112C1A">
        <w:t xml:space="preserve"> population at the facility.</w:t>
      </w:r>
      <w:r w:rsidR="00112C1A">
        <w:t xml:space="preserve"> The offenders’ health conditions were man</w:t>
      </w:r>
      <w:r w:rsidR="00823D3F">
        <w:t>a</w:t>
      </w:r>
      <w:r w:rsidR="00112C1A">
        <w:t>ged by the Correction</w:t>
      </w:r>
      <w:r w:rsidR="00AB6D83">
        <w:t>al</w:t>
      </w:r>
      <w:r w:rsidR="00112C1A">
        <w:t xml:space="preserve"> Service in terms of obligations arising from the Act.</w:t>
      </w:r>
    </w:p>
    <w:p w14:paraId="66DF801C" w14:textId="77777777" w:rsidR="00AB6D83" w:rsidRDefault="00AB6D83" w:rsidP="009F6186">
      <w:pPr>
        <w:pStyle w:val="ListParagraph"/>
        <w:spacing w:line="480" w:lineRule="auto"/>
        <w:ind w:left="0"/>
      </w:pPr>
    </w:p>
    <w:p w14:paraId="571A980B" w14:textId="0903114F" w:rsidR="00AB6D83" w:rsidRDefault="0073660D" w:rsidP="0073660D">
      <w:pPr>
        <w:spacing w:line="480" w:lineRule="auto"/>
      </w:pPr>
      <w:r>
        <w:t>[23]</w:t>
      </w:r>
      <w:r>
        <w:tab/>
      </w:r>
      <w:r w:rsidR="00A759AD">
        <w:t xml:space="preserve">The medical officer explained his understanding of the court </w:t>
      </w:r>
      <w:r w:rsidR="00AB6D83">
        <w:t xml:space="preserve">order </w:t>
      </w:r>
      <w:r w:rsidR="00A759AD">
        <w:t>of 14 November 2022 and what he did to comply with it</w:t>
      </w:r>
      <w:r w:rsidR="00823D3F">
        <w:t xml:space="preserve"> as follows:</w:t>
      </w:r>
      <w:r w:rsidR="00A759AD">
        <w:t xml:space="preserve"> He understood the order to require </w:t>
      </w:r>
      <w:r w:rsidR="00823D3F">
        <w:t xml:space="preserve">of </w:t>
      </w:r>
      <w:r w:rsidR="00A759AD">
        <w:t>him to examine the appellant</w:t>
      </w:r>
      <w:r w:rsidR="00385D9F">
        <w:t xml:space="preserve"> and</w:t>
      </w:r>
      <w:r w:rsidR="00A759AD">
        <w:t xml:space="preserve"> with due regard to s 109(</w:t>
      </w:r>
      <w:r w:rsidR="00A759AD" w:rsidRPr="00731205">
        <w:t>a</w:t>
      </w:r>
      <w:r w:rsidR="00A759AD">
        <w:t>) and (</w:t>
      </w:r>
      <w:r w:rsidR="00A759AD" w:rsidRPr="00731205">
        <w:t>b</w:t>
      </w:r>
      <w:r w:rsidR="00A759AD">
        <w:t>)</w:t>
      </w:r>
      <w:r w:rsidR="00385D9F">
        <w:t xml:space="preserve"> determine whether the appellant’s health condition justified the making of a recommendation for his release</w:t>
      </w:r>
      <w:r w:rsidR="00823D3F">
        <w:t xml:space="preserve"> on medical grounds</w:t>
      </w:r>
      <w:r w:rsidR="00385D9F">
        <w:t xml:space="preserve">. Upon examining the appellant, the medical officer found that the appellant had improved in the last two years; his condition was stable and manageable. </w:t>
      </w:r>
    </w:p>
    <w:p w14:paraId="3247CCF7" w14:textId="77777777" w:rsidR="00AB6D83" w:rsidRDefault="00AB6D83" w:rsidP="00B56710">
      <w:pPr>
        <w:pStyle w:val="ListParagraph"/>
        <w:spacing w:line="480" w:lineRule="auto"/>
        <w:ind w:left="0"/>
        <w:contextualSpacing w:val="0"/>
      </w:pPr>
    </w:p>
    <w:p w14:paraId="48E8D159" w14:textId="07B7D9C3" w:rsidR="0009261D" w:rsidRDefault="0073660D" w:rsidP="0073660D">
      <w:pPr>
        <w:spacing w:line="480" w:lineRule="auto"/>
      </w:pPr>
      <w:r>
        <w:t>[24]</w:t>
      </w:r>
      <w:r>
        <w:tab/>
      </w:r>
      <w:r w:rsidR="00385D9F">
        <w:t xml:space="preserve">The medical officer did not find reason to believe that </w:t>
      </w:r>
      <w:r w:rsidR="00823D3F">
        <w:t>t</w:t>
      </w:r>
      <w:r w:rsidR="00385D9F">
        <w:t>h</w:t>
      </w:r>
      <w:r w:rsidR="00823D3F">
        <w:t xml:space="preserve">e appellant’s </w:t>
      </w:r>
      <w:r w:rsidR="00385D9F">
        <w:t>continued incarce</w:t>
      </w:r>
      <w:r w:rsidR="000F112D">
        <w:t>ration would more than necessarily</w:t>
      </w:r>
      <w:r w:rsidR="00385D9F">
        <w:t xml:space="preserve"> impair his dignity or place him at greater risk </w:t>
      </w:r>
      <w:r w:rsidR="0035386C">
        <w:t>than he was in</w:t>
      </w:r>
      <w:r w:rsidR="00823D3F">
        <w:t xml:space="preserve"> </w:t>
      </w:r>
      <w:r w:rsidR="00823D3F" w:rsidRPr="00AB6D83">
        <w:t>alread</w:t>
      </w:r>
      <w:r w:rsidR="00823D3F">
        <w:t>y</w:t>
      </w:r>
      <w:r w:rsidR="0035386C">
        <w:t>.</w:t>
      </w:r>
      <w:r w:rsidR="00385D9F">
        <w:t xml:space="preserve"> </w:t>
      </w:r>
      <w:r w:rsidR="006715B9">
        <w:t>H</w:t>
      </w:r>
      <w:r w:rsidR="00823D3F">
        <w:t xml:space="preserve">e found that in the context of a need for medical release, there was no justification to make the recommendation as </w:t>
      </w:r>
      <w:r w:rsidR="00433278">
        <w:t>t</w:t>
      </w:r>
      <w:r w:rsidR="00823D3F">
        <w:t>h</w:t>
      </w:r>
      <w:r w:rsidR="00433278">
        <w:t xml:space="preserve">e appellant’s </w:t>
      </w:r>
      <w:r w:rsidR="00823D3F">
        <w:t>health condition would neither improve nor deteriorate if he were to be released.</w:t>
      </w:r>
      <w:r w:rsidR="00385D9F">
        <w:t xml:space="preserve"> </w:t>
      </w:r>
      <w:r w:rsidR="00433278">
        <w:t xml:space="preserve">In arriving at that </w:t>
      </w:r>
      <w:r w:rsidR="002364C8">
        <w:t>conclusion</w:t>
      </w:r>
      <w:r w:rsidR="00433278">
        <w:t xml:space="preserve">, the medical officer stated that he also considered the available facilities to cater to the appellant’s needs and the medical assistance rendered to him. </w:t>
      </w:r>
    </w:p>
    <w:p w14:paraId="7BD1C846" w14:textId="77777777" w:rsidR="00AB6D83" w:rsidRDefault="00AB6D83" w:rsidP="009F6186">
      <w:pPr>
        <w:pStyle w:val="ListParagraph"/>
        <w:spacing w:line="480" w:lineRule="auto"/>
        <w:ind w:left="0"/>
      </w:pPr>
    </w:p>
    <w:p w14:paraId="14AB4B81" w14:textId="723DC72C" w:rsidR="0009261D" w:rsidRDefault="0073660D" w:rsidP="0073660D">
      <w:pPr>
        <w:spacing w:line="480" w:lineRule="auto"/>
      </w:pPr>
      <w:r>
        <w:t>[25]</w:t>
      </w:r>
      <w:r>
        <w:tab/>
      </w:r>
      <w:r w:rsidR="00BA2DC1">
        <w:t xml:space="preserve">As to the suggestion by the appellant that the medical officer had no discretion but to recommend the appellant’s release once he found that the appellant was suffering from a dangerous disease, the medical officer retorted that s 109(a) could not be applied simply by the ticking of a box requiring no application of the mind. Such an approach, he </w:t>
      </w:r>
      <w:r w:rsidR="00375AF5">
        <w:t>contended</w:t>
      </w:r>
      <w:r w:rsidR="00BA2DC1">
        <w:t>, would empty correctional facilities as a number of offenders were suffering from what w</w:t>
      </w:r>
      <w:r w:rsidR="0037280D">
        <w:t>ere</w:t>
      </w:r>
      <w:r w:rsidR="00BA2DC1">
        <w:t xml:space="preserve"> considered to be dangerous diseases</w:t>
      </w:r>
      <w:r w:rsidR="00731205">
        <w:t>.</w:t>
      </w:r>
    </w:p>
    <w:p w14:paraId="3D21260D" w14:textId="77777777" w:rsidR="00AB6D83" w:rsidRDefault="00AB6D83" w:rsidP="009F6186">
      <w:pPr>
        <w:pStyle w:val="ListParagraph"/>
        <w:spacing w:line="480" w:lineRule="auto"/>
        <w:ind w:left="0"/>
      </w:pPr>
    </w:p>
    <w:p w14:paraId="18D9BC2E" w14:textId="3E08B0EB" w:rsidR="0009261D" w:rsidRDefault="0073660D" w:rsidP="0073660D">
      <w:pPr>
        <w:spacing w:line="480" w:lineRule="auto"/>
      </w:pPr>
      <w:r>
        <w:t>[26]</w:t>
      </w:r>
      <w:r>
        <w:tab/>
      </w:r>
      <w:r w:rsidR="00D4322E">
        <w:t>What the medical officer consider</w:t>
      </w:r>
      <w:r w:rsidR="00AB6D83">
        <w:t>ed</w:t>
      </w:r>
      <w:r w:rsidR="00D4322E">
        <w:t xml:space="preserve"> to be the detailed reasons for his decision is a three and half </w:t>
      </w:r>
      <w:r w:rsidR="00375AF5">
        <w:t xml:space="preserve">page </w:t>
      </w:r>
      <w:r w:rsidR="00D4322E">
        <w:t>long document contain</w:t>
      </w:r>
      <w:r w:rsidR="00B65C11">
        <w:t>ing</w:t>
      </w:r>
      <w:r w:rsidR="00D4322E">
        <w:t xml:space="preserve"> detailed re</w:t>
      </w:r>
      <w:r w:rsidR="00B65C11">
        <w:t xml:space="preserve">sults </w:t>
      </w:r>
      <w:r w:rsidR="00D4322E">
        <w:t xml:space="preserve">of the appellant’s medical examination. </w:t>
      </w:r>
      <w:r w:rsidR="00375AF5">
        <w:t>In summary, t</w:t>
      </w:r>
      <w:r w:rsidR="00D4322E">
        <w:t>he document gave the appellant</w:t>
      </w:r>
      <w:r w:rsidR="00B65C11">
        <w:t>’s</w:t>
      </w:r>
      <w:r w:rsidR="00D4322E">
        <w:t xml:space="preserve"> past medical and surgical history. It revealed that </w:t>
      </w:r>
      <w:r w:rsidR="00B65C11">
        <w:t xml:space="preserve">apart from suffering from type 2 diabetes mellitus and chronic kidney failure which had worsened into End Stage Kidney Disease, </w:t>
      </w:r>
      <w:r w:rsidR="00D4322E">
        <w:t xml:space="preserve">he </w:t>
      </w:r>
      <w:r w:rsidR="00B65C11">
        <w:t>also had hypertension. He wa</w:t>
      </w:r>
      <w:r w:rsidR="00D4322E">
        <w:t xml:space="preserve">s taken three times a week for haemodialysis at an outside hospital. </w:t>
      </w:r>
      <w:r w:rsidR="00B65C11">
        <w:t xml:space="preserve">He suffered a </w:t>
      </w:r>
      <w:r w:rsidR="0037280D">
        <w:t>h</w:t>
      </w:r>
      <w:r w:rsidR="00B65C11">
        <w:t xml:space="preserve">ypercholesterolemia, which was however under control. His medical condition was characterised by general body weakness, mostly after haemodialysis, lower back pain, weakness of legs and occasional shaking as well as swollen legs around the ankles. </w:t>
      </w:r>
    </w:p>
    <w:p w14:paraId="2BDA75FE" w14:textId="77777777" w:rsidR="00AB6D83" w:rsidRDefault="00AB6D83" w:rsidP="009F6186">
      <w:pPr>
        <w:pStyle w:val="ListParagraph"/>
        <w:spacing w:line="480" w:lineRule="auto"/>
        <w:ind w:left="0"/>
      </w:pPr>
    </w:p>
    <w:p w14:paraId="0D5E33D2" w14:textId="3C691D7B" w:rsidR="0009261D" w:rsidRDefault="0073660D" w:rsidP="0073660D">
      <w:pPr>
        <w:spacing w:line="480" w:lineRule="auto"/>
      </w:pPr>
      <w:r>
        <w:t>[27]</w:t>
      </w:r>
      <w:r>
        <w:tab/>
      </w:r>
      <w:r w:rsidR="00B65C11">
        <w:t>The document also records impr</w:t>
      </w:r>
      <w:r w:rsidR="00E17A0C">
        <w:t>o</w:t>
      </w:r>
      <w:r w:rsidR="00B65C11">
        <w:t>vements made by the patient and deter</w:t>
      </w:r>
      <w:r w:rsidR="00E17A0C">
        <w:t>iorations. On the improvement side, the epileptic attacks that he previously experienced no longer occur</w:t>
      </w:r>
      <w:r w:rsidR="00AB3D56">
        <w:t>red</w:t>
      </w:r>
      <w:r w:rsidR="000F112D">
        <w:t>; the blood pressure</w:t>
      </w:r>
      <w:r w:rsidR="00E17A0C">
        <w:t xml:space="preserve"> readings were within normal range and </w:t>
      </w:r>
      <w:r w:rsidR="00AB3D56">
        <w:t xml:space="preserve">occasionally </w:t>
      </w:r>
      <w:r w:rsidR="00E17A0C">
        <w:t xml:space="preserve">on the lower side; the blood sugar </w:t>
      </w:r>
      <w:r w:rsidR="00375AF5">
        <w:t xml:space="preserve">levels </w:t>
      </w:r>
      <w:r w:rsidR="00E17A0C">
        <w:t xml:space="preserve">had remained within the normal limits for the past two years at the time of the examination; </w:t>
      </w:r>
      <w:r w:rsidR="00E17A0C">
        <w:lastRenderedPageBreak/>
        <w:t xml:space="preserve">cholesterol was within the normal ranges; the </w:t>
      </w:r>
      <w:r w:rsidR="00AB3D56">
        <w:t xml:space="preserve">liver </w:t>
      </w:r>
      <w:r w:rsidR="00E17A0C">
        <w:t xml:space="preserve">function </w:t>
      </w:r>
      <w:r w:rsidR="00AB3D56">
        <w:t xml:space="preserve">had normalised for the past year </w:t>
      </w:r>
      <w:r w:rsidR="00E17A0C">
        <w:t xml:space="preserve">and the kidney function had improved at the time of the examination. </w:t>
      </w:r>
    </w:p>
    <w:p w14:paraId="0C921074" w14:textId="77777777" w:rsidR="00AB6D83" w:rsidRDefault="00AB6D83" w:rsidP="00B56710">
      <w:pPr>
        <w:spacing w:line="480" w:lineRule="auto"/>
      </w:pPr>
    </w:p>
    <w:p w14:paraId="6DA7D54A" w14:textId="6820668B" w:rsidR="00AB6D83" w:rsidRDefault="0073660D" w:rsidP="0073660D">
      <w:pPr>
        <w:spacing w:line="480" w:lineRule="auto"/>
      </w:pPr>
      <w:r>
        <w:t>[28]</w:t>
      </w:r>
      <w:r>
        <w:tab/>
      </w:r>
      <w:r w:rsidR="00E17A0C">
        <w:t xml:space="preserve">On the deterioration side, the number of </w:t>
      </w:r>
      <w:r w:rsidR="00BC629E">
        <w:t>t</w:t>
      </w:r>
      <w:r w:rsidR="00E17A0C">
        <w:t>h</w:t>
      </w:r>
      <w:r w:rsidR="00BC629E">
        <w:t>e</w:t>
      </w:r>
      <w:r w:rsidR="00E17A0C">
        <w:t xml:space="preserve"> dialysis sessions had increased from two to three </w:t>
      </w:r>
      <w:r w:rsidR="00A71D63">
        <w:t xml:space="preserve">times </w:t>
      </w:r>
      <w:r w:rsidR="00BC629E">
        <w:t xml:space="preserve">weekly </w:t>
      </w:r>
      <w:r w:rsidR="00E17A0C">
        <w:t xml:space="preserve">with the concomitant shaking of lower limbs </w:t>
      </w:r>
      <w:r w:rsidR="00AB3D56">
        <w:t xml:space="preserve">experienced, especially after the dialysis sessions. The medical officer quoted from </w:t>
      </w:r>
      <w:r w:rsidR="00BC629E">
        <w:t xml:space="preserve">an </w:t>
      </w:r>
      <w:r w:rsidR="00AB3D56">
        <w:t>American academic</w:t>
      </w:r>
      <w:r w:rsidR="00BC629E">
        <w:t xml:space="preserve"> </w:t>
      </w:r>
      <w:r w:rsidR="00AB3D56">
        <w:t xml:space="preserve">text book for the prognosis that </w:t>
      </w:r>
      <w:r w:rsidR="005D352A">
        <w:t xml:space="preserve">‘people with advanced kidney disease who undergo maintenance kidney dialysis have limited life expectancy’ and </w:t>
      </w:r>
      <w:r w:rsidR="00BC629E">
        <w:t xml:space="preserve">relied on another author for the proposition </w:t>
      </w:r>
      <w:r w:rsidR="005D352A">
        <w:t>that ‘according to researchers, 60 per cent of patients undergoing in</w:t>
      </w:r>
      <w:r w:rsidR="00375AF5">
        <w:t>-</w:t>
      </w:r>
      <w:r w:rsidR="005D352A">
        <w:t>centre dialysis in the United States of America died within 5 year</w:t>
      </w:r>
      <w:r w:rsidR="00BC629E">
        <w:t>s</w:t>
      </w:r>
      <w:r w:rsidR="005D352A">
        <w:t xml:space="preserve">, 19 per cent </w:t>
      </w:r>
      <w:r w:rsidR="00BC629E">
        <w:t xml:space="preserve">died </w:t>
      </w:r>
      <w:r w:rsidR="005D352A">
        <w:t>within 5 to 10 years and 20.9 per cent lived more that 10 years</w:t>
      </w:r>
      <w:r w:rsidR="002364C8">
        <w:t>’</w:t>
      </w:r>
      <w:r w:rsidR="005D352A">
        <w:t xml:space="preserve">. </w:t>
      </w:r>
    </w:p>
    <w:p w14:paraId="5AAE790F" w14:textId="77777777" w:rsidR="00AB6D83" w:rsidRDefault="00AB6D83" w:rsidP="00B56710">
      <w:pPr>
        <w:pStyle w:val="ListParagraph"/>
        <w:ind w:left="0"/>
      </w:pPr>
    </w:p>
    <w:p w14:paraId="72F3305D" w14:textId="562F98C8" w:rsidR="0009261D" w:rsidRDefault="0073660D" w:rsidP="0073660D">
      <w:pPr>
        <w:spacing w:line="480" w:lineRule="auto"/>
      </w:pPr>
      <w:r>
        <w:t>[29]</w:t>
      </w:r>
      <w:r>
        <w:tab/>
      </w:r>
      <w:r w:rsidR="005D352A">
        <w:t xml:space="preserve">The </w:t>
      </w:r>
      <w:r w:rsidR="00BC629E">
        <w:t xml:space="preserve">medical officer </w:t>
      </w:r>
      <w:r w:rsidR="00375AF5">
        <w:t xml:space="preserve">did not, however, apply this general </w:t>
      </w:r>
      <w:r w:rsidR="005D352A">
        <w:t xml:space="preserve">prognosis </w:t>
      </w:r>
      <w:r w:rsidR="00375AF5">
        <w:t xml:space="preserve">to the appellant’s circumstances. </w:t>
      </w:r>
      <w:r w:rsidR="0009261D">
        <w:t>T</w:t>
      </w:r>
      <w:r w:rsidR="00375AF5">
        <w:t xml:space="preserve">he </w:t>
      </w:r>
      <w:r w:rsidR="00375AF5" w:rsidRPr="00AB6D83">
        <w:t>prognosis</w:t>
      </w:r>
      <w:r w:rsidR="00375AF5">
        <w:t xml:space="preserve"> </w:t>
      </w:r>
      <w:r w:rsidR="005D352A">
        <w:t xml:space="preserve">he made of the appellant was </w:t>
      </w:r>
      <w:r w:rsidR="00AB6D83">
        <w:t xml:space="preserve">recorded </w:t>
      </w:r>
      <w:r w:rsidR="005D352A">
        <w:t xml:space="preserve">in the report </w:t>
      </w:r>
      <w:r w:rsidR="00AB6D83">
        <w:t xml:space="preserve">as </w:t>
      </w:r>
      <w:r w:rsidR="0009261D">
        <w:t>‘</w:t>
      </w:r>
      <w:r w:rsidR="005D352A">
        <w:t>sick but stable</w:t>
      </w:r>
      <w:r w:rsidR="002364C8">
        <w:t>’</w:t>
      </w:r>
      <w:r w:rsidR="005D352A">
        <w:t xml:space="preserve">. </w:t>
      </w:r>
    </w:p>
    <w:p w14:paraId="56300751" w14:textId="77777777" w:rsidR="00AB6D83" w:rsidRPr="00B56710" w:rsidRDefault="00AB6D83" w:rsidP="009F6186">
      <w:pPr>
        <w:pStyle w:val="ListParagraph"/>
        <w:spacing w:line="480" w:lineRule="auto"/>
        <w:ind w:left="0"/>
        <w:rPr>
          <w:u w:val="single"/>
        </w:rPr>
      </w:pPr>
    </w:p>
    <w:p w14:paraId="6BFC3E9B" w14:textId="48B801F6" w:rsidR="0009261D" w:rsidRPr="002364C8" w:rsidRDefault="009C5CE7">
      <w:pPr>
        <w:pStyle w:val="ListParagraph"/>
        <w:spacing w:line="480" w:lineRule="auto"/>
        <w:ind w:left="0"/>
      </w:pPr>
      <w:r w:rsidRPr="00B56710">
        <w:rPr>
          <w:u w:val="single"/>
        </w:rPr>
        <w:t>Court a quo’s reasoning</w:t>
      </w:r>
    </w:p>
    <w:p w14:paraId="3C725713" w14:textId="2B47EAAA" w:rsidR="0009261D" w:rsidRPr="0009261D" w:rsidRDefault="0073660D" w:rsidP="0073660D">
      <w:pPr>
        <w:spacing w:line="480" w:lineRule="auto"/>
      </w:pPr>
      <w:r w:rsidRPr="0009261D">
        <w:t>[30]</w:t>
      </w:r>
      <w:r w:rsidRPr="0009261D">
        <w:tab/>
      </w:r>
      <w:r w:rsidR="00D52E4A" w:rsidRPr="0073660D">
        <w:rPr>
          <w:rFonts w:eastAsia="Calibri"/>
          <w:lang w:val="en-ZA"/>
        </w:rPr>
        <w:t>In dismissing the application, the High Court considered the meaning of s 109. It reasoned that t</w:t>
      </w:r>
      <w:r w:rsidR="009C5CE7" w:rsidRPr="0073660D">
        <w:rPr>
          <w:rFonts w:eastAsia="Calibri"/>
          <w:lang w:val="en-ZA"/>
        </w:rPr>
        <w:t xml:space="preserve">he intention of the </w:t>
      </w:r>
      <w:r w:rsidR="00D52E4A" w:rsidRPr="0073660D">
        <w:rPr>
          <w:rFonts w:eastAsia="Calibri"/>
          <w:lang w:val="en-ZA"/>
        </w:rPr>
        <w:t>L</w:t>
      </w:r>
      <w:r w:rsidR="009C5CE7" w:rsidRPr="0073660D">
        <w:rPr>
          <w:rFonts w:eastAsia="Calibri"/>
          <w:lang w:val="en-ZA"/>
        </w:rPr>
        <w:t>egislature was for s 109(a) and (b) to be disjunctive as it g</w:t>
      </w:r>
      <w:r w:rsidR="00D52E4A" w:rsidRPr="0073660D">
        <w:rPr>
          <w:rFonts w:eastAsia="Calibri"/>
          <w:lang w:val="en-ZA"/>
        </w:rPr>
        <w:t>ave</w:t>
      </w:r>
      <w:r w:rsidR="009C5CE7" w:rsidRPr="0073660D">
        <w:rPr>
          <w:rFonts w:eastAsia="Calibri"/>
          <w:lang w:val="en-ZA"/>
        </w:rPr>
        <w:t xml:space="preserve"> a choice of two alternative jurisdictional facts</w:t>
      </w:r>
      <w:r w:rsidR="00D52E4A" w:rsidRPr="0073660D">
        <w:rPr>
          <w:rFonts w:eastAsia="Calibri"/>
          <w:lang w:val="en-ZA"/>
        </w:rPr>
        <w:t xml:space="preserve">: the suffering from a dangerous, infectious or contagious disease; or a physical condition which makes an offender’s continued incarceration </w:t>
      </w:r>
      <w:r w:rsidR="007F08BD" w:rsidRPr="0073660D">
        <w:rPr>
          <w:rFonts w:eastAsia="Calibri"/>
          <w:lang w:val="en-ZA"/>
        </w:rPr>
        <w:t>detrimental to</w:t>
      </w:r>
      <w:r w:rsidR="002364C8" w:rsidRPr="0073660D">
        <w:rPr>
          <w:rFonts w:eastAsia="Calibri"/>
          <w:lang w:val="en-ZA"/>
        </w:rPr>
        <w:t xml:space="preserve"> his or her</w:t>
      </w:r>
      <w:r w:rsidR="007F08BD" w:rsidRPr="0073660D">
        <w:rPr>
          <w:rFonts w:eastAsia="Calibri"/>
          <w:lang w:val="en-ZA"/>
        </w:rPr>
        <w:t xml:space="preserve"> health</w:t>
      </w:r>
      <w:r w:rsidR="009C5CE7" w:rsidRPr="0073660D">
        <w:rPr>
          <w:rFonts w:eastAsia="Calibri"/>
          <w:lang w:val="en-ZA"/>
        </w:rPr>
        <w:t xml:space="preserve">. </w:t>
      </w:r>
      <w:r w:rsidR="007F08BD" w:rsidRPr="0073660D">
        <w:rPr>
          <w:rFonts w:eastAsia="Calibri"/>
          <w:lang w:val="en-ZA"/>
        </w:rPr>
        <w:t xml:space="preserve">The court </w:t>
      </w:r>
      <w:r w:rsidR="00D52E4A" w:rsidRPr="0073660D">
        <w:rPr>
          <w:rFonts w:eastAsia="Calibri"/>
          <w:lang w:val="en-ZA"/>
        </w:rPr>
        <w:t xml:space="preserve">noted that </w:t>
      </w:r>
      <w:r w:rsidR="007F08BD" w:rsidRPr="0073660D">
        <w:rPr>
          <w:rFonts w:eastAsia="Calibri"/>
          <w:lang w:val="en-ZA"/>
        </w:rPr>
        <w:t xml:space="preserve">the appellant’s understanding of the meaning of the section was a </w:t>
      </w:r>
      <w:r w:rsidR="009C5CE7" w:rsidRPr="0073660D">
        <w:rPr>
          <w:rFonts w:eastAsia="Calibri"/>
          <w:lang w:val="en-ZA"/>
        </w:rPr>
        <w:t>literal interpretation which</w:t>
      </w:r>
      <w:r w:rsidR="007F08BD" w:rsidRPr="0073660D">
        <w:rPr>
          <w:rFonts w:eastAsia="Calibri"/>
          <w:lang w:val="en-ZA"/>
        </w:rPr>
        <w:t xml:space="preserve"> </w:t>
      </w:r>
      <w:r w:rsidR="002364C8" w:rsidRPr="0073660D">
        <w:rPr>
          <w:rFonts w:eastAsia="Calibri"/>
          <w:lang w:val="en-ZA"/>
        </w:rPr>
        <w:t xml:space="preserve">could lead </w:t>
      </w:r>
      <w:r w:rsidR="009C5CE7" w:rsidRPr="0073660D">
        <w:rPr>
          <w:rFonts w:eastAsia="Calibri"/>
          <w:lang w:val="en-ZA"/>
        </w:rPr>
        <w:t>to absurd results.</w:t>
      </w:r>
    </w:p>
    <w:p w14:paraId="6C681312" w14:textId="14C237D3" w:rsidR="0009261D" w:rsidRPr="0009261D" w:rsidRDefault="0073660D" w:rsidP="0073660D">
      <w:pPr>
        <w:spacing w:line="480" w:lineRule="auto"/>
      </w:pPr>
      <w:r w:rsidRPr="0009261D">
        <w:lastRenderedPageBreak/>
        <w:t>[31]</w:t>
      </w:r>
      <w:r w:rsidRPr="0009261D">
        <w:tab/>
      </w:r>
      <w:r w:rsidR="002B16A9" w:rsidRPr="0073660D">
        <w:rPr>
          <w:rFonts w:eastAsia="Calibri"/>
          <w:lang w:val="en-ZA"/>
        </w:rPr>
        <w:t xml:space="preserve">The </w:t>
      </w:r>
      <w:r w:rsidR="007F08BD" w:rsidRPr="0073660D">
        <w:rPr>
          <w:rFonts w:eastAsia="Calibri"/>
          <w:lang w:val="en-ZA"/>
        </w:rPr>
        <w:t xml:space="preserve">court observed that the </w:t>
      </w:r>
      <w:r w:rsidR="002B16A9" w:rsidRPr="0073660D">
        <w:rPr>
          <w:rFonts w:eastAsia="Calibri"/>
          <w:lang w:val="en-ZA"/>
        </w:rPr>
        <w:t xml:space="preserve">clear intent of the legislator in </w:t>
      </w:r>
      <w:r w:rsidR="007F08BD" w:rsidRPr="0073660D">
        <w:rPr>
          <w:rFonts w:eastAsia="Calibri"/>
          <w:lang w:val="en-ZA"/>
        </w:rPr>
        <w:t xml:space="preserve">enacting </w:t>
      </w:r>
      <w:r w:rsidR="002B16A9" w:rsidRPr="0073660D">
        <w:rPr>
          <w:rFonts w:eastAsia="Calibri"/>
          <w:lang w:val="en-ZA"/>
        </w:rPr>
        <w:t xml:space="preserve">s 109(a) was to make provision for the release of the offender who suffers from a </w:t>
      </w:r>
      <w:r w:rsidR="00AB6D83" w:rsidRPr="0073660D">
        <w:rPr>
          <w:rFonts w:eastAsia="Calibri"/>
          <w:lang w:val="en-ZA"/>
        </w:rPr>
        <w:t>‘</w:t>
      </w:r>
      <w:r w:rsidR="002B16A9" w:rsidRPr="0073660D">
        <w:rPr>
          <w:rFonts w:eastAsia="Calibri"/>
          <w:lang w:val="en-ZA"/>
        </w:rPr>
        <w:t>dangerous infectious or a dangerous contagious disease</w:t>
      </w:r>
      <w:r w:rsidR="002364C8" w:rsidRPr="0073660D">
        <w:rPr>
          <w:rFonts w:eastAsia="Calibri"/>
          <w:lang w:val="en-ZA"/>
        </w:rPr>
        <w:t>’</w:t>
      </w:r>
      <w:r w:rsidR="002B16A9" w:rsidRPr="0073660D">
        <w:rPr>
          <w:rFonts w:eastAsia="Calibri"/>
          <w:lang w:val="en-ZA"/>
        </w:rPr>
        <w:t>. It could never have been the intention of the legislator to authorise the release of an offender on medical ground</w:t>
      </w:r>
      <w:r w:rsidR="00AB6D83" w:rsidRPr="0073660D">
        <w:rPr>
          <w:rFonts w:eastAsia="Calibri"/>
          <w:lang w:val="en-ZA"/>
        </w:rPr>
        <w:t>s</w:t>
      </w:r>
      <w:r w:rsidR="002B16A9" w:rsidRPr="0073660D">
        <w:rPr>
          <w:rFonts w:eastAsia="Calibri"/>
          <w:lang w:val="en-ZA"/>
        </w:rPr>
        <w:t xml:space="preserve"> for a disease which is dangerous but which could still be managed or controlled with medical treatment or for that matter, an offender who is simply suffering from an infectious or contagious disease. To hold differently would lead to absurd results</w:t>
      </w:r>
      <w:r w:rsidR="00AB6D83" w:rsidRPr="0073660D">
        <w:rPr>
          <w:rFonts w:eastAsia="Calibri"/>
          <w:lang w:val="en-ZA"/>
        </w:rPr>
        <w:t>, so concluded the court a quo’s reasoning on this aspect</w:t>
      </w:r>
      <w:r w:rsidR="002B16A9" w:rsidRPr="0073660D">
        <w:rPr>
          <w:rFonts w:eastAsia="Calibri"/>
          <w:lang w:val="en-ZA"/>
        </w:rPr>
        <w:t>.</w:t>
      </w:r>
      <w:r w:rsidR="009C5CE7" w:rsidRPr="0073660D">
        <w:rPr>
          <w:rFonts w:eastAsia="Calibri"/>
          <w:lang w:val="en-ZA"/>
        </w:rPr>
        <w:t xml:space="preserve"> </w:t>
      </w:r>
    </w:p>
    <w:p w14:paraId="76CF8EC3" w14:textId="77777777" w:rsidR="00AB6D83" w:rsidRPr="00AB6D83" w:rsidRDefault="00AB6D83" w:rsidP="009F6186">
      <w:pPr>
        <w:pStyle w:val="ListParagraph"/>
        <w:spacing w:line="480" w:lineRule="auto"/>
        <w:ind w:left="0"/>
      </w:pPr>
    </w:p>
    <w:p w14:paraId="0DC00F4D" w14:textId="4C7FA5B8" w:rsidR="00AB6D83" w:rsidRPr="00AB6D83" w:rsidRDefault="0073660D" w:rsidP="0073660D">
      <w:pPr>
        <w:spacing w:line="480" w:lineRule="auto"/>
      </w:pPr>
      <w:r w:rsidRPr="00AB6D83">
        <w:t>[32]</w:t>
      </w:r>
      <w:r w:rsidRPr="00AB6D83">
        <w:tab/>
      </w:r>
      <w:r w:rsidR="007F08BD" w:rsidRPr="0073660D">
        <w:rPr>
          <w:rFonts w:eastAsia="Calibri"/>
          <w:lang w:val="en-ZA"/>
        </w:rPr>
        <w:t>On the question of</w:t>
      </w:r>
      <w:r w:rsidR="002D04CF" w:rsidRPr="0073660D">
        <w:rPr>
          <w:rFonts w:eastAsia="Calibri"/>
          <w:lang w:val="en-ZA"/>
        </w:rPr>
        <w:t xml:space="preserve"> the</w:t>
      </w:r>
      <w:r w:rsidR="007F08BD" w:rsidRPr="0073660D">
        <w:rPr>
          <w:rFonts w:eastAsia="Calibri"/>
          <w:lang w:val="en-ZA"/>
        </w:rPr>
        <w:t xml:space="preserve"> </w:t>
      </w:r>
      <w:r w:rsidR="007F08BD" w:rsidRPr="0073660D">
        <w:rPr>
          <w:rFonts w:eastAsia="Calibri"/>
          <w:i/>
          <w:lang w:val="en-ZA"/>
        </w:rPr>
        <w:t>audi</w:t>
      </w:r>
      <w:r w:rsidR="00AB6D83" w:rsidRPr="0073660D">
        <w:rPr>
          <w:rFonts w:eastAsia="Calibri"/>
          <w:i/>
          <w:lang w:val="en-ZA"/>
        </w:rPr>
        <w:t xml:space="preserve"> alteram partem</w:t>
      </w:r>
      <w:r w:rsidR="00AB6D83" w:rsidRPr="0073660D">
        <w:rPr>
          <w:rFonts w:eastAsia="Calibri"/>
          <w:lang w:val="en-ZA"/>
        </w:rPr>
        <w:t xml:space="preserve"> </w:t>
      </w:r>
      <w:r w:rsidR="001F4BE3" w:rsidRPr="0073660D">
        <w:rPr>
          <w:rFonts w:eastAsia="Calibri"/>
          <w:lang w:val="en-ZA"/>
        </w:rPr>
        <w:t xml:space="preserve">(‘hear the other side’) </w:t>
      </w:r>
      <w:r w:rsidR="00AB6D83" w:rsidRPr="0073660D">
        <w:rPr>
          <w:rFonts w:eastAsia="Calibri"/>
          <w:lang w:val="en-ZA"/>
        </w:rPr>
        <w:t>rule</w:t>
      </w:r>
      <w:r w:rsidR="007F08BD" w:rsidRPr="0073660D">
        <w:rPr>
          <w:rFonts w:eastAsia="Calibri"/>
          <w:lang w:val="en-ZA"/>
        </w:rPr>
        <w:t>, t</w:t>
      </w:r>
      <w:r w:rsidR="002B16A9" w:rsidRPr="0073660D">
        <w:rPr>
          <w:rFonts w:eastAsia="Calibri"/>
          <w:lang w:val="en-ZA"/>
        </w:rPr>
        <w:t>h</w:t>
      </w:r>
      <w:r w:rsidR="007F08BD" w:rsidRPr="0073660D">
        <w:rPr>
          <w:rFonts w:eastAsia="Calibri"/>
          <w:lang w:val="en-ZA"/>
        </w:rPr>
        <w:t xml:space="preserve">e </w:t>
      </w:r>
      <w:r w:rsidR="002B16A9" w:rsidRPr="0073660D">
        <w:rPr>
          <w:rFonts w:eastAsia="Calibri"/>
          <w:lang w:val="en-ZA"/>
        </w:rPr>
        <w:t xml:space="preserve">court </w:t>
      </w:r>
      <w:r w:rsidR="007F08BD" w:rsidRPr="0073660D">
        <w:rPr>
          <w:rFonts w:eastAsia="Calibri"/>
          <w:lang w:val="en-ZA"/>
        </w:rPr>
        <w:t xml:space="preserve">below held </w:t>
      </w:r>
      <w:r w:rsidR="002B16A9" w:rsidRPr="0073660D">
        <w:rPr>
          <w:rFonts w:eastAsia="Calibri"/>
          <w:lang w:val="en-ZA"/>
        </w:rPr>
        <w:t>that the app</w:t>
      </w:r>
      <w:r w:rsidR="007F08BD" w:rsidRPr="0073660D">
        <w:rPr>
          <w:rFonts w:eastAsia="Calibri"/>
          <w:lang w:val="en-ZA"/>
        </w:rPr>
        <w:t>el</w:t>
      </w:r>
      <w:r w:rsidR="00442286" w:rsidRPr="0073660D">
        <w:rPr>
          <w:rFonts w:eastAsia="Calibri"/>
          <w:lang w:val="en-ZA"/>
        </w:rPr>
        <w:t>lant</w:t>
      </w:r>
      <w:r w:rsidR="00CF2591" w:rsidRPr="0073660D">
        <w:rPr>
          <w:rFonts w:eastAsia="Calibri"/>
          <w:lang w:val="en-ZA"/>
        </w:rPr>
        <w:t xml:space="preserve"> </w:t>
      </w:r>
      <w:r w:rsidR="002B16A9" w:rsidRPr="0073660D">
        <w:rPr>
          <w:rFonts w:eastAsia="Calibri"/>
          <w:lang w:val="en-ZA"/>
        </w:rPr>
        <w:t>was afforded the opportunity to be heard during consultations</w:t>
      </w:r>
      <w:r w:rsidR="00253B03" w:rsidRPr="0073660D">
        <w:rPr>
          <w:rFonts w:eastAsia="Calibri"/>
          <w:lang w:val="en-ZA"/>
        </w:rPr>
        <w:t xml:space="preserve"> with the medical officer</w:t>
      </w:r>
      <w:r w:rsidR="002B16A9" w:rsidRPr="0073660D">
        <w:rPr>
          <w:rFonts w:eastAsia="Calibri"/>
          <w:lang w:val="en-ZA"/>
        </w:rPr>
        <w:t>.</w:t>
      </w:r>
    </w:p>
    <w:p w14:paraId="1C17A729" w14:textId="77777777" w:rsidR="00AB6D83" w:rsidRPr="00AB6D83" w:rsidRDefault="00AB6D83" w:rsidP="00442286">
      <w:pPr>
        <w:pStyle w:val="ListParagraph"/>
        <w:spacing w:line="480" w:lineRule="auto"/>
        <w:ind w:left="0"/>
        <w:rPr>
          <w:color w:val="242121"/>
          <w:shd w:val="clear" w:color="auto" w:fill="FFFFFF"/>
        </w:rPr>
      </w:pPr>
    </w:p>
    <w:p w14:paraId="747F563E" w14:textId="1DDAE6D2" w:rsidR="0009261D" w:rsidRPr="0009261D" w:rsidRDefault="0073660D" w:rsidP="0073660D">
      <w:pPr>
        <w:spacing w:line="480" w:lineRule="auto"/>
      </w:pPr>
      <w:r w:rsidRPr="0009261D">
        <w:t>[33]</w:t>
      </w:r>
      <w:r w:rsidRPr="0009261D">
        <w:tab/>
      </w:r>
      <w:r w:rsidR="002B16A9" w:rsidRPr="0073660D">
        <w:rPr>
          <w:color w:val="242121"/>
          <w:shd w:val="clear" w:color="auto" w:fill="FFFFFF"/>
        </w:rPr>
        <w:t>The</w:t>
      </w:r>
      <w:r w:rsidR="007F08BD" w:rsidRPr="0073660D">
        <w:rPr>
          <w:color w:val="242121"/>
          <w:shd w:val="clear" w:color="auto" w:fill="FFFFFF"/>
        </w:rPr>
        <w:t xml:space="preserve"> court </w:t>
      </w:r>
      <w:r w:rsidR="002364C8" w:rsidRPr="0073660D">
        <w:rPr>
          <w:color w:val="242121"/>
          <w:shd w:val="clear" w:color="auto" w:fill="FFFFFF"/>
        </w:rPr>
        <w:t xml:space="preserve">observed </w:t>
      </w:r>
      <w:r w:rsidR="007F08BD" w:rsidRPr="0073660D">
        <w:rPr>
          <w:color w:val="242121"/>
          <w:shd w:val="clear" w:color="auto" w:fill="FFFFFF"/>
        </w:rPr>
        <w:t xml:space="preserve">that the reasons for refusing to recommend the appellant’s release were given in the letter </w:t>
      </w:r>
      <w:r w:rsidR="007D6355" w:rsidRPr="0073660D">
        <w:rPr>
          <w:color w:val="242121"/>
          <w:shd w:val="clear" w:color="auto" w:fill="FFFFFF"/>
        </w:rPr>
        <w:t>dated 24 November 2022</w:t>
      </w:r>
      <w:r w:rsidR="00CF2591" w:rsidRPr="0073660D">
        <w:rPr>
          <w:color w:val="242121"/>
          <w:shd w:val="clear" w:color="auto" w:fill="FFFFFF"/>
        </w:rPr>
        <w:t>,</w:t>
      </w:r>
      <w:r w:rsidR="007D6355" w:rsidRPr="0073660D">
        <w:rPr>
          <w:color w:val="242121"/>
          <w:shd w:val="clear" w:color="auto" w:fill="FFFFFF"/>
        </w:rPr>
        <w:t xml:space="preserve"> addressed to the Minister. The court described the reasons stated therein as </w:t>
      </w:r>
      <w:r w:rsidR="002B16A9" w:rsidRPr="0073660D">
        <w:rPr>
          <w:color w:val="242121"/>
          <w:shd w:val="clear" w:color="auto" w:fill="FFFFFF"/>
        </w:rPr>
        <w:t xml:space="preserve">simple but </w:t>
      </w:r>
      <w:r w:rsidR="00CF2591" w:rsidRPr="0073660D">
        <w:rPr>
          <w:color w:val="242121"/>
          <w:shd w:val="clear" w:color="auto" w:fill="FFFFFF"/>
        </w:rPr>
        <w:t xml:space="preserve">sufficient </w:t>
      </w:r>
      <w:r w:rsidR="002B16A9" w:rsidRPr="0073660D">
        <w:rPr>
          <w:color w:val="242121"/>
          <w:shd w:val="clear" w:color="auto" w:fill="FFFFFF"/>
        </w:rPr>
        <w:t>explanat</w:t>
      </w:r>
      <w:r w:rsidR="00CF2591" w:rsidRPr="0073660D">
        <w:rPr>
          <w:color w:val="242121"/>
          <w:shd w:val="clear" w:color="auto" w:fill="FFFFFF"/>
        </w:rPr>
        <w:t xml:space="preserve">ion </w:t>
      </w:r>
      <w:r w:rsidR="002B16A9" w:rsidRPr="0073660D">
        <w:rPr>
          <w:color w:val="242121"/>
          <w:shd w:val="clear" w:color="auto" w:fill="FFFFFF"/>
        </w:rPr>
        <w:t xml:space="preserve">for the conclusion that </w:t>
      </w:r>
      <w:r w:rsidR="007D6355" w:rsidRPr="0073660D">
        <w:rPr>
          <w:color w:val="242121"/>
          <w:shd w:val="clear" w:color="auto" w:fill="FFFFFF"/>
        </w:rPr>
        <w:t>t</w:t>
      </w:r>
      <w:r w:rsidR="002B16A9" w:rsidRPr="0073660D">
        <w:rPr>
          <w:color w:val="242121"/>
          <w:shd w:val="clear" w:color="auto" w:fill="FFFFFF"/>
        </w:rPr>
        <w:t>h</w:t>
      </w:r>
      <w:r w:rsidR="007D6355" w:rsidRPr="0073660D">
        <w:rPr>
          <w:color w:val="242121"/>
          <w:shd w:val="clear" w:color="auto" w:fill="FFFFFF"/>
        </w:rPr>
        <w:t xml:space="preserve">e appellant’s </w:t>
      </w:r>
      <w:r w:rsidR="002B16A9" w:rsidRPr="0073660D">
        <w:rPr>
          <w:color w:val="242121"/>
          <w:shd w:val="clear" w:color="auto" w:fill="FFFFFF"/>
        </w:rPr>
        <w:t>continued incarceration d</w:t>
      </w:r>
      <w:r w:rsidR="007D6355" w:rsidRPr="0073660D">
        <w:rPr>
          <w:color w:val="242121"/>
          <w:shd w:val="clear" w:color="auto" w:fill="FFFFFF"/>
        </w:rPr>
        <w:t xml:space="preserve">id </w:t>
      </w:r>
      <w:r w:rsidR="002B16A9" w:rsidRPr="0073660D">
        <w:rPr>
          <w:color w:val="242121"/>
          <w:shd w:val="clear" w:color="auto" w:fill="FFFFFF"/>
        </w:rPr>
        <w:t xml:space="preserve">not affect his physical condition. </w:t>
      </w:r>
      <w:r w:rsidR="00CF2591" w:rsidRPr="0073660D">
        <w:rPr>
          <w:color w:val="242121"/>
          <w:shd w:val="clear" w:color="auto" w:fill="FFFFFF"/>
        </w:rPr>
        <w:t>The court thus found that the medical officer had properly complied with the court order of 14 November 2022 and that there could</w:t>
      </w:r>
      <w:r w:rsidR="00142F46" w:rsidRPr="0073660D">
        <w:rPr>
          <w:color w:val="242121"/>
          <w:shd w:val="clear" w:color="auto" w:fill="FFFFFF"/>
        </w:rPr>
        <w:t xml:space="preserve"> be</w:t>
      </w:r>
      <w:r w:rsidR="00CF2591" w:rsidRPr="0073660D">
        <w:rPr>
          <w:color w:val="242121"/>
          <w:shd w:val="clear" w:color="auto" w:fill="FFFFFF"/>
        </w:rPr>
        <w:t xml:space="preserve"> no basis for impugning his decision.</w:t>
      </w:r>
    </w:p>
    <w:p w14:paraId="24C65A49" w14:textId="77777777" w:rsidR="00AB6D83" w:rsidRDefault="00AB6D83" w:rsidP="009F6186">
      <w:pPr>
        <w:pStyle w:val="ListParagraph"/>
        <w:spacing w:line="480" w:lineRule="auto"/>
        <w:ind w:left="0"/>
        <w:rPr>
          <w:u w:val="single"/>
        </w:rPr>
      </w:pPr>
    </w:p>
    <w:p w14:paraId="43B5A350" w14:textId="6A5A4999" w:rsidR="0009261D" w:rsidRPr="00B56710" w:rsidRDefault="00DB2CFA" w:rsidP="00B56710">
      <w:pPr>
        <w:spacing w:line="480" w:lineRule="auto"/>
        <w:rPr>
          <w:u w:val="single"/>
        </w:rPr>
      </w:pPr>
      <w:r w:rsidRPr="00B56710">
        <w:rPr>
          <w:u w:val="single"/>
        </w:rPr>
        <w:t>Grounds of appeal and submissions of the parties</w:t>
      </w:r>
    </w:p>
    <w:p w14:paraId="7A1A5EA6" w14:textId="4280E9FA" w:rsidR="0009261D" w:rsidRPr="00B56710" w:rsidRDefault="0009261D" w:rsidP="00B56710">
      <w:pPr>
        <w:spacing w:line="480" w:lineRule="auto"/>
        <w:rPr>
          <w:i/>
        </w:rPr>
      </w:pPr>
      <w:r w:rsidRPr="00B56710">
        <w:rPr>
          <w:i/>
        </w:rPr>
        <w:t>The appellant</w:t>
      </w:r>
    </w:p>
    <w:p w14:paraId="6D68CF71" w14:textId="0E378258" w:rsidR="00AB6D83" w:rsidRDefault="0073660D" w:rsidP="0073660D">
      <w:pPr>
        <w:spacing w:line="480" w:lineRule="auto"/>
      </w:pPr>
      <w:r>
        <w:t>[34]</w:t>
      </w:r>
      <w:r>
        <w:tab/>
      </w:r>
      <w:r w:rsidR="002364C8">
        <w:t>T</w:t>
      </w:r>
      <w:r w:rsidR="00DB2CFA">
        <w:t>he appellant advanced three grounds of appeal</w:t>
      </w:r>
      <w:r w:rsidR="00E51C4D">
        <w:t xml:space="preserve">. The first is that the medical officer’s refusal </w:t>
      </w:r>
      <w:r w:rsidR="0009261D">
        <w:t>–</w:t>
      </w:r>
      <w:r w:rsidR="00C14A63">
        <w:t xml:space="preserve"> </w:t>
      </w:r>
      <w:r w:rsidR="00E51C4D">
        <w:t xml:space="preserve">as he </w:t>
      </w:r>
      <w:r w:rsidR="009640B5">
        <w:t xml:space="preserve">perceived </w:t>
      </w:r>
      <w:r w:rsidR="00E51C4D">
        <w:t>it</w:t>
      </w:r>
      <w:r w:rsidR="009640B5">
        <w:t xml:space="preserve"> </w:t>
      </w:r>
      <w:r w:rsidR="0009261D">
        <w:t>–</w:t>
      </w:r>
      <w:r w:rsidR="00E51C4D">
        <w:t xml:space="preserve"> to recommend the appellant’s release</w:t>
      </w:r>
      <w:r w:rsidR="00C14A63">
        <w:t xml:space="preserve"> was </w:t>
      </w:r>
      <w:r w:rsidR="00C14A63">
        <w:lastRenderedPageBreak/>
        <w:t>arbitrary, unreason</w:t>
      </w:r>
      <w:r w:rsidR="00E51C4D">
        <w:t>a</w:t>
      </w:r>
      <w:r w:rsidR="00C14A63">
        <w:t xml:space="preserve">ble and irrational. It was submitted in this regard </w:t>
      </w:r>
      <w:r w:rsidR="009640B5">
        <w:t xml:space="preserve">– persisting in the argument advanced in Part A of the application in the High Court </w:t>
      </w:r>
      <w:r w:rsidR="0009261D">
        <w:t>–</w:t>
      </w:r>
      <w:r w:rsidR="009640B5">
        <w:t xml:space="preserve"> </w:t>
      </w:r>
      <w:r w:rsidR="00C14A63">
        <w:t>that once the medical officer had determined that the appellant was suffering from a dangerous disease, the medical officer ha</w:t>
      </w:r>
      <w:r w:rsidR="009640B5">
        <w:t>d</w:t>
      </w:r>
      <w:r w:rsidR="00C14A63">
        <w:t xml:space="preserve"> no discretion but to make a recommendation to the Minister for the latter to authorise the appellant’s release.</w:t>
      </w:r>
      <w:r w:rsidR="009640B5">
        <w:t xml:space="preserve"> </w:t>
      </w:r>
    </w:p>
    <w:p w14:paraId="1CB3CA36" w14:textId="77777777" w:rsidR="00AB6D83" w:rsidRDefault="00AB6D83" w:rsidP="009F6186">
      <w:pPr>
        <w:pStyle w:val="ListParagraph"/>
        <w:spacing w:line="480" w:lineRule="auto"/>
        <w:ind w:left="0"/>
      </w:pPr>
    </w:p>
    <w:p w14:paraId="5505745B" w14:textId="229406DF" w:rsidR="0009261D" w:rsidRDefault="0073660D" w:rsidP="0073660D">
      <w:pPr>
        <w:spacing w:line="480" w:lineRule="auto"/>
      </w:pPr>
      <w:r>
        <w:t>[35]</w:t>
      </w:r>
      <w:r>
        <w:tab/>
      </w:r>
      <w:r w:rsidR="009640B5">
        <w:t>It was further argued that the medical officer’s refusal to recommend the appellant’s release after having determined that he was suffering from dangerous diseases was irrational a</w:t>
      </w:r>
      <w:r w:rsidR="00AB6D83">
        <w:t xml:space="preserve">s it was premised on an irrelevant </w:t>
      </w:r>
      <w:r w:rsidR="009640B5">
        <w:t>consideration that the interpretation of s 109 contended for by the appellant would empty correctional facilities of offenders suffering from dangerous diseases. The failure to make a recommendation had breached the appellant’s right to be released on medical grounds and violate</w:t>
      </w:r>
      <w:r w:rsidR="00AB6D83">
        <w:t>d</w:t>
      </w:r>
      <w:r w:rsidR="009640B5">
        <w:t xml:space="preserve"> his right to dignity in terms of Art 8 of the Constitution.</w:t>
      </w:r>
    </w:p>
    <w:p w14:paraId="6B3D09A2" w14:textId="77777777" w:rsidR="00AB6D83" w:rsidRDefault="00AB6D83" w:rsidP="009F6186">
      <w:pPr>
        <w:pStyle w:val="ListParagraph"/>
        <w:spacing w:line="480" w:lineRule="auto"/>
        <w:ind w:left="0"/>
      </w:pPr>
    </w:p>
    <w:p w14:paraId="05D99BA1" w14:textId="5E5BB380" w:rsidR="0009261D" w:rsidRDefault="0073660D" w:rsidP="0073660D">
      <w:pPr>
        <w:spacing w:line="480" w:lineRule="auto"/>
      </w:pPr>
      <w:r>
        <w:t>[36]</w:t>
      </w:r>
      <w:r>
        <w:tab/>
      </w:r>
      <w:r w:rsidR="009C0CEA">
        <w:t xml:space="preserve">The decision was argued to be unreasonable on the ground that </w:t>
      </w:r>
      <w:r w:rsidR="00FE2544">
        <w:t xml:space="preserve">a reasonable decision-maker, having determined that the appellant was suffering from two dangerous diseases, could not have declined to recommend his release. The appellant argued furthermore in this regard that </w:t>
      </w:r>
      <w:r w:rsidR="005051C3">
        <w:t>the letter from the Officer in c</w:t>
      </w:r>
      <w:r w:rsidR="00FE2544">
        <w:t xml:space="preserve">harge addressed to the Minister ‘without an iota of doubt’ was a recommendation for the appellant’s release, but that due to political interference owing </w:t>
      </w:r>
      <w:r w:rsidR="00442286">
        <w:t>to the offence the appellant had</w:t>
      </w:r>
      <w:r w:rsidR="00FE2544">
        <w:t xml:space="preserve"> been convicted of, his release was obstructed by the Minister.</w:t>
      </w:r>
    </w:p>
    <w:p w14:paraId="756D982E" w14:textId="77777777" w:rsidR="00AB6D83" w:rsidRDefault="00AB6D83" w:rsidP="009F6186">
      <w:pPr>
        <w:pStyle w:val="ListParagraph"/>
        <w:spacing w:line="480" w:lineRule="auto"/>
        <w:ind w:left="0"/>
      </w:pPr>
    </w:p>
    <w:p w14:paraId="0FB7C457" w14:textId="2F4BB168" w:rsidR="0009261D" w:rsidRDefault="0073660D" w:rsidP="0073660D">
      <w:pPr>
        <w:spacing w:line="480" w:lineRule="auto"/>
      </w:pPr>
      <w:r>
        <w:t>[37]</w:t>
      </w:r>
      <w:r>
        <w:tab/>
      </w:r>
      <w:r w:rsidR="00D36A8E">
        <w:t xml:space="preserve">On the second ground of the </w:t>
      </w:r>
      <w:r w:rsidR="00B56710">
        <w:t>alleged violation</w:t>
      </w:r>
      <w:r w:rsidR="00AC489E">
        <w:t xml:space="preserve"> of his right to </w:t>
      </w:r>
      <w:r w:rsidR="00D36A8E" w:rsidRPr="0073660D">
        <w:rPr>
          <w:i/>
        </w:rPr>
        <w:t>audi</w:t>
      </w:r>
      <w:r w:rsidR="00B840BF">
        <w:t xml:space="preserve"> or a hearing before the medical officer rendered his decision not to</w:t>
      </w:r>
      <w:r w:rsidR="00FE2544">
        <w:t xml:space="preserve"> </w:t>
      </w:r>
      <w:r w:rsidR="00B840BF">
        <w:t xml:space="preserve">recommend the appellant’s release, </w:t>
      </w:r>
      <w:r w:rsidR="008D54E0">
        <w:t xml:space="preserve">it was argued that </w:t>
      </w:r>
      <w:r w:rsidR="00B840BF">
        <w:t xml:space="preserve">the court a quo erred in holding that the consultation </w:t>
      </w:r>
      <w:r w:rsidR="00B840BF">
        <w:lastRenderedPageBreak/>
        <w:t xml:space="preserve">between the doctor and the patient sufficed for the purpose of fulfilling the function of </w:t>
      </w:r>
      <w:r w:rsidR="00B840BF" w:rsidRPr="0073660D">
        <w:rPr>
          <w:i/>
        </w:rPr>
        <w:t>audi alteram pa</w:t>
      </w:r>
      <w:r w:rsidR="008D54E0" w:rsidRPr="0073660D">
        <w:rPr>
          <w:i/>
        </w:rPr>
        <w:t>r</w:t>
      </w:r>
      <w:r w:rsidR="00B840BF" w:rsidRPr="0073660D">
        <w:rPr>
          <w:i/>
        </w:rPr>
        <w:t>tem</w:t>
      </w:r>
      <w:r w:rsidR="00B840BF">
        <w:t xml:space="preserve"> rule. The medical officer was under a duty before authoring the letter to the Minister, to invite the appellant to make representations to him on the decision he intended taking.</w:t>
      </w:r>
      <w:r w:rsidR="009640B5">
        <w:t xml:space="preserve"> </w:t>
      </w:r>
    </w:p>
    <w:p w14:paraId="65615E8C" w14:textId="77777777" w:rsidR="00AB6D83" w:rsidRDefault="00AB6D83" w:rsidP="009F6186">
      <w:pPr>
        <w:pStyle w:val="ListParagraph"/>
        <w:spacing w:line="480" w:lineRule="auto"/>
        <w:ind w:left="0"/>
      </w:pPr>
    </w:p>
    <w:p w14:paraId="233E3F0B" w14:textId="58C38E9D" w:rsidR="00AB6D83" w:rsidRDefault="0073660D" w:rsidP="0073660D">
      <w:pPr>
        <w:spacing w:line="480" w:lineRule="auto"/>
      </w:pPr>
      <w:r>
        <w:t>[38]</w:t>
      </w:r>
      <w:r>
        <w:tab/>
      </w:r>
      <w:r w:rsidR="008D54E0">
        <w:t>On the court’s interpretation of s 109(a) to the effect that the section should be interpreted to mean ‘a dangerous infectious or a dangerous contagious disease</w:t>
      </w:r>
      <w:r w:rsidR="00AB6D83">
        <w:t>’</w:t>
      </w:r>
      <w:r w:rsidR="008D54E0">
        <w:t xml:space="preserve">, the appellant submitted that such interpretation was not argued by the parties and that argument on the section was confined to the question whether or not the word ‘or’ between </w:t>
      </w:r>
      <w:r w:rsidR="00AB6D83">
        <w:t>paragraphs (a) and (b) of s</w:t>
      </w:r>
      <w:r w:rsidR="00442286">
        <w:t xml:space="preserve"> </w:t>
      </w:r>
      <w:r w:rsidR="008D54E0">
        <w:t xml:space="preserve">109 was conjunctive or disjunctive. The appellant’s legal practitioner thus criticised the court a quo for allegedly not only interpreting the section on a basis not canvassed with the parties, but also for interpreting it wrongly. </w:t>
      </w:r>
    </w:p>
    <w:p w14:paraId="26055E57" w14:textId="77777777" w:rsidR="00AB6D83" w:rsidRDefault="00AB6D83" w:rsidP="00B56710">
      <w:pPr>
        <w:pStyle w:val="ListParagraph"/>
        <w:spacing w:line="480" w:lineRule="auto"/>
        <w:ind w:left="0"/>
      </w:pPr>
    </w:p>
    <w:p w14:paraId="1140F11B" w14:textId="29D59E7C" w:rsidR="0009261D" w:rsidRDefault="0073660D" w:rsidP="0073660D">
      <w:pPr>
        <w:spacing w:line="480" w:lineRule="auto"/>
      </w:pPr>
      <w:r>
        <w:t>[39]</w:t>
      </w:r>
      <w:r>
        <w:tab/>
      </w:r>
      <w:r w:rsidR="008D54E0">
        <w:t xml:space="preserve">The appellant argued that the </w:t>
      </w:r>
      <w:r w:rsidR="00AB6D83">
        <w:t>effect</w:t>
      </w:r>
      <w:r w:rsidR="008D54E0">
        <w:t xml:space="preserve"> of the court a quo’s interpretation </w:t>
      </w:r>
      <w:r w:rsidR="00AB6D83">
        <w:t>wa</w:t>
      </w:r>
      <w:r w:rsidR="008D54E0">
        <w:t xml:space="preserve">s that because the appellant was not found to be suffering from ‘a dangerous infectious disease or a dangerous contagious disease’, then he was not eligible for release in terms of s 109(a), </w:t>
      </w:r>
      <w:r w:rsidR="00AB6D83">
        <w:t xml:space="preserve">for the reason that </w:t>
      </w:r>
      <w:r w:rsidR="008D54E0">
        <w:t>although the diseases he ha</w:t>
      </w:r>
      <w:r w:rsidR="002364C8">
        <w:t>d</w:t>
      </w:r>
      <w:r w:rsidR="008D54E0">
        <w:t xml:space="preserve"> been diagnosed </w:t>
      </w:r>
      <w:r w:rsidR="00142F46">
        <w:t>with</w:t>
      </w:r>
      <w:r w:rsidR="008D54E0">
        <w:t xml:space="preserve"> were dangerous, they were not infect</w:t>
      </w:r>
      <w:r w:rsidR="0009261D">
        <w:t>i</w:t>
      </w:r>
      <w:r w:rsidR="008D54E0">
        <w:t xml:space="preserve">ous. The appellant contended that in interpreting the section in that manner, the court usurped the </w:t>
      </w:r>
      <w:r w:rsidR="00AB6D83">
        <w:t>L</w:t>
      </w:r>
      <w:r w:rsidR="008D54E0">
        <w:t>egisl</w:t>
      </w:r>
      <w:r w:rsidR="00AB6D83">
        <w:t>atur</w:t>
      </w:r>
      <w:r w:rsidR="008D54E0">
        <w:t>e</w:t>
      </w:r>
      <w:r w:rsidR="00AB6D83">
        <w:t>’s</w:t>
      </w:r>
      <w:r w:rsidR="008D54E0">
        <w:t xml:space="preserve"> powers and as such its decision should be set aside</w:t>
      </w:r>
      <w:r w:rsidR="00AB6D83">
        <w:t xml:space="preserve"> on this basis</w:t>
      </w:r>
      <w:r w:rsidR="008D54E0">
        <w:t xml:space="preserve">. </w:t>
      </w:r>
    </w:p>
    <w:p w14:paraId="3513E8B2" w14:textId="77777777" w:rsidR="00AB6D83" w:rsidRDefault="00AB6D83" w:rsidP="009F6186">
      <w:pPr>
        <w:pStyle w:val="ListParagraph"/>
        <w:spacing w:line="480" w:lineRule="auto"/>
        <w:ind w:left="0"/>
      </w:pPr>
    </w:p>
    <w:p w14:paraId="127E52F0" w14:textId="7C9603A5" w:rsidR="0009261D" w:rsidRDefault="0073660D" w:rsidP="0073660D">
      <w:pPr>
        <w:spacing w:line="480" w:lineRule="auto"/>
      </w:pPr>
      <w:r>
        <w:t>[40]</w:t>
      </w:r>
      <w:r>
        <w:tab/>
      </w:r>
      <w:r w:rsidR="008D54E0">
        <w:t xml:space="preserve">Regarding the alleged failure to give reasons for the decision, the appellant argued that the court a quo misdirected itself in finding that the medical officer </w:t>
      </w:r>
      <w:r w:rsidR="008D54E0">
        <w:lastRenderedPageBreak/>
        <w:t xml:space="preserve">provided reasons for his refusal to recommend the appellant’s release as such alleged reasons were not apparent from the documents admitted in evidence. </w:t>
      </w:r>
    </w:p>
    <w:p w14:paraId="044F8F4A" w14:textId="77777777" w:rsidR="00AC489E" w:rsidRDefault="00AC489E" w:rsidP="00B56710">
      <w:pPr>
        <w:pStyle w:val="ListParagraph"/>
        <w:spacing w:line="480" w:lineRule="auto"/>
      </w:pPr>
    </w:p>
    <w:p w14:paraId="0C5E4C4A" w14:textId="0BFB19C5" w:rsidR="0009261D" w:rsidRDefault="0073660D" w:rsidP="0073660D">
      <w:pPr>
        <w:spacing w:line="480" w:lineRule="auto"/>
      </w:pPr>
      <w:r>
        <w:t>[41]</w:t>
      </w:r>
      <w:r>
        <w:tab/>
      </w:r>
      <w:r w:rsidR="008D54E0">
        <w:t xml:space="preserve">The appellant’s legal practitioner finally urged this Court to set aside the medical officer’s decision and direct the Minister to authorise the appellant’s release. He argued that there were compelling and exceptional circumstances warranting such a course of action: the appellant was a geriatric afflicted by multiple comorbidities, some of which </w:t>
      </w:r>
      <w:r w:rsidR="00AB6D83">
        <w:t>we</w:t>
      </w:r>
      <w:r w:rsidR="008D54E0">
        <w:t xml:space="preserve">re life-threatening. We were referred to decided cases of certain South African courts where courts in </w:t>
      </w:r>
      <w:r w:rsidR="00AB6D83">
        <w:t xml:space="preserve">that jurisdiction ordered </w:t>
      </w:r>
      <w:r w:rsidR="008D54E0">
        <w:t>functionaries to release offenders. These cases will be considered later in this judgment.</w:t>
      </w:r>
      <w:r w:rsidR="00E51C4D">
        <w:t xml:space="preserve"> </w:t>
      </w:r>
      <w:r w:rsidR="008D54E0">
        <w:t>Having summarised the appellant’s arguments, it remains to briefly consider those made on behalf of the respondents.</w:t>
      </w:r>
    </w:p>
    <w:p w14:paraId="465EF047" w14:textId="77777777" w:rsidR="0009261D" w:rsidRDefault="0009261D" w:rsidP="009F6186">
      <w:pPr>
        <w:pStyle w:val="ListParagraph"/>
        <w:spacing w:line="480" w:lineRule="auto"/>
        <w:ind w:left="0"/>
        <w:rPr>
          <w:i/>
        </w:rPr>
      </w:pPr>
    </w:p>
    <w:p w14:paraId="7102407C" w14:textId="7E70BF11" w:rsidR="0009261D" w:rsidRPr="0009261D" w:rsidRDefault="008D54E0" w:rsidP="00B56710">
      <w:pPr>
        <w:spacing w:line="480" w:lineRule="auto"/>
      </w:pPr>
      <w:r w:rsidRPr="00B56710">
        <w:rPr>
          <w:i/>
        </w:rPr>
        <w:t>Respondents</w:t>
      </w:r>
    </w:p>
    <w:p w14:paraId="079085D2" w14:textId="0C4A4432" w:rsidR="0009261D" w:rsidRDefault="0073660D" w:rsidP="0073660D">
      <w:pPr>
        <w:spacing w:line="480" w:lineRule="auto"/>
      </w:pPr>
      <w:r>
        <w:t>[42]</w:t>
      </w:r>
      <w:r>
        <w:tab/>
      </w:r>
      <w:r w:rsidR="008D54E0">
        <w:t xml:space="preserve">The respondents eschew the interpretation of s 109 contended for by the appellant. They argue that such interpretation would lead to unreasonable and absurd results. They contend that it </w:t>
      </w:r>
      <w:r w:rsidR="00AB6D83">
        <w:t>wa</w:t>
      </w:r>
      <w:r w:rsidR="008D54E0">
        <w:t xml:space="preserve">s not sufficient to simply tick off that an offender </w:t>
      </w:r>
      <w:r w:rsidR="00AB6D83">
        <w:t>wa</w:t>
      </w:r>
      <w:r w:rsidR="008D54E0">
        <w:t xml:space="preserve">s suffering from a dangerous disease then recommend his or her release on medical grounds. It was submitted that </w:t>
      </w:r>
      <w:r w:rsidR="00A1348A">
        <w:t xml:space="preserve">it is unfortunate that there is a disjunctive ‘or’ – as opposed to a </w:t>
      </w:r>
      <w:r w:rsidR="00CB2F77">
        <w:t>conj</w:t>
      </w:r>
      <w:r w:rsidR="00A1348A">
        <w:t xml:space="preserve">unctive ‘and’ – </w:t>
      </w:r>
      <w:r w:rsidR="008D54E0">
        <w:t xml:space="preserve">between </w:t>
      </w:r>
      <w:r w:rsidR="00A1348A">
        <w:t>paragraphs</w:t>
      </w:r>
      <w:r w:rsidR="008D54E0">
        <w:t xml:space="preserve"> (a) and (b) of s 109</w:t>
      </w:r>
      <w:r w:rsidR="00A1348A">
        <w:t>,</w:t>
      </w:r>
      <w:r w:rsidR="008D54E0">
        <w:t xml:space="preserve"> </w:t>
      </w:r>
      <w:r w:rsidR="002364C8">
        <w:t>because</w:t>
      </w:r>
      <w:r w:rsidR="008D54E0">
        <w:t xml:space="preserve"> in considering whether or not to recommend an offender’s release, it is required to also consider whether the offender’s continued incarceration would be detrimental to his or her health. </w:t>
      </w:r>
    </w:p>
    <w:p w14:paraId="52A120C0" w14:textId="77777777" w:rsidR="00AB6D83" w:rsidRDefault="00AB6D83" w:rsidP="009F6186">
      <w:pPr>
        <w:pStyle w:val="ListParagraph"/>
        <w:spacing w:line="480" w:lineRule="auto"/>
        <w:ind w:left="0"/>
      </w:pPr>
    </w:p>
    <w:p w14:paraId="028BE1A0" w14:textId="545407E4" w:rsidR="009C5CE7" w:rsidRPr="008D54E0" w:rsidRDefault="0073660D" w:rsidP="0073660D">
      <w:pPr>
        <w:spacing w:line="480" w:lineRule="auto"/>
      </w:pPr>
      <w:r w:rsidRPr="008D54E0">
        <w:lastRenderedPageBreak/>
        <w:t>[43]</w:t>
      </w:r>
      <w:r w:rsidRPr="008D54E0">
        <w:tab/>
      </w:r>
      <w:r w:rsidR="00D359B1">
        <w:t>In a nutshell, t</w:t>
      </w:r>
      <w:r w:rsidR="008D54E0">
        <w:t>he respondents support</w:t>
      </w:r>
      <w:r w:rsidR="00AB6D83">
        <w:t>ed</w:t>
      </w:r>
      <w:r w:rsidR="008D54E0">
        <w:t xml:space="preserve"> the judgment of the court a quo and </w:t>
      </w:r>
      <w:r w:rsidR="00AB6D83">
        <w:t>contended</w:t>
      </w:r>
      <w:r w:rsidR="008D54E0">
        <w:t xml:space="preserve"> that the appellant ha</w:t>
      </w:r>
      <w:r w:rsidR="002364C8">
        <w:t>d</w:t>
      </w:r>
      <w:r w:rsidR="008D54E0">
        <w:t xml:space="preserve"> not made out a case for the review of the medical officer’s decision</w:t>
      </w:r>
      <w:r w:rsidR="00AB6D83">
        <w:t>.</w:t>
      </w:r>
    </w:p>
    <w:p w14:paraId="7EC8870E" w14:textId="77777777" w:rsidR="00AB6D83" w:rsidRDefault="00AB6D83" w:rsidP="009F6186">
      <w:pPr>
        <w:spacing w:line="480" w:lineRule="auto"/>
        <w:rPr>
          <w:u w:val="single"/>
        </w:rPr>
      </w:pPr>
    </w:p>
    <w:p w14:paraId="6C43697F" w14:textId="036CC4DA" w:rsidR="00AC3D22" w:rsidRPr="00B56710" w:rsidRDefault="00AB6D83" w:rsidP="00B56710">
      <w:pPr>
        <w:pStyle w:val="ListParagraph"/>
        <w:spacing w:line="480" w:lineRule="auto"/>
        <w:ind w:left="0"/>
        <w:rPr>
          <w:u w:val="single"/>
        </w:rPr>
      </w:pPr>
      <w:r w:rsidRPr="00B56710">
        <w:rPr>
          <w:u w:val="single"/>
        </w:rPr>
        <w:t>Disposition</w:t>
      </w:r>
    </w:p>
    <w:p w14:paraId="5F32EE07" w14:textId="1760810C" w:rsidR="001305EF" w:rsidRPr="00B56710" w:rsidRDefault="001305EF" w:rsidP="00B56710">
      <w:pPr>
        <w:pStyle w:val="ListParagraph"/>
        <w:spacing w:line="480" w:lineRule="auto"/>
        <w:ind w:left="0"/>
        <w:rPr>
          <w:i/>
        </w:rPr>
      </w:pPr>
      <w:r w:rsidRPr="00B56710">
        <w:rPr>
          <w:i/>
        </w:rPr>
        <w:t>Release of an offender on medical grounds</w:t>
      </w:r>
    </w:p>
    <w:p w14:paraId="55207649" w14:textId="4A26318A" w:rsidR="00713BD7" w:rsidRDefault="0073660D" w:rsidP="0073660D">
      <w:pPr>
        <w:spacing w:line="480" w:lineRule="auto"/>
      </w:pPr>
      <w:r>
        <w:t>[44]</w:t>
      </w:r>
      <w:r>
        <w:tab/>
      </w:r>
      <w:r w:rsidR="0009261D">
        <w:t xml:space="preserve">In </w:t>
      </w:r>
      <w:r w:rsidR="006B2A08">
        <w:t>general, t</w:t>
      </w:r>
      <w:r w:rsidR="001305EF">
        <w:t>he release of an offender from a correctional facility on medical grounds can be justified for several reasons. Primarily, it addresses humanitarian concerns</w:t>
      </w:r>
      <w:r w:rsidR="008D54E0">
        <w:t xml:space="preserve"> and the </w:t>
      </w:r>
      <w:r w:rsidR="00AB6D83">
        <w:t xml:space="preserve">foundational </w:t>
      </w:r>
      <w:r w:rsidR="008D54E0">
        <w:t>constitutional value of dignity</w:t>
      </w:r>
      <w:r w:rsidR="00D359B1">
        <w:t xml:space="preserve"> of a human being,</w:t>
      </w:r>
      <w:r w:rsidR="001305EF">
        <w:t xml:space="preserve"> particularly in the case of terminally ill patients who require speci</w:t>
      </w:r>
      <w:r w:rsidR="006B2A08">
        <w:t>a</w:t>
      </w:r>
      <w:r w:rsidR="001305EF">
        <w:t>li</w:t>
      </w:r>
      <w:r w:rsidR="006B2A08">
        <w:t>s</w:t>
      </w:r>
      <w:r w:rsidR="001305EF">
        <w:t>ed medical care that</w:t>
      </w:r>
      <w:r w:rsidR="006B2A08">
        <w:t xml:space="preserve"> </w:t>
      </w:r>
      <w:r w:rsidR="001305EF">
        <w:t>may</w:t>
      </w:r>
      <w:r w:rsidR="006B2A08">
        <w:t xml:space="preserve"> </w:t>
      </w:r>
      <w:r w:rsidR="001305EF">
        <w:t>not be adequately provided within the correction</w:t>
      </w:r>
      <w:r w:rsidR="0009261D">
        <w:t>al</w:t>
      </w:r>
      <w:r w:rsidR="001305EF">
        <w:t xml:space="preserve"> service system. By allowing them to rece</w:t>
      </w:r>
      <w:r w:rsidR="006B2A08">
        <w:t>i</w:t>
      </w:r>
      <w:r w:rsidR="001305EF">
        <w:t>v</w:t>
      </w:r>
      <w:r w:rsidR="006B2A08">
        <w:t>e</w:t>
      </w:r>
      <w:r w:rsidR="001305EF">
        <w:t xml:space="preserve"> palliative </w:t>
      </w:r>
      <w:r w:rsidR="006B2A08">
        <w:t>care in a more appropriate setting, their rem</w:t>
      </w:r>
      <w:r w:rsidR="00713BD7">
        <w:t>a</w:t>
      </w:r>
      <w:r w:rsidR="006B2A08">
        <w:t>ining time can be spent with dignity, and potentially in the company of loved ones. This not only benefits the offender but also reduces the moral and financial burden on the correction</w:t>
      </w:r>
      <w:r w:rsidR="0009261D">
        <w:t>al</w:t>
      </w:r>
      <w:r w:rsidR="006B2A08">
        <w:t xml:space="preserve"> facilities system. </w:t>
      </w:r>
    </w:p>
    <w:p w14:paraId="0A8D09E0" w14:textId="77777777" w:rsidR="00AB6D83" w:rsidRDefault="00AB6D83" w:rsidP="009F6186">
      <w:pPr>
        <w:pStyle w:val="ListParagraph"/>
        <w:spacing w:line="480" w:lineRule="auto"/>
        <w:ind w:left="0"/>
      </w:pPr>
    </w:p>
    <w:p w14:paraId="361EEF56" w14:textId="3A78903E" w:rsidR="006B2A08" w:rsidRDefault="0073660D" w:rsidP="0073660D">
      <w:pPr>
        <w:spacing w:line="480" w:lineRule="auto"/>
      </w:pPr>
      <w:r>
        <w:t>[45]</w:t>
      </w:r>
      <w:r>
        <w:tab/>
      </w:r>
      <w:r w:rsidR="006B2A08">
        <w:t xml:space="preserve">Furthermore, such a release can help prevent the spread of infectious diseases within the overcrowded prison environment, protecting both the </w:t>
      </w:r>
      <w:r w:rsidR="00713BD7">
        <w:t xml:space="preserve">members of the correctional service </w:t>
      </w:r>
      <w:r w:rsidR="006B2A08">
        <w:t xml:space="preserve">and the incarcerated population. It is also worth noting that releasing medically frail offenders who no longer pose a significant threat to public safety can lead to more effective allocation of resources towards offenders who may require greater security measures. </w:t>
      </w:r>
    </w:p>
    <w:p w14:paraId="61278231" w14:textId="77777777" w:rsidR="00B56710" w:rsidRDefault="00B56710" w:rsidP="009F6186">
      <w:pPr>
        <w:pStyle w:val="ListParagraph"/>
        <w:spacing w:line="480" w:lineRule="auto"/>
        <w:ind w:left="0"/>
        <w:rPr>
          <w:i/>
        </w:rPr>
      </w:pPr>
    </w:p>
    <w:p w14:paraId="43BA7023" w14:textId="77777777" w:rsidR="00B56710" w:rsidRDefault="00B56710" w:rsidP="009F6186">
      <w:pPr>
        <w:pStyle w:val="ListParagraph"/>
        <w:spacing w:line="480" w:lineRule="auto"/>
        <w:ind w:left="0"/>
        <w:rPr>
          <w:i/>
        </w:rPr>
      </w:pPr>
    </w:p>
    <w:p w14:paraId="626CBC7D" w14:textId="77777777" w:rsidR="00B56710" w:rsidRDefault="00B56710" w:rsidP="009F6186">
      <w:pPr>
        <w:pStyle w:val="ListParagraph"/>
        <w:spacing w:line="480" w:lineRule="auto"/>
        <w:ind w:left="0"/>
        <w:rPr>
          <w:i/>
        </w:rPr>
      </w:pPr>
    </w:p>
    <w:p w14:paraId="76925797" w14:textId="6F270B46" w:rsidR="00AB6D83" w:rsidRPr="00AB6D83" w:rsidRDefault="00AB6D83" w:rsidP="009F6186">
      <w:pPr>
        <w:pStyle w:val="ListParagraph"/>
        <w:spacing w:line="480" w:lineRule="auto"/>
        <w:ind w:left="0"/>
        <w:rPr>
          <w:i/>
        </w:rPr>
      </w:pPr>
      <w:r w:rsidRPr="00AB6D83">
        <w:rPr>
          <w:i/>
        </w:rPr>
        <w:lastRenderedPageBreak/>
        <w:t>Section 109 of the Act</w:t>
      </w:r>
    </w:p>
    <w:p w14:paraId="4BFCCB8D" w14:textId="08D7C43E" w:rsidR="00DE3A8F" w:rsidRDefault="0073660D" w:rsidP="0073660D">
      <w:pPr>
        <w:spacing w:line="480" w:lineRule="auto"/>
      </w:pPr>
      <w:r>
        <w:t>[46]</w:t>
      </w:r>
      <w:r>
        <w:tab/>
      </w:r>
      <w:r w:rsidR="003935A3">
        <w:t xml:space="preserve">The </w:t>
      </w:r>
      <w:r w:rsidR="00656A47">
        <w:t>Act makes provision for the early release of an offender from a correction</w:t>
      </w:r>
      <w:r w:rsidR="00E831DD">
        <w:t>al</w:t>
      </w:r>
      <w:r w:rsidR="00656A47">
        <w:t xml:space="preserve"> facility</w:t>
      </w:r>
      <w:r w:rsidR="006B2A08">
        <w:t xml:space="preserve"> on </w:t>
      </w:r>
      <w:r w:rsidR="00083C36">
        <w:t xml:space="preserve">medical grounds. </w:t>
      </w:r>
      <w:r w:rsidR="00DE3A8F">
        <w:t xml:space="preserve">Section 109 </w:t>
      </w:r>
      <w:r w:rsidR="009C6D61">
        <w:t xml:space="preserve">is the relevant </w:t>
      </w:r>
      <w:r w:rsidR="00DE3A8F">
        <w:t>p</w:t>
      </w:r>
      <w:r w:rsidR="003935A3">
        <w:t>rovi</w:t>
      </w:r>
      <w:r w:rsidR="009C6D61">
        <w:t>sion</w:t>
      </w:r>
      <w:r w:rsidR="00DE3A8F">
        <w:t xml:space="preserve">. </w:t>
      </w:r>
      <w:r w:rsidR="00D359B1">
        <w:t xml:space="preserve">It is to be found in Part </w:t>
      </w:r>
      <w:r w:rsidR="0009261D">
        <w:t xml:space="preserve">XIII </w:t>
      </w:r>
      <w:r w:rsidR="00D359B1">
        <w:t>of the Act</w:t>
      </w:r>
      <w:r w:rsidR="0009261D">
        <w:t xml:space="preserve"> dealing with t</w:t>
      </w:r>
      <w:r w:rsidR="00DE3A8F">
        <w:t>h</w:t>
      </w:r>
      <w:r w:rsidR="003935A3">
        <w:t>e</w:t>
      </w:r>
      <w:r w:rsidR="00DE3A8F">
        <w:t xml:space="preserve"> </w:t>
      </w:r>
      <w:r w:rsidR="008D54E0">
        <w:t xml:space="preserve">release of offenders. It </w:t>
      </w:r>
      <w:r w:rsidR="0009261D">
        <w:t>provides</w:t>
      </w:r>
      <w:r w:rsidR="003935A3">
        <w:t xml:space="preserve"> </w:t>
      </w:r>
      <w:r w:rsidR="00DE3A8F">
        <w:t>as follows:</w:t>
      </w:r>
    </w:p>
    <w:p w14:paraId="0087F615" w14:textId="77777777" w:rsidR="00B56710" w:rsidRDefault="00B56710" w:rsidP="00AC489E">
      <w:pPr>
        <w:pStyle w:val="AS-P1"/>
        <w:spacing w:line="360" w:lineRule="auto"/>
        <w:ind w:left="720" w:right="0" w:firstLine="0"/>
        <w:rPr>
          <w:rFonts w:ascii="Arial" w:hAnsi="Arial" w:cs="Arial"/>
        </w:rPr>
      </w:pPr>
    </w:p>
    <w:p w14:paraId="130876FC" w14:textId="222A587D" w:rsidR="00BD713E" w:rsidRPr="00BD713E" w:rsidRDefault="006B2A08" w:rsidP="00AC489E">
      <w:pPr>
        <w:pStyle w:val="AS-P1"/>
        <w:spacing w:line="360" w:lineRule="auto"/>
        <w:ind w:left="720" w:right="0" w:firstLine="0"/>
        <w:rPr>
          <w:rFonts w:ascii="Arial" w:hAnsi="Arial" w:cs="Arial"/>
        </w:rPr>
      </w:pPr>
      <w:r>
        <w:rPr>
          <w:rFonts w:ascii="Arial" w:hAnsi="Arial" w:cs="Arial"/>
        </w:rPr>
        <w:t>‘</w:t>
      </w:r>
      <w:r w:rsidR="00BD713E" w:rsidRPr="00BD713E">
        <w:rPr>
          <w:rFonts w:ascii="Arial" w:hAnsi="Arial" w:cs="Arial"/>
        </w:rPr>
        <w:t>The Minister may, on the recommendation of the medical officer and after consultation with the Commissioner-General, authorise the release from the correctional facility of an offender serving any sentence in a correctional facility and -</w:t>
      </w:r>
    </w:p>
    <w:p w14:paraId="46C96056" w14:textId="091D0394" w:rsidR="00BD713E" w:rsidRPr="00BD713E" w:rsidRDefault="0073660D" w:rsidP="0073660D">
      <w:pPr>
        <w:pStyle w:val="AS-Pa"/>
        <w:spacing w:line="360" w:lineRule="auto"/>
        <w:ind w:left="1800" w:right="0" w:hanging="720"/>
        <w:rPr>
          <w:rFonts w:ascii="Arial" w:hAnsi="Arial" w:cs="Arial"/>
        </w:rPr>
      </w:pPr>
      <w:r w:rsidRPr="00BD713E">
        <w:rPr>
          <w:rFonts w:ascii="Arial" w:hAnsi="Arial" w:cs="Arial"/>
        </w:rPr>
        <w:t>(a)</w:t>
      </w:r>
      <w:r w:rsidRPr="00BD713E">
        <w:rPr>
          <w:rFonts w:ascii="Arial" w:hAnsi="Arial" w:cs="Arial"/>
        </w:rPr>
        <w:tab/>
      </w:r>
      <w:r w:rsidR="00BD713E" w:rsidRPr="00BD713E">
        <w:rPr>
          <w:rFonts w:ascii="Arial" w:hAnsi="Arial" w:cs="Arial"/>
        </w:rPr>
        <w:t>who is suffering from a dangerous, infectious or contagious disease; or</w:t>
      </w:r>
    </w:p>
    <w:p w14:paraId="3681A553" w14:textId="77777777" w:rsidR="00BD713E" w:rsidRPr="00BD713E" w:rsidRDefault="00BD713E" w:rsidP="00B56710">
      <w:pPr>
        <w:pStyle w:val="AS-Pa"/>
        <w:spacing w:line="360" w:lineRule="auto"/>
        <w:ind w:left="0" w:right="0" w:firstLine="0"/>
        <w:rPr>
          <w:rFonts w:ascii="Arial" w:hAnsi="Arial" w:cs="Arial"/>
        </w:rPr>
      </w:pPr>
    </w:p>
    <w:p w14:paraId="26B03214" w14:textId="0961D45F" w:rsidR="00BD713E" w:rsidRPr="00BD713E" w:rsidRDefault="0073660D" w:rsidP="0073660D">
      <w:pPr>
        <w:pStyle w:val="AS-Pa"/>
        <w:spacing w:line="360" w:lineRule="auto"/>
        <w:ind w:left="1800" w:right="0" w:hanging="720"/>
        <w:rPr>
          <w:rFonts w:ascii="Arial" w:hAnsi="Arial" w:cs="Arial"/>
        </w:rPr>
      </w:pPr>
      <w:r w:rsidRPr="00BD713E">
        <w:rPr>
          <w:rFonts w:ascii="Arial" w:hAnsi="Arial" w:cs="Arial"/>
        </w:rPr>
        <w:t>(b)</w:t>
      </w:r>
      <w:r w:rsidRPr="00BD713E">
        <w:rPr>
          <w:rFonts w:ascii="Arial" w:hAnsi="Arial" w:cs="Arial"/>
        </w:rPr>
        <w:tab/>
      </w:r>
      <w:r w:rsidR="00BD713E" w:rsidRPr="00BD713E">
        <w:rPr>
          <w:rFonts w:ascii="Arial" w:hAnsi="Arial" w:cs="Arial"/>
        </w:rPr>
        <w:t>whose continued incarceration is detrimental to his or her health on the grounds of his or her physical condition,</w:t>
      </w:r>
    </w:p>
    <w:p w14:paraId="507DE356" w14:textId="77777777" w:rsidR="00BD713E" w:rsidRPr="00BD713E" w:rsidRDefault="00BD713E" w:rsidP="00B56710">
      <w:pPr>
        <w:pStyle w:val="ListParagraph"/>
        <w:spacing w:line="360" w:lineRule="auto"/>
        <w:ind w:left="0"/>
        <w:rPr>
          <w:sz w:val="22"/>
          <w:szCs w:val="22"/>
        </w:rPr>
      </w:pPr>
    </w:p>
    <w:p w14:paraId="08872B51" w14:textId="2E21F9FE" w:rsidR="00BD713E" w:rsidRDefault="00BD713E" w:rsidP="00AC489E">
      <w:pPr>
        <w:pStyle w:val="ListParagraph"/>
        <w:spacing w:line="360" w:lineRule="auto"/>
        <w:rPr>
          <w:sz w:val="22"/>
          <w:szCs w:val="22"/>
        </w:rPr>
      </w:pPr>
      <w:r w:rsidRPr="00BD713E">
        <w:rPr>
          <w:sz w:val="22"/>
          <w:szCs w:val="22"/>
        </w:rPr>
        <w:t>either unconditionally or on such conditions as to parole or probation or as to special treatment as the Minister may determine.</w:t>
      </w:r>
      <w:r w:rsidR="006B2A08">
        <w:rPr>
          <w:sz w:val="22"/>
          <w:szCs w:val="22"/>
        </w:rPr>
        <w:t>’</w:t>
      </w:r>
    </w:p>
    <w:p w14:paraId="1E906862" w14:textId="77777777" w:rsidR="00083C36" w:rsidRPr="00BD713E" w:rsidRDefault="00083C36" w:rsidP="00B56710">
      <w:pPr>
        <w:pStyle w:val="ListParagraph"/>
        <w:spacing w:line="480" w:lineRule="auto"/>
        <w:ind w:left="0"/>
        <w:rPr>
          <w:sz w:val="22"/>
          <w:szCs w:val="22"/>
        </w:rPr>
      </w:pPr>
    </w:p>
    <w:p w14:paraId="17723E61" w14:textId="7430A61E" w:rsidR="00AB6D83" w:rsidRDefault="0073660D" w:rsidP="0073660D">
      <w:pPr>
        <w:spacing w:line="480" w:lineRule="auto"/>
      </w:pPr>
      <w:r>
        <w:t>[47]</w:t>
      </w:r>
      <w:r>
        <w:tab/>
      </w:r>
      <w:r w:rsidR="00AB6D83">
        <w:t>A closer examination o</w:t>
      </w:r>
      <w:r w:rsidR="008D54E0">
        <w:t>f th</w:t>
      </w:r>
      <w:r w:rsidR="0009261D">
        <w:t>e</w:t>
      </w:r>
      <w:r w:rsidR="008D54E0">
        <w:t xml:space="preserve"> </w:t>
      </w:r>
      <w:r w:rsidR="0009261D">
        <w:t>section s</w:t>
      </w:r>
      <w:r w:rsidR="00AB6D83">
        <w:t>hows</w:t>
      </w:r>
      <w:r w:rsidR="008D54E0">
        <w:t xml:space="preserve"> that its apparent purpose is to </w:t>
      </w:r>
      <w:r w:rsidR="00AB6D83">
        <w:t xml:space="preserve">facilitate the </w:t>
      </w:r>
      <w:r w:rsidR="008D54E0">
        <w:t xml:space="preserve">release </w:t>
      </w:r>
      <w:r w:rsidR="00AB6D83">
        <w:t xml:space="preserve">of </w:t>
      </w:r>
      <w:r w:rsidR="008D54E0">
        <w:t xml:space="preserve">an offender who meets the </w:t>
      </w:r>
      <w:r w:rsidR="00721B0C">
        <w:t xml:space="preserve">jurisdictional facts </w:t>
      </w:r>
      <w:r w:rsidR="008D54E0">
        <w:t xml:space="preserve">set in the section. </w:t>
      </w:r>
      <w:r w:rsidR="00AC3D22">
        <w:t xml:space="preserve">The </w:t>
      </w:r>
      <w:r w:rsidR="008D54E0">
        <w:t xml:space="preserve">section says that </w:t>
      </w:r>
      <w:r w:rsidR="00083C36">
        <w:t>the Minister may</w:t>
      </w:r>
      <w:r w:rsidR="00E831DD">
        <w:t xml:space="preserve"> –</w:t>
      </w:r>
      <w:r w:rsidR="00083C36">
        <w:t xml:space="preserve"> meaning in the context that the Minister has discretion</w:t>
      </w:r>
      <w:r w:rsidR="00721B0C">
        <w:t>,</w:t>
      </w:r>
      <w:r w:rsidR="008D54E0">
        <w:t xml:space="preserve"> </w:t>
      </w:r>
      <w:r w:rsidR="00AB6D83">
        <w:t>which of course is not unfettered</w:t>
      </w:r>
      <w:r w:rsidR="00E831DD">
        <w:t xml:space="preserve"> –</w:t>
      </w:r>
      <w:r w:rsidR="00AB6D83">
        <w:t xml:space="preserve"> </w:t>
      </w:r>
      <w:r w:rsidR="0009261D">
        <w:t xml:space="preserve">to </w:t>
      </w:r>
      <w:r w:rsidR="002453A9">
        <w:t xml:space="preserve">authorise the </w:t>
      </w:r>
      <w:r w:rsidR="00083C36">
        <w:t xml:space="preserve">release from the correctional facility an offender serving any sentence. The </w:t>
      </w:r>
      <w:r w:rsidR="002453A9">
        <w:t xml:space="preserve">use of ‘any sentence’ implies that the release of an offender is not confined to a particular sentence the offender is serving. Furthermore, the </w:t>
      </w:r>
      <w:r w:rsidR="00083C36">
        <w:t xml:space="preserve">Minister </w:t>
      </w:r>
      <w:r w:rsidR="00741584">
        <w:t xml:space="preserve">may not </w:t>
      </w:r>
      <w:r w:rsidR="002453A9">
        <w:t xml:space="preserve">authorise the </w:t>
      </w:r>
      <w:r w:rsidR="00083C36">
        <w:t xml:space="preserve">release </w:t>
      </w:r>
      <w:r w:rsidR="008D54E0">
        <w:t xml:space="preserve">of </w:t>
      </w:r>
      <w:r w:rsidR="00083C36">
        <w:t xml:space="preserve">an offender in terms of this section </w:t>
      </w:r>
      <w:r w:rsidR="00E831DD">
        <w:t>at</w:t>
      </w:r>
      <w:r w:rsidR="002453A9">
        <w:t xml:space="preserve"> </w:t>
      </w:r>
      <w:r w:rsidR="00083C36">
        <w:t xml:space="preserve">his own discretion. </w:t>
      </w:r>
    </w:p>
    <w:p w14:paraId="0203316E" w14:textId="77777777" w:rsidR="00AB6D83" w:rsidRDefault="00AB6D83" w:rsidP="00B56710">
      <w:pPr>
        <w:pStyle w:val="ListParagraph"/>
        <w:spacing w:line="480" w:lineRule="auto"/>
        <w:ind w:left="0"/>
      </w:pPr>
    </w:p>
    <w:p w14:paraId="20CC75AA" w14:textId="38EC5A00" w:rsidR="00AC3D22" w:rsidRDefault="0073660D" w:rsidP="0073660D">
      <w:pPr>
        <w:spacing w:line="480" w:lineRule="auto"/>
      </w:pPr>
      <w:r>
        <w:t>[48]</w:t>
      </w:r>
      <w:r>
        <w:tab/>
      </w:r>
      <w:r w:rsidR="00083C36">
        <w:t xml:space="preserve">First, there must be a recommendation </w:t>
      </w:r>
      <w:r w:rsidR="002453A9">
        <w:t xml:space="preserve">made </w:t>
      </w:r>
      <w:r w:rsidR="00083C36">
        <w:t>by a medical officer</w:t>
      </w:r>
      <w:r w:rsidR="002453A9">
        <w:t>,</w:t>
      </w:r>
      <w:r w:rsidR="00083C36">
        <w:t xml:space="preserve"> and secondly the Minister </w:t>
      </w:r>
      <w:r w:rsidR="00741584">
        <w:t xml:space="preserve">may release the offender after consultation with the </w:t>
      </w:r>
      <w:r w:rsidR="00741584">
        <w:lastRenderedPageBreak/>
        <w:t>Commissioner-General. An offender who may be released on medical grounds under this section is one suffering from a dangerous, infectious or contagious disease</w:t>
      </w:r>
      <w:r w:rsidR="00442286">
        <w:t xml:space="preserve"> and </w:t>
      </w:r>
      <w:r w:rsidR="00741584">
        <w:t xml:space="preserve">whose continued incarceration is detrimental to </w:t>
      </w:r>
      <w:r w:rsidR="008D54E0">
        <w:t xml:space="preserve">his or her </w:t>
      </w:r>
      <w:r w:rsidR="00741584">
        <w:t>health on the basis of the offender’s physical condition</w:t>
      </w:r>
      <w:r w:rsidR="00442286">
        <w:t>.</w:t>
      </w:r>
      <w:r w:rsidR="008D54E0">
        <w:t xml:space="preserve"> </w:t>
      </w:r>
      <w:r w:rsidR="002453A9">
        <w:t xml:space="preserve">Moreover, </w:t>
      </w:r>
      <w:r w:rsidR="00741584">
        <w:t>the Minister may release</w:t>
      </w:r>
      <w:r w:rsidR="00C64ADE">
        <w:t xml:space="preserve"> the offender </w:t>
      </w:r>
      <w:r w:rsidR="00741584">
        <w:t xml:space="preserve">unconditionally or </w:t>
      </w:r>
      <w:r w:rsidR="00251B1F">
        <w:t xml:space="preserve">on </w:t>
      </w:r>
      <w:r w:rsidR="00C64ADE">
        <w:t xml:space="preserve">such </w:t>
      </w:r>
      <w:r w:rsidR="00741584">
        <w:t>conditions as to parole or probation or as to special treatment as the Minister may determine.</w:t>
      </w:r>
    </w:p>
    <w:p w14:paraId="7A473EB2" w14:textId="374A03D5" w:rsidR="00854F01" w:rsidRDefault="00854F01" w:rsidP="009F6186">
      <w:pPr>
        <w:pStyle w:val="ListParagraph"/>
        <w:spacing w:line="480" w:lineRule="auto"/>
        <w:ind w:left="0"/>
      </w:pPr>
    </w:p>
    <w:p w14:paraId="25A536F8" w14:textId="6C067DFE" w:rsidR="00AC3D22" w:rsidRDefault="0073660D" w:rsidP="0073660D">
      <w:pPr>
        <w:spacing w:line="480" w:lineRule="auto"/>
      </w:pPr>
      <w:r>
        <w:t>[49]</w:t>
      </w:r>
      <w:r>
        <w:tab/>
      </w:r>
      <w:r w:rsidR="001F3619">
        <w:t xml:space="preserve">The </w:t>
      </w:r>
      <w:r w:rsidR="008D54E0">
        <w:t xml:space="preserve">thrust of the </w:t>
      </w:r>
      <w:r w:rsidR="001F3619">
        <w:t>appellant</w:t>
      </w:r>
      <w:r w:rsidR="008D54E0">
        <w:t>’s case is that</w:t>
      </w:r>
      <w:r w:rsidR="00471F16">
        <w:t xml:space="preserve"> a finding </w:t>
      </w:r>
      <w:r w:rsidR="008D54E0">
        <w:t xml:space="preserve">by a medical officer </w:t>
      </w:r>
      <w:r w:rsidR="00471F16">
        <w:t xml:space="preserve">that an offender is suffering from a dangerous disease in </w:t>
      </w:r>
      <w:r w:rsidR="00AB6D83">
        <w:t>paragraph</w:t>
      </w:r>
      <w:r w:rsidR="00471F16">
        <w:t xml:space="preserve"> (a) of s 109 is a sufficient trigger for an obligation on the part of the Minister to consult the Commissioner-General and </w:t>
      </w:r>
      <w:r w:rsidR="008D54E0">
        <w:t xml:space="preserve">authorise the </w:t>
      </w:r>
      <w:r w:rsidR="00471F16">
        <w:t xml:space="preserve">release </w:t>
      </w:r>
      <w:r w:rsidR="008D54E0">
        <w:t xml:space="preserve">of such </w:t>
      </w:r>
      <w:r w:rsidR="00471F16">
        <w:t xml:space="preserve">offender. According to the appellant, the use of the disjunctive ‘or’ between </w:t>
      </w:r>
      <w:r w:rsidR="00AB6D83">
        <w:t xml:space="preserve">the two paragraphs shows that each paragraph constitutes </w:t>
      </w:r>
      <w:r w:rsidR="0059685F">
        <w:t>distinct legal bas</w:t>
      </w:r>
      <w:r w:rsidR="00E831DD">
        <w:t>e</w:t>
      </w:r>
      <w:r w:rsidR="0059685F">
        <w:t xml:space="preserve">s upon which a recommendation could be made. Therefore, so the argument goes, once the medical officer has </w:t>
      </w:r>
      <w:r w:rsidR="008D54E0">
        <w:t xml:space="preserve">determined </w:t>
      </w:r>
      <w:r w:rsidR="0059685F">
        <w:t xml:space="preserve">that an offender is suffering from a dangerous disease, he </w:t>
      </w:r>
      <w:r w:rsidR="008D54E0">
        <w:t xml:space="preserve">or she </w:t>
      </w:r>
      <w:r w:rsidR="0059685F">
        <w:t>is not required to further consider whether or not</w:t>
      </w:r>
      <w:r w:rsidR="00A8088E">
        <w:t xml:space="preserve"> the continued incarceration of the offender will be detrimental to his health. </w:t>
      </w:r>
      <w:r w:rsidR="00D359B1">
        <w:t xml:space="preserve">The crisp question is whether or not </w:t>
      </w:r>
      <w:r w:rsidR="008D54E0">
        <w:t>this interpretation</w:t>
      </w:r>
      <w:r w:rsidR="0009261D">
        <w:t xml:space="preserve"> is</w:t>
      </w:r>
      <w:r w:rsidR="008D54E0">
        <w:t xml:space="preserve"> </w:t>
      </w:r>
      <w:r w:rsidR="002364C8">
        <w:t>tenable</w:t>
      </w:r>
      <w:r w:rsidR="00D359B1">
        <w:t>.</w:t>
      </w:r>
    </w:p>
    <w:p w14:paraId="7D1B9161" w14:textId="77777777" w:rsidR="00AC3D22" w:rsidRPr="00AC3D22" w:rsidRDefault="00AC3D22" w:rsidP="00B56710">
      <w:pPr>
        <w:spacing w:line="480" w:lineRule="auto"/>
      </w:pPr>
    </w:p>
    <w:p w14:paraId="2FAF526E" w14:textId="39FFC742" w:rsidR="009C5CE7" w:rsidRDefault="00A8088E" w:rsidP="009F6186">
      <w:pPr>
        <w:spacing w:line="480" w:lineRule="auto"/>
      </w:pPr>
      <w:r w:rsidRPr="00B56710">
        <w:rPr>
          <w:i/>
        </w:rPr>
        <w:t>The context and the subject matter of the legislation</w:t>
      </w:r>
      <w:r>
        <w:t xml:space="preserve"> </w:t>
      </w:r>
    </w:p>
    <w:p w14:paraId="2AFEAE51" w14:textId="0CA368E4" w:rsidR="00AB6D83" w:rsidRDefault="0073660D" w:rsidP="0073660D">
      <w:pPr>
        <w:spacing w:line="480" w:lineRule="auto"/>
      </w:pPr>
      <w:r>
        <w:t>[50]</w:t>
      </w:r>
      <w:r>
        <w:tab/>
      </w:r>
      <w:r w:rsidR="00D359B1">
        <w:t>Interpretation is an art of giving meaning to words contained in a document o</w:t>
      </w:r>
      <w:r w:rsidR="0009261D">
        <w:t>r</w:t>
      </w:r>
      <w:r w:rsidR="00D359B1">
        <w:t xml:space="preserve"> legislation. </w:t>
      </w:r>
      <w:r w:rsidR="000E4A23">
        <w:t xml:space="preserve">A document or legislation may call for interpretation because the provision or phrase in question </w:t>
      </w:r>
      <w:r w:rsidR="0009261D">
        <w:t>is</w:t>
      </w:r>
      <w:r w:rsidR="000E4A23">
        <w:t xml:space="preserve"> obscure or </w:t>
      </w:r>
      <w:r w:rsidR="0009261D">
        <w:t>ambiguous</w:t>
      </w:r>
      <w:r w:rsidR="000E4A23">
        <w:t xml:space="preserve">. </w:t>
      </w:r>
      <w:r w:rsidR="00FA6530">
        <w:t xml:space="preserve">In interpreting legislation, </w:t>
      </w:r>
      <w:r w:rsidR="00FA6530">
        <w:lastRenderedPageBreak/>
        <w:t xml:space="preserve">a court must </w:t>
      </w:r>
      <w:r w:rsidR="00D359B1">
        <w:t xml:space="preserve">pay attention </w:t>
      </w:r>
      <w:r w:rsidR="00FA6530">
        <w:t>to both the language and context of the legislation or document in question.</w:t>
      </w:r>
      <w:r w:rsidR="00FA6530">
        <w:rPr>
          <w:rStyle w:val="FootnoteReference"/>
        </w:rPr>
        <w:footnoteReference w:id="3"/>
      </w:r>
      <w:r w:rsidR="00FA6530">
        <w:t xml:space="preserve"> </w:t>
      </w:r>
    </w:p>
    <w:p w14:paraId="3ECD1B6D" w14:textId="77777777" w:rsidR="00AB6D83" w:rsidRDefault="00AB6D83" w:rsidP="009F6186">
      <w:pPr>
        <w:pStyle w:val="ListParagraph"/>
        <w:spacing w:line="480" w:lineRule="auto"/>
        <w:ind w:left="0"/>
      </w:pPr>
    </w:p>
    <w:p w14:paraId="2A77CF7F" w14:textId="3409695C" w:rsidR="000E4A23" w:rsidRDefault="0073660D" w:rsidP="0073660D">
      <w:pPr>
        <w:spacing w:line="480" w:lineRule="auto"/>
      </w:pPr>
      <w:r>
        <w:t>[51]</w:t>
      </w:r>
      <w:r>
        <w:tab/>
      </w:r>
      <w:r w:rsidR="00A8088E">
        <w:t xml:space="preserve">The </w:t>
      </w:r>
      <w:r w:rsidR="0009261D">
        <w:t xml:space="preserve">provision calling for interpretation </w:t>
      </w:r>
      <w:r w:rsidR="00A8088E">
        <w:t xml:space="preserve">is </w:t>
      </w:r>
      <w:r w:rsidR="0009261D">
        <w:t xml:space="preserve">contained in </w:t>
      </w:r>
      <w:r w:rsidR="00A8088E">
        <w:t xml:space="preserve">an </w:t>
      </w:r>
      <w:r w:rsidR="000E4A23">
        <w:t xml:space="preserve">expansive </w:t>
      </w:r>
      <w:r w:rsidR="00A8088E">
        <w:t>Act regulating correctional facilities</w:t>
      </w:r>
      <w:r w:rsidR="000E4A23">
        <w:t xml:space="preserve">, including the admission of </w:t>
      </w:r>
      <w:r w:rsidR="00AB6D83">
        <w:t xml:space="preserve">sentenced offenders </w:t>
      </w:r>
      <w:r w:rsidR="000E4A23">
        <w:t>to those facilities and their release therefrom</w:t>
      </w:r>
      <w:r w:rsidR="00A8088E">
        <w:t xml:space="preserve">. </w:t>
      </w:r>
      <w:r w:rsidR="000E4A23">
        <w:t>In the context of the present appeal, i</w:t>
      </w:r>
      <w:r w:rsidR="00A8088E">
        <w:t xml:space="preserve">t </w:t>
      </w:r>
      <w:r w:rsidR="000E4A23">
        <w:t xml:space="preserve">must surely have been </w:t>
      </w:r>
      <w:r w:rsidR="00A8088E">
        <w:t xml:space="preserve">in </w:t>
      </w:r>
      <w:r w:rsidR="000E4A23">
        <w:t xml:space="preserve">the </w:t>
      </w:r>
      <w:r w:rsidR="00A8088E">
        <w:t xml:space="preserve">contemplation of the law-giver that </w:t>
      </w:r>
      <w:r w:rsidR="008D54E0">
        <w:t xml:space="preserve">an </w:t>
      </w:r>
      <w:r w:rsidR="00A8088E">
        <w:t xml:space="preserve">offender may </w:t>
      </w:r>
      <w:r w:rsidR="008D54E0">
        <w:t xml:space="preserve">be </w:t>
      </w:r>
      <w:r w:rsidR="00FC4C32">
        <w:t xml:space="preserve">committed to a correctional facility to serve his or her sentence </w:t>
      </w:r>
      <w:r w:rsidR="00A8088E">
        <w:t>w</w:t>
      </w:r>
      <w:r w:rsidR="008D54E0">
        <w:t xml:space="preserve">hile suffering from </w:t>
      </w:r>
      <w:r w:rsidR="000E4A23">
        <w:t xml:space="preserve">a </w:t>
      </w:r>
      <w:r w:rsidR="00A8088E">
        <w:t xml:space="preserve">dangerous disease or </w:t>
      </w:r>
      <w:r w:rsidR="000E4A23">
        <w:t xml:space="preserve">that he or she </w:t>
      </w:r>
      <w:r w:rsidR="00A8088E">
        <w:t xml:space="preserve">may contract </w:t>
      </w:r>
      <w:r w:rsidR="000E4A23">
        <w:t xml:space="preserve">such disease </w:t>
      </w:r>
      <w:r w:rsidR="00A8088E">
        <w:t xml:space="preserve">while in the </w:t>
      </w:r>
      <w:r w:rsidR="008D54E0">
        <w:t xml:space="preserve">correctional </w:t>
      </w:r>
      <w:r w:rsidR="00A8088E">
        <w:t xml:space="preserve">facility. </w:t>
      </w:r>
    </w:p>
    <w:p w14:paraId="28241D76" w14:textId="77777777" w:rsidR="00AB6D83" w:rsidRDefault="00AB6D83" w:rsidP="009F6186">
      <w:pPr>
        <w:pStyle w:val="ListParagraph"/>
        <w:spacing w:line="480" w:lineRule="auto"/>
        <w:ind w:left="0"/>
      </w:pPr>
    </w:p>
    <w:p w14:paraId="347607A0" w14:textId="0280C50C" w:rsidR="000E4A23" w:rsidRDefault="0073660D" w:rsidP="0073660D">
      <w:pPr>
        <w:spacing w:line="480" w:lineRule="auto"/>
      </w:pPr>
      <w:r>
        <w:t>[52]</w:t>
      </w:r>
      <w:r>
        <w:tab/>
      </w:r>
      <w:r w:rsidR="00A8088E">
        <w:t xml:space="preserve">If the interpretation contended for the appellant is to be adopted, it would </w:t>
      </w:r>
      <w:r w:rsidR="000E4A23">
        <w:t xml:space="preserve">mean for example, that </w:t>
      </w:r>
      <w:r w:rsidR="00A8088E">
        <w:t xml:space="preserve">an offender </w:t>
      </w:r>
      <w:r w:rsidR="0009261D">
        <w:t xml:space="preserve">determined to be </w:t>
      </w:r>
      <w:r w:rsidR="00A8088E">
        <w:t xml:space="preserve">suffering from a dangerous, </w:t>
      </w:r>
      <w:r w:rsidR="008D54E0">
        <w:t xml:space="preserve">infectious or </w:t>
      </w:r>
      <w:r w:rsidR="00A8088E">
        <w:t xml:space="preserve">contagious </w:t>
      </w:r>
      <w:r w:rsidR="008D54E0">
        <w:t xml:space="preserve">disease </w:t>
      </w:r>
      <w:r w:rsidR="000E4A23">
        <w:t>upon his committal to a correctional facility on his day of sentence must</w:t>
      </w:r>
      <w:r w:rsidR="00A8088E">
        <w:t xml:space="preserve"> be recommended </w:t>
      </w:r>
      <w:r w:rsidR="000E4A23">
        <w:t xml:space="preserve">and authorised </w:t>
      </w:r>
      <w:r w:rsidR="00A8088E">
        <w:t>for release on medical grounds</w:t>
      </w:r>
      <w:r w:rsidR="00721B0C">
        <w:t>,</w:t>
      </w:r>
      <w:r w:rsidR="00A8088E">
        <w:t xml:space="preserve"> irrespective of the facilities that may be available </w:t>
      </w:r>
      <w:r w:rsidR="000E4A23">
        <w:t xml:space="preserve">in the Correctional Service system </w:t>
      </w:r>
      <w:r w:rsidR="00A8088E">
        <w:t xml:space="preserve">to </w:t>
      </w:r>
      <w:r w:rsidR="0009261D">
        <w:t>manage his or her condition</w:t>
      </w:r>
      <w:r w:rsidR="00A8088E">
        <w:t xml:space="preserve">. </w:t>
      </w:r>
      <w:r w:rsidR="00721B0C">
        <w:t>It would also mean, that an offender suffering from Influenza (Flu) or</w:t>
      </w:r>
      <w:r w:rsidR="00C60F5F">
        <w:t xml:space="preserve"> the</w:t>
      </w:r>
      <w:r w:rsidR="00721B0C">
        <w:t xml:space="preserve"> Coronavirus disease</w:t>
      </w:r>
      <w:r w:rsidR="00B64108">
        <w:t xml:space="preserve"> (COVID-19)</w:t>
      </w:r>
      <w:r w:rsidR="00721B0C">
        <w:t xml:space="preserve"> must likewise be recommended for release on medical grounds. Both </w:t>
      </w:r>
      <w:r w:rsidR="00AB6D83">
        <w:t>conditions</w:t>
      </w:r>
      <w:r w:rsidR="00721B0C">
        <w:t xml:space="preserve"> are </w:t>
      </w:r>
      <w:r w:rsidR="006B4D98">
        <w:t>contagious respiratory</w:t>
      </w:r>
      <w:r w:rsidR="00B64108">
        <w:t xml:space="preserve"> illness</w:t>
      </w:r>
      <w:r w:rsidR="006B4D98">
        <w:t>es</w:t>
      </w:r>
      <w:r w:rsidR="00B64108">
        <w:t xml:space="preserve"> that are caused by different virus</w:t>
      </w:r>
      <w:r w:rsidR="006B4D98">
        <w:t>es</w:t>
      </w:r>
      <w:r w:rsidR="00721B0C">
        <w:rPr>
          <w:rStyle w:val="FootnoteReference"/>
        </w:rPr>
        <w:footnoteReference w:id="4"/>
      </w:r>
      <w:r w:rsidR="00721B0C">
        <w:t xml:space="preserve"> and </w:t>
      </w:r>
      <w:r w:rsidR="006B4D98">
        <w:t xml:space="preserve">are </w:t>
      </w:r>
      <w:r w:rsidR="00721B0C">
        <w:t>also classified as infectious</w:t>
      </w:r>
      <w:r w:rsidR="00B64108">
        <w:t xml:space="preserve"> respiratory viral infections</w:t>
      </w:r>
      <w:r w:rsidR="00721B0C">
        <w:t>.</w:t>
      </w:r>
      <w:r w:rsidR="00721B0C">
        <w:rPr>
          <w:rStyle w:val="FootnoteReference"/>
        </w:rPr>
        <w:footnoteReference w:id="5"/>
      </w:r>
    </w:p>
    <w:p w14:paraId="6EB45106" w14:textId="43139C52" w:rsidR="00733C70" w:rsidRDefault="0073660D" w:rsidP="0073660D">
      <w:pPr>
        <w:spacing w:line="480" w:lineRule="auto"/>
      </w:pPr>
      <w:r>
        <w:lastRenderedPageBreak/>
        <w:t>[53]</w:t>
      </w:r>
      <w:r>
        <w:tab/>
      </w:r>
      <w:r w:rsidR="00FC4C32">
        <w:t xml:space="preserve">The appellant’s argument that </w:t>
      </w:r>
      <w:r w:rsidR="00AB6D83">
        <w:t xml:space="preserve">the </w:t>
      </w:r>
      <w:r w:rsidR="00FC4C32">
        <w:t>c</w:t>
      </w:r>
      <w:r w:rsidR="00AB6D83">
        <w:t xml:space="preserve">riteria </w:t>
      </w:r>
      <w:r w:rsidR="00FC4C32">
        <w:t>set in para</w:t>
      </w:r>
      <w:r w:rsidR="00B64108">
        <w:t xml:space="preserve">s </w:t>
      </w:r>
      <w:r w:rsidR="0009261D">
        <w:t>(a) and (b)</w:t>
      </w:r>
      <w:r w:rsidR="00AB6D83">
        <w:t xml:space="preserve"> </w:t>
      </w:r>
      <w:r w:rsidR="00FC4C32">
        <w:t xml:space="preserve">of s 109 </w:t>
      </w:r>
      <w:r w:rsidR="00721B0C">
        <w:t xml:space="preserve">contain distinctive legal bases </w:t>
      </w:r>
      <w:r w:rsidR="0009261D">
        <w:t xml:space="preserve">is </w:t>
      </w:r>
      <w:r w:rsidR="00FC4C32">
        <w:t xml:space="preserve">predicated upon the use of the disjunctive ‘or’ between the two paragraphs. </w:t>
      </w:r>
    </w:p>
    <w:p w14:paraId="169551F6" w14:textId="77777777" w:rsidR="00733C70" w:rsidRDefault="00733C70" w:rsidP="00B56710">
      <w:pPr>
        <w:pStyle w:val="ListParagraph"/>
        <w:spacing w:line="480" w:lineRule="auto"/>
        <w:ind w:left="0"/>
      </w:pPr>
    </w:p>
    <w:p w14:paraId="040B9CB9" w14:textId="2CC15C3E" w:rsidR="00721B0C" w:rsidRDefault="0073660D" w:rsidP="0073660D">
      <w:pPr>
        <w:spacing w:line="480" w:lineRule="auto"/>
      </w:pPr>
      <w:r>
        <w:t>[54]</w:t>
      </w:r>
      <w:r>
        <w:tab/>
      </w:r>
      <w:r w:rsidR="00FC4C32">
        <w:t xml:space="preserve">It is a notorious fact that </w:t>
      </w:r>
      <w:r w:rsidR="00733C70">
        <w:t>occasionally</w:t>
      </w:r>
      <w:r w:rsidR="008D54E0">
        <w:t xml:space="preserve"> the Legislature unfortunately uses the words ‘and’ and ‘or’</w:t>
      </w:r>
      <w:r w:rsidR="000E4A23">
        <w:t xml:space="preserve"> in legislation</w:t>
      </w:r>
      <w:r w:rsidR="0009261D">
        <w:t xml:space="preserve"> inaccurately</w:t>
      </w:r>
      <w:r w:rsidR="00721B0C">
        <w:t xml:space="preserve"> and </w:t>
      </w:r>
      <w:r w:rsidR="00AB6D83">
        <w:t xml:space="preserve">law reports </w:t>
      </w:r>
      <w:r w:rsidR="00721B0C">
        <w:t xml:space="preserve">are </w:t>
      </w:r>
      <w:r w:rsidR="00AB6D83">
        <w:t xml:space="preserve">littered with dicta in which </w:t>
      </w:r>
      <w:r w:rsidR="00721B0C">
        <w:t>one of th</w:t>
      </w:r>
      <w:r w:rsidR="00733C70">
        <w:t>ose words</w:t>
      </w:r>
      <w:r w:rsidR="00721B0C">
        <w:t xml:space="preserve"> was held to be the equivalent of the other</w:t>
      </w:r>
      <w:r w:rsidR="008D54E0">
        <w:t>.</w:t>
      </w:r>
      <w:r w:rsidR="008D54E0">
        <w:rPr>
          <w:rStyle w:val="FootnoteReference"/>
        </w:rPr>
        <w:footnoteReference w:id="6"/>
      </w:r>
      <w:r w:rsidR="008D54E0">
        <w:t xml:space="preserve"> </w:t>
      </w:r>
      <w:r w:rsidR="00B64108">
        <w:t xml:space="preserve">Whether or not the words are used inaccurately </w:t>
      </w:r>
      <w:r w:rsidR="007973CC">
        <w:t xml:space="preserve">depends </w:t>
      </w:r>
      <w:r w:rsidR="00B64108">
        <w:t>on the context and subject matter of the provision</w:t>
      </w:r>
      <w:r w:rsidR="007973CC">
        <w:t>.</w:t>
      </w:r>
      <w:r w:rsidR="007973CC">
        <w:rPr>
          <w:rStyle w:val="FootnoteReference"/>
        </w:rPr>
        <w:footnoteReference w:id="7"/>
      </w:r>
      <w:r w:rsidR="00B64108">
        <w:t xml:space="preserve"> </w:t>
      </w:r>
      <w:r w:rsidR="008D54E0">
        <w:t xml:space="preserve">It would appear to be the </w:t>
      </w:r>
      <w:r w:rsidR="00721B0C">
        <w:t xml:space="preserve">position that </w:t>
      </w:r>
      <w:r w:rsidR="008D54E0">
        <w:t xml:space="preserve">the disjunctive ‘or’ between the two </w:t>
      </w:r>
      <w:r w:rsidR="0009261D">
        <w:t xml:space="preserve">paragraphs </w:t>
      </w:r>
      <w:r w:rsidR="00721B0C">
        <w:t xml:space="preserve">in </w:t>
      </w:r>
      <w:r w:rsidR="008D54E0">
        <w:t>s 109</w:t>
      </w:r>
      <w:r w:rsidR="00721B0C">
        <w:t xml:space="preserve"> was used </w:t>
      </w:r>
      <w:r w:rsidR="00AB6D83">
        <w:t>inaccurately</w:t>
      </w:r>
      <w:r w:rsidR="008D54E0">
        <w:t xml:space="preserve">. </w:t>
      </w:r>
    </w:p>
    <w:p w14:paraId="4E82C248" w14:textId="77777777" w:rsidR="00AB6D83" w:rsidRDefault="00AB6D83" w:rsidP="009F6186">
      <w:pPr>
        <w:pStyle w:val="ListParagraph"/>
        <w:spacing w:line="480" w:lineRule="auto"/>
        <w:ind w:left="0"/>
      </w:pPr>
    </w:p>
    <w:p w14:paraId="18327B92" w14:textId="4E9CF34F" w:rsidR="008D54E0" w:rsidRDefault="0073660D" w:rsidP="0073660D">
      <w:pPr>
        <w:spacing w:line="480" w:lineRule="auto"/>
      </w:pPr>
      <w:r>
        <w:t>[55]</w:t>
      </w:r>
      <w:r>
        <w:tab/>
      </w:r>
      <w:r w:rsidR="00721B0C">
        <w:t>In the context</w:t>
      </w:r>
      <w:r w:rsidR="0009261D">
        <w:t>, i</w:t>
      </w:r>
      <w:r w:rsidR="000E4A23">
        <w:t xml:space="preserve">t can </w:t>
      </w:r>
      <w:r w:rsidR="00AB6D83">
        <w:t>safely be assumed that the l</w:t>
      </w:r>
      <w:r w:rsidR="008D54E0">
        <w:t>egislat</w:t>
      </w:r>
      <w:r w:rsidR="00AB6D83">
        <w:t>or</w:t>
      </w:r>
      <w:r w:rsidR="000E4A23">
        <w:t xml:space="preserve"> </w:t>
      </w:r>
      <w:r w:rsidR="00AB6D83">
        <w:t xml:space="preserve">could never have intended </w:t>
      </w:r>
      <w:r w:rsidR="000E4A23">
        <w:t xml:space="preserve">to produce </w:t>
      </w:r>
      <w:r w:rsidR="008D54E0">
        <w:t>a</w:t>
      </w:r>
      <w:r w:rsidR="000E4A23">
        <w:t xml:space="preserve"> result that an offender suffering from a dangerous, infectious or contagious disease should </w:t>
      </w:r>
      <w:r w:rsidR="0009261D">
        <w:t xml:space="preserve">potentially </w:t>
      </w:r>
      <w:r w:rsidR="000E4A23">
        <w:t xml:space="preserve">not </w:t>
      </w:r>
      <w:r w:rsidR="00FC4C32">
        <w:t>serve his or her sentence</w:t>
      </w:r>
      <w:r w:rsidR="000E4A23">
        <w:t xml:space="preserve">. </w:t>
      </w:r>
      <w:r w:rsidR="0009261D">
        <w:t xml:space="preserve">To give the </w:t>
      </w:r>
      <w:r w:rsidR="00AB6D83">
        <w:t>provision th</w:t>
      </w:r>
      <w:r w:rsidR="00733C70">
        <w:t>is</w:t>
      </w:r>
      <w:r w:rsidR="00AB6D83">
        <w:t xml:space="preserve"> meaning</w:t>
      </w:r>
      <w:r w:rsidR="00733C70">
        <w:t>,</w:t>
      </w:r>
      <w:r w:rsidR="00AB6D83">
        <w:t xml:space="preserve"> </w:t>
      </w:r>
      <w:r w:rsidR="0009261D">
        <w:t>contended for by the appellant</w:t>
      </w:r>
      <w:r w:rsidR="00733C70">
        <w:t>,</w:t>
      </w:r>
      <w:r w:rsidR="0009261D">
        <w:t xml:space="preserve"> would simply undermine the correctional service </w:t>
      </w:r>
      <w:r w:rsidR="00AB6D83">
        <w:t xml:space="preserve">regime </w:t>
      </w:r>
      <w:r w:rsidR="0009261D">
        <w:t xml:space="preserve">and </w:t>
      </w:r>
      <w:r w:rsidR="00AB6D83">
        <w:t xml:space="preserve">to that extent </w:t>
      </w:r>
      <w:r w:rsidR="0009261D">
        <w:t>would be absurd.</w:t>
      </w:r>
    </w:p>
    <w:p w14:paraId="7F1B2FEC" w14:textId="77777777" w:rsidR="00AB6D83" w:rsidRDefault="00AB6D83" w:rsidP="009F6186">
      <w:pPr>
        <w:pStyle w:val="ListParagraph"/>
        <w:spacing w:line="480" w:lineRule="auto"/>
        <w:ind w:left="0"/>
      </w:pPr>
    </w:p>
    <w:p w14:paraId="0B267FB4" w14:textId="174AD438" w:rsidR="0009261D" w:rsidRDefault="0073660D" w:rsidP="0073660D">
      <w:pPr>
        <w:spacing w:line="480" w:lineRule="auto"/>
      </w:pPr>
      <w:r>
        <w:t>[56]</w:t>
      </w:r>
      <w:r>
        <w:tab/>
      </w:r>
      <w:r w:rsidR="008D54E0">
        <w:t xml:space="preserve">To avoid such result, the word ‘or’ between the two paragraphs </w:t>
      </w:r>
      <w:r w:rsidR="0009261D">
        <w:t>should be read to mean ‘</w:t>
      </w:r>
      <w:r w:rsidR="0009261D" w:rsidRPr="00AB6D83">
        <w:t>and</w:t>
      </w:r>
      <w:r w:rsidR="0009261D">
        <w:t>’</w:t>
      </w:r>
      <w:r w:rsidR="008D54E0">
        <w:t>.</w:t>
      </w:r>
      <w:r w:rsidR="0009261D">
        <w:t xml:space="preserve"> </w:t>
      </w:r>
      <w:r w:rsidR="00AB6D83">
        <w:t xml:space="preserve">This is a sensible approach that would not render the </w:t>
      </w:r>
      <w:r w:rsidR="00733C70">
        <w:t xml:space="preserve">meaning of the </w:t>
      </w:r>
      <w:r w:rsidR="00AB6D83">
        <w:t xml:space="preserve">provision absurd. </w:t>
      </w:r>
      <w:r w:rsidR="008D54E0">
        <w:t>I</w:t>
      </w:r>
      <w:r w:rsidR="00FC4C32">
        <w:t>t follows that i</w:t>
      </w:r>
      <w:r w:rsidR="008D54E0">
        <w:t xml:space="preserve">n considering whether </w:t>
      </w:r>
      <w:r w:rsidR="00FC4C32">
        <w:t xml:space="preserve">or not </w:t>
      </w:r>
      <w:r w:rsidR="008D54E0">
        <w:t xml:space="preserve">to recommend an offender’s release on medical grounds, additional to determining whether the offender is suffering from a dangerous, infectious or contagious disease, it is required of the medical officer to further enquire and determine whether or not the </w:t>
      </w:r>
      <w:r w:rsidR="008D54E0">
        <w:lastRenderedPageBreak/>
        <w:t xml:space="preserve">continued incarceration in the circumstances will be detrimental to the offender’s health. </w:t>
      </w:r>
    </w:p>
    <w:p w14:paraId="2F273095" w14:textId="77777777" w:rsidR="00AB6D83" w:rsidRDefault="00AB6D83" w:rsidP="009F6186">
      <w:pPr>
        <w:pStyle w:val="ListParagraph"/>
        <w:spacing w:line="480" w:lineRule="auto"/>
        <w:ind w:left="0"/>
      </w:pPr>
    </w:p>
    <w:p w14:paraId="553BA09C" w14:textId="324FDD0F" w:rsidR="00733C70" w:rsidRDefault="0073660D" w:rsidP="0073660D">
      <w:pPr>
        <w:spacing w:line="480" w:lineRule="auto"/>
      </w:pPr>
      <w:r>
        <w:t>[57]</w:t>
      </w:r>
      <w:r>
        <w:tab/>
      </w:r>
      <w:r w:rsidR="008D54E0">
        <w:t xml:space="preserve">This </w:t>
      </w:r>
      <w:r w:rsidR="00EB7DE0">
        <w:t xml:space="preserve">is </w:t>
      </w:r>
      <w:r w:rsidR="008D54E0">
        <w:t xml:space="preserve">how the medical officer appears to have approached the section. </w:t>
      </w:r>
      <w:r w:rsidR="0009261D">
        <w:t xml:space="preserve">His </w:t>
      </w:r>
      <w:r w:rsidR="008D54E0">
        <w:t>a</w:t>
      </w:r>
      <w:r w:rsidR="0009261D">
        <w:t xml:space="preserve">pproach in that regard was </w:t>
      </w:r>
      <w:r w:rsidR="008D54E0">
        <w:t>correct</w:t>
      </w:r>
      <w:r w:rsidR="00FC4C32">
        <w:t xml:space="preserve"> and his decision cannot be impugned on the basis of the interpretation </w:t>
      </w:r>
      <w:r w:rsidR="0009261D">
        <w:t>that simply would have an unintended consequence of undermining the sentencing and imprisonment regime in the country</w:t>
      </w:r>
      <w:r w:rsidR="008D54E0">
        <w:t>. T</w:t>
      </w:r>
      <w:r w:rsidR="00A8088E">
        <w:t xml:space="preserve">he </w:t>
      </w:r>
      <w:r w:rsidR="008A4C9C">
        <w:t xml:space="preserve">court </w:t>
      </w:r>
      <w:r w:rsidR="008D54E0">
        <w:t xml:space="preserve">below </w:t>
      </w:r>
      <w:r w:rsidR="008A4C9C">
        <w:t>was correct in rejecting the argument.</w:t>
      </w:r>
      <w:r w:rsidR="0009261D">
        <w:t xml:space="preserve"> </w:t>
      </w:r>
    </w:p>
    <w:p w14:paraId="6B8D5A0F" w14:textId="77777777" w:rsidR="00733C70" w:rsidRDefault="00733C70" w:rsidP="00B56710">
      <w:pPr>
        <w:pStyle w:val="ListParagraph"/>
        <w:spacing w:line="480" w:lineRule="auto"/>
        <w:ind w:left="0"/>
      </w:pPr>
    </w:p>
    <w:p w14:paraId="556426C2" w14:textId="685DB944" w:rsidR="0009261D" w:rsidRDefault="0073660D" w:rsidP="0073660D">
      <w:pPr>
        <w:spacing w:line="480" w:lineRule="auto"/>
      </w:pPr>
      <w:r>
        <w:t>[58]</w:t>
      </w:r>
      <w:r>
        <w:tab/>
      </w:r>
      <w:r w:rsidR="00733C70">
        <w:t>The High Court</w:t>
      </w:r>
      <w:r w:rsidR="0009261D">
        <w:t>, however, erred in holding that s 109(a) should be understood to mean an offender ‘who is suffering from a dangerous infectious disease or a dangerous contagious disease</w:t>
      </w:r>
      <w:r w:rsidR="003F27B6">
        <w:t>’</w:t>
      </w:r>
      <w:r w:rsidR="0009261D">
        <w:t xml:space="preserve">. </w:t>
      </w:r>
      <w:r w:rsidR="00AB6D83">
        <w:t>Th</w:t>
      </w:r>
      <w:r w:rsidR="00733C70">
        <w:t xml:space="preserve">e reasoning behind this </w:t>
      </w:r>
      <w:r w:rsidR="00AB6D83">
        <w:t>interpretation is not understood and certainly s</w:t>
      </w:r>
      <w:r w:rsidR="00733C70">
        <w:t>uch interpretation is</w:t>
      </w:r>
      <w:r w:rsidR="00AB6D83">
        <w:t xml:space="preserve"> not supported by the </w:t>
      </w:r>
      <w:r w:rsidR="008C46E7">
        <w:t>text</w:t>
      </w:r>
      <w:r w:rsidR="00733C70">
        <w:t xml:space="preserve"> or context </w:t>
      </w:r>
      <w:r w:rsidR="00AB6D83">
        <w:t xml:space="preserve">of the provision. The </w:t>
      </w:r>
      <w:r w:rsidR="00733C70">
        <w:t xml:space="preserve">phrase </w:t>
      </w:r>
      <w:r w:rsidR="00AB6D83">
        <w:t>‘dangerous, infectious or contagious</w:t>
      </w:r>
      <w:r w:rsidR="00733C70">
        <w:t xml:space="preserve"> disease</w:t>
      </w:r>
      <w:r w:rsidR="00AB6D83">
        <w:t xml:space="preserve">’ </w:t>
      </w:r>
      <w:r w:rsidR="00733C70">
        <w:t xml:space="preserve">in s 109(a) is </w:t>
      </w:r>
      <w:r w:rsidR="00AB6D83">
        <w:t xml:space="preserve">in itself clear and requires no interpretation. </w:t>
      </w:r>
      <w:r w:rsidR="0009261D" w:rsidRPr="0073660D">
        <w:rPr>
          <w:rFonts w:eastAsia="Calibri"/>
          <w:lang w:val="en-ZA"/>
        </w:rPr>
        <w:t>It remains to consider and decide the review application next.</w:t>
      </w:r>
    </w:p>
    <w:p w14:paraId="27FB6CEA" w14:textId="77777777" w:rsidR="008D54E0" w:rsidRDefault="008D54E0" w:rsidP="009F6186">
      <w:pPr>
        <w:spacing w:line="480" w:lineRule="auto"/>
        <w:rPr>
          <w:rFonts w:eastAsia="Calibri"/>
          <w:u w:val="single"/>
          <w:lang w:val="en-ZA"/>
        </w:rPr>
      </w:pPr>
    </w:p>
    <w:p w14:paraId="38B4F777" w14:textId="155FFB50" w:rsidR="009C5CE7" w:rsidRPr="009C5CE7" w:rsidRDefault="009C5CE7" w:rsidP="00B56710">
      <w:pPr>
        <w:pStyle w:val="ListParagraph"/>
        <w:spacing w:line="480" w:lineRule="auto"/>
        <w:ind w:left="0"/>
      </w:pPr>
      <w:r w:rsidRPr="00B56710">
        <w:rPr>
          <w:rFonts w:eastAsia="Calibri"/>
          <w:u w:val="single"/>
          <w:lang w:val="en-ZA"/>
        </w:rPr>
        <w:t xml:space="preserve">Review </w:t>
      </w:r>
      <w:r w:rsidR="003F27B6">
        <w:rPr>
          <w:rFonts w:eastAsia="Calibri"/>
          <w:u w:val="single"/>
          <w:lang w:val="en-ZA"/>
        </w:rPr>
        <w:t>a</w:t>
      </w:r>
      <w:r w:rsidRPr="00B56710">
        <w:rPr>
          <w:rFonts w:eastAsia="Calibri"/>
          <w:u w:val="single"/>
          <w:lang w:val="en-ZA"/>
        </w:rPr>
        <w:t>pplication</w:t>
      </w:r>
    </w:p>
    <w:p w14:paraId="1F54F0E6" w14:textId="75FCF21E" w:rsidR="008D54E0" w:rsidRPr="008D54E0" w:rsidRDefault="0073660D" w:rsidP="0073660D">
      <w:pPr>
        <w:spacing w:line="480" w:lineRule="auto"/>
      </w:pPr>
      <w:r w:rsidRPr="008D54E0">
        <w:t>[59]</w:t>
      </w:r>
      <w:r w:rsidRPr="008D54E0">
        <w:tab/>
      </w:r>
      <w:r w:rsidR="009C5CE7" w:rsidRPr="0073660D">
        <w:rPr>
          <w:rFonts w:eastAsia="Calibri"/>
          <w:lang w:val="en-ZA"/>
        </w:rPr>
        <w:t xml:space="preserve">The </w:t>
      </w:r>
      <w:r w:rsidR="008D54E0" w:rsidRPr="0073660D">
        <w:rPr>
          <w:rFonts w:eastAsia="Calibri"/>
          <w:lang w:val="en-ZA"/>
        </w:rPr>
        <w:t xml:space="preserve">appellant has not raised any valid ground for the review of the medical officer’s decision. There is no arbitrariness, </w:t>
      </w:r>
      <w:r w:rsidR="0009261D" w:rsidRPr="0073660D">
        <w:rPr>
          <w:rFonts w:eastAsia="Calibri"/>
          <w:lang w:val="en-ZA"/>
        </w:rPr>
        <w:t xml:space="preserve">capriciousness, </w:t>
      </w:r>
      <w:r w:rsidR="008D54E0" w:rsidRPr="0073660D">
        <w:rPr>
          <w:rFonts w:eastAsia="Calibri"/>
          <w:lang w:val="en-ZA"/>
        </w:rPr>
        <w:t xml:space="preserve">unreasonableness or irrationality about the decision. </w:t>
      </w:r>
      <w:r w:rsidR="003F27B6" w:rsidRPr="0073660D">
        <w:rPr>
          <w:rFonts w:eastAsia="Calibri"/>
          <w:lang w:val="en-ZA"/>
        </w:rPr>
        <w:t>Viewed objectively, a</w:t>
      </w:r>
      <w:r w:rsidR="00AB6D83" w:rsidRPr="0073660D">
        <w:rPr>
          <w:rFonts w:eastAsia="Calibri"/>
          <w:lang w:val="en-ZA"/>
        </w:rPr>
        <w:t>ll considerations relevant to the decision appear to have been taken into account</w:t>
      </w:r>
      <w:r w:rsidR="00733C70" w:rsidRPr="0073660D">
        <w:rPr>
          <w:rFonts w:eastAsia="Calibri"/>
          <w:lang w:val="en-ZA"/>
        </w:rPr>
        <w:t xml:space="preserve"> by the decision-maker</w:t>
      </w:r>
      <w:r w:rsidR="00AB6D83" w:rsidRPr="0073660D">
        <w:rPr>
          <w:rFonts w:eastAsia="Calibri"/>
          <w:lang w:val="en-ZA"/>
        </w:rPr>
        <w:t xml:space="preserve">. The </w:t>
      </w:r>
      <w:r w:rsidR="008D54E0" w:rsidRPr="0073660D">
        <w:rPr>
          <w:rFonts w:eastAsia="Calibri"/>
          <w:lang w:val="en-ZA"/>
        </w:rPr>
        <w:t>decision</w:t>
      </w:r>
      <w:r w:rsidR="00AB6D83" w:rsidRPr="0073660D">
        <w:rPr>
          <w:rFonts w:eastAsia="Calibri"/>
          <w:lang w:val="en-ZA"/>
        </w:rPr>
        <w:t xml:space="preserve"> was</w:t>
      </w:r>
      <w:r w:rsidR="008D54E0" w:rsidRPr="0073660D">
        <w:rPr>
          <w:rFonts w:eastAsia="Calibri"/>
          <w:lang w:val="en-ZA"/>
        </w:rPr>
        <w:t xml:space="preserve"> based on the </w:t>
      </w:r>
      <w:r w:rsidR="0009261D" w:rsidRPr="0073660D">
        <w:rPr>
          <w:rFonts w:eastAsia="Calibri"/>
          <w:lang w:val="en-ZA"/>
        </w:rPr>
        <w:t xml:space="preserve">full medical examination of the appellant, the </w:t>
      </w:r>
      <w:r w:rsidR="008D54E0" w:rsidRPr="0073660D">
        <w:rPr>
          <w:rFonts w:eastAsia="Calibri"/>
          <w:lang w:val="en-ZA"/>
        </w:rPr>
        <w:t>consideration of relevant facts</w:t>
      </w:r>
      <w:r w:rsidR="0009261D" w:rsidRPr="0073660D">
        <w:rPr>
          <w:rFonts w:eastAsia="Calibri"/>
          <w:lang w:val="en-ZA"/>
        </w:rPr>
        <w:t xml:space="preserve"> and </w:t>
      </w:r>
      <w:r w:rsidR="008D54E0" w:rsidRPr="0073660D">
        <w:rPr>
          <w:rFonts w:eastAsia="Calibri"/>
          <w:lang w:val="en-ZA"/>
        </w:rPr>
        <w:t xml:space="preserve">the requirements of the law. </w:t>
      </w:r>
      <w:r w:rsidR="0009261D" w:rsidRPr="0073660D">
        <w:rPr>
          <w:rFonts w:eastAsia="Calibri"/>
          <w:lang w:val="en-ZA"/>
        </w:rPr>
        <w:t>A full and detailed record of the appellant’s examination was produced.</w:t>
      </w:r>
      <w:r w:rsidR="008D54E0" w:rsidRPr="0073660D">
        <w:rPr>
          <w:rFonts w:eastAsia="Calibri"/>
          <w:lang w:val="en-ZA"/>
        </w:rPr>
        <w:t xml:space="preserve"> Reasons </w:t>
      </w:r>
      <w:r w:rsidR="0009261D" w:rsidRPr="0073660D">
        <w:rPr>
          <w:rFonts w:eastAsia="Calibri"/>
          <w:lang w:val="en-ZA"/>
        </w:rPr>
        <w:t xml:space="preserve">for the decision </w:t>
      </w:r>
      <w:r w:rsidR="008D54E0" w:rsidRPr="0073660D">
        <w:rPr>
          <w:rFonts w:eastAsia="Calibri"/>
          <w:lang w:val="en-ZA"/>
        </w:rPr>
        <w:t xml:space="preserve">were </w:t>
      </w:r>
      <w:r w:rsidR="008D54E0" w:rsidRPr="0073660D">
        <w:rPr>
          <w:rFonts w:eastAsia="Calibri"/>
          <w:lang w:val="en-ZA"/>
        </w:rPr>
        <w:lastRenderedPageBreak/>
        <w:t xml:space="preserve">given albeit </w:t>
      </w:r>
      <w:r w:rsidR="0009261D" w:rsidRPr="0073660D">
        <w:rPr>
          <w:rFonts w:eastAsia="Calibri"/>
          <w:lang w:val="en-ZA"/>
        </w:rPr>
        <w:t xml:space="preserve">in </w:t>
      </w:r>
      <w:r w:rsidR="008D54E0" w:rsidRPr="0073660D">
        <w:rPr>
          <w:rFonts w:eastAsia="Calibri"/>
          <w:lang w:val="en-ZA"/>
        </w:rPr>
        <w:t>brief.</w:t>
      </w:r>
      <w:r w:rsidR="00AB6D83" w:rsidRPr="0073660D">
        <w:rPr>
          <w:rFonts w:eastAsia="Calibri"/>
          <w:lang w:val="en-ZA"/>
        </w:rPr>
        <w:t xml:space="preserve"> Although the reasons were brief, they should be read in the overall context of the content of the </w:t>
      </w:r>
      <w:r w:rsidR="00733C70" w:rsidRPr="0073660D">
        <w:rPr>
          <w:rFonts w:eastAsia="Calibri"/>
          <w:lang w:val="en-ZA"/>
        </w:rPr>
        <w:t xml:space="preserve">detailed </w:t>
      </w:r>
      <w:r w:rsidR="00AB6D83" w:rsidRPr="0073660D">
        <w:rPr>
          <w:rFonts w:eastAsia="Calibri"/>
          <w:lang w:val="en-ZA"/>
        </w:rPr>
        <w:t xml:space="preserve">report compiled by the </w:t>
      </w:r>
      <w:r w:rsidR="00733C70" w:rsidRPr="0073660D">
        <w:rPr>
          <w:rFonts w:eastAsia="Calibri"/>
          <w:lang w:val="en-ZA"/>
        </w:rPr>
        <w:t>medical officer</w:t>
      </w:r>
      <w:r w:rsidR="00AB6D83" w:rsidRPr="0073660D">
        <w:rPr>
          <w:rFonts w:eastAsia="Calibri"/>
          <w:lang w:val="en-ZA"/>
        </w:rPr>
        <w:t>.</w:t>
      </w:r>
      <w:r w:rsidR="008D54E0" w:rsidRPr="0073660D">
        <w:rPr>
          <w:rFonts w:eastAsia="Calibri"/>
          <w:lang w:val="en-ZA"/>
        </w:rPr>
        <w:t xml:space="preserve"> </w:t>
      </w:r>
    </w:p>
    <w:p w14:paraId="2613B3E2" w14:textId="77777777" w:rsidR="00AB6D83" w:rsidRPr="00AB6D83" w:rsidRDefault="00AB6D83" w:rsidP="009F6186">
      <w:pPr>
        <w:pStyle w:val="ListParagraph"/>
        <w:spacing w:line="480" w:lineRule="auto"/>
        <w:ind w:left="0"/>
      </w:pPr>
    </w:p>
    <w:p w14:paraId="2F02A020" w14:textId="51B4E2C7" w:rsidR="00AB6D83" w:rsidRPr="00AB6D83" w:rsidRDefault="0073660D" w:rsidP="0073660D">
      <w:pPr>
        <w:spacing w:line="480" w:lineRule="auto"/>
      </w:pPr>
      <w:r w:rsidRPr="00AB6D83">
        <w:t>[60]</w:t>
      </w:r>
      <w:r w:rsidRPr="00AB6D83">
        <w:tab/>
      </w:r>
      <w:r w:rsidR="008D54E0" w:rsidRPr="0073660D">
        <w:rPr>
          <w:rFonts w:eastAsia="Calibri"/>
          <w:lang w:val="en-ZA"/>
        </w:rPr>
        <w:t xml:space="preserve">The ground based on </w:t>
      </w:r>
      <w:r w:rsidR="00571356" w:rsidRPr="0073660D">
        <w:rPr>
          <w:rFonts w:eastAsia="Calibri"/>
          <w:lang w:val="en-ZA"/>
        </w:rPr>
        <w:t xml:space="preserve">the </w:t>
      </w:r>
      <w:r w:rsidR="008D54E0" w:rsidRPr="0073660D">
        <w:rPr>
          <w:rFonts w:eastAsia="Calibri"/>
          <w:i/>
          <w:lang w:val="en-ZA"/>
        </w:rPr>
        <w:t>audi alteram partem</w:t>
      </w:r>
      <w:r w:rsidR="008D54E0" w:rsidRPr="0073660D">
        <w:rPr>
          <w:rFonts w:eastAsia="Calibri"/>
          <w:lang w:val="en-ZA"/>
        </w:rPr>
        <w:t xml:space="preserve"> </w:t>
      </w:r>
      <w:r w:rsidR="00733C70" w:rsidRPr="0073660D">
        <w:rPr>
          <w:rFonts w:eastAsia="Calibri"/>
          <w:lang w:val="en-ZA"/>
        </w:rPr>
        <w:t xml:space="preserve">rule </w:t>
      </w:r>
      <w:r w:rsidR="008D54E0" w:rsidRPr="0073660D">
        <w:rPr>
          <w:rFonts w:eastAsia="Calibri"/>
          <w:lang w:val="en-ZA"/>
        </w:rPr>
        <w:t xml:space="preserve">cannot </w:t>
      </w:r>
      <w:r w:rsidR="0009261D" w:rsidRPr="0073660D">
        <w:rPr>
          <w:rFonts w:eastAsia="Calibri"/>
          <w:lang w:val="en-ZA"/>
        </w:rPr>
        <w:t xml:space="preserve">succeed </w:t>
      </w:r>
      <w:r w:rsidR="008D54E0" w:rsidRPr="0073660D">
        <w:rPr>
          <w:rFonts w:eastAsia="Calibri"/>
          <w:lang w:val="en-ZA"/>
        </w:rPr>
        <w:t xml:space="preserve">either. </w:t>
      </w:r>
      <w:r w:rsidR="00AB6D83" w:rsidRPr="0073660D">
        <w:rPr>
          <w:rFonts w:eastAsia="Calibri"/>
          <w:lang w:val="en-ZA"/>
        </w:rPr>
        <w:t xml:space="preserve">The principles of natural justice upon which </w:t>
      </w:r>
      <w:r w:rsidR="00733C70" w:rsidRPr="0073660D">
        <w:rPr>
          <w:rFonts w:eastAsia="Calibri"/>
          <w:lang w:val="en-ZA"/>
        </w:rPr>
        <w:t xml:space="preserve">the </w:t>
      </w:r>
      <w:r w:rsidR="00AB6D83" w:rsidRPr="0073660D">
        <w:rPr>
          <w:rFonts w:eastAsia="Calibri"/>
          <w:i/>
          <w:lang w:val="en-ZA"/>
        </w:rPr>
        <w:t>audi alteram partem</w:t>
      </w:r>
      <w:r w:rsidR="00AB6D83" w:rsidRPr="0073660D">
        <w:rPr>
          <w:rFonts w:eastAsia="Calibri"/>
          <w:lang w:val="en-ZA"/>
        </w:rPr>
        <w:t xml:space="preserve"> rule is based are </w:t>
      </w:r>
      <w:r w:rsidR="0009261D" w:rsidRPr="0073660D">
        <w:rPr>
          <w:rFonts w:eastAsia="Calibri"/>
          <w:lang w:val="en-ZA"/>
        </w:rPr>
        <w:t>flexible</w:t>
      </w:r>
      <w:r w:rsidR="00AB6D83" w:rsidRPr="0073660D">
        <w:rPr>
          <w:rFonts w:eastAsia="Calibri"/>
          <w:lang w:val="en-ZA"/>
        </w:rPr>
        <w:t>.</w:t>
      </w:r>
      <w:r w:rsidR="00AB6D83">
        <w:rPr>
          <w:rStyle w:val="FootnoteReference"/>
          <w:rFonts w:eastAsia="Calibri"/>
          <w:lang w:val="en-ZA"/>
        </w:rPr>
        <w:footnoteReference w:id="8"/>
      </w:r>
      <w:r w:rsidR="0009261D" w:rsidRPr="0073660D">
        <w:rPr>
          <w:rFonts w:eastAsia="Calibri"/>
          <w:lang w:val="en-ZA"/>
        </w:rPr>
        <w:t xml:space="preserve"> </w:t>
      </w:r>
      <w:r w:rsidR="00AB6D83" w:rsidRPr="0073660D">
        <w:rPr>
          <w:rFonts w:eastAsia="Calibri"/>
          <w:lang w:val="en-ZA"/>
        </w:rPr>
        <w:t>The reason for this flexibility was explained by Baxter as follows:</w:t>
      </w:r>
    </w:p>
    <w:p w14:paraId="12C5C1DF" w14:textId="77777777" w:rsidR="00AB6D83" w:rsidRPr="00AB6D83" w:rsidRDefault="00AB6D83" w:rsidP="00B56710">
      <w:pPr>
        <w:pStyle w:val="ListParagraph"/>
        <w:ind w:left="0"/>
        <w:rPr>
          <w:rFonts w:eastAsia="Calibri"/>
          <w:lang w:val="en-ZA"/>
        </w:rPr>
      </w:pPr>
    </w:p>
    <w:p w14:paraId="11EF16C1" w14:textId="1E73280A" w:rsidR="00AB6D83" w:rsidRPr="00AB6D83" w:rsidRDefault="00AB6D83" w:rsidP="00AC489E">
      <w:pPr>
        <w:pStyle w:val="ListParagraph"/>
        <w:spacing w:line="360" w:lineRule="auto"/>
        <w:rPr>
          <w:sz w:val="22"/>
          <w:szCs w:val="22"/>
        </w:rPr>
      </w:pPr>
      <w:r w:rsidRPr="00AB6D83">
        <w:rPr>
          <w:sz w:val="22"/>
          <w:szCs w:val="22"/>
        </w:rPr>
        <w:t>‘The range and variety of situations to which they apply is extensive. If the principles are to serve efficiently the purposes for which they exist, it would be counterproductive to attempt to prescribe rigidly the form which the principles should take in all cases.’</w:t>
      </w:r>
      <w:r>
        <w:rPr>
          <w:rStyle w:val="FootnoteReference"/>
          <w:sz w:val="22"/>
          <w:szCs w:val="22"/>
        </w:rPr>
        <w:footnoteReference w:id="9"/>
      </w:r>
    </w:p>
    <w:p w14:paraId="1C48962C" w14:textId="77777777" w:rsidR="00AB6D83" w:rsidRPr="00AB6D83" w:rsidRDefault="00AB6D83" w:rsidP="00B56710">
      <w:pPr>
        <w:pStyle w:val="ListParagraph"/>
        <w:spacing w:line="480" w:lineRule="auto"/>
        <w:ind w:left="0"/>
        <w:rPr>
          <w:rFonts w:eastAsia="Calibri"/>
          <w:lang w:val="en-ZA"/>
        </w:rPr>
      </w:pPr>
    </w:p>
    <w:p w14:paraId="5DA19C4B" w14:textId="25887D6A" w:rsidR="00AB6D83" w:rsidRPr="00B56710" w:rsidRDefault="0073660D" w:rsidP="0073660D">
      <w:pPr>
        <w:spacing w:line="480" w:lineRule="auto"/>
      </w:pPr>
      <w:r w:rsidRPr="00B56710">
        <w:t>[61]</w:t>
      </w:r>
      <w:r w:rsidRPr="00B56710">
        <w:tab/>
      </w:r>
      <w:r w:rsidR="00AB6D83" w:rsidRPr="0073660D">
        <w:rPr>
          <w:rFonts w:eastAsia="Calibri"/>
          <w:lang w:val="en-ZA"/>
        </w:rPr>
        <w:t>The principles of natural justice do not require an administrative body to hold trial-type hearings when these are not prescribed by statute. What is required is that the administrative agency should act fairly in affording the affected individual a fair hearing.</w:t>
      </w:r>
      <w:r w:rsidR="00AB6D83">
        <w:rPr>
          <w:rStyle w:val="FootnoteReference"/>
          <w:rFonts w:eastAsia="Calibri"/>
          <w:lang w:val="en-ZA"/>
        </w:rPr>
        <w:footnoteReference w:id="10"/>
      </w:r>
      <w:r w:rsidR="00AB6D83" w:rsidRPr="0073660D">
        <w:rPr>
          <w:rFonts w:eastAsia="Calibri"/>
          <w:lang w:val="en-ZA"/>
        </w:rPr>
        <w:t xml:space="preserve"> </w:t>
      </w:r>
    </w:p>
    <w:p w14:paraId="7CE9E10A" w14:textId="77777777" w:rsidR="00D0337A" w:rsidRPr="00AB6D83" w:rsidRDefault="00D0337A" w:rsidP="00B56710">
      <w:pPr>
        <w:pStyle w:val="ListParagraph"/>
        <w:spacing w:line="480" w:lineRule="auto"/>
        <w:ind w:left="0"/>
      </w:pPr>
    </w:p>
    <w:p w14:paraId="24F66C75" w14:textId="68EABBD4" w:rsidR="00721B0C" w:rsidRPr="00721B0C" w:rsidRDefault="0073660D" w:rsidP="0073660D">
      <w:pPr>
        <w:spacing w:line="480" w:lineRule="auto"/>
      </w:pPr>
      <w:r w:rsidRPr="00721B0C">
        <w:t>[62]</w:t>
      </w:r>
      <w:r w:rsidRPr="00721B0C">
        <w:tab/>
      </w:r>
      <w:r w:rsidR="008D54E0" w:rsidRPr="0073660D">
        <w:rPr>
          <w:rFonts w:eastAsia="Calibri"/>
          <w:lang w:val="en-ZA"/>
        </w:rPr>
        <w:t xml:space="preserve">The appellant must have been aware of the existence of the court order requiring the medical officer to make </w:t>
      </w:r>
      <w:r w:rsidR="00AB6D83" w:rsidRPr="0073660D">
        <w:rPr>
          <w:rFonts w:eastAsia="Calibri"/>
          <w:lang w:val="en-ZA"/>
        </w:rPr>
        <w:t xml:space="preserve">a </w:t>
      </w:r>
      <w:r w:rsidR="008D54E0" w:rsidRPr="0073660D">
        <w:rPr>
          <w:rFonts w:eastAsia="Calibri"/>
          <w:lang w:val="en-ZA"/>
        </w:rPr>
        <w:t>determination as to the appellant’s health</w:t>
      </w:r>
      <w:r w:rsidR="00AB6D83" w:rsidRPr="0073660D">
        <w:rPr>
          <w:rFonts w:eastAsia="Calibri"/>
          <w:lang w:val="en-ZA"/>
        </w:rPr>
        <w:t xml:space="preserve"> and to make a recommendation in the event that he made certain findings</w:t>
      </w:r>
      <w:r w:rsidR="008D54E0" w:rsidRPr="0073660D">
        <w:rPr>
          <w:rFonts w:eastAsia="Calibri"/>
          <w:lang w:val="en-ZA"/>
        </w:rPr>
        <w:t>. He must have been aware of the purpose f</w:t>
      </w:r>
      <w:r w:rsidR="00AB6D83" w:rsidRPr="0073660D">
        <w:rPr>
          <w:rFonts w:eastAsia="Calibri"/>
          <w:lang w:val="en-ZA"/>
        </w:rPr>
        <w:t>or the</w:t>
      </w:r>
      <w:r w:rsidR="008D54E0" w:rsidRPr="0073660D">
        <w:rPr>
          <w:rFonts w:eastAsia="Calibri"/>
          <w:lang w:val="en-ZA"/>
        </w:rPr>
        <w:t xml:space="preserve"> examination</w:t>
      </w:r>
      <w:r w:rsidR="0009261D" w:rsidRPr="0073660D">
        <w:rPr>
          <w:rFonts w:eastAsia="Calibri"/>
          <w:lang w:val="en-ZA"/>
        </w:rPr>
        <w:t xml:space="preserve"> he was subjected to by the medical officer</w:t>
      </w:r>
      <w:r w:rsidR="008D54E0" w:rsidRPr="0073660D">
        <w:rPr>
          <w:rFonts w:eastAsia="Calibri"/>
          <w:lang w:val="en-ZA"/>
        </w:rPr>
        <w:t xml:space="preserve">. </w:t>
      </w:r>
      <w:r w:rsidR="00AB6D83" w:rsidRPr="0073660D">
        <w:rPr>
          <w:rFonts w:eastAsia="Calibri"/>
          <w:lang w:val="en-ZA"/>
        </w:rPr>
        <w:t xml:space="preserve">Depending on the outcome of the examination of the appellant, the medical officer could have decided either to make a recommendation to the Minister for the appellant’s release or not to make one. </w:t>
      </w:r>
    </w:p>
    <w:p w14:paraId="20AF87B8" w14:textId="7E62D295" w:rsidR="00721B0C" w:rsidRPr="00721B0C" w:rsidRDefault="0073660D" w:rsidP="0073660D">
      <w:pPr>
        <w:spacing w:line="480" w:lineRule="auto"/>
      </w:pPr>
      <w:r w:rsidRPr="00721B0C">
        <w:lastRenderedPageBreak/>
        <w:t>[63]</w:t>
      </w:r>
      <w:r w:rsidRPr="00721B0C">
        <w:tab/>
      </w:r>
      <w:r w:rsidR="008D54E0" w:rsidRPr="0073660D">
        <w:rPr>
          <w:rFonts w:eastAsia="Calibri"/>
          <w:lang w:val="en-ZA"/>
        </w:rPr>
        <w:t xml:space="preserve">If </w:t>
      </w:r>
      <w:r w:rsidR="00AB6D83" w:rsidRPr="0073660D">
        <w:rPr>
          <w:rFonts w:eastAsia="Calibri"/>
          <w:lang w:val="en-ZA"/>
        </w:rPr>
        <w:t>t</w:t>
      </w:r>
      <w:r w:rsidR="008D54E0" w:rsidRPr="0073660D">
        <w:rPr>
          <w:rFonts w:eastAsia="Calibri"/>
          <w:lang w:val="en-ZA"/>
        </w:rPr>
        <w:t xml:space="preserve">he </w:t>
      </w:r>
      <w:r w:rsidR="00AB6D83" w:rsidRPr="0073660D">
        <w:rPr>
          <w:rFonts w:eastAsia="Calibri"/>
          <w:lang w:val="en-ZA"/>
        </w:rPr>
        <w:t xml:space="preserve">appellant </w:t>
      </w:r>
      <w:r w:rsidR="008D54E0" w:rsidRPr="0073660D">
        <w:rPr>
          <w:rFonts w:eastAsia="Calibri"/>
          <w:lang w:val="en-ZA"/>
        </w:rPr>
        <w:t xml:space="preserve">had any representations to make to the medical officer, </w:t>
      </w:r>
      <w:r w:rsidR="00721B0C" w:rsidRPr="0073660D">
        <w:rPr>
          <w:rFonts w:eastAsia="Calibri"/>
          <w:lang w:val="en-ZA"/>
        </w:rPr>
        <w:t xml:space="preserve">the </w:t>
      </w:r>
      <w:r w:rsidR="008D54E0" w:rsidRPr="0073660D">
        <w:rPr>
          <w:rFonts w:eastAsia="Calibri"/>
          <w:lang w:val="en-ZA"/>
        </w:rPr>
        <w:t xml:space="preserve">opportunity to do so </w:t>
      </w:r>
      <w:r w:rsidR="00721B0C" w:rsidRPr="0073660D">
        <w:rPr>
          <w:rFonts w:eastAsia="Calibri"/>
          <w:lang w:val="en-ZA"/>
        </w:rPr>
        <w:t xml:space="preserve">existed </w:t>
      </w:r>
      <w:r w:rsidR="008D54E0" w:rsidRPr="0073660D">
        <w:rPr>
          <w:rFonts w:eastAsia="Calibri"/>
          <w:lang w:val="en-ZA"/>
        </w:rPr>
        <w:t xml:space="preserve">during the examination. It is in any event difficult to </w:t>
      </w:r>
      <w:r w:rsidR="006F66D6" w:rsidRPr="0073660D">
        <w:rPr>
          <w:rFonts w:eastAsia="Calibri"/>
          <w:lang w:val="en-ZA"/>
        </w:rPr>
        <w:t>comprehend</w:t>
      </w:r>
      <w:r w:rsidR="008D54E0" w:rsidRPr="0073660D">
        <w:rPr>
          <w:rFonts w:eastAsia="Calibri"/>
          <w:lang w:val="en-ZA"/>
        </w:rPr>
        <w:t xml:space="preserve"> what representations he could conceivably make in the circumstances</w:t>
      </w:r>
      <w:r w:rsidR="000E4A23" w:rsidRPr="0073660D">
        <w:rPr>
          <w:rFonts w:eastAsia="Calibri"/>
          <w:lang w:val="en-ZA"/>
        </w:rPr>
        <w:t>, but th</w:t>
      </w:r>
      <w:r w:rsidR="00721B0C" w:rsidRPr="0073660D">
        <w:rPr>
          <w:rFonts w:eastAsia="Calibri"/>
          <w:lang w:val="en-ZA"/>
        </w:rPr>
        <w:t>is</w:t>
      </w:r>
      <w:r w:rsidR="000E4A23" w:rsidRPr="0073660D">
        <w:rPr>
          <w:rFonts w:eastAsia="Calibri"/>
          <w:lang w:val="en-ZA"/>
        </w:rPr>
        <w:t xml:space="preserve"> of course is beside the point. The point is that the opportunity </w:t>
      </w:r>
      <w:r w:rsidR="00AB6D83" w:rsidRPr="0073660D">
        <w:rPr>
          <w:rFonts w:eastAsia="Calibri"/>
          <w:lang w:val="en-ZA"/>
        </w:rPr>
        <w:t xml:space="preserve">for a hearing </w:t>
      </w:r>
      <w:r w:rsidR="00FC4C32" w:rsidRPr="0073660D">
        <w:rPr>
          <w:rFonts w:eastAsia="Calibri"/>
          <w:lang w:val="en-ZA"/>
        </w:rPr>
        <w:t xml:space="preserve">presented itself </w:t>
      </w:r>
      <w:r w:rsidR="000E4A23" w:rsidRPr="0073660D">
        <w:rPr>
          <w:rFonts w:eastAsia="Calibri"/>
          <w:lang w:val="en-ZA"/>
        </w:rPr>
        <w:t>to make any representation considered or advised necessary.</w:t>
      </w:r>
      <w:r w:rsidR="008D54E0" w:rsidRPr="0073660D">
        <w:rPr>
          <w:rFonts w:eastAsia="Calibri"/>
          <w:lang w:val="en-ZA"/>
        </w:rPr>
        <w:t xml:space="preserve"> </w:t>
      </w:r>
    </w:p>
    <w:p w14:paraId="4EA6CACA" w14:textId="77777777" w:rsidR="00AB6D83" w:rsidRPr="00AB6D83" w:rsidRDefault="00AB6D83" w:rsidP="009F6186">
      <w:pPr>
        <w:pStyle w:val="ListParagraph"/>
        <w:spacing w:line="480" w:lineRule="auto"/>
        <w:ind w:left="0"/>
      </w:pPr>
    </w:p>
    <w:p w14:paraId="64B7E622" w14:textId="235BDBCC" w:rsidR="000E4A23" w:rsidRPr="000E4A23" w:rsidRDefault="0073660D" w:rsidP="0073660D">
      <w:pPr>
        <w:spacing w:line="480" w:lineRule="auto"/>
      </w:pPr>
      <w:r w:rsidRPr="000E4A23">
        <w:t>[64]</w:t>
      </w:r>
      <w:r w:rsidRPr="000E4A23">
        <w:tab/>
      </w:r>
      <w:r w:rsidR="008D54E0" w:rsidRPr="0073660D">
        <w:rPr>
          <w:rFonts w:eastAsia="Calibri"/>
          <w:lang w:val="en-ZA"/>
        </w:rPr>
        <w:t>T</w:t>
      </w:r>
      <w:r w:rsidR="009C5CE7" w:rsidRPr="0073660D">
        <w:rPr>
          <w:rFonts w:eastAsia="Calibri"/>
          <w:lang w:val="en-ZA"/>
        </w:rPr>
        <w:t xml:space="preserve">he considerations the </w:t>
      </w:r>
      <w:r w:rsidR="008D54E0" w:rsidRPr="0073660D">
        <w:rPr>
          <w:rFonts w:eastAsia="Calibri"/>
          <w:lang w:val="en-ZA"/>
        </w:rPr>
        <w:t xml:space="preserve">medical officer </w:t>
      </w:r>
      <w:r w:rsidR="009C5CE7" w:rsidRPr="0073660D">
        <w:rPr>
          <w:rFonts w:eastAsia="Calibri"/>
          <w:lang w:val="en-ZA"/>
        </w:rPr>
        <w:t xml:space="preserve">relied on not to make the requisite recommendation to the </w:t>
      </w:r>
      <w:r w:rsidR="008D54E0" w:rsidRPr="0073660D">
        <w:rPr>
          <w:rFonts w:eastAsia="Calibri"/>
          <w:lang w:val="en-ZA"/>
        </w:rPr>
        <w:t xml:space="preserve">Minister were </w:t>
      </w:r>
      <w:r w:rsidR="009C5CE7" w:rsidRPr="0073660D">
        <w:rPr>
          <w:rFonts w:eastAsia="Calibri"/>
          <w:lang w:val="en-ZA"/>
        </w:rPr>
        <w:t xml:space="preserve">not extraneous the scope of s 109. </w:t>
      </w:r>
      <w:r w:rsidR="008D54E0" w:rsidRPr="0073660D">
        <w:rPr>
          <w:rFonts w:eastAsia="Calibri"/>
          <w:lang w:val="en-ZA"/>
        </w:rPr>
        <w:t>T</w:t>
      </w:r>
      <w:r w:rsidR="009C5CE7" w:rsidRPr="0073660D">
        <w:rPr>
          <w:rFonts w:eastAsia="Calibri"/>
          <w:lang w:val="en-ZA"/>
        </w:rPr>
        <w:t xml:space="preserve">he purpose for which the power was conferred on </w:t>
      </w:r>
      <w:r w:rsidR="008D54E0" w:rsidRPr="0073660D">
        <w:rPr>
          <w:rFonts w:eastAsia="Calibri"/>
          <w:lang w:val="en-ZA"/>
        </w:rPr>
        <w:t>t</w:t>
      </w:r>
      <w:r w:rsidR="009C5CE7" w:rsidRPr="0073660D">
        <w:rPr>
          <w:rFonts w:eastAsia="Calibri"/>
          <w:lang w:val="en-ZA"/>
        </w:rPr>
        <w:t>h</w:t>
      </w:r>
      <w:r w:rsidR="008D54E0" w:rsidRPr="0073660D">
        <w:rPr>
          <w:rFonts w:eastAsia="Calibri"/>
          <w:lang w:val="en-ZA"/>
        </w:rPr>
        <w:t>e medical officer was to recommend the appellant’s release if he was suffering from</w:t>
      </w:r>
      <w:r w:rsidR="00FC4C32" w:rsidRPr="0073660D">
        <w:rPr>
          <w:rFonts w:eastAsia="Calibri"/>
          <w:lang w:val="en-ZA"/>
        </w:rPr>
        <w:t>,</w:t>
      </w:r>
      <w:r w:rsidR="008D54E0" w:rsidRPr="0073660D">
        <w:rPr>
          <w:rFonts w:eastAsia="Calibri"/>
          <w:lang w:val="en-ZA"/>
        </w:rPr>
        <w:t xml:space="preserve"> amongst others</w:t>
      </w:r>
      <w:r w:rsidR="00FC4C32" w:rsidRPr="0073660D">
        <w:rPr>
          <w:rFonts w:eastAsia="Calibri"/>
          <w:lang w:val="en-ZA"/>
        </w:rPr>
        <w:t>,</w:t>
      </w:r>
      <w:r w:rsidR="008D54E0" w:rsidRPr="0073660D">
        <w:rPr>
          <w:rFonts w:eastAsia="Calibri"/>
          <w:lang w:val="en-ZA"/>
        </w:rPr>
        <w:t xml:space="preserve"> a dangerous disease and if his continued incarceration w</w:t>
      </w:r>
      <w:r w:rsidR="00D359B1" w:rsidRPr="0073660D">
        <w:rPr>
          <w:rFonts w:eastAsia="Calibri"/>
          <w:lang w:val="en-ZA"/>
        </w:rPr>
        <w:t>ou</w:t>
      </w:r>
      <w:r w:rsidR="008D54E0" w:rsidRPr="0073660D">
        <w:rPr>
          <w:rFonts w:eastAsia="Calibri"/>
          <w:lang w:val="en-ZA"/>
        </w:rPr>
        <w:t>l</w:t>
      </w:r>
      <w:r w:rsidR="00D359B1" w:rsidRPr="0073660D">
        <w:rPr>
          <w:rFonts w:eastAsia="Calibri"/>
          <w:lang w:val="en-ZA"/>
        </w:rPr>
        <w:t xml:space="preserve">d </w:t>
      </w:r>
      <w:r w:rsidR="008D54E0" w:rsidRPr="0073660D">
        <w:rPr>
          <w:rFonts w:eastAsia="Calibri"/>
          <w:lang w:val="en-ZA"/>
        </w:rPr>
        <w:t>be detrimental to his health</w:t>
      </w:r>
      <w:r w:rsidR="009C5CE7" w:rsidRPr="0073660D">
        <w:rPr>
          <w:rFonts w:eastAsia="Calibri"/>
          <w:lang w:val="en-ZA"/>
        </w:rPr>
        <w:t>.</w:t>
      </w:r>
      <w:r w:rsidR="000E4A23" w:rsidRPr="0073660D">
        <w:rPr>
          <w:rFonts w:eastAsia="Calibri"/>
          <w:lang w:val="en-ZA"/>
        </w:rPr>
        <w:t xml:space="preserve"> </w:t>
      </w:r>
    </w:p>
    <w:p w14:paraId="7BB22AE4" w14:textId="77777777" w:rsidR="00AB6D83" w:rsidRPr="00AB6D83" w:rsidRDefault="00AB6D83" w:rsidP="009F6186">
      <w:pPr>
        <w:pStyle w:val="ListParagraph"/>
        <w:spacing w:line="480" w:lineRule="auto"/>
        <w:ind w:left="0"/>
      </w:pPr>
    </w:p>
    <w:p w14:paraId="793E203D" w14:textId="5BA18FB9" w:rsidR="00AB6D83" w:rsidRPr="00AB6D83" w:rsidRDefault="0073660D" w:rsidP="0073660D">
      <w:pPr>
        <w:spacing w:line="480" w:lineRule="auto"/>
      </w:pPr>
      <w:r w:rsidRPr="00AB6D83">
        <w:t>[65]</w:t>
      </w:r>
      <w:r w:rsidRPr="00AB6D83">
        <w:tab/>
      </w:r>
      <w:r w:rsidR="00D359B1" w:rsidRPr="0073660D">
        <w:rPr>
          <w:rFonts w:eastAsia="Calibri"/>
          <w:lang w:val="en-ZA"/>
        </w:rPr>
        <w:t xml:space="preserve">The medical officer may be criticised for adopting passages from text books about the prognosis of patients suffering from diseases such as those the appellant is suffering </w:t>
      </w:r>
      <w:r w:rsidR="00733C70" w:rsidRPr="0073660D">
        <w:rPr>
          <w:rFonts w:eastAsia="Calibri"/>
          <w:lang w:val="en-ZA"/>
        </w:rPr>
        <w:t xml:space="preserve">from </w:t>
      </w:r>
      <w:r w:rsidR="00AB6D83" w:rsidRPr="0073660D">
        <w:rPr>
          <w:rFonts w:eastAsia="Calibri"/>
          <w:lang w:val="en-ZA"/>
        </w:rPr>
        <w:t>in the United States</w:t>
      </w:r>
      <w:r w:rsidR="003F27B6" w:rsidRPr="0073660D">
        <w:rPr>
          <w:rFonts w:eastAsia="Calibri"/>
          <w:lang w:val="en-ZA"/>
        </w:rPr>
        <w:t>,</w:t>
      </w:r>
      <w:r w:rsidR="00AB6D83" w:rsidRPr="0073660D">
        <w:rPr>
          <w:rFonts w:eastAsia="Calibri"/>
          <w:lang w:val="en-ZA"/>
        </w:rPr>
        <w:t xml:space="preserve"> </w:t>
      </w:r>
      <w:r w:rsidR="00D359B1" w:rsidRPr="0073660D">
        <w:rPr>
          <w:rFonts w:eastAsia="Calibri"/>
          <w:lang w:val="en-ZA"/>
        </w:rPr>
        <w:t>without applying the principles extracted from the literature to the circumstances of the appellant</w:t>
      </w:r>
      <w:r w:rsidR="00721B0C" w:rsidRPr="0073660D">
        <w:rPr>
          <w:rFonts w:eastAsia="Calibri"/>
          <w:lang w:val="en-ZA"/>
        </w:rPr>
        <w:t xml:space="preserve"> or at any rate without indicating the extent, if any, to which those findings were of application to the appellant’s </w:t>
      </w:r>
      <w:r w:rsidR="00733C70" w:rsidRPr="0073660D">
        <w:rPr>
          <w:rFonts w:eastAsia="Calibri"/>
          <w:lang w:val="en-ZA"/>
        </w:rPr>
        <w:t>condi</w:t>
      </w:r>
      <w:r w:rsidR="00721B0C" w:rsidRPr="0073660D">
        <w:rPr>
          <w:rFonts w:eastAsia="Calibri"/>
          <w:lang w:val="en-ZA"/>
        </w:rPr>
        <w:t>tion</w:t>
      </w:r>
      <w:r w:rsidR="00D359B1" w:rsidRPr="0073660D">
        <w:rPr>
          <w:rFonts w:eastAsia="Calibri"/>
          <w:lang w:val="en-ZA"/>
        </w:rPr>
        <w:t xml:space="preserve">. </w:t>
      </w:r>
    </w:p>
    <w:p w14:paraId="5F67AA49" w14:textId="77777777" w:rsidR="00AB6D83" w:rsidRPr="00AB6D83" w:rsidRDefault="00AB6D83" w:rsidP="00B56710">
      <w:pPr>
        <w:pStyle w:val="ListParagraph"/>
        <w:spacing w:line="480" w:lineRule="auto"/>
        <w:ind w:left="0"/>
        <w:rPr>
          <w:rFonts w:eastAsia="Calibri"/>
          <w:lang w:val="en-ZA"/>
        </w:rPr>
      </w:pPr>
    </w:p>
    <w:p w14:paraId="7912CDE4" w14:textId="733EE64D" w:rsidR="00733C70" w:rsidRPr="00733C70" w:rsidRDefault="0073660D" w:rsidP="0073660D">
      <w:pPr>
        <w:spacing w:line="480" w:lineRule="auto"/>
      </w:pPr>
      <w:r w:rsidRPr="00733C70">
        <w:t>[66]</w:t>
      </w:r>
      <w:r w:rsidRPr="00733C70">
        <w:tab/>
      </w:r>
      <w:r w:rsidR="00721B0C" w:rsidRPr="0073660D">
        <w:rPr>
          <w:rFonts w:eastAsia="Calibri"/>
          <w:lang w:val="en-ZA"/>
        </w:rPr>
        <w:t xml:space="preserve">On </w:t>
      </w:r>
      <w:r w:rsidR="00D359B1" w:rsidRPr="0073660D">
        <w:rPr>
          <w:rFonts w:eastAsia="Calibri"/>
          <w:lang w:val="en-ZA"/>
        </w:rPr>
        <w:t xml:space="preserve">the </w:t>
      </w:r>
      <w:r w:rsidR="00AB6D83" w:rsidRPr="0073660D">
        <w:rPr>
          <w:rFonts w:eastAsia="Calibri"/>
          <w:lang w:val="en-ZA"/>
        </w:rPr>
        <w:t xml:space="preserve">other </w:t>
      </w:r>
      <w:r w:rsidR="00721B0C" w:rsidRPr="0073660D">
        <w:rPr>
          <w:rFonts w:eastAsia="Calibri"/>
          <w:lang w:val="en-ZA"/>
        </w:rPr>
        <w:t xml:space="preserve">hand, the </w:t>
      </w:r>
      <w:r w:rsidR="00D359B1" w:rsidRPr="0073660D">
        <w:rPr>
          <w:rFonts w:eastAsia="Calibri"/>
          <w:lang w:val="en-ZA"/>
        </w:rPr>
        <w:t xml:space="preserve">appellant </w:t>
      </w:r>
      <w:r w:rsidR="0009261D" w:rsidRPr="0073660D">
        <w:rPr>
          <w:rFonts w:eastAsia="Calibri"/>
          <w:lang w:val="en-ZA"/>
        </w:rPr>
        <w:t xml:space="preserve">on his part did </w:t>
      </w:r>
      <w:r w:rsidR="00D359B1" w:rsidRPr="0073660D">
        <w:rPr>
          <w:rFonts w:eastAsia="Calibri"/>
          <w:lang w:val="en-ZA"/>
        </w:rPr>
        <w:t xml:space="preserve">not put up any </w:t>
      </w:r>
      <w:r w:rsidR="0009261D" w:rsidRPr="0073660D">
        <w:rPr>
          <w:rFonts w:eastAsia="Calibri"/>
          <w:lang w:val="en-ZA"/>
        </w:rPr>
        <w:t xml:space="preserve">material </w:t>
      </w:r>
      <w:r w:rsidR="00D359B1" w:rsidRPr="0073660D">
        <w:rPr>
          <w:rFonts w:eastAsia="Calibri"/>
          <w:lang w:val="en-ZA"/>
        </w:rPr>
        <w:t>fact</w:t>
      </w:r>
      <w:r w:rsidR="0009261D" w:rsidRPr="0073660D">
        <w:rPr>
          <w:rFonts w:eastAsia="Calibri"/>
          <w:lang w:val="en-ZA"/>
        </w:rPr>
        <w:t>s</w:t>
      </w:r>
      <w:r w:rsidR="00D359B1" w:rsidRPr="0073660D">
        <w:rPr>
          <w:rFonts w:eastAsia="Calibri"/>
          <w:lang w:val="en-ZA"/>
        </w:rPr>
        <w:t xml:space="preserve"> about the </w:t>
      </w:r>
      <w:r w:rsidR="0009261D" w:rsidRPr="0073660D">
        <w:rPr>
          <w:rFonts w:eastAsia="Calibri"/>
          <w:lang w:val="en-ZA"/>
        </w:rPr>
        <w:t xml:space="preserve">extent to which </w:t>
      </w:r>
      <w:r w:rsidR="00D359B1" w:rsidRPr="0073660D">
        <w:rPr>
          <w:rFonts w:eastAsia="Calibri"/>
          <w:lang w:val="en-ZA"/>
        </w:rPr>
        <w:t xml:space="preserve">continued incarceration </w:t>
      </w:r>
      <w:r w:rsidR="0009261D" w:rsidRPr="0073660D">
        <w:rPr>
          <w:rFonts w:eastAsia="Calibri"/>
          <w:lang w:val="en-ZA"/>
        </w:rPr>
        <w:t xml:space="preserve">would be detrimental to </w:t>
      </w:r>
      <w:r w:rsidR="00D359B1" w:rsidRPr="0073660D">
        <w:rPr>
          <w:rFonts w:eastAsia="Calibri"/>
          <w:lang w:val="en-ZA"/>
        </w:rPr>
        <w:t xml:space="preserve">his health. The </w:t>
      </w:r>
      <w:r w:rsidR="00AB6D83" w:rsidRPr="0073660D">
        <w:rPr>
          <w:rFonts w:eastAsia="Calibri"/>
          <w:lang w:val="en-ZA"/>
        </w:rPr>
        <w:t xml:space="preserve">paucity of </w:t>
      </w:r>
      <w:r w:rsidR="00D359B1" w:rsidRPr="0073660D">
        <w:rPr>
          <w:rFonts w:eastAsia="Calibri"/>
          <w:lang w:val="en-ZA"/>
        </w:rPr>
        <w:t xml:space="preserve">evidence </w:t>
      </w:r>
      <w:r w:rsidR="0009261D" w:rsidRPr="0073660D">
        <w:rPr>
          <w:rFonts w:eastAsia="Calibri"/>
          <w:lang w:val="en-ZA"/>
        </w:rPr>
        <w:t xml:space="preserve">or material </w:t>
      </w:r>
      <w:r w:rsidR="00D359B1" w:rsidRPr="0073660D">
        <w:rPr>
          <w:rFonts w:eastAsia="Calibri"/>
          <w:lang w:val="en-ZA"/>
        </w:rPr>
        <w:t>gainsaying th</w:t>
      </w:r>
      <w:r w:rsidR="0009261D" w:rsidRPr="0073660D">
        <w:rPr>
          <w:rFonts w:eastAsia="Calibri"/>
          <w:lang w:val="en-ZA"/>
        </w:rPr>
        <w:t>e medical officer’s findings and reasons</w:t>
      </w:r>
      <w:r w:rsidR="00D359B1" w:rsidRPr="0073660D">
        <w:rPr>
          <w:rFonts w:eastAsia="Calibri"/>
          <w:lang w:val="en-ZA"/>
        </w:rPr>
        <w:t xml:space="preserve"> </w:t>
      </w:r>
      <w:r w:rsidR="00AB6D83" w:rsidRPr="0073660D">
        <w:rPr>
          <w:rFonts w:eastAsia="Calibri"/>
          <w:lang w:val="en-ZA"/>
        </w:rPr>
        <w:t xml:space="preserve">is surprising </w:t>
      </w:r>
      <w:r w:rsidR="00733C70" w:rsidRPr="0073660D">
        <w:rPr>
          <w:rFonts w:eastAsia="Calibri"/>
          <w:lang w:val="en-ZA"/>
        </w:rPr>
        <w:t xml:space="preserve">to say the least </w:t>
      </w:r>
      <w:r w:rsidR="00D359B1" w:rsidRPr="0073660D">
        <w:rPr>
          <w:rFonts w:eastAsia="Calibri"/>
          <w:lang w:val="en-ZA"/>
        </w:rPr>
        <w:t>i</w:t>
      </w:r>
      <w:r w:rsidR="00AB6D83" w:rsidRPr="0073660D">
        <w:rPr>
          <w:rFonts w:eastAsia="Calibri"/>
          <w:lang w:val="en-ZA"/>
        </w:rPr>
        <w:t>n</w:t>
      </w:r>
      <w:r w:rsidR="00D359B1" w:rsidRPr="0073660D">
        <w:rPr>
          <w:rFonts w:eastAsia="Calibri"/>
          <w:lang w:val="en-ZA"/>
        </w:rPr>
        <w:t xml:space="preserve"> a case of this magnitude. </w:t>
      </w:r>
    </w:p>
    <w:p w14:paraId="6171ADD8" w14:textId="77777777" w:rsidR="00733C70" w:rsidRPr="00733C70" w:rsidRDefault="00733C70" w:rsidP="00AC489E">
      <w:pPr>
        <w:pStyle w:val="ListParagraph"/>
        <w:ind w:left="0"/>
        <w:rPr>
          <w:rFonts w:eastAsia="Calibri"/>
          <w:lang w:val="en-ZA"/>
        </w:rPr>
      </w:pPr>
    </w:p>
    <w:p w14:paraId="6499F64E" w14:textId="368933AF" w:rsidR="0009261D" w:rsidRPr="0073660D" w:rsidRDefault="0073660D" w:rsidP="0073660D">
      <w:pPr>
        <w:spacing w:line="480" w:lineRule="auto"/>
        <w:rPr>
          <w:u w:val="single"/>
        </w:rPr>
      </w:pPr>
      <w:r>
        <w:lastRenderedPageBreak/>
        <w:t>[67]</w:t>
      </w:r>
      <w:r>
        <w:tab/>
      </w:r>
      <w:r w:rsidR="00AB6D83" w:rsidRPr="0073660D">
        <w:rPr>
          <w:rFonts w:eastAsia="Calibri"/>
          <w:lang w:val="en-ZA"/>
        </w:rPr>
        <w:t xml:space="preserve">The findings so far </w:t>
      </w:r>
      <w:r w:rsidR="00733C70" w:rsidRPr="0073660D">
        <w:rPr>
          <w:rFonts w:eastAsia="Calibri"/>
          <w:lang w:val="en-ZA"/>
        </w:rPr>
        <w:t xml:space="preserve">made </w:t>
      </w:r>
      <w:r w:rsidR="00AB6D83" w:rsidRPr="0073660D">
        <w:rPr>
          <w:rFonts w:eastAsia="Calibri"/>
          <w:lang w:val="en-ZA"/>
        </w:rPr>
        <w:t>should have disposed of the appeal, but because the appellant forcefully and persistently urged this Court to direct the Minister to authorise the appellant’s release</w:t>
      </w:r>
      <w:r w:rsidR="00733C70" w:rsidRPr="0073660D">
        <w:rPr>
          <w:rFonts w:eastAsia="Calibri"/>
          <w:lang w:val="en-ZA"/>
        </w:rPr>
        <w:t>, it is necessary to deal with the appellant’s grounds of appeal and certain contentions in exhaustive detail.</w:t>
      </w:r>
      <w:r w:rsidR="00AB6D83" w:rsidRPr="0073660D">
        <w:rPr>
          <w:rFonts w:eastAsia="Calibri"/>
          <w:lang w:val="en-ZA"/>
        </w:rPr>
        <w:t xml:space="preserve"> </w:t>
      </w:r>
      <w:r w:rsidR="00733C70" w:rsidRPr="0073660D">
        <w:rPr>
          <w:rFonts w:eastAsia="Calibri"/>
          <w:lang w:val="en-ZA"/>
        </w:rPr>
        <w:t>T</w:t>
      </w:r>
      <w:r w:rsidR="00AB6D83" w:rsidRPr="0073660D">
        <w:rPr>
          <w:rFonts w:eastAsia="Calibri"/>
          <w:lang w:val="en-ZA"/>
        </w:rPr>
        <w:t>h</w:t>
      </w:r>
      <w:r w:rsidR="00733C70" w:rsidRPr="0073660D">
        <w:rPr>
          <w:rFonts w:eastAsia="Calibri"/>
          <w:lang w:val="en-ZA"/>
        </w:rPr>
        <w:t xml:space="preserve">e argument </w:t>
      </w:r>
      <w:r w:rsidR="003F27B6" w:rsidRPr="0073660D">
        <w:rPr>
          <w:rFonts w:eastAsia="Calibri"/>
          <w:lang w:val="en-ZA"/>
        </w:rPr>
        <w:t>based on substitution</w:t>
      </w:r>
      <w:r w:rsidR="00733C70" w:rsidRPr="0073660D">
        <w:rPr>
          <w:rFonts w:eastAsia="Calibri"/>
          <w:lang w:val="en-ZA"/>
        </w:rPr>
        <w:t xml:space="preserve"> </w:t>
      </w:r>
      <w:r w:rsidR="00AB6D83" w:rsidRPr="0073660D">
        <w:rPr>
          <w:rFonts w:eastAsia="Calibri"/>
          <w:lang w:val="en-ZA"/>
        </w:rPr>
        <w:t xml:space="preserve">will be </w:t>
      </w:r>
      <w:r w:rsidR="00E95AD9" w:rsidRPr="00B56710">
        <w:t>considered next.</w:t>
      </w:r>
    </w:p>
    <w:p w14:paraId="40C3825F" w14:textId="77777777" w:rsidR="003F27B6" w:rsidRPr="003F27B6" w:rsidRDefault="003F27B6" w:rsidP="009F6186">
      <w:pPr>
        <w:pStyle w:val="ListParagraph"/>
        <w:spacing w:line="480" w:lineRule="auto"/>
        <w:ind w:left="0"/>
        <w:rPr>
          <w:u w:val="single"/>
        </w:rPr>
      </w:pPr>
    </w:p>
    <w:p w14:paraId="76B32D90" w14:textId="21DDFF32" w:rsidR="0009261D" w:rsidRPr="00B56710" w:rsidRDefault="0009261D" w:rsidP="00B56710">
      <w:pPr>
        <w:spacing w:line="480" w:lineRule="auto"/>
        <w:rPr>
          <w:u w:val="single"/>
        </w:rPr>
      </w:pPr>
      <w:r w:rsidRPr="00B56710">
        <w:rPr>
          <w:u w:val="single"/>
        </w:rPr>
        <w:t xml:space="preserve">Should the </w:t>
      </w:r>
      <w:r w:rsidR="003F27B6" w:rsidRPr="00B56710">
        <w:rPr>
          <w:u w:val="single"/>
        </w:rPr>
        <w:t>c</w:t>
      </w:r>
      <w:r w:rsidRPr="00B56710">
        <w:rPr>
          <w:u w:val="single"/>
        </w:rPr>
        <w:t>ourt order the Minister to authorise appellant’s release</w:t>
      </w:r>
      <w:r w:rsidR="00E96719" w:rsidRPr="00B56710">
        <w:rPr>
          <w:u w:val="single"/>
        </w:rPr>
        <w:t>?</w:t>
      </w:r>
    </w:p>
    <w:p w14:paraId="1DBEB234" w14:textId="41451104" w:rsidR="00721B0C" w:rsidRDefault="0073660D" w:rsidP="0073660D">
      <w:pPr>
        <w:spacing w:line="480" w:lineRule="auto"/>
      </w:pPr>
      <w:r>
        <w:t>[68]</w:t>
      </w:r>
      <w:r>
        <w:tab/>
      </w:r>
      <w:r w:rsidR="0009261D">
        <w:t xml:space="preserve">As earlier </w:t>
      </w:r>
      <w:r w:rsidR="000E4A23">
        <w:t>noted</w:t>
      </w:r>
      <w:r w:rsidR="0009261D">
        <w:t>,</w:t>
      </w:r>
      <w:r w:rsidR="000E4A23">
        <w:t xml:space="preserve"> the appellant has urged this Court to order the Minister to authorise h</w:t>
      </w:r>
      <w:r w:rsidR="0009261D">
        <w:t>is</w:t>
      </w:r>
      <w:r w:rsidR="000E4A23">
        <w:t xml:space="preserve"> release. </w:t>
      </w:r>
      <w:r w:rsidR="0009261D">
        <w:t>F</w:t>
      </w:r>
      <w:r w:rsidR="000E4A23">
        <w:t>or this proposition the appellant relie</w:t>
      </w:r>
      <w:r w:rsidR="00AB6D83">
        <w:t>d</w:t>
      </w:r>
      <w:r w:rsidR="000E4A23">
        <w:t xml:space="preserve"> on </w:t>
      </w:r>
      <w:r w:rsidR="00721B0C">
        <w:t xml:space="preserve">decisions </w:t>
      </w:r>
      <w:r w:rsidR="000E4A23">
        <w:t>of South African courts</w:t>
      </w:r>
      <w:r w:rsidR="0009261D">
        <w:t xml:space="preserve"> in</w:t>
      </w:r>
      <w:r w:rsidR="0009261D" w:rsidRPr="0073660D">
        <w:rPr>
          <w:i/>
        </w:rPr>
        <w:t xml:space="preserve"> Walus</w:t>
      </w:r>
      <w:r w:rsidR="00721B0C" w:rsidRPr="00721B0C">
        <w:rPr>
          <w:rStyle w:val="FootnoteReference"/>
        </w:rPr>
        <w:footnoteReference w:id="11"/>
      </w:r>
      <w:r w:rsidR="0009261D" w:rsidRPr="0073660D">
        <w:rPr>
          <w:i/>
        </w:rPr>
        <w:t xml:space="preserve"> </w:t>
      </w:r>
      <w:r w:rsidR="0009261D">
        <w:t xml:space="preserve">and </w:t>
      </w:r>
      <w:r w:rsidR="0009261D" w:rsidRPr="0073660D">
        <w:rPr>
          <w:i/>
        </w:rPr>
        <w:t>Derby-Lewis</w:t>
      </w:r>
      <w:r w:rsidR="003F27B6" w:rsidRPr="0073660D">
        <w:rPr>
          <w:i/>
        </w:rPr>
        <w:t>.</w:t>
      </w:r>
      <w:r w:rsidR="00721B0C" w:rsidRPr="00721B0C">
        <w:rPr>
          <w:rStyle w:val="FootnoteReference"/>
        </w:rPr>
        <w:footnoteReference w:id="12"/>
      </w:r>
      <w:r w:rsidR="000E4A23">
        <w:t xml:space="preserve"> I</w:t>
      </w:r>
      <w:r w:rsidR="0009261D">
        <w:t xml:space="preserve">t is noted that </w:t>
      </w:r>
      <w:r w:rsidR="000E4A23">
        <w:t xml:space="preserve">both </w:t>
      </w:r>
      <w:r w:rsidR="00721B0C">
        <w:t xml:space="preserve">cases concerned the review of the Minister’s refusal to release the applicants on parole despite the recommendations </w:t>
      </w:r>
      <w:r w:rsidR="00AB6D83">
        <w:t xml:space="preserve">made </w:t>
      </w:r>
      <w:r w:rsidR="00721B0C">
        <w:t>by the Parole Board that the applicant</w:t>
      </w:r>
      <w:r w:rsidR="00AB6D83">
        <w:t>s</w:t>
      </w:r>
      <w:r w:rsidR="00721B0C">
        <w:t xml:space="preserve"> be placed on parole. </w:t>
      </w:r>
    </w:p>
    <w:p w14:paraId="24B25E71" w14:textId="77777777" w:rsidR="00AB6D83" w:rsidRDefault="00AB6D83" w:rsidP="009F6186">
      <w:pPr>
        <w:pStyle w:val="ListParagraph"/>
        <w:spacing w:line="480" w:lineRule="auto"/>
        <w:ind w:left="0"/>
      </w:pPr>
    </w:p>
    <w:p w14:paraId="0A943A78" w14:textId="38E93C26" w:rsidR="00A24B2A" w:rsidRDefault="0073660D" w:rsidP="0073660D">
      <w:pPr>
        <w:spacing w:line="480" w:lineRule="auto"/>
      </w:pPr>
      <w:r>
        <w:t>[69]</w:t>
      </w:r>
      <w:r>
        <w:tab/>
      </w:r>
      <w:r w:rsidR="000E4A23">
        <w:t>Th</w:t>
      </w:r>
      <w:r w:rsidR="00721B0C">
        <w:t xml:space="preserve">e existence of a recommendation for the applicants’ release in those cases </w:t>
      </w:r>
      <w:r w:rsidR="000E4A23">
        <w:t xml:space="preserve">is a significant </w:t>
      </w:r>
      <w:r w:rsidR="00721B0C">
        <w:t xml:space="preserve">feature distinguishing </w:t>
      </w:r>
      <w:r w:rsidR="0009261D">
        <w:t>the facts in those cases from the facts in th</w:t>
      </w:r>
      <w:r w:rsidR="00AB6D83">
        <w:t>is matter</w:t>
      </w:r>
      <w:r w:rsidR="0009261D">
        <w:t>.</w:t>
      </w:r>
      <w:r w:rsidR="000E4A23">
        <w:t xml:space="preserve"> </w:t>
      </w:r>
      <w:r w:rsidR="003F27B6">
        <w:t>As previously mentioned, a recommendation by the medical officer is a pre-</w:t>
      </w:r>
      <w:r w:rsidR="00012E4B">
        <w:t>condition to</w:t>
      </w:r>
      <w:r w:rsidR="003F27B6">
        <w:t xml:space="preserve"> the exercise of the power conferred on</w:t>
      </w:r>
      <w:r w:rsidR="00A24B2A">
        <w:t xml:space="preserve"> the Minister</w:t>
      </w:r>
      <w:r w:rsidR="003F27B6">
        <w:t xml:space="preserve"> by statute</w:t>
      </w:r>
      <w:r w:rsidR="00A24B2A">
        <w:t xml:space="preserve"> in this case</w:t>
      </w:r>
      <w:r w:rsidR="003F27B6">
        <w:t>.</w:t>
      </w:r>
      <w:r w:rsidR="00A24B2A">
        <w:t xml:space="preserve"> </w:t>
      </w:r>
      <w:r w:rsidR="003F27B6">
        <w:t>T</w:t>
      </w:r>
      <w:r w:rsidR="000E4A23">
        <w:t>he Minister has not decided whether or not to authorise the appellant</w:t>
      </w:r>
      <w:r w:rsidR="00E96719">
        <w:t>’s</w:t>
      </w:r>
      <w:r w:rsidR="000E4A23">
        <w:t xml:space="preserve"> release, rightly so because he </w:t>
      </w:r>
      <w:r w:rsidR="0009261D">
        <w:t xml:space="preserve">was </w:t>
      </w:r>
      <w:r w:rsidR="000E4A23">
        <w:t xml:space="preserve">not furnished with a recommendation by the medical officer as required by law. </w:t>
      </w:r>
    </w:p>
    <w:p w14:paraId="72D17D33" w14:textId="77777777" w:rsidR="00AB6D83" w:rsidRDefault="00AB6D83" w:rsidP="009F6186">
      <w:pPr>
        <w:pStyle w:val="ListParagraph"/>
        <w:spacing w:line="480" w:lineRule="auto"/>
        <w:ind w:left="0"/>
      </w:pPr>
    </w:p>
    <w:p w14:paraId="7D43EB97" w14:textId="7538AA6C" w:rsidR="00AB6D83" w:rsidRDefault="0073660D" w:rsidP="0073660D">
      <w:pPr>
        <w:spacing w:line="480" w:lineRule="auto"/>
      </w:pPr>
      <w:r>
        <w:lastRenderedPageBreak/>
        <w:t>[70]</w:t>
      </w:r>
      <w:r>
        <w:tab/>
      </w:r>
      <w:r w:rsidR="000E4A23">
        <w:t xml:space="preserve">While </w:t>
      </w:r>
      <w:r w:rsidR="00721B0C">
        <w:t xml:space="preserve">it is true that </w:t>
      </w:r>
      <w:r w:rsidR="0009261D">
        <w:t xml:space="preserve">in exceptional circumstances, instead of remitting a matter to the relevant functionary for decision, a court may instead </w:t>
      </w:r>
      <w:r w:rsidR="00A24B2A">
        <w:t>substitute its</w:t>
      </w:r>
      <w:r w:rsidR="0009261D">
        <w:t xml:space="preserve"> decision </w:t>
      </w:r>
      <w:r w:rsidR="00A24B2A">
        <w:t xml:space="preserve">for </w:t>
      </w:r>
      <w:r w:rsidR="0009261D">
        <w:t xml:space="preserve">that </w:t>
      </w:r>
      <w:r w:rsidR="00A24B2A">
        <w:t xml:space="preserve">of </w:t>
      </w:r>
      <w:r w:rsidR="0009261D">
        <w:t xml:space="preserve">the </w:t>
      </w:r>
      <w:r w:rsidR="00A24B2A">
        <w:t>administrative body</w:t>
      </w:r>
      <w:r w:rsidR="0009261D">
        <w:t>, no</w:t>
      </w:r>
      <w:r w:rsidR="000E4A23">
        <w:t xml:space="preserve"> proper case has been made </w:t>
      </w:r>
      <w:r w:rsidR="00FC4C32">
        <w:t>out</w:t>
      </w:r>
      <w:r w:rsidR="0009261D">
        <w:t xml:space="preserve"> for the exercise of this discretion</w:t>
      </w:r>
      <w:r w:rsidR="00721B0C">
        <w:t xml:space="preserve"> in this appeal</w:t>
      </w:r>
      <w:r w:rsidR="0009261D">
        <w:t>.</w:t>
      </w:r>
      <w:r w:rsidR="00FC4C32">
        <w:t xml:space="preserve"> </w:t>
      </w:r>
      <w:r w:rsidR="00A24B2A">
        <w:t xml:space="preserve">It is therefore not necessary to set out what those exceptional circumstances are and to decide whether such circumstances exist in this case to justify the grant of an order </w:t>
      </w:r>
      <w:r w:rsidR="007C5850">
        <w:t xml:space="preserve">of </w:t>
      </w:r>
      <w:r w:rsidR="00A24B2A">
        <w:t>substitution.</w:t>
      </w:r>
    </w:p>
    <w:p w14:paraId="283B7039" w14:textId="77777777" w:rsidR="00A24B2A" w:rsidRDefault="00A24B2A" w:rsidP="00B56710">
      <w:pPr>
        <w:pStyle w:val="ListParagraph"/>
        <w:spacing w:line="480" w:lineRule="auto"/>
        <w:ind w:left="0"/>
      </w:pPr>
    </w:p>
    <w:p w14:paraId="2F7C3426" w14:textId="299FE3F7" w:rsidR="00721B0C" w:rsidRDefault="0073660D" w:rsidP="0073660D">
      <w:pPr>
        <w:spacing w:line="480" w:lineRule="auto"/>
      </w:pPr>
      <w:r>
        <w:t>[71]</w:t>
      </w:r>
      <w:r>
        <w:tab/>
      </w:r>
      <w:r w:rsidR="00721B0C">
        <w:t>As previously noted, t</w:t>
      </w:r>
      <w:r w:rsidR="0009261D">
        <w:t xml:space="preserve">he </w:t>
      </w:r>
      <w:r w:rsidR="00721B0C">
        <w:t xml:space="preserve">medical officer’s </w:t>
      </w:r>
      <w:r w:rsidR="0009261D">
        <w:t>decision cannot be impugned on any of the grounds contended for by the</w:t>
      </w:r>
      <w:r w:rsidR="000E4A23">
        <w:t xml:space="preserve"> </w:t>
      </w:r>
      <w:r w:rsidR="0009261D">
        <w:t xml:space="preserve">appellant and there is no </w:t>
      </w:r>
      <w:r w:rsidR="00721B0C">
        <w:t xml:space="preserve">medical or other </w:t>
      </w:r>
      <w:r w:rsidR="0009261D">
        <w:t xml:space="preserve">evidence gainsaying the </w:t>
      </w:r>
      <w:r w:rsidR="005051C3">
        <w:t>evidence or material</w:t>
      </w:r>
      <w:r w:rsidR="000E4A23">
        <w:t xml:space="preserve"> </w:t>
      </w:r>
      <w:r w:rsidR="005051C3">
        <w:t>presented</w:t>
      </w:r>
      <w:r w:rsidR="0009261D">
        <w:t xml:space="preserve"> by the medical officer. Moreover, this Court is not in as good a position as the medical officer to recommend the appellant’s release. </w:t>
      </w:r>
    </w:p>
    <w:p w14:paraId="3671EF3A" w14:textId="77777777" w:rsidR="00B218B6" w:rsidRDefault="00B218B6" w:rsidP="00B218B6">
      <w:pPr>
        <w:spacing w:line="480" w:lineRule="auto"/>
      </w:pPr>
    </w:p>
    <w:p w14:paraId="0B4D07E3" w14:textId="77777777" w:rsidR="00A24B2A" w:rsidRPr="00B56710" w:rsidRDefault="00A24B2A" w:rsidP="00B218B6">
      <w:pPr>
        <w:spacing w:line="480" w:lineRule="auto"/>
        <w:rPr>
          <w:u w:val="single"/>
        </w:rPr>
      </w:pPr>
      <w:r w:rsidRPr="00B56710">
        <w:rPr>
          <w:u w:val="single"/>
        </w:rPr>
        <w:t>Conclusion</w:t>
      </w:r>
    </w:p>
    <w:p w14:paraId="70F1EA53" w14:textId="538D8BAE" w:rsidR="000E4A23" w:rsidRDefault="0073660D" w:rsidP="0073660D">
      <w:pPr>
        <w:spacing w:line="480" w:lineRule="auto"/>
      </w:pPr>
      <w:r>
        <w:t>[72]</w:t>
      </w:r>
      <w:r>
        <w:tab/>
      </w:r>
      <w:r w:rsidR="0009261D">
        <w:t>T</w:t>
      </w:r>
      <w:r w:rsidR="000E4A23">
        <w:t xml:space="preserve">he appellant’s case for review </w:t>
      </w:r>
      <w:r w:rsidR="0009261D">
        <w:t>wa</w:t>
      </w:r>
      <w:r w:rsidR="000E4A23">
        <w:t xml:space="preserve">s </w:t>
      </w:r>
      <w:r w:rsidR="00FC4C32">
        <w:t>inept</w:t>
      </w:r>
      <w:r w:rsidR="00721B0C">
        <w:t>;</w:t>
      </w:r>
      <w:r w:rsidR="000E4A23">
        <w:t xml:space="preserve"> </w:t>
      </w:r>
      <w:r w:rsidR="00733C70">
        <w:t>t</w:t>
      </w:r>
      <w:r w:rsidR="0009261D">
        <w:t>h</w:t>
      </w:r>
      <w:r w:rsidR="00733C70">
        <w:t>e</w:t>
      </w:r>
      <w:r w:rsidR="000E4A23">
        <w:t xml:space="preserve"> interpretation of s 109 </w:t>
      </w:r>
      <w:r w:rsidR="00733C70">
        <w:t xml:space="preserve">proffered by him </w:t>
      </w:r>
      <w:r w:rsidR="0009261D">
        <w:t xml:space="preserve">is </w:t>
      </w:r>
      <w:r w:rsidR="000E4A23">
        <w:t xml:space="preserve">untenable for the reasons already given. </w:t>
      </w:r>
      <w:r w:rsidR="00733C70">
        <w:t xml:space="preserve">Some of the </w:t>
      </w:r>
      <w:r w:rsidR="00A24B2A">
        <w:t xml:space="preserve">submissions and </w:t>
      </w:r>
      <w:r w:rsidR="00733C70">
        <w:t>contentions were evidently mistaken</w:t>
      </w:r>
      <w:r w:rsidR="00A24B2A">
        <w:t xml:space="preserve"> or misplaced</w:t>
      </w:r>
      <w:r w:rsidR="00733C70">
        <w:t xml:space="preserve">. A </w:t>
      </w:r>
      <w:r w:rsidR="00A24B2A">
        <w:t xml:space="preserve">prime </w:t>
      </w:r>
      <w:r w:rsidR="00733C70">
        <w:t xml:space="preserve">example </w:t>
      </w:r>
      <w:r w:rsidR="00A24B2A">
        <w:t xml:space="preserve">of a mistaken submission </w:t>
      </w:r>
      <w:r w:rsidR="00733C70">
        <w:t>is a letter addressed to the Minister by the Officer in charge</w:t>
      </w:r>
      <w:r w:rsidR="00A24B2A">
        <w:t xml:space="preserve"> of the facility</w:t>
      </w:r>
      <w:r w:rsidR="00733C70">
        <w:t xml:space="preserve"> conveying the report on the appellant’s medical examination. The Officer in charge </w:t>
      </w:r>
      <w:r w:rsidR="00A24B2A">
        <w:t>described</w:t>
      </w:r>
      <w:r w:rsidR="00733C70">
        <w:t xml:space="preserve"> the report </w:t>
      </w:r>
      <w:r w:rsidR="00A24B2A">
        <w:t>as</w:t>
      </w:r>
      <w:r w:rsidR="00733C70">
        <w:t xml:space="preserve"> </w:t>
      </w:r>
      <w:r w:rsidR="00A24B2A">
        <w:t>‘</w:t>
      </w:r>
      <w:r w:rsidR="00733C70">
        <w:t>recommendation</w:t>
      </w:r>
      <w:r w:rsidR="00A24B2A">
        <w:t>’</w:t>
      </w:r>
      <w:r w:rsidR="00733C70">
        <w:t>. The appellant argued strenuously that because</w:t>
      </w:r>
      <w:r w:rsidR="00A24B2A">
        <w:t xml:space="preserve"> of</w:t>
      </w:r>
      <w:r w:rsidR="00733C70">
        <w:t xml:space="preserve"> the</w:t>
      </w:r>
      <w:r w:rsidR="00A24B2A">
        <w:t xml:space="preserve"> label placed by the</w:t>
      </w:r>
      <w:r w:rsidR="00733C70">
        <w:t xml:space="preserve"> Officer in charge </w:t>
      </w:r>
      <w:r w:rsidR="00A24B2A">
        <w:t xml:space="preserve">on </w:t>
      </w:r>
      <w:r w:rsidR="00733C70">
        <w:t xml:space="preserve">the report, </w:t>
      </w:r>
      <w:r w:rsidR="00A24B2A">
        <w:t xml:space="preserve">such </w:t>
      </w:r>
      <w:r w:rsidR="00733C70">
        <w:t xml:space="preserve">report </w:t>
      </w:r>
      <w:r w:rsidR="00CF5DC5">
        <w:t xml:space="preserve">in fact </w:t>
      </w:r>
      <w:r w:rsidR="00733C70">
        <w:t xml:space="preserve">constituted a recommendation for his release, which was </w:t>
      </w:r>
      <w:r w:rsidR="00CF5DC5">
        <w:t xml:space="preserve">ultimately </w:t>
      </w:r>
      <w:r w:rsidR="00733C70">
        <w:t>suppressed by the Minister through political interference</w:t>
      </w:r>
      <w:r w:rsidR="00CF5DC5">
        <w:t xml:space="preserve"> given the nature of the crimes the appellant had been convicted</w:t>
      </w:r>
      <w:r w:rsidR="007C5850">
        <w:t xml:space="preserve"> of</w:t>
      </w:r>
      <w:r w:rsidR="00733C70">
        <w:t xml:space="preserve">. </w:t>
      </w:r>
      <w:r w:rsidR="00732523">
        <w:t>A close reading</w:t>
      </w:r>
      <w:r w:rsidR="00CF5DC5">
        <w:t xml:space="preserve"> of the </w:t>
      </w:r>
      <w:r w:rsidR="00733C70">
        <w:t xml:space="preserve">report </w:t>
      </w:r>
      <w:r w:rsidR="00CF5DC5">
        <w:t xml:space="preserve">shows that it </w:t>
      </w:r>
      <w:r w:rsidR="00733C70">
        <w:t>contained no recommendation at all. The submission</w:t>
      </w:r>
      <w:r w:rsidR="00CF5DC5">
        <w:t>, therefore,</w:t>
      </w:r>
      <w:r w:rsidR="00733C70">
        <w:t xml:space="preserve"> </w:t>
      </w:r>
      <w:r w:rsidR="00733C70">
        <w:lastRenderedPageBreak/>
        <w:t xml:space="preserve">appears to have been based on </w:t>
      </w:r>
      <w:r w:rsidR="00CF5DC5">
        <w:t xml:space="preserve">sheer </w:t>
      </w:r>
      <w:r w:rsidR="00733C70">
        <w:t>conspiracy theory</w:t>
      </w:r>
      <w:r w:rsidR="00C1435C">
        <w:t xml:space="preserve"> as opposed to fact</w:t>
      </w:r>
      <w:r w:rsidR="00733C70">
        <w:t xml:space="preserve">. For all the reasons given hereinbefore, </w:t>
      </w:r>
      <w:r w:rsidR="000E4A23">
        <w:t>th</w:t>
      </w:r>
      <w:r w:rsidR="0009261D">
        <w:t>e</w:t>
      </w:r>
      <w:r w:rsidR="000E4A23">
        <w:t xml:space="preserve"> appeal </w:t>
      </w:r>
      <w:r w:rsidR="00721B0C">
        <w:t>cannot succeed</w:t>
      </w:r>
      <w:r w:rsidR="000E4A23">
        <w:t xml:space="preserve">. </w:t>
      </w:r>
    </w:p>
    <w:p w14:paraId="6AC98824" w14:textId="77777777" w:rsidR="0009261D" w:rsidRDefault="0009261D" w:rsidP="009F6186">
      <w:pPr>
        <w:pStyle w:val="ListParagraph"/>
        <w:spacing w:line="480" w:lineRule="auto"/>
        <w:ind w:left="0"/>
        <w:rPr>
          <w:u w:val="single"/>
        </w:rPr>
      </w:pPr>
    </w:p>
    <w:p w14:paraId="1031BC83" w14:textId="0B8790C5" w:rsidR="000E4A23" w:rsidRPr="000E4A23" w:rsidRDefault="000E4A23">
      <w:pPr>
        <w:pStyle w:val="ListParagraph"/>
        <w:spacing w:line="480" w:lineRule="auto"/>
        <w:ind w:left="0"/>
        <w:rPr>
          <w:u w:val="single"/>
        </w:rPr>
      </w:pPr>
      <w:r w:rsidRPr="000E4A23">
        <w:rPr>
          <w:u w:val="single"/>
        </w:rPr>
        <w:t xml:space="preserve">Costs </w:t>
      </w:r>
    </w:p>
    <w:p w14:paraId="64BAED84" w14:textId="1CC04DE7" w:rsidR="00D359B1" w:rsidRDefault="0073660D" w:rsidP="0073660D">
      <w:pPr>
        <w:spacing w:line="480" w:lineRule="auto"/>
      </w:pPr>
      <w:r>
        <w:t>[73]</w:t>
      </w:r>
      <w:r>
        <w:tab/>
      </w:r>
      <w:r w:rsidR="000E4A23">
        <w:t>The appe</w:t>
      </w:r>
      <w:r w:rsidR="0009261D">
        <w:t xml:space="preserve">al </w:t>
      </w:r>
      <w:r w:rsidR="000E4A23">
        <w:t xml:space="preserve">was </w:t>
      </w:r>
      <w:r w:rsidR="0009261D">
        <w:t xml:space="preserve">argued </w:t>
      </w:r>
      <w:r w:rsidR="000E4A23">
        <w:t>by a legal pr</w:t>
      </w:r>
      <w:r w:rsidR="00FC4C32">
        <w:t>a</w:t>
      </w:r>
      <w:r w:rsidR="000E4A23">
        <w:t xml:space="preserve">ctitioner appointed by the Directorate of Legal Aid </w:t>
      </w:r>
      <w:r w:rsidR="0009261D">
        <w:t xml:space="preserve">who also represented the appellant </w:t>
      </w:r>
      <w:r w:rsidR="000E4A23">
        <w:t>in the High Court.</w:t>
      </w:r>
      <w:r w:rsidR="00FC4C32">
        <w:t xml:space="preserve"> </w:t>
      </w:r>
      <w:r w:rsidR="00CF5DC5">
        <w:t xml:space="preserve">He has not sought costs. </w:t>
      </w:r>
      <w:r w:rsidR="00FC4C32">
        <w:t>The respondents have</w:t>
      </w:r>
      <w:r w:rsidR="00CF5DC5">
        <w:t xml:space="preserve"> also</w:t>
      </w:r>
      <w:r w:rsidR="00FC4C32">
        <w:t xml:space="preserve"> not asked for a costs order</w:t>
      </w:r>
      <w:r w:rsidR="00CF5DC5">
        <w:t xml:space="preserve"> should the appeal fail</w:t>
      </w:r>
      <w:r w:rsidR="00FC4C32">
        <w:t>. In the circumstances, no order as to costs should be made.</w:t>
      </w:r>
    </w:p>
    <w:p w14:paraId="29B7C0AE" w14:textId="77777777" w:rsidR="0009261D" w:rsidRDefault="0009261D" w:rsidP="009F6186">
      <w:pPr>
        <w:pStyle w:val="ListParagraph"/>
        <w:spacing w:line="480" w:lineRule="auto"/>
        <w:ind w:left="0"/>
        <w:rPr>
          <w:u w:val="single"/>
        </w:rPr>
      </w:pPr>
    </w:p>
    <w:p w14:paraId="770CEC4E" w14:textId="227CD302" w:rsidR="0009261D" w:rsidRPr="0009261D" w:rsidRDefault="0009261D" w:rsidP="00B56710">
      <w:pPr>
        <w:pStyle w:val="ListParagraph"/>
        <w:spacing w:line="480" w:lineRule="auto"/>
        <w:ind w:left="0"/>
        <w:rPr>
          <w:u w:val="single"/>
        </w:rPr>
      </w:pPr>
      <w:r w:rsidRPr="0009261D">
        <w:rPr>
          <w:u w:val="single"/>
        </w:rPr>
        <w:t xml:space="preserve">Order </w:t>
      </w:r>
    </w:p>
    <w:p w14:paraId="547759CA" w14:textId="5A7DD060" w:rsidR="0009261D" w:rsidRDefault="0073660D" w:rsidP="0073660D">
      <w:pPr>
        <w:spacing w:line="480" w:lineRule="auto"/>
      </w:pPr>
      <w:r>
        <w:t>[74]</w:t>
      </w:r>
      <w:r>
        <w:tab/>
      </w:r>
      <w:r w:rsidR="0009261D">
        <w:t xml:space="preserve">In the premise, the following order is made: </w:t>
      </w:r>
    </w:p>
    <w:p w14:paraId="2C403734" w14:textId="77777777" w:rsidR="00B56710" w:rsidRDefault="00B56710" w:rsidP="00B56710">
      <w:pPr>
        <w:pStyle w:val="ListParagraph"/>
        <w:spacing w:line="480" w:lineRule="auto"/>
        <w:ind w:left="0"/>
      </w:pPr>
    </w:p>
    <w:p w14:paraId="1A8BE183" w14:textId="7DD2F562" w:rsidR="000E4A23" w:rsidRDefault="0073660D" w:rsidP="0073660D">
      <w:pPr>
        <w:spacing w:line="480" w:lineRule="auto"/>
        <w:ind w:left="1080" w:hanging="360"/>
      </w:pPr>
      <w:r>
        <w:t>(a)</w:t>
      </w:r>
      <w:r>
        <w:tab/>
      </w:r>
      <w:r w:rsidR="0009261D">
        <w:t>The appeal is dismissed.</w:t>
      </w:r>
    </w:p>
    <w:p w14:paraId="06F0DAED" w14:textId="18A49088" w:rsidR="0009261D" w:rsidRDefault="0073660D" w:rsidP="0073660D">
      <w:pPr>
        <w:spacing w:line="480" w:lineRule="auto"/>
        <w:ind w:left="1080" w:hanging="360"/>
      </w:pPr>
      <w:r>
        <w:t>(b)</w:t>
      </w:r>
      <w:r>
        <w:tab/>
      </w:r>
      <w:r w:rsidR="0009261D">
        <w:t>No order as to costs is made.</w:t>
      </w:r>
    </w:p>
    <w:p w14:paraId="3FE55645" w14:textId="1B757B5B" w:rsidR="0009261D" w:rsidRDefault="0009261D" w:rsidP="009F6186">
      <w:pPr>
        <w:spacing w:line="480" w:lineRule="auto"/>
      </w:pPr>
    </w:p>
    <w:p w14:paraId="6BE262EA" w14:textId="77777777" w:rsidR="00B56710" w:rsidRDefault="00B56710" w:rsidP="009F6186">
      <w:pPr>
        <w:spacing w:line="480" w:lineRule="auto"/>
      </w:pPr>
    </w:p>
    <w:p w14:paraId="66F998B3" w14:textId="77777777" w:rsidR="00B56710" w:rsidRDefault="00B56710" w:rsidP="009F6186">
      <w:pPr>
        <w:spacing w:line="480" w:lineRule="auto"/>
      </w:pPr>
    </w:p>
    <w:p w14:paraId="050A1D84" w14:textId="35AA9351" w:rsidR="0009261D" w:rsidRPr="00B56710" w:rsidRDefault="0009261D" w:rsidP="00B56710">
      <w:pPr>
        <w:pStyle w:val="ListParagraph"/>
        <w:spacing w:line="276" w:lineRule="auto"/>
        <w:ind w:left="0"/>
      </w:pPr>
      <w:r w:rsidRPr="00B56710">
        <w:t>__________</w:t>
      </w:r>
      <w:r w:rsidR="00B56710">
        <w:t>_____</w:t>
      </w:r>
    </w:p>
    <w:p w14:paraId="2D448E2F" w14:textId="07E20892" w:rsidR="000E4A23" w:rsidRPr="00CF5DC5" w:rsidRDefault="0009261D" w:rsidP="00B56710">
      <w:pPr>
        <w:pStyle w:val="ListParagraph"/>
        <w:spacing w:line="276" w:lineRule="auto"/>
        <w:ind w:left="0"/>
        <w:rPr>
          <w:b/>
        </w:rPr>
      </w:pPr>
      <w:r w:rsidRPr="00CF5DC5">
        <w:rPr>
          <w:b/>
        </w:rPr>
        <w:t>SHIVUTE CJ</w:t>
      </w:r>
    </w:p>
    <w:p w14:paraId="056F903A" w14:textId="77777777" w:rsidR="0009261D" w:rsidRDefault="0009261D" w:rsidP="00B56710">
      <w:pPr>
        <w:spacing w:line="276" w:lineRule="auto"/>
        <w:rPr>
          <w:b/>
        </w:rPr>
      </w:pPr>
    </w:p>
    <w:p w14:paraId="1064083C" w14:textId="77777777" w:rsidR="00B56710" w:rsidRDefault="00B56710" w:rsidP="00B56710">
      <w:pPr>
        <w:spacing w:line="276" w:lineRule="auto"/>
        <w:rPr>
          <w:b/>
        </w:rPr>
      </w:pPr>
    </w:p>
    <w:p w14:paraId="529C03A4" w14:textId="77777777" w:rsidR="00B56710" w:rsidRPr="0009261D" w:rsidRDefault="00B56710" w:rsidP="00B56710">
      <w:pPr>
        <w:spacing w:line="276" w:lineRule="auto"/>
        <w:rPr>
          <w:b/>
        </w:rPr>
      </w:pPr>
    </w:p>
    <w:p w14:paraId="6E3AC151" w14:textId="135C9D5F" w:rsidR="009C5CE7" w:rsidRPr="00B56710" w:rsidRDefault="0009261D" w:rsidP="00B56710">
      <w:pPr>
        <w:pStyle w:val="ListParagraph"/>
        <w:spacing w:line="276" w:lineRule="auto"/>
        <w:ind w:left="0"/>
      </w:pPr>
      <w:r w:rsidRPr="00B56710">
        <w:t>_________</w:t>
      </w:r>
      <w:r w:rsidR="00B56710">
        <w:t>______</w:t>
      </w:r>
    </w:p>
    <w:p w14:paraId="61412E2A" w14:textId="2AB778FE" w:rsidR="00477B47" w:rsidRPr="00CF5DC5" w:rsidRDefault="0009261D" w:rsidP="00B56710">
      <w:pPr>
        <w:pStyle w:val="ListParagraph"/>
        <w:spacing w:line="276" w:lineRule="auto"/>
        <w:ind w:left="0"/>
        <w:rPr>
          <w:b/>
        </w:rPr>
      </w:pPr>
      <w:r w:rsidRPr="00CF5DC5">
        <w:rPr>
          <w:b/>
        </w:rPr>
        <w:t>SMUTS JA</w:t>
      </w:r>
    </w:p>
    <w:p w14:paraId="5BA96411" w14:textId="0C70B812" w:rsidR="0009261D" w:rsidRDefault="0009261D" w:rsidP="00B56710">
      <w:pPr>
        <w:spacing w:line="276" w:lineRule="auto"/>
        <w:rPr>
          <w:b/>
        </w:rPr>
      </w:pPr>
    </w:p>
    <w:p w14:paraId="689CAD47" w14:textId="77777777" w:rsidR="00B56710" w:rsidRDefault="00B56710" w:rsidP="00B56710">
      <w:pPr>
        <w:spacing w:line="276" w:lineRule="auto"/>
        <w:rPr>
          <w:b/>
        </w:rPr>
      </w:pPr>
    </w:p>
    <w:p w14:paraId="5DB06192" w14:textId="77777777" w:rsidR="00B56710" w:rsidRPr="0009261D" w:rsidRDefault="00B56710" w:rsidP="00B56710">
      <w:pPr>
        <w:spacing w:line="276" w:lineRule="auto"/>
        <w:rPr>
          <w:b/>
        </w:rPr>
      </w:pPr>
    </w:p>
    <w:p w14:paraId="5B52407C" w14:textId="7497C5FF" w:rsidR="0009261D" w:rsidRPr="00B56710" w:rsidRDefault="0009261D" w:rsidP="00B56710">
      <w:pPr>
        <w:pStyle w:val="ListParagraph"/>
        <w:spacing w:line="276" w:lineRule="auto"/>
        <w:ind w:left="0"/>
      </w:pPr>
      <w:r w:rsidRPr="00B56710">
        <w:t>__________</w:t>
      </w:r>
      <w:r w:rsidR="00B56710">
        <w:t>_____</w:t>
      </w:r>
    </w:p>
    <w:p w14:paraId="4EA2F605" w14:textId="21076B9E" w:rsidR="00FC4C32" w:rsidRPr="00CF5DC5" w:rsidRDefault="0009261D" w:rsidP="00B56710">
      <w:pPr>
        <w:pStyle w:val="ListParagraph"/>
        <w:tabs>
          <w:tab w:val="left" w:pos="2662"/>
        </w:tabs>
        <w:spacing w:line="276" w:lineRule="auto"/>
        <w:ind w:left="0"/>
        <w:rPr>
          <w:b/>
        </w:rPr>
      </w:pPr>
      <w:r w:rsidRPr="00CF5DC5">
        <w:rPr>
          <w:b/>
        </w:rPr>
        <w:t>FRANK AJA</w:t>
      </w:r>
    </w:p>
    <w:p w14:paraId="637D5038" w14:textId="77777777" w:rsidR="00FC4C32" w:rsidRDefault="00FC4C32" w:rsidP="00AA1816">
      <w:pPr>
        <w:spacing w:line="480" w:lineRule="auto"/>
      </w:pPr>
    </w:p>
    <w:p w14:paraId="1C94EF8E" w14:textId="2595AAF3" w:rsidR="00477B47" w:rsidRDefault="00477B47" w:rsidP="00477B47">
      <w:pPr>
        <w:spacing w:line="480" w:lineRule="auto"/>
      </w:pPr>
      <w:r>
        <w:lastRenderedPageBreak/>
        <w:t>APPEARANCES</w:t>
      </w:r>
    </w:p>
    <w:p w14:paraId="18B6DC73" w14:textId="77777777" w:rsidR="00477B47" w:rsidRDefault="00477B47" w:rsidP="00477B47">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477B47" w14:paraId="5724B54C" w14:textId="77777777" w:rsidTr="00477B47">
        <w:tc>
          <w:tcPr>
            <w:tcW w:w="4388" w:type="dxa"/>
          </w:tcPr>
          <w:p w14:paraId="3A33F4A8" w14:textId="5B95A7E3" w:rsidR="00477B47" w:rsidRDefault="00477B47" w:rsidP="00477B47">
            <w:pPr>
              <w:spacing w:line="480" w:lineRule="auto"/>
              <w:ind w:hanging="108"/>
            </w:pPr>
            <w:r>
              <w:t>APPELLANT</w:t>
            </w:r>
            <w:r w:rsidR="00417EF9">
              <w:t>:</w:t>
            </w:r>
          </w:p>
          <w:p w14:paraId="763D9271" w14:textId="77777777" w:rsidR="00477B47" w:rsidRDefault="00477B47" w:rsidP="00477B47">
            <w:pPr>
              <w:spacing w:line="480" w:lineRule="auto"/>
              <w:ind w:hanging="108"/>
            </w:pPr>
          </w:p>
          <w:p w14:paraId="3327E8D8" w14:textId="77777777" w:rsidR="00477B47" w:rsidRDefault="00477B47" w:rsidP="00477B47">
            <w:pPr>
              <w:spacing w:line="480" w:lineRule="auto"/>
              <w:ind w:hanging="108"/>
            </w:pPr>
          </w:p>
          <w:p w14:paraId="1D1C809C" w14:textId="732EA005" w:rsidR="00477B47" w:rsidRDefault="00477B47" w:rsidP="00477B47">
            <w:pPr>
              <w:spacing w:line="480" w:lineRule="auto"/>
              <w:ind w:hanging="108"/>
            </w:pPr>
            <w:r>
              <w:t>RESPONDENT</w:t>
            </w:r>
            <w:r w:rsidR="00E21807">
              <w:t>S</w:t>
            </w:r>
            <w:r>
              <w:t>:</w:t>
            </w:r>
          </w:p>
          <w:p w14:paraId="697EA7DA" w14:textId="77777777" w:rsidR="00477B47" w:rsidRDefault="00477B47" w:rsidP="00477B47">
            <w:pPr>
              <w:spacing w:line="480" w:lineRule="auto"/>
            </w:pPr>
          </w:p>
          <w:p w14:paraId="3AFA4577" w14:textId="77777777" w:rsidR="00477B47" w:rsidRDefault="00477B47" w:rsidP="00477B47">
            <w:pPr>
              <w:spacing w:line="480" w:lineRule="auto"/>
            </w:pPr>
          </w:p>
        </w:tc>
        <w:tc>
          <w:tcPr>
            <w:tcW w:w="4389" w:type="dxa"/>
          </w:tcPr>
          <w:p w14:paraId="2E47B5F5" w14:textId="707ACFC2" w:rsidR="00477B47" w:rsidRDefault="00C64ADE" w:rsidP="00477B47">
            <w:pPr>
              <w:spacing w:line="480" w:lineRule="auto"/>
            </w:pPr>
            <w:r>
              <w:t xml:space="preserve">P </w:t>
            </w:r>
            <w:r w:rsidR="00732523">
              <w:t xml:space="preserve">S </w:t>
            </w:r>
            <w:r w:rsidR="00477B47">
              <w:t>Mu</w:t>
            </w:r>
            <w:r>
              <w:t>luti</w:t>
            </w:r>
          </w:p>
          <w:p w14:paraId="101C35AC" w14:textId="4B451A4E" w:rsidR="00477B47" w:rsidRDefault="00C64ADE" w:rsidP="00477B47">
            <w:pPr>
              <w:spacing w:line="480" w:lineRule="auto"/>
            </w:pPr>
            <w:r>
              <w:t>Instructed by Legal Aid</w:t>
            </w:r>
          </w:p>
          <w:p w14:paraId="2543CDC5" w14:textId="77777777" w:rsidR="00477B47" w:rsidRDefault="00477B47" w:rsidP="00477B47">
            <w:pPr>
              <w:spacing w:line="480" w:lineRule="auto"/>
            </w:pPr>
          </w:p>
          <w:p w14:paraId="3539C094" w14:textId="099D06CE" w:rsidR="00477B47" w:rsidRDefault="00C64ADE" w:rsidP="00477B47">
            <w:pPr>
              <w:spacing w:line="480" w:lineRule="auto"/>
            </w:pPr>
            <w:r>
              <w:t xml:space="preserve">S </w:t>
            </w:r>
            <w:r w:rsidR="00477B47">
              <w:t>N</w:t>
            </w:r>
            <w:r>
              <w:t>amandje</w:t>
            </w:r>
          </w:p>
          <w:p w14:paraId="681ABD3D" w14:textId="6CFA430E" w:rsidR="00C64ADE" w:rsidRDefault="00C64ADE" w:rsidP="00477B47">
            <w:pPr>
              <w:spacing w:line="480" w:lineRule="auto"/>
            </w:pPr>
            <w:r>
              <w:t>Instructed by Government Attorney</w:t>
            </w:r>
          </w:p>
          <w:p w14:paraId="039DC895" w14:textId="77777777" w:rsidR="00477B47" w:rsidRDefault="00477B47" w:rsidP="00477B47">
            <w:pPr>
              <w:spacing w:line="480" w:lineRule="auto"/>
            </w:pPr>
          </w:p>
        </w:tc>
      </w:tr>
    </w:tbl>
    <w:p w14:paraId="364C1527" w14:textId="77777777" w:rsidR="00477B47" w:rsidRDefault="00477B47" w:rsidP="00477B47">
      <w:pPr>
        <w:spacing w:line="480" w:lineRule="auto"/>
      </w:pPr>
    </w:p>
    <w:p w14:paraId="1FD44C44" w14:textId="77777777" w:rsidR="00477B47" w:rsidRDefault="00477B47" w:rsidP="00477B47">
      <w:pPr>
        <w:pStyle w:val="ListParagraph"/>
        <w:spacing w:line="480" w:lineRule="auto"/>
        <w:ind w:left="0"/>
      </w:pPr>
    </w:p>
    <w:p w14:paraId="2E7E910A" w14:textId="77777777" w:rsidR="00296610" w:rsidRDefault="00296610" w:rsidP="00296610">
      <w:pPr>
        <w:spacing w:line="480" w:lineRule="auto"/>
      </w:pPr>
    </w:p>
    <w:p w14:paraId="488EF949" w14:textId="1248A87C" w:rsidR="00296610" w:rsidRDefault="00296610" w:rsidP="00296610">
      <w:pPr>
        <w:spacing w:line="480" w:lineRule="auto"/>
      </w:pPr>
    </w:p>
    <w:p w14:paraId="2FFE3864" w14:textId="77777777" w:rsidR="00296610" w:rsidRDefault="00296610" w:rsidP="00296610">
      <w:pPr>
        <w:spacing w:line="480" w:lineRule="auto"/>
      </w:pPr>
    </w:p>
    <w:sectPr w:rsidR="00296610" w:rsidSect="00B56710">
      <w:headerReference w:type="even" r:id="rId12"/>
      <w:headerReference w:type="default" r:id="rId13"/>
      <w:pgSz w:w="11906" w:h="16838" w:code="9"/>
      <w:pgMar w:top="1701" w:right="1418" w:bottom="1418"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71FFDF" w14:textId="77777777" w:rsidR="00EF6A84" w:rsidRDefault="00EF6A84" w:rsidP="007E2894">
      <w:r>
        <w:separator/>
      </w:r>
    </w:p>
  </w:endnote>
  <w:endnote w:type="continuationSeparator" w:id="0">
    <w:p w14:paraId="34A78A11" w14:textId="77777777" w:rsidR="00EF6A84" w:rsidRDefault="00EF6A84" w:rsidP="007E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96EC11" w14:textId="77777777" w:rsidR="00EF6A84" w:rsidRDefault="00EF6A84" w:rsidP="007E2894">
      <w:r>
        <w:separator/>
      </w:r>
    </w:p>
  </w:footnote>
  <w:footnote w:type="continuationSeparator" w:id="0">
    <w:p w14:paraId="6EFEB043" w14:textId="77777777" w:rsidR="00EF6A84" w:rsidRDefault="00EF6A84" w:rsidP="007E2894">
      <w:r>
        <w:continuationSeparator/>
      </w:r>
    </w:p>
  </w:footnote>
  <w:footnote w:id="1">
    <w:p w14:paraId="68AF3E07" w14:textId="4F709FA3" w:rsidR="00AB6D83" w:rsidRPr="00AB6D83" w:rsidRDefault="00AB6D83">
      <w:pPr>
        <w:pStyle w:val="FootnoteText"/>
        <w:rPr>
          <w:lang w:val="en-US"/>
        </w:rPr>
      </w:pPr>
      <w:r>
        <w:rPr>
          <w:rStyle w:val="FootnoteReference"/>
        </w:rPr>
        <w:footnoteRef/>
      </w:r>
      <w:r>
        <w:t xml:space="preserve"> </w:t>
      </w:r>
      <w:r>
        <w:rPr>
          <w:lang w:val="en-US"/>
        </w:rPr>
        <w:t xml:space="preserve">The judgment is reported as </w:t>
      </w:r>
      <w:r w:rsidRPr="00AB6D83">
        <w:rPr>
          <w:i/>
          <w:lang w:val="en-US"/>
        </w:rPr>
        <w:t>Mwilima v Minister of Home Affairs, Immigration and Safety and Security &amp; others</w:t>
      </w:r>
      <w:r>
        <w:rPr>
          <w:lang w:val="en-US"/>
        </w:rPr>
        <w:t xml:space="preserve"> 2022 (4) 933 (H</w:t>
      </w:r>
      <w:r w:rsidR="0022497B">
        <w:rPr>
          <w:lang w:val="en-US"/>
        </w:rPr>
        <w:t>C</w:t>
      </w:r>
      <w:r>
        <w:rPr>
          <w:lang w:val="en-US"/>
        </w:rPr>
        <w:t>).</w:t>
      </w:r>
    </w:p>
  </w:footnote>
  <w:footnote w:id="2">
    <w:p w14:paraId="7F8E19FB" w14:textId="3CF483EB" w:rsidR="00165A72" w:rsidRPr="007E2894" w:rsidRDefault="00165A72">
      <w:pPr>
        <w:pStyle w:val="FootnoteText"/>
        <w:rPr>
          <w:lang w:val="en-US"/>
        </w:rPr>
      </w:pPr>
      <w:r>
        <w:rPr>
          <w:rStyle w:val="FootnoteReference"/>
        </w:rPr>
        <w:footnoteRef/>
      </w:r>
      <w:r>
        <w:t xml:space="preserve"> </w:t>
      </w:r>
      <w:r w:rsidRPr="007E2894">
        <w:rPr>
          <w:i/>
          <w:lang w:val="en-US"/>
        </w:rPr>
        <w:t xml:space="preserve">Government of the Republic of Namibia v Sikunda </w:t>
      </w:r>
      <w:r>
        <w:rPr>
          <w:lang w:val="en-US"/>
        </w:rPr>
        <w:t>2002 NR 203 (SC).</w:t>
      </w:r>
    </w:p>
  </w:footnote>
  <w:footnote w:id="3">
    <w:p w14:paraId="7EF2D2AC" w14:textId="5C00C5AC" w:rsidR="00165A72" w:rsidRPr="000F60E1" w:rsidRDefault="00165A72" w:rsidP="00FA6530">
      <w:pPr>
        <w:pStyle w:val="FootnoteText"/>
        <w:rPr>
          <w:color w:val="000000" w:themeColor="text1"/>
          <w:lang w:val="en-US"/>
        </w:rPr>
      </w:pPr>
      <w:r>
        <w:rPr>
          <w:rStyle w:val="FootnoteReference"/>
        </w:rPr>
        <w:footnoteRef/>
      </w:r>
      <w:r>
        <w:t xml:space="preserve"> </w:t>
      </w:r>
      <w:r w:rsidRPr="00417EF9">
        <w:rPr>
          <w:i/>
          <w:color w:val="000000" w:themeColor="text1"/>
          <w:lang w:val="en-US"/>
        </w:rPr>
        <w:t xml:space="preserve">Total Namibia </w:t>
      </w:r>
      <w:r w:rsidR="00442286">
        <w:rPr>
          <w:i/>
          <w:color w:val="000000" w:themeColor="text1"/>
          <w:lang w:val="en-US"/>
        </w:rPr>
        <w:t xml:space="preserve">(Pty) Ltd </w:t>
      </w:r>
      <w:r w:rsidRPr="00417EF9">
        <w:rPr>
          <w:i/>
          <w:color w:val="000000" w:themeColor="text1"/>
          <w:lang w:val="en-US"/>
        </w:rPr>
        <w:t>v OBM Engineering and Petroleum Distributors</w:t>
      </w:r>
      <w:r w:rsidR="00442286">
        <w:rPr>
          <w:i/>
          <w:color w:val="000000" w:themeColor="text1"/>
          <w:lang w:val="en-US"/>
        </w:rPr>
        <w:t xml:space="preserve"> </w:t>
      </w:r>
      <w:r w:rsidR="000F60E1">
        <w:rPr>
          <w:i/>
          <w:color w:val="000000" w:themeColor="text1"/>
          <w:lang w:val="en-US"/>
        </w:rPr>
        <w:t xml:space="preserve">CC </w:t>
      </w:r>
      <w:r w:rsidR="000F60E1" w:rsidRPr="00417EF9">
        <w:rPr>
          <w:color w:val="000000" w:themeColor="text1"/>
          <w:lang w:val="en-US"/>
        </w:rPr>
        <w:t>2015</w:t>
      </w:r>
      <w:r w:rsidRPr="00417EF9">
        <w:rPr>
          <w:color w:val="000000" w:themeColor="text1"/>
          <w:lang w:val="en-US"/>
        </w:rPr>
        <w:t xml:space="preserve"> (</w:t>
      </w:r>
      <w:r w:rsidR="00442286">
        <w:rPr>
          <w:color w:val="000000" w:themeColor="text1"/>
          <w:lang w:val="en-US"/>
        </w:rPr>
        <w:t>3</w:t>
      </w:r>
      <w:r w:rsidRPr="00417EF9">
        <w:rPr>
          <w:color w:val="000000" w:themeColor="text1"/>
          <w:lang w:val="en-US"/>
        </w:rPr>
        <w:t xml:space="preserve">) NR 733 (SC) </w:t>
      </w:r>
      <w:r w:rsidRPr="000F60E1">
        <w:rPr>
          <w:color w:val="000000" w:themeColor="text1"/>
          <w:lang w:val="en-US"/>
        </w:rPr>
        <w:t>paras 18 and 23</w:t>
      </w:r>
      <w:r w:rsidR="00E831DD" w:rsidRPr="000F60E1">
        <w:rPr>
          <w:color w:val="000000" w:themeColor="text1"/>
          <w:lang w:val="en-US"/>
        </w:rPr>
        <w:t>.</w:t>
      </w:r>
    </w:p>
  </w:footnote>
  <w:footnote w:id="4">
    <w:p w14:paraId="662C8CCB" w14:textId="724B92EE" w:rsidR="00721B0C" w:rsidRPr="000F60E1" w:rsidRDefault="00721B0C" w:rsidP="004341EA">
      <w:pPr>
        <w:pStyle w:val="FootnoteText"/>
        <w:jc w:val="left"/>
        <w:rPr>
          <w:color w:val="000000" w:themeColor="text1"/>
          <w:lang w:val="en-US"/>
        </w:rPr>
      </w:pPr>
      <w:r w:rsidRPr="000F60E1">
        <w:rPr>
          <w:rStyle w:val="FootnoteReference"/>
          <w:color w:val="000000" w:themeColor="text1"/>
        </w:rPr>
        <w:footnoteRef/>
      </w:r>
      <w:r w:rsidR="004341EA" w:rsidRPr="000F60E1">
        <w:rPr>
          <w:rStyle w:val="Hyperlink"/>
          <w:color w:val="000000" w:themeColor="text1"/>
          <w:u w:val="none"/>
        </w:rPr>
        <w:t xml:space="preserve"> </w:t>
      </w:r>
      <w:hyperlink r:id="rId1" w:anchor=":~:text=Influenza%20(flu)%20and%20COVID%2D19%20are%20both%20contagious%20respiratory,spreads%20more%20easily%20than%20flu" w:history="1">
        <w:r w:rsidR="000F60E1" w:rsidRPr="000F60E1">
          <w:rPr>
            <w:rStyle w:val="Hyperlink"/>
            <w:color w:val="000000" w:themeColor="text1"/>
          </w:rPr>
          <w:t>https://www.cdc.gov/flu/symptoms/flu-vs-covid19.htm#:~:text=Influenza%20(flu)%20and%20COVID%2D19%20are%20both%20contagious%20respiratory,spreads%20more%20easily%20than%20flu</w:t>
        </w:r>
      </w:hyperlink>
      <w:r w:rsidR="00B218B6" w:rsidRPr="000F60E1">
        <w:rPr>
          <w:color w:val="000000" w:themeColor="text1"/>
        </w:rPr>
        <w:t>.</w:t>
      </w:r>
      <w:r w:rsidR="008D3B61" w:rsidRPr="000F60E1">
        <w:rPr>
          <w:color w:val="000000" w:themeColor="text1"/>
        </w:rPr>
        <w:t xml:space="preserve"> (Accessed </w:t>
      </w:r>
      <w:r w:rsidR="006B4D98" w:rsidRPr="000F60E1">
        <w:rPr>
          <w:color w:val="000000" w:themeColor="text1"/>
        </w:rPr>
        <w:t>16</w:t>
      </w:r>
      <w:r w:rsidR="008D3B61" w:rsidRPr="000F60E1">
        <w:rPr>
          <w:color w:val="000000" w:themeColor="text1"/>
        </w:rPr>
        <w:t xml:space="preserve"> May 2024).</w:t>
      </w:r>
    </w:p>
  </w:footnote>
  <w:footnote w:id="5">
    <w:p w14:paraId="562235AA" w14:textId="6911F5AF" w:rsidR="00721B0C" w:rsidRPr="00417EF9" w:rsidRDefault="00721B0C" w:rsidP="004341EA">
      <w:pPr>
        <w:pStyle w:val="FootnoteText"/>
        <w:jc w:val="left"/>
        <w:rPr>
          <w:color w:val="000000" w:themeColor="text1"/>
          <w:lang w:val="en-US"/>
        </w:rPr>
      </w:pPr>
      <w:r w:rsidRPr="000F60E1">
        <w:rPr>
          <w:rStyle w:val="FootnoteReference"/>
          <w:color w:val="000000" w:themeColor="text1"/>
        </w:rPr>
        <w:footnoteRef/>
      </w:r>
      <w:r w:rsidR="004341EA" w:rsidRPr="000F60E1">
        <w:rPr>
          <w:color w:val="000000" w:themeColor="text1"/>
        </w:rPr>
        <w:t xml:space="preserve"> </w:t>
      </w:r>
      <w:r w:rsidR="008D3B61" w:rsidRPr="000F60E1">
        <w:rPr>
          <w:rStyle w:val="Hyperlink"/>
          <w:color w:val="000000" w:themeColor="text1"/>
        </w:rPr>
        <w:t>https://www.who.int/news-room/questions-and-answers/item/coronavirus-disease-covid-19-similarities-and-differences-with-influenza</w:t>
      </w:r>
      <w:r w:rsidR="004341EA" w:rsidRPr="00417EF9">
        <w:rPr>
          <w:rStyle w:val="Hyperlink"/>
          <w:color w:val="000000" w:themeColor="text1"/>
        </w:rPr>
        <w:t>.</w:t>
      </w:r>
      <w:r w:rsidR="00AB6D83" w:rsidRPr="00417EF9">
        <w:rPr>
          <w:color w:val="000000" w:themeColor="text1"/>
        </w:rPr>
        <w:t xml:space="preserve"> (Accessed </w:t>
      </w:r>
      <w:r w:rsidR="006B4D98" w:rsidRPr="00417EF9">
        <w:rPr>
          <w:color w:val="000000" w:themeColor="text1"/>
        </w:rPr>
        <w:t>16</w:t>
      </w:r>
      <w:r w:rsidR="00AB6D83" w:rsidRPr="00417EF9">
        <w:rPr>
          <w:color w:val="000000" w:themeColor="text1"/>
        </w:rPr>
        <w:t xml:space="preserve"> May 2024).</w:t>
      </w:r>
    </w:p>
  </w:footnote>
  <w:footnote w:id="6">
    <w:p w14:paraId="07B2BE44" w14:textId="2BD23E8A" w:rsidR="008D54E0" w:rsidRPr="008D54E0" w:rsidRDefault="008D54E0">
      <w:pPr>
        <w:pStyle w:val="FootnoteText"/>
        <w:rPr>
          <w:lang w:val="en-US"/>
        </w:rPr>
      </w:pPr>
      <w:r>
        <w:rPr>
          <w:rStyle w:val="FootnoteReference"/>
        </w:rPr>
        <w:footnoteRef/>
      </w:r>
      <w:r>
        <w:t xml:space="preserve"> </w:t>
      </w:r>
      <w:r w:rsidRPr="008D54E0">
        <w:rPr>
          <w:i/>
          <w:lang w:val="en-US"/>
        </w:rPr>
        <w:t>Barlin v Licensing Court for the Cape</w:t>
      </w:r>
      <w:r>
        <w:rPr>
          <w:lang w:val="en-US"/>
        </w:rPr>
        <w:t xml:space="preserve"> 1924 AD 472 at 478.</w:t>
      </w:r>
    </w:p>
  </w:footnote>
  <w:footnote w:id="7">
    <w:p w14:paraId="65A6A0F7" w14:textId="1A1D8FEF" w:rsidR="007973CC" w:rsidRPr="00B56710" w:rsidRDefault="007973CC">
      <w:pPr>
        <w:pStyle w:val="FootnoteText"/>
        <w:rPr>
          <w:lang w:val="en-ZA"/>
        </w:rPr>
      </w:pPr>
      <w:r>
        <w:rPr>
          <w:rStyle w:val="FootnoteReference"/>
        </w:rPr>
        <w:footnoteRef/>
      </w:r>
      <w:r>
        <w:t xml:space="preserve"> Id.</w:t>
      </w:r>
    </w:p>
  </w:footnote>
  <w:footnote w:id="8">
    <w:p w14:paraId="021F668E" w14:textId="2E518F0D" w:rsidR="00AB6D83" w:rsidRPr="00AB6D83" w:rsidRDefault="00AB6D83">
      <w:pPr>
        <w:pStyle w:val="FootnoteText"/>
        <w:rPr>
          <w:lang w:val="en-US"/>
        </w:rPr>
      </w:pPr>
      <w:r>
        <w:rPr>
          <w:rStyle w:val="FootnoteReference"/>
        </w:rPr>
        <w:footnoteRef/>
      </w:r>
      <w:r>
        <w:t xml:space="preserve"> </w:t>
      </w:r>
      <w:r w:rsidR="004B3B01">
        <w:t xml:space="preserve">L </w:t>
      </w:r>
      <w:r>
        <w:rPr>
          <w:lang w:val="en-US"/>
        </w:rPr>
        <w:t xml:space="preserve">Baxter </w:t>
      </w:r>
      <w:r w:rsidRPr="00AB6D83">
        <w:rPr>
          <w:i/>
          <w:lang w:val="en-US"/>
        </w:rPr>
        <w:t>Administrative Law</w:t>
      </w:r>
      <w:r w:rsidR="003F27B6">
        <w:rPr>
          <w:lang w:val="en-US"/>
        </w:rPr>
        <w:t xml:space="preserve"> (</w:t>
      </w:r>
      <w:r>
        <w:rPr>
          <w:lang w:val="en-US"/>
        </w:rPr>
        <w:t>1989</w:t>
      </w:r>
      <w:r w:rsidR="003F27B6">
        <w:rPr>
          <w:lang w:val="en-US"/>
        </w:rPr>
        <w:t>)</w:t>
      </w:r>
      <w:r>
        <w:rPr>
          <w:lang w:val="en-US"/>
        </w:rPr>
        <w:t xml:space="preserve"> at 541</w:t>
      </w:r>
      <w:r w:rsidR="00E96719">
        <w:rPr>
          <w:lang w:val="en-US"/>
        </w:rPr>
        <w:t>.</w:t>
      </w:r>
    </w:p>
  </w:footnote>
  <w:footnote w:id="9">
    <w:p w14:paraId="42D3BBB5" w14:textId="09E9BEDA" w:rsidR="00AB6D83" w:rsidRPr="00AB6D83" w:rsidRDefault="00AB6D83">
      <w:pPr>
        <w:pStyle w:val="FootnoteText"/>
        <w:rPr>
          <w:lang w:val="en-US"/>
        </w:rPr>
      </w:pPr>
      <w:r>
        <w:rPr>
          <w:rStyle w:val="FootnoteReference"/>
        </w:rPr>
        <w:footnoteRef/>
      </w:r>
      <w:r>
        <w:t xml:space="preserve"> </w:t>
      </w:r>
      <w:r w:rsidR="00E96719">
        <w:rPr>
          <w:lang w:val="en-US"/>
        </w:rPr>
        <w:t>Ibid</w:t>
      </w:r>
      <w:r>
        <w:rPr>
          <w:lang w:val="en-US"/>
        </w:rPr>
        <w:t>.</w:t>
      </w:r>
    </w:p>
  </w:footnote>
  <w:footnote w:id="10">
    <w:p w14:paraId="11879B40" w14:textId="3F433552" w:rsidR="00AB6D83" w:rsidRPr="00AB6D83" w:rsidRDefault="00AB6D83">
      <w:pPr>
        <w:pStyle w:val="FootnoteText"/>
        <w:rPr>
          <w:lang w:val="en-US"/>
        </w:rPr>
      </w:pPr>
      <w:r>
        <w:rPr>
          <w:rStyle w:val="FootnoteReference"/>
        </w:rPr>
        <w:footnoteRef/>
      </w:r>
      <w:r>
        <w:t xml:space="preserve"> </w:t>
      </w:r>
      <w:r w:rsidR="004B3B01">
        <w:rPr>
          <w:i/>
          <w:lang w:val="en-US"/>
        </w:rPr>
        <w:t>Administrative Law</w:t>
      </w:r>
      <w:r w:rsidR="004B3B01">
        <w:rPr>
          <w:lang w:val="en-US"/>
        </w:rPr>
        <w:t xml:space="preserve"> </w:t>
      </w:r>
      <w:r>
        <w:rPr>
          <w:lang w:val="en-US"/>
        </w:rPr>
        <w:t>at 54</w:t>
      </w:r>
      <w:r w:rsidR="004B3B01">
        <w:rPr>
          <w:lang w:val="en-US"/>
        </w:rPr>
        <w:t>3.</w:t>
      </w:r>
    </w:p>
  </w:footnote>
  <w:footnote w:id="11">
    <w:p w14:paraId="6FF82381" w14:textId="7517C09D" w:rsidR="00721B0C" w:rsidRPr="00721B0C" w:rsidRDefault="00721B0C">
      <w:pPr>
        <w:pStyle w:val="FootnoteText"/>
        <w:rPr>
          <w:lang w:val="en-US"/>
        </w:rPr>
      </w:pPr>
      <w:r>
        <w:rPr>
          <w:rStyle w:val="FootnoteReference"/>
        </w:rPr>
        <w:footnoteRef/>
      </w:r>
      <w:r>
        <w:t xml:space="preserve"> </w:t>
      </w:r>
      <w:r w:rsidRPr="00721B0C">
        <w:rPr>
          <w:i/>
          <w:lang w:val="en-US"/>
        </w:rPr>
        <w:t>Walus v Minister of Justice and Correctional Services &amp; others</w:t>
      </w:r>
      <w:r>
        <w:rPr>
          <w:lang w:val="en-US"/>
        </w:rPr>
        <w:t xml:space="preserve"> 2023 (1) SACR 447 (CC).</w:t>
      </w:r>
    </w:p>
  </w:footnote>
  <w:footnote w:id="12">
    <w:p w14:paraId="00820C2D" w14:textId="2BF7446D" w:rsidR="00721B0C" w:rsidRPr="00721B0C" w:rsidRDefault="00721B0C">
      <w:pPr>
        <w:pStyle w:val="FootnoteText"/>
        <w:rPr>
          <w:lang w:val="en-US"/>
        </w:rPr>
      </w:pPr>
      <w:r>
        <w:rPr>
          <w:rStyle w:val="FootnoteReference"/>
        </w:rPr>
        <w:footnoteRef/>
      </w:r>
      <w:r>
        <w:t xml:space="preserve"> </w:t>
      </w:r>
      <w:r w:rsidRPr="00721B0C">
        <w:rPr>
          <w:i/>
          <w:lang w:val="en-US"/>
        </w:rPr>
        <w:t>Derby-Lewis v Minister of Justice and Correctional Services &amp; others</w:t>
      </w:r>
      <w:r>
        <w:rPr>
          <w:lang w:val="en-US"/>
        </w:rPr>
        <w:t xml:space="preserve"> 2015 (2) SACR 412 (GP).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79956641"/>
      <w:docPartObj>
        <w:docPartGallery w:val="Page Numbers (Top of Page)"/>
        <w:docPartUnique/>
      </w:docPartObj>
    </w:sdtPr>
    <w:sdtContent>
      <w:p w14:paraId="09373389" w14:textId="6DEEA7CF" w:rsidR="00AB6D83" w:rsidRDefault="00AB6D83" w:rsidP="004769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B65066" w14:textId="77777777" w:rsidR="00AB6D83" w:rsidRDefault="00AB6D83" w:rsidP="00AB6D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56733050"/>
      <w:docPartObj>
        <w:docPartGallery w:val="Page Numbers (Top of Page)"/>
        <w:docPartUnique/>
      </w:docPartObj>
    </w:sdtPr>
    <w:sdtContent>
      <w:p w14:paraId="3905ED42" w14:textId="171C59BD" w:rsidR="00AB6D83" w:rsidRDefault="00AB6D83" w:rsidP="004769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234FA">
          <w:rPr>
            <w:rStyle w:val="PageNumber"/>
            <w:noProof/>
          </w:rPr>
          <w:t>2</w:t>
        </w:r>
        <w:r>
          <w:rPr>
            <w:rStyle w:val="PageNumber"/>
          </w:rPr>
          <w:fldChar w:fldCharType="end"/>
        </w:r>
      </w:p>
    </w:sdtContent>
  </w:sdt>
  <w:p w14:paraId="2717041F" w14:textId="77777777" w:rsidR="00AB6D83" w:rsidRDefault="00AB6D83" w:rsidP="00AB6D8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713EE"/>
    <w:multiLevelType w:val="hybridMultilevel"/>
    <w:tmpl w:val="4AAAD19A"/>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3F17D9"/>
    <w:multiLevelType w:val="hybridMultilevel"/>
    <w:tmpl w:val="F28A4920"/>
    <w:lvl w:ilvl="0" w:tplc="3508F53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97C549A"/>
    <w:multiLevelType w:val="hybridMultilevel"/>
    <w:tmpl w:val="15E44D9C"/>
    <w:lvl w:ilvl="0" w:tplc="55E462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CBC0EFF"/>
    <w:multiLevelType w:val="hybridMultilevel"/>
    <w:tmpl w:val="37E83792"/>
    <w:lvl w:ilvl="0" w:tplc="44803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B839F4"/>
    <w:multiLevelType w:val="hybridMultilevel"/>
    <w:tmpl w:val="D45206A8"/>
    <w:lvl w:ilvl="0" w:tplc="3508F53A">
      <w:start w:val="1"/>
      <w:numFmt w:val="decimal"/>
      <w:lvlText w:val="[%1]"/>
      <w:lvlJc w:val="left"/>
      <w:pPr>
        <w:ind w:left="720" w:hanging="360"/>
      </w:pPr>
      <w:rPr>
        <w:rFonts w:hint="default"/>
      </w:rPr>
    </w:lvl>
    <w:lvl w:ilvl="1" w:tplc="BB9C0802">
      <w:start w:val="1"/>
      <w:numFmt w:val="lowerLetter"/>
      <w:lvlText w:val="(%2)"/>
      <w:lvlJc w:val="left"/>
      <w:pPr>
        <w:ind w:left="1800" w:hanging="72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76E1C80"/>
    <w:multiLevelType w:val="hybridMultilevel"/>
    <w:tmpl w:val="EC40119E"/>
    <w:lvl w:ilvl="0" w:tplc="931C0AF6">
      <w:start w:val="1"/>
      <w:numFmt w:val="lowerLetter"/>
      <w:lvlText w:val="(%1)"/>
      <w:lvlJc w:val="left"/>
      <w:pPr>
        <w:ind w:left="5400" w:hanging="360"/>
      </w:pPr>
      <w:rPr>
        <w:rFonts w:hint="default"/>
      </w:rPr>
    </w:lvl>
    <w:lvl w:ilvl="1" w:tplc="1C090019" w:tentative="1">
      <w:start w:val="1"/>
      <w:numFmt w:val="lowerLetter"/>
      <w:lvlText w:val="%2."/>
      <w:lvlJc w:val="left"/>
      <w:pPr>
        <w:ind w:left="6120" w:hanging="360"/>
      </w:pPr>
    </w:lvl>
    <w:lvl w:ilvl="2" w:tplc="1C09001B" w:tentative="1">
      <w:start w:val="1"/>
      <w:numFmt w:val="lowerRoman"/>
      <w:lvlText w:val="%3."/>
      <w:lvlJc w:val="right"/>
      <w:pPr>
        <w:ind w:left="6840" w:hanging="180"/>
      </w:pPr>
    </w:lvl>
    <w:lvl w:ilvl="3" w:tplc="1C09000F" w:tentative="1">
      <w:start w:val="1"/>
      <w:numFmt w:val="decimal"/>
      <w:lvlText w:val="%4."/>
      <w:lvlJc w:val="left"/>
      <w:pPr>
        <w:ind w:left="7560" w:hanging="360"/>
      </w:pPr>
    </w:lvl>
    <w:lvl w:ilvl="4" w:tplc="1C090019" w:tentative="1">
      <w:start w:val="1"/>
      <w:numFmt w:val="lowerLetter"/>
      <w:lvlText w:val="%5."/>
      <w:lvlJc w:val="left"/>
      <w:pPr>
        <w:ind w:left="8280" w:hanging="360"/>
      </w:pPr>
    </w:lvl>
    <w:lvl w:ilvl="5" w:tplc="1C09001B" w:tentative="1">
      <w:start w:val="1"/>
      <w:numFmt w:val="lowerRoman"/>
      <w:lvlText w:val="%6."/>
      <w:lvlJc w:val="right"/>
      <w:pPr>
        <w:ind w:left="9000" w:hanging="180"/>
      </w:pPr>
    </w:lvl>
    <w:lvl w:ilvl="6" w:tplc="1C09000F" w:tentative="1">
      <w:start w:val="1"/>
      <w:numFmt w:val="decimal"/>
      <w:lvlText w:val="%7."/>
      <w:lvlJc w:val="left"/>
      <w:pPr>
        <w:ind w:left="9720" w:hanging="360"/>
      </w:pPr>
    </w:lvl>
    <w:lvl w:ilvl="7" w:tplc="1C090019" w:tentative="1">
      <w:start w:val="1"/>
      <w:numFmt w:val="lowerLetter"/>
      <w:lvlText w:val="%8."/>
      <w:lvlJc w:val="left"/>
      <w:pPr>
        <w:ind w:left="10440" w:hanging="360"/>
      </w:pPr>
    </w:lvl>
    <w:lvl w:ilvl="8" w:tplc="1C09001B" w:tentative="1">
      <w:start w:val="1"/>
      <w:numFmt w:val="lowerRoman"/>
      <w:lvlText w:val="%9."/>
      <w:lvlJc w:val="right"/>
      <w:pPr>
        <w:ind w:left="11160" w:hanging="180"/>
      </w:pPr>
    </w:lvl>
  </w:abstractNum>
  <w:abstractNum w:abstractNumId="6" w15:restartNumberingAfterBreak="0">
    <w:nsid w:val="64765966"/>
    <w:multiLevelType w:val="hybridMultilevel"/>
    <w:tmpl w:val="90E658CE"/>
    <w:lvl w:ilvl="0" w:tplc="EDD8FE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F56FF"/>
    <w:multiLevelType w:val="hybridMultilevel"/>
    <w:tmpl w:val="37E83792"/>
    <w:lvl w:ilvl="0" w:tplc="44803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6930955">
    <w:abstractNumId w:val="1"/>
  </w:num>
  <w:num w:numId="2" w16cid:durableId="424617763">
    <w:abstractNumId w:val="7"/>
  </w:num>
  <w:num w:numId="3" w16cid:durableId="721515099">
    <w:abstractNumId w:val="3"/>
  </w:num>
  <w:num w:numId="4" w16cid:durableId="941114097">
    <w:abstractNumId w:val="6"/>
  </w:num>
  <w:num w:numId="5" w16cid:durableId="1218931465">
    <w:abstractNumId w:val="0"/>
  </w:num>
  <w:num w:numId="6" w16cid:durableId="2051684196">
    <w:abstractNumId w:val="4"/>
  </w:num>
  <w:num w:numId="7" w16cid:durableId="451557410">
    <w:abstractNumId w:val="5"/>
  </w:num>
  <w:num w:numId="8" w16cid:durableId="1723207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22"/>
    <w:rsid w:val="0000104D"/>
    <w:rsid w:val="00012E4B"/>
    <w:rsid w:val="00022E5B"/>
    <w:rsid w:val="00032972"/>
    <w:rsid w:val="000338C8"/>
    <w:rsid w:val="000346EF"/>
    <w:rsid w:val="00064C63"/>
    <w:rsid w:val="00083C36"/>
    <w:rsid w:val="0009261D"/>
    <w:rsid w:val="000A26C3"/>
    <w:rsid w:val="000D1BF4"/>
    <w:rsid w:val="000D1DE4"/>
    <w:rsid w:val="000E4A23"/>
    <w:rsid w:val="000F112D"/>
    <w:rsid w:val="000F60E1"/>
    <w:rsid w:val="00100364"/>
    <w:rsid w:val="00112C1A"/>
    <w:rsid w:val="00122597"/>
    <w:rsid w:val="00122EC9"/>
    <w:rsid w:val="001305EF"/>
    <w:rsid w:val="00141EE6"/>
    <w:rsid w:val="00142F46"/>
    <w:rsid w:val="00165A72"/>
    <w:rsid w:val="00195C35"/>
    <w:rsid w:val="001B4C7A"/>
    <w:rsid w:val="001E5CAB"/>
    <w:rsid w:val="001E629F"/>
    <w:rsid w:val="001F35A8"/>
    <w:rsid w:val="001F3619"/>
    <w:rsid w:val="001F4BE3"/>
    <w:rsid w:val="00222B60"/>
    <w:rsid w:val="0022497B"/>
    <w:rsid w:val="00227338"/>
    <w:rsid w:val="002364C8"/>
    <w:rsid w:val="00236CBD"/>
    <w:rsid w:val="002453A9"/>
    <w:rsid w:val="00245D19"/>
    <w:rsid w:val="00251B1F"/>
    <w:rsid w:val="00253B03"/>
    <w:rsid w:val="00254E69"/>
    <w:rsid w:val="002558F1"/>
    <w:rsid w:val="00262768"/>
    <w:rsid w:val="0029078B"/>
    <w:rsid w:val="002936B3"/>
    <w:rsid w:val="00296610"/>
    <w:rsid w:val="002A366B"/>
    <w:rsid w:val="002B01A9"/>
    <w:rsid w:val="002B16A9"/>
    <w:rsid w:val="002D04CF"/>
    <w:rsid w:val="002D530B"/>
    <w:rsid w:val="002E0279"/>
    <w:rsid w:val="002E28E5"/>
    <w:rsid w:val="00324153"/>
    <w:rsid w:val="003269ED"/>
    <w:rsid w:val="00333412"/>
    <w:rsid w:val="003339F3"/>
    <w:rsid w:val="0035386C"/>
    <w:rsid w:val="0037280D"/>
    <w:rsid w:val="00375AF5"/>
    <w:rsid w:val="00385D9F"/>
    <w:rsid w:val="003935A3"/>
    <w:rsid w:val="003A0E15"/>
    <w:rsid w:val="003A2017"/>
    <w:rsid w:val="003A2DA9"/>
    <w:rsid w:val="003D2E2B"/>
    <w:rsid w:val="003F27B6"/>
    <w:rsid w:val="00417710"/>
    <w:rsid w:val="00417EF9"/>
    <w:rsid w:val="0042575E"/>
    <w:rsid w:val="00433278"/>
    <w:rsid w:val="00433A81"/>
    <w:rsid w:val="004341EA"/>
    <w:rsid w:val="00442286"/>
    <w:rsid w:val="00447171"/>
    <w:rsid w:val="00447A4B"/>
    <w:rsid w:val="00447A53"/>
    <w:rsid w:val="00447DC2"/>
    <w:rsid w:val="00456EF0"/>
    <w:rsid w:val="00471F16"/>
    <w:rsid w:val="00477B47"/>
    <w:rsid w:val="00492948"/>
    <w:rsid w:val="00496C5E"/>
    <w:rsid w:val="004A41B8"/>
    <w:rsid w:val="004B3B01"/>
    <w:rsid w:val="004D5E3A"/>
    <w:rsid w:val="004E35F4"/>
    <w:rsid w:val="004E6C69"/>
    <w:rsid w:val="00504790"/>
    <w:rsid w:val="005051C3"/>
    <w:rsid w:val="0051355B"/>
    <w:rsid w:val="00517844"/>
    <w:rsid w:val="005303F7"/>
    <w:rsid w:val="00530856"/>
    <w:rsid w:val="00537ED3"/>
    <w:rsid w:val="00543729"/>
    <w:rsid w:val="00561BA4"/>
    <w:rsid w:val="00571356"/>
    <w:rsid w:val="00593668"/>
    <w:rsid w:val="0059685F"/>
    <w:rsid w:val="005C0750"/>
    <w:rsid w:val="005D352A"/>
    <w:rsid w:val="005E16EA"/>
    <w:rsid w:val="0061339F"/>
    <w:rsid w:val="00614A25"/>
    <w:rsid w:val="006274C0"/>
    <w:rsid w:val="00640128"/>
    <w:rsid w:val="00656A47"/>
    <w:rsid w:val="006715B9"/>
    <w:rsid w:val="00681B31"/>
    <w:rsid w:val="006867A2"/>
    <w:rsid w:val="006A5572"/>
    <w:rsid w:val="006A7307"/>
    <w:rsid w:val="006B2A08"/>
    <w:rsid w:val="006B4D98"/>
    <w:rsid w:val="006B6168"/>
    <w:rsid w:val="006C622D"/>
    <w:rsid w:val="006C7666"/>
    <w:rsid w:val="006D6075"/>
    <w:rsid w:val="006F66D6"/>
    <w:rsid w:val="006F70B5"/>
    <w:rsid w:val="00713BD7"/>
    <w:rsid w:val="00715073"/>
    <w:rsid w:val="00720230"/>
    <w:rsid w:val="00721B0C"/>
    <w:rsid w:val="007234FA"/>
    <w:rsid w:val="007259C2"/>
    <w:rsid w:val="00731205"/>
    <w:rsid w:val="00732523"/>
    <w:rsid w:val="00733C70"/>
    <w:rsid w:val="0073660D"/>
    <w:rsid w:val="00740650"/>
    <w:rsid w:val="00741584"/>
    <w:rsid w:val="00742222"/>
    <w:rsid w:val="00745E44"/>
    <w:rsid w:val="007479A5"/>
    <w:rsid w:val="00747ADF"/>
    <w:rsid w:val="00751556"/>
    <w:rsid w:val="00762887"/>
    <w:rsid w:val="007700D2"/>
    <w:rsid w:val="00770468"/>
    <w:rsid w:val="007973CC"/>
    <w:rsid w:val="007C5850"/>
    <w:rsid w:val="007C70D9"/>
    <w:rsid w:val="007D0DE6"/>
    <w:rsid w:val="007D1834"/>
    <w:rsid w:val="007D6355"/>
    <w:rsid w:val="007D65E2"/>
    <w:rsid w:val="007E2331"/>
    <w:rsid w:val="007E2894"/>
    <w:rsid w:val="007E7327"/>
    <w:rsid w:val="007F08BD"/>
    <w:rsid w:val="00807DD4"/>
    <w:rsid w:val="00823D3F"/>
    <w:rsid w:val="00841243"/>
    <w:rsid w:val="00841D2E"/>
    <w:rsid w:val="00854F01"/>
    <w:rsid w:val="008A3414"/>
    <w:rsid w:val="008A4C9C"/>
    <w:rsid w:val="008A6EF5"/>
    <w:rsid w:val="008B66C0"/>
    <w:rsid w:val="008C46E7"/>
    <w:rsid w:val="008D3B61"/>
    <w:rsid w:val="008D46F1"/>
    <w:rsid w:val="008D54E0"/>
    <w:rsid w:val="008F1E4D"/>
    <w:rsid w:val="0095676C"/>
    <w:rsid w:val="009640B5"/>
    <w:rsid w:val="009967A8"/>
    <w:rsid w:val="009C0CEA"/>
    <w:rsid w:val="009C5CE7"/>
    <w:rsid w:val="009C6D61"/>
    <w:rsid w:val="009E5AF9"/>
    <w:rsid w:val="009F6186"/>
    <w:rsid w:val="00A1348A"/>
    <w:rsid w:val="00A24B2A"/>
    <w:rsid w:val="00A47E4F"/>
    <w:rsid w:val="00A55322"/>
    <w:rsid w:val="00A6623F"/>
    <w:rsid w:val="00A71D63"/>
    <w:rsid w:val="00A759AD"/>
    <w:rsid w:val="00A8088E"/>
    <w:rsid w:val="00A82046"/>
    <w:rsid w:val="00AA1816"/>
    <w:rsid w:val="00AA55D8"/>
    <w:rsid w:val="00AB11E6"/>
    <w:rsid w:val="00AB3D56"/>
    <w:rsid w:val="00AB6D83"/>
    <w:rsid w:val="00AC2332"/>
    <w:rsid w:val="00AC3D22"/>
    <w:rsid w:val="00AC489E"/>
    <w:rsid w:val="00B0455C"/>
    <w:rsid w:val="00B14858"/>
    <w:rsid w:val="00B15593"/>
    <w:rsid w:val="00B218B6"/>
    <w:rsid w:val="00B56710"/>
    <w:rsid w:val="00B64108"/>
    <w:rsid w:val="00B65191"/>
    <w:rsid w:val="00B65C11"/>
    <w:rsid w:val="00B840BF"/>
    <w:rsid w:val="00BA2DC1"/>
    <w:rsid w:val="00BB778E"/>
    <w:rsid w:val="00BC629E"/>
    <w:rsid w:val="00BC75F8"/>
    <w:rsid w:val="00BD3CA2"/>
    <w:rsid w:val="00BD713E"/>
    <w:rsid w:val="00BF73B6"/>
    <w:rsid w:val="00C1435C"/>
    <w:rsid w:val="00C14A63"/>
    <w:rsid w:val="00C2614A"/>
    <w:rsid w:val="00C5320A"/>
    <w:rsid w:val="00C60F5F"/>
    <w:rsid w:val="00C64ADE"/>
    <w:rsid w:val="00C86D0B"/>
    <w:rsid w:val="00C87A55"/>
    <w:rsid w:val="00CA612D"/>
    <w:rsid w:val="00CB2F77"/>
    <w:rsid w:val="00CD12B9"/>
    <w:rsid w:val="00CE3402"/>
    <w:rsid w:val="00CF2591"/>
    <w:rsid w:val="00CF5DC5"/>
    <w:rsid w:val="00D0337A"/>
    <w:rsid w:val="00D16B23"/>
    <w:rsid w:val="00D359B1"/>
    <w:rsid w:val="00D36A8E"/>
    <w:rsid w:val="00D4322E"/>
    <w:rsid w:val="00D52E4A"/>
    <w:rsid w:val="00D641DD"/>
    <w:rsid w:val="00D75CFE"/>
    <w:rsid w:val="00D95BAF"/>
    <w:rsid w:val="00D9606F"/>
    <w:rsid w:val="00DB08A4"/>
    <w:rsid w:val="00DB2450"/>
    <w:rsid w:val="00DB2CFA"/>
    <w:rsid w:val="00DE3A8F"/>
    <w:rsid w:val="00DE72D8"/>
    <w:rsid w:val="00DF71C0"/>
    <w:rsid w:val="00E00716"/>
    <w:rsid w:val="00E17A0C"/>
    <w:rsid w:val="00E21807"/>
    <w:rsid w:val="00E251DB"/>
    <w:rsid w:val="00E30093"/>
    <w:rsid w:val="00E33C87"/>
    <w:rsid w:val="00E51C4D"/>
    <w:rsid w:val="00E544A3"/>
    <w:rsid w:val="00E56758"/>
    <w:rsid w:val="00E704F6"/>
    <w:rsid w:val="00E7381F"/>
    <w:rsid w:val="00E831DD"/>
    <w:rsid w:val="00E9395F"/>
    <w:rsid w:val="00E95AD9"/>
    <w:rsid w:val="00E96719"/>
    <w:rsid w:val="00EA33EF"/>
    <w:rsid w:val="00EB2DF5"/>
    <w:rsid w:val="00EB4FAC"/>
    <w:rsid w:val="00EB6EEA"/>
    <w:rsid w:val="00EB7DE0"/>
    <w:rsid w:val="00EF3D47"/>
    <w:rsid w:val="00EF5641"/>
    <w:rsid w:val="00EF57E6"/>
    <w:rsid w:val="00EF6A84"/>
    <w:rsid w:val="00F00D3E"/>
    <w:rsid w:val="00F30872"/>
    <w:rsid w:val="00F32D1C"/>
    <w:rsid w:val="00F6018B"/>
    <w:rsid w:val="00F86447"/>
    <w:rsid w:val="00F91030"/>
    <w:rsid w:val="00F95B7D"/>
    <w:rsid w:val="00FA2F93"/>
    <w:rsid w:val="00FA614A"/>
    <w:rsid w:val="00FA6530"/>
    <w:rsid w:val="00FB09D3"/>
    <w:rsid w:val="00FC4C32"/>
    <w:rsid w:val="00FD02E8"/>
    <w:rsid w:val="00FE2544"/>
    <w:rsid w:val="00FE5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CF7D"/>
  <w15:docId w15:val="{B8E5AFD4-8ECF-4BE8-9522-C1F1392D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0093"/>
    <w:pPr>
      <w:framePr w:w="7920" w:h="1980" w:hRule="exact" w:hSpace="180" w:wrap="auto" w:hAnchor="page" w:xAlign="center" w:yAlign="bottom"/>
      <w:ind w:left="2880"/>
    </w:pPr>
    <w:rPr>
      <w:rFonts w:eastAsiaTheme="majorEastAsia" w:cstheme="majorBidi"/>
    </w:rPr>
  </w:style>
  <w:style w:type="paragraph" w:styleId="BalloonText">
    <w:name w:val="Balloon Text"/>
    <w:basedOn w:val="Normal"/>
    <w:link w:val="BalloonTextChar"/>
    <w:uiPriority w:val="99"/>
    <w:semiHidden/>
    <w:unhideWhenUsed/>
    <w:rsid w:val="00742222"/>
    <w:rPr>
      <w:rFonts w:ascii="Tahoma" w:hAnsi="Tahoma" w:cs="Tahoma"/>
      <w:sz w:val="16"/>
      <w:szCs w:val="16"/>
    </w:rPr>
  </w:style>
  <w:style w:type="character" w:customStyle="1" w:styleId="BalloonTextChar">
    <w:name w:val="Balloon Text Char"/>
    <w:basedOn w:val="DefaultParagraphFont"/>
    <w:link w:val="BalloonText"/>
    <w:uiPriority w:val="99"/>
    <w:semiHidden/>
    <w:rsid w:val="00742222"/>
    <w:rPr>
      <w:rFonts w:ascii="Tahoma" w:hAnsi="Tahoma" w:cs="Tahoma"/>
      <w:sz w:val="16"/>
      <w:szCs w:val="16"/>
      <w:lang w:val="af-ZA"/>
    </w:rPr>
  </w:style>
  <w:style w:type="table" w:styleId="TableGrid">
    <w:name w:val="Table Grid"/>
    <w:basedOn w:val="TableNormal"/>
    <w:uiPriority w:val="59"/>
    <w:rsid w:val="0029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610"/>
    <w:pPr>
      <w:ind w:left="720"/>
      <w:contextualSpacing/>
    </w:pPr>
  </w:style>
  <w:style w:type="paragraph" w:customStyle="1" w:styleId="AS-P1">
    <w:name w:val="AS-P(1)"/>
    <w:basedOn w:val="Normal"/>
    <w:link w:val="AS-P1Char"/>
    <w:qFormat/>
    <w:rsid w:val="00BD713E"/>
    <w:pPr>
      <w:suppressAutoHyphens/>
      <w:ind w:right="-7" w:firstLine="567"/>
    </w:pPr>
    <w:rPr>
      <w:rFonts w:ascii="Times New Roman" w:eastAsia="Times New Roman" w:hAnsi="Times New Roman" w:cs="Times New Roman"/>
      <w:noProof/>
      <w:sz w:val="22"/>
      <w:szCs w:val="22"/>
      <w:lang w:eastAsia="en-GB"/>
    </w:rPr>
  </w:style>
  <w:style w:type="paragraph" w:customStyle="1" w:styleId="AS-Pa">
    <w:name w:val="AS-P(a)"/>
    <w:basedOn w:val="Normal"/>
    <w:link w:val="AS-PaChar"/>
    <w:qFormat/>
    <w:rsid w:val="00BD713E"/>
    <w:pPr>
      <w:suppressAutoHyphens/>
      <w:ind w:left="1134" w:right="-7" w:hanging="567"/>
    </w:pPr>
    <w:rPr>
      <w:rFonts w:ascii="Times New Roman" w:eastAsia="Times New Roman" w:hAnsi="Times New Roman" w:cs="Times New Roman"/>
      <w:noProof/>
      <w:sz w:val="22"/>
      <w:szCs w:val="22"/>
      <w:lang w:eastAsia="en-GB"/>
    </w:rPr>
  </w:style>
  <w:style w:type="character" w:customStyle="1" w:styleId="AS-P1Char">
    <w:name w:val="AS-P(1) Char"/>
    <w:basedOn w:val="DefaultParagraphFont"/>
    <w:link w:val="AS-P1"/>
    <w:rsid w:val="00BD713E"/>
    <w:rPr>
      <w:rFonts w:ascii="Times New Roman" w:eastAsia="Times New Roman" w:hAnsi="Times New Roman" w:cs="Times New Roman"/>
      <w:noProof/>
      <w:sz w:val="22"/>
      <w:szCs w:val="22"/>
      <w:lang w:eastAsia="en-GB"/>
    </w:rPr>
  </w:style>
  <w:style w:type="character" w:customStyle="1" w:styleId="AS-PaChar">
    <w:name w:val="AS-P(a) Char"/>
    <w:basedOn w:val="DefaultParagraphFont"/>
    <w:link w:val="AS-Pa"/>
    <w:rsid w:val="00BD713E"/>
    <w:rPr>
      <w:rFonts w:ascii="Times New Roman" w:eastAsia="Times New Roman" w:hAnsi="Times New Roman" w:cs="Times New Roman"/>
      <w:noProof/>
      <w:sz w:val="22"/>
      <w:szCs w:val="22"/>
      <w:lang w:eastAsia="en-GB"/>
    </w:rPr>
  </w:style>
  <w:style w:type="paragraph" w:styleId="FootnoteText">
    <w:name w:val="footnote text"/>
    <w:basedOn w:val="Normal"/>
    <w:link w:val="FootnoteTextChar"/>
    <w:uiPriority w:val="99"/>
    <w:semiHidden/>
    <w:unhideWhenUsed/>
    <w:rsid w:val="007E2894"/>
    <w:rPr>
      <w:sz w:val="20"/>
      <w:szCs w:val="20"/>
    </w:rPr>
  </w:style>
  <w:style w:type="character" w:customStyle="1" w:styleId="FootnoteTextChar">
    <w:name w:val="Footnote Text Char"/>
    <w:basedOn w:val="DefaultParagraphFont"/>
    <w:link w:val="FootnoteText"/>
    <w:uiPriority w:val="99"/>
    <w:semiHidden/>
    <w:rsid w:val="007E2894"/>
    <w:rPr>
      <w:sz w:val="20"/>
      <w:szCs w:val="20"/>
    </w:rPr>
  </w:style>
  <w:style w:type="character" w:styleId="FootnoteReference">
    <w:name w:val="footnote reference"/>
    <w:basedOn w:val="DefaultParagraphFont"/>
    <w:uiPriority w:val="99"/>
    <w:semiHidden/>
    <w:unhideWhenUsed/>
    <w:rsid w:val="007E2894"/>
    <w:rPr>
      <w:vertAlign w:val="superscript"/>
    </w:rPr>
  </w:style>
  <w:style w:type="character" w:styleId="PlaceholderText">
    <w:name w:val="Placeholder Text"/>
    <w:basedOn w:val="DefaultParagraphFont"/>
    <w:uiPriority w:val="99"/>
    <w:semiHidden/>
    <w:rsid w:val="008D54E0"/>
    <w:rPr>
      <w:color w:val="808080"/>
    </w:rPr>
  </w:style>
  <w:style w:type="paragraph" w:styleId="Header">
    <w:name w:val="header"/>
    <w:basedOn w:val="Normal"/>
    <w:link w:val="HeaderChar"/>
    <w:uiPriority w:val="99"/>
    <w:unhideWhenUsed/>
    <w:rsid w:val="00AB6D83"/>
    <w:pPr>
      <w:tabs>
        <w:tab w:val="center" w:pos="4680"/>
        <w:tab w:val="right" w:pos="9360"/>
      </w:tabs>
    </w:pPr>
  </w:style>
  <w:style w:type="character" w:customStyle="1" w:styleId="HeaderChar">
    <w:name w:val="Header Char"/>
    <w:basedOn w:val="DefaultParagraphFont"/>
    <w:link w:val="Header"/>
    <w:uiPriority w:val="99"/>
    <w:rsid w:val="00AB6D83"/>
  </w:style>
  <w:style w:type="character" w:styleId="PageNumber">
    <w:name w:val="page number"/>
    <w:basedOn w:val="DefaultParagraphFont"/>
    <w:uiPriority w:val="99"/>
    <w:semiHidden/>
    <w:unhideWhenUsed/>
    <w:rsid w:val="00AB6D83"/>
  </w:style>
  <w:style w:type="character" w:styleId="Hyperlink">
    <w:name w:val="Hyperlink"/>
    <w:basedOn w:val="DefaultParagraphFont"/>
    <w:uiPriority w:val="99"/>
    <w:unhideWhenUsed/>
    <w:rsid w:val="00AB6D83"/>
    <w:rPr>
      <w:color w:val="0000FF" w:themeColor="hyperlink"/>
      <w:u w:val="single"/>
    </w:rPr>
  </w:style>
  <w:style w:type="character" w:customStyle="1" w:styleId="UnresolvedMention1">
    <w:name w:val="Unresolved Mention1"/>
    <w:basedOn w:val="DefaultParagraphFont"/>
    <w:uiPriority w:val="99"/>
    <w:semiHidden/>
    <w:unhideWhenUsed/>
    <w:rsid w:val="00AB6D83"/>
    <w:rPr>
      <w:color w:val="605E5C"/>
      <w:shd w:val="clear" w:color="auto" w:fill="E1DFDD"/>
    </w:rPr>
  </w:style>
  <w:style w:type="character" w:styleId="FollowedHyperlink">
    <w:name w:val="FollowedHyperlink"/>
    <w:basedOn w:val="DefaultParagraphFont"/>
    <w:uiPriority w:val="99"/>
    <w:semiHidden/>
    <w:unhideWhenUsed/>
    <w:rsid w:val="00C60F5F"/>
    <w:rPr>
      <w:color w:val="800080" w:themeColor="followedHyperlink"/>
      <w:u w:val="single"/>
    </w:rPr>
  </w:style>
  <w:style w:type="paragraph" w:styleId="Footer">
    <w:name w:val="footer"/>
    <w:basedOn w:val="Normal"/>
    <w:link w:val="FooterChar"/>
    <w:uiPriority w:val="99"/>
    <w:unhideWhenUsed/>
    <w:rsid w:val="00504790"/>
    <w:pPr>
      <w:tabs>
        <w:tab w:val="center" w:pos="4513"/>
        <w:tab w:val="right" w:pos="9026"/>
      </w:tabs>
    </w:pPr>
  </w:style>
  <w:style w:type="character" w:customStyle="1" w:styleId="FooterChar">
    <w:name w:val="Footer Char"/>
    <w:basedOn w:val="DefaultParagraphFont"/>
    <w:link w:val="Footer"/>
    <w:uiPriority w:val="99"/>
    <w:rsid w:val="0050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flu/symptoms/flu-vs-covid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2024-05-21T18:30:00+00:00</Judgment_x0020_Date>
    <Year xmlns="63bdd487-88aa-4c54-b893-ddaa81ed2e7c">2024</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EABBB-B8EF-4D6A-8868-6A8F9F99C544}">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10DCA5BA-C367-4082-ACC6-1033845BA151}">
  <ds:schemaRefs>
    <ds:schemaRef ds:uri="http://schemas.microsoft.com/sharepoint/v3/contenttype/forms"/>
  </ds:schemaRefs>
</ds:datastoreItem>
</file>

<file path=customXml/itemProps3.xml><?xml version="1.0" encoding="utf-8"?>
<ds:datastoreItem xmlns:ds="http://schemas.openxmlformats.org/officeDocument/2006/customXml" ds:itemID="{47EDF2B4-2C69-4BD8-A14A-FF1410576735}">
  <ds:schemaRefs>
    <ds:schemaRef ds:uri="http://schemas.openxmlformats.org/officeDocument/2006/bibliography"/>
  </ds:schemaRefs>
</ds:datastoreItem>
</file>

<file path=customXml/itemProps4.xml><?xml version="1.0" encoding="utf-8"?>
<ds:datastoreItem xmlns:ds="http://schemas.openxmlformats.org/officeDocument/2006/customXml" ds:itemID="{03366C8E-A36B-41BD-BE16-5F83D2602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6771</Words>
  <Characters>38595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Mwilima v Minister of Home Affairs Immigration Safety and Security and 3 others (SA 130-2023) [2024] NASC (22 May 2024)</dc:title>
  <dc:subject/>
  <dc:creator>Viljoen</dc:creator>
  <cp:keywords/>
  <dc:description/>
  <cp:lastModifiedBy>Mariana Anguelov</cp:lastModifiedBy>
  <cp:revision>3</cp:revision>
  <cp:lastPrinted>2024-05-21T15:44:00Z</cp:lastPrinted>
  <dcterms:created xsi:type="dcterms:W3CDTF">2024-05-22T09:57:00Z</dcterms:created>
  <dcterms:modified xsi:type="dcterms:W3CDTF">2024-05-29T12:18:00Z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