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37D34" w14:textId="77777777" w:rsidR="000E1B6E" w:rsidRPr="000E1B6E" w:rsidRDefault="000E1B6E" w:rsidP="007D1BEA">
      <w:pPr>
        <w:spacing w:line="360" w:lineRule="auto"/>
        <w:jc w:val="center"/>
        <w:rPr>
          <w:rFonts w:asciiTheme="minorHAnsi" w:hAnsiTheme="minorHAnsi"/>
          <w:b/>
          <w:szCs w:val="24"/>
        </w:rPr>
      </w:pPr>
      <w:r w:rsidRPr="000E1B6E">
        <w:rPr>
          <w:rFonts w:asciiTheme="minorHAnsi" w:hAnsiTheme="minorHAnsi"/>
          <w:b/>
          <w:noProof/>
          <w:szCs w:val="24"/>
          <w:lang w:val="en-US"/>
        </w:rPr>
        <w:drawing>
          <wp:inline distT="0" distB="0" distL="0" distR="0" wp14:anchorId="077846F9" wp14:editId="6D22CBE7">
            <wp:extent cx="1275770" cy="1282700"/>
            <wp:effectExtent l="0" t="0" r="635"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7615" cy="1284555"/>
                    </a:xfrm>
                    <a:prstGeom prst="rect">
                      <a:avLst/>
                    </a:prstGeom>
                  </pic:spPr>
                </pic:pic>
              </a:graphicData>
            </a:graphic>
          </wp:inline>
        </w:drawing>
      </w:r>
    </w:p>
    <w:p w14:paraId="64772EEC" w14:textId="77777777" w:rsidR="000E1B6E" w:rsidRPr="000E1B6E" w:rsidRDefault="000E1B6E" w:rsidP="007D1BEA">
      <w:pPr>
        <w:spacing w:line="360" w:lineRule="auto"/>
        <w:ind w:left="1440" w:firstLine="720"/>
        <w:jc w:val="right"/>
        <w:rPr>
          <w:rFonts w:cs="Arial"/>
          <w:b/>
          <w:szCs w:val="24"/>
        </w:rPr>
      </w:pPr>
      <w:r w:rsidRPr="000E1B6E">
        <w:rPr>
          <w:rFonts w:cs="Arial"/>
          <w:b/>
          <w:szCs w:val="24"/>
        </w:rPr>
        <w:t>REPORTABLE</w:t>
      </w:r>
    </w:p>
    <w:p w14:paraId="4B4FF777" w14:textId="77777777" w:rsidR="000E1B6E" w:rsidRPr="000E1B6E" w:rsidRDefault="000E1B6E" w:rsidP="007D1BEA">
      <w:pPr>
        <w:spacing w:line="360" w:lineRule="auto"/>
        <w:jc w:val="right"/>
        <w:rPr>
          <w:rFonts w:cs="Arial"/>
          <w:szCs w:val="24"/>
        </w:rPr>
      </w:pPr>
    </w:p>
    <w:p w14:paraId="55D56101" w14:textId="6D3971BC" w:rsidR="000E1B6E" w:rsidRPr="000E1B6E" w:rsidRDefault="00E720F5" w:rsidP="007D1BEA">
      <w:pPr>
        <w:spacing w:line="360" w:lineRule="auto"/>
        <w:jc w:val="right"/>
        <w:rPr>
          <w:rFonts w:cs="Arial"/>
          <w:szCs w:val="24"/>
        </w:rPr>
      </w:pPr>
      <w:r>
        <w:rPr>
          <w:rFonts w:cs="Arial"/>
          <w:szCs w:val="24"/>
        </w:rPr>
        <w:t>CASE NO: SA 2/</w:t>
      </w:r>
      <w:r w:rsidR="000E1B6E" w:rsidRPr="000E1B6E">
        <w:rPr>
          <w:rFonts w:cs="Arial"/>
          <w:szCs w:val="24"/>
        </w:rPr>
        <w:t>2022</w:t>
      </w:r>
    </w:p>
    <w:p w14:paraId="75F735DB" w14:textId="77777777" w:rsidR="000E1B6E" w:rsidRPr="000E1B6E" w:rsidRDefault="000E1B6E" w:rsidP="007D1BEA">
      <w:pPr>
        <w:spacing w:line="360" w:lineRule="auto"/>
        <w:rPr>
          <w:rFonts w:cs="Arial"/>
          <w:szCs w:val="24"/>
        </w:rPr>
      </w:pPr>
    </w:p>
    <w:p w14:paraId="27DA123D" w14:textId="77777777" w:rsidR="000E1B6E" w:rsidRPr="000E1B6E" w:rsidRDefault="000E1B6E" w:rsidP="007D1BEA">
      <w:pPr>
        <w:spacing w:line="360" w:lineRule="auto"/>
        <w:rPr>
          <w:rFonts w:cs="Arial"/>
          <w:szCs w:val="24"/>
        </w:rPr>
      </w:pPr>
    </w:p>
    <w:p w14:paraId="73FA756A" w14:textId="77777777" w:rsidR="000E1B6E" w:rsidRPr="000E1B6E" w:rsidRDefault="000E1B6E" w:rsidP="007D1BEA">
      <w:pPr>
        <w:spacing w:line="360" w:lineRule="auto"/>
        <w:rPr>
          <w:rFonts w:cs="Arial"/>
          <w:b/>
          <w:szCs w:val="24"/>
        </w:rPr>
      </w:pPr>
      <w:r w:rsidRPr="000E1B6E">
        <w:rPr>
          <w:rFonts w:cs="Arial"/>
          <w:b/>
          <w:szCs w:val="24"/>
        </w:rPr>
        <w:t>IN THE SUPREME COURT OF NAMIBIA</w:t>
      </w:r>
    </w:p>
    <w:p w14:paraId="7FBAC023" w14:textId="77777777" w:rsidR="000E1B6E" w:rsidRPr="000E1B6E" w:rsidRDefault="000E1B6E" w:rsidP="007D1BEA">
      <w:pPr>
        <w:spacing w:line="360" w:lineRule="auto"/>
        <w:rPr>
          <w:rFonts w:cs="Arial"/>
          <w:szCs w:val="24"/>
        </w:rPr>
      </w:pPr>
    </w:p>
    <w:p w14:paraId="0D51871F" w14:textId="2416ADE5" w:rsidR="000E1B6E" w:rsidRPr="000E1B6E" w:rsidRDefault="000E1B6E" w:rsidP="007D1BEA">
      <w:pPr>
        <w:spacing w:line="360" w:lineRule="auto"/>
        <w:rPr>
          <w:rFonts w:cs="Arial"/>
          <w:szCs w:val="24"/>
        </w:rPr>
      </w:pPr>
      <w:r w:rsidRPr="000E1B6E">
        <w:rPr>
          <w:rFonts w:cs="Arial"/>
          <w:szCs w:val="24"/>
        </w:rPr>
        <w:t>In the matter between:</w:t>
      </w:r>
    </w:p>
    <w:p w14:paraId="0BB96C5C" w14:textId="77777777" w:rsidR="000E1B6E" w:rsidRPr="000E1B6E" w:rsidRDefault="000E1B6E" w:rsidP="007D1BEA">
      <w:pPr>
        <w:spacing w:line="360" w:lineRule="auto"/>
        <w:rPr>
          <w:rFonts w:cs="Arial"/>
          <w:szCs w:val="24"/>
        </w:rPr>
      </w:pPr>
    </w:p>
    <w:tbl>
      <w:tblPr>
        <w:tblStyle w:val="TableGrid1"/>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260"/>
      </w:tblGrid>
      <w:tr w:rsidR="000E1B6E" w:rsidRPr="000E1B6E" w14:paraId="72C6DD9B" w14:textId="77777777" w:rsidTr="007D1BEA">
        <w:tc>
          <w:tcPr>
            <w:tcW w:w="5529" w:type="dxa"/>
          </w:tcPr>
          <w:p w14:paraId="637EAC75" w14:textId="15D655BE" w:rsidR="000E1B6E" w:rsidRPr="000E1B6E" w:rsidRDefault="000E1B6E" w:rsidP="007D1BEA">
            <w:pPr>
              <w:spacing w:line="360" w:lineRule="auto"/>
              <w:ind w:left="-108"/>
              <w:rPr>
                <w:rFonts w:ascii="Arial" w:hAnsi="Arial" w:cs="Arial"/>
                <w:b/>
                <w:sz w:val="24"/>
                <w:szCs w:val="24"/>
              </w:rPr>
            </w:pPr>
            <w:r w:rsidRPr="000E1B6E">
              <w:rPr>
                <w:rFonts w:ascii="Arial" w:hAnsi="Arial" w:cs="Arial"/>
                <w:b/>
                <w:sz w:val="24"/>
                <w:szCs w:val="24"/>
              </w:rPr>
              <w:t xml:space="preserve">PHILLIP </w:t>
            </w:r>
            <w:r w:rsidR="006E2D54">
              <w:rPr>
                <w:rFonts w:ascii="Arial" w:hAnsi="Arial" w:cs="Arial"/>
                <w:b/>
                <w:sz w:val="24"/>
                <w:szCs w:val="24"/>
              </w:rPr>
              <w:t>MÜLLER</w:t>
            </w:r>
          </w:p>
        </w:tc>
        <w:tc>
          <w:tcPr>
            <w:tcW w:w="3260" w:type="dxa"/>
          </w:tcPr>
          <w:p w14:paraId="0DAAF6B3" w14:textId="77777777" w:rsidR="000E1B6E" w:rsidRPr="000E1B6E" w:rsidRDefault="000E1B6E" w:rsidP="007D1BEA">
            <w:pPr>
              <w:spacing w:line="360" w:lineRule="auto"/>
              <w:jc w:val="right"/>
              <w:rPr>
                <w:rFonts w:ascii="Arial" w:hAnsi="Arial" w:cs="Arial"/>
                <w:b/>
                <w:sz w:val="24"/>
                <w:szCs w:val="24"/>
              </w:rPr>
            </w:pPr>
            <w:r w:rsidRPr="000E1B6E">
              <w:rPr>
                <w:rFonts w:ascii="Arial" w:hAnsi="Arial" w:cs="Arial"/>
                <w:b/>
                <w:sz w:val="24"/>
                <w:szCs w:val="24"/>
              </w:rPr>
              <w:t>First Appellant</w:t>
            </w:r>
          </w:p>
        </w:tc>
      </w:tr>
      <w:tr w:rsidR="000E1B6E" w:rsidRPr="000E1B6E" w14:paraId="29806735" w14:textId="77777777" w:rsidTr="007D1BEA">
        <w:tc>
          <w:tcPr>
            <w:tcW w:w="5529" w:type="dxa"/>
          </w:tcPr>
          <w:p w14:paraId="5230866F" w14:textId="63F42A2B" w:rsidR="000E1B6E" w:rsidRPr="000E1B6E" w:rsidRDefault="000E1B6E" w:rsidP="007D1BEA">
            <w:pPr>
              <w:spacing w:line="360" w:lineRule="auto"/>
              <w:ind w:left="-108"/>
              <w:rPr>
                <w:rFonts w:ascii="Arial" w:hAnsi="Arial" w:cs="Arial"/>
                <w:b/>
                <w:sz w:val="24"/>
                <w:szCs w:val="24"/>
              </w:rPr>
            </w:pPr>
            <w:r w:rsidRPr="000E1B6E">
              <w:rPr>
                <w:rFonts w:ascii="Arial" w:hAnsi="Arial" w:cs="Arial"/>
                <w:b/>
                <w:sz w:val="24"/>
                <w:szCs w:val="24"/>
              </w:rPr>
              <w:t xml:space="preserve">BRIGITTA </w:t>
            </w:r>
            <w:r w:rsidR="006E2D54">
              <w:rPr>
                <w:rFonts w:ascii="Arial" w:hAnsi="Arial" w:cs="Arial"/>
                <w:b/>
                <w:sz w:val="24"/>
                <w:szCs w:val="24"/>
              </w:rPr>
              <w:t>MÜLLER</w:t>
            </w:r>
          </w:p>
        </w:tc>
        <w:tc>
          <w:tcPr>
            <w:tcW w:w="3260" w:type="dxa"/>
          </w:tcPr>
          <w:p w14:paraId="2AA2255F" w14:textId="77777777" w:rsidR="000E1B6E" w:rsidRPr="000E1B6E" w:rsidRDefault="000E1B6E" w:rsidP="007D1BEA">
            <w:pPr>
              <w:spacing w:line="360" w:lineRule="auto"/>
              <w:jc w:val="right"/>
              <w:rPr>
                <w:rFonts w:ascii="Arial" w:hAnsi="Arial" w:cs="Arial"/>
                <w:b/>
                <w:sz w:val="24"/>
                <w:szCs w:val="24"/>
              </w:rPr>
            </w:pPr>
            <w:r w:rsidRPr="000E1B6E">
              <w:rPr>
                <w:rFonts w:ascii="Arial" w:hAnsi="Arial" w:cs="Arial"/>
                <w:b/>
                <w:sz w:val="24"/>
                <w:szCs w:val="24"/>
              </w:rPr>
              <w:t>Second Appellant</w:t>
            </w:r>
          </w:p>
        </w:tc>
      </w:tr>
      <w:tr w:rsidR="000E1B6E" w:rsidRPr="000E1B6E" w14:paraId="4FB9C95F" w14:textId="77777777" w:rsidTr="007D1BEA">
        <w:tc>
          <w:tcPr>
            <w:tcW w:w="5529" w:type="dxa"/>
          </w:tcPr>
          <w:p w14:paraId="3E0430D9" w14:textId="77777777" w:rsidR="000E1B6E" w:rsidRPr="000E1B6E" w:rsidRDefault="000E1B6E" w:rsidP="007D1BEA">
            <w:pPr>
              <w:spacing w:line="360" w:lineRule="auto"/>
              <w:ind w:left="-108"/>
              <w:rPr>
                <w:rFonts w:ascii="Arial" w:hAnsi="Arial" w:cs="Arial"/>
                <w:sz w:val="24"/>
                <w:szCs w:val="24"/>
              </w:rPr>
            </w:pPr>
          </w:p>
        </w:tc>
        <w:tc>
          <w:tcPr>
            <w:tcW w:w="3260" w:type="dxa"/>
          </w:tcPr>
          <w:p w14:paraId="41D2D172" w14:textId="77777777" w:rsidR="000E1B6E" w:rsidRPr="000E1B6E" w:rsidRDefault="000E1B6E" w:rsidP="007D1BEA">
            <w:pPr>
              <w:spacing w:line="360" w:lineRule="auto"/>
              <w:jc w:val="right"/>
              <w:rPr>
                <w:rFonts w:ascii="Arial" w:hAnsi="Arial" w:cs="Arial"/>
                <w:sz w:val="24"/>
                <w:szCs w:val="24"/>
              </w:rPr>
            </w:pPr>
          </w:p>
        </w:tc>
      </w:tr>
      <w:tr w:rsidR="000E1B6E" w:rsidRPr="000E1B6E" w14:paraId="6F555DC5" w14:textId="77777777" w:rsidTr="007D1BEA">
        <w:tc>
          <w:tcPr>
            <w:tcW w:w="5529" w:type="dxa"/>
          </w:tcPr>
          <w:p w14:paraId="256F1BE1" w14:textId="0C7A73FA" w:rsidR="000E1B6E" w:rsidRPr="000E1B6E" w:rsidRDefault="00E720F5" w:rsidP="007D1BEA">
            <w:pPr>
              <w:spacing w:line="360" w:lineRule="auto"/>
              <w:ind w:left="-108"/>
              <w:rPr>
                <w:rFonts w:ascii="Arial" w:hAnsi="Arial" w:cs="Arial"/>
                <w:sz w:val="24"/>
                <w:szCs w:val="24"/>
              </w:rPr>
            </w:pPr>
            <w:r>
              <w:rPr>
                <w:rFonts w:ascii="Arial" w:hAnsi="Arial" w:cs="Arial"/>
                <w:sz w:val="24"/>
                <w:szCs w:val="24"/>
              </w:rPr>
              <w:t>a</w:t>
            </w:r>
            <w:r w:rsidR="000E1B6E" w:rsidRPr="000E1B6E">
              <w:rPr>
                <w:rFonts w:ascii="Arial" w:hAnsi="Arial" w:cs="Arial"/>
                <w:sz w:val="24"/>
                <w:szCs w:val="24"/>
              </w:rPr>
              <w:t>nd</w:t>
            </w:r>
          </w:p>
        </w:tc>
        <w:tc>
          <w:tcPr>
            <w:tcW w:w="3260" w:type="dxa"/>
          </w:tcPr>
          <w:p w14:paraId="328D3C77" w14:textId="77777777" w:rsidR="000E1B6E" w:rsidRPr="000E1B6E" w:rsidRDefault="000E1B6E" w:rsidP="007D1BEA">
            <w:pPr>
              <w:spacing w:line="360" w:lineRule="auto"/>
              <w:rPr>
                <w:rFonts w:ascii="Arial" w:hAnsi="Arial" w:cs="Arial"/>
                <w:sz w:val="24"/>
                <w:szCs w:val="24"/>
              </w:rPr>
            </w:pPr>
          </w:p>
        </w:tc>
      </w:tr>
      <w:tr w:rsidR="000E1B6E" w:rsidRPr="000E1B6E" w14:paraId="0949138B" w14:textId="77777777" w:rsidTr="007D1BEA">
        <w:tc>
          <w:tcPr>
            <w:tcW w:w="5529" w:type="dxa"/>
          </w:tcPr>
          <w:p w14:paraId="38FB45C7" w14:textId="77777777" w:rsidR="000E1B6E" w:rsidRPr="000E1B6E" w:rsidRDefault="000E1B6E" w:rsidP="007D1BEA">
            <w:pPr>
              <w:spacing w:line="360" w:lineRule="auto"/>
              <w:ind w:left="-108"/>
              <w:rPr>
                <w:rFonts w:ascii="Arial" w:hAnsi="Arial" w:cs="Arial"/>
                <w:sz w:val="24"/>
                <w:szCs w:val="24"/>
              </w:rPr>
            </w:pPr>
          </w:p>
        </w:tc>
        <w:tc>
          <w:tcPr>
            <w:tcW w:w="3260" w:type="dxa"/>
          </w:tcPr>
          <w:p w14:paraId="1AB0BCD6" w14:textId="77777777" w:rsidR="000E1B6E" w:rsidRPr="000E1B6E" w:rsidRDefault="000E1B6E" w:rsidP="007D1BEA">
            <w:pPr>
              <w:spacing w:line="360" w:lineRule="auto"/>
              <w:rPr>
                <w:rFonts w:ascii="Arial" w:hAnsi="Arial" w:cs="Arial"/>
                <w:sz w:val="24"/>
                <w:szCs w:val="24"/>
              </w:rPr>
            </w:pPr>
          </w:p>
        </w:tc>
      </w:tr>
      <w:tr w:rsidR="000E1B6E" w:rsidRPr="000E1B6E" w14:paraId="517407FB" w14:textId="77777777" w:rsidTr="007D1BEA">
        <w:tc>
          <w:tcPr>
            <w:tcW w:w="5529" w:type="dxa"/>
          </w:tcPr>
          <w:p w14:paraId="537F7F01" w14:textId="77777777" w:rsidR="000E1B6E" w:rsidRPr="000E1B6E" w:rsidRDefault="000E1B6E" w:rsidP="007D1BEA">
            <w:pPr>
              <w:spacing w:line="360" w:lineRule="auto"/>
              <w:ind w:left="-108"/>
              <w:rPr>
                <w:rFonts w:ascii="Arial" w:hAnsi="Arial" w:cs="Arial"/>
                <w:b/>
                <w:sz w:val="24"/>
                <w:szCs w:val="24"/>
              </w:rPr>
            </w:pPr>
            <w:r w:rsidRPr="000E1B6E">
              <w:rPr>
                <w:rFonts w:ascii="Arial" w:hAnsi="Arial" w:cs="Arial"/>
                <w:b/>
                <w:sz w:val="24"/>
                <w:szCs w:val="24"/>
              </w:rPr>
              <w:t>JEAN-MARIE LAUER</w:t>
            </w:r>
          </w:p>
        </w:tc>
        <w:tc>
          <w:tcPr>
            <w:tcW w:w="3260" w:type="dxa"/>
          </w:tcPr>
          <w:p w14:paraId="5D383C74" w14:textId="77777777" w:rsidR="000E1B6E" w:rsidRPr="000E1B6E" w:rsidRDefault="000E1B6E" w:rsidP="007D1BEA">
            <w:pPr>
              <w:spacing w:line="360" w:lineRule="auto"/>
              <w:jc w:val="right"/>
              <w:rPr>
                <w:rFonts w:ascii="Arial" w:hAnsi="Arial" w:cs="Arial"/>
                <w:b/>
                <w:sz w:val="24"/>
                <w:szCs w:val="24"/>
              </w:rPr>
            </w:pPr>
            <w:r w:rsidRPr="000E1B6E">
              <w:rPr>
                <w:rFonts w:ascii="Arial" w:hAnsi="Arial" w:cs="Arial"/>
                <w:b/>
                <w:sz w:val="24"/>
                <w:szCs w:val="24"/>
              </w:rPr>
              <w:t>Respondent</w:t>
            </w:r>
          </w:p>
        </w:tc>
      </w:tr>
    </w:tbl>
    <w:p w14:paraId="6B62F9DA" w14:textId="77777777" w:rsidR="000E1B6E" w:rsidRPr="000E1B6E" w:rsidRDefault="000E1B6E" w:rsidP="007D1BEA">
      <w:pPr>
        <w:spacing w:line="360" w:lineRule="auto"/>
        <w:rPr>
          <w:rFonts w:cs="Arial"/>
          <w:szCs w:val="24"/>
        </w:rPr>
      </w:pPr>
    </w:p>
    <w:p w14:paraId="5427AF7C" w14:textId="77777777" w:rsidR="000E1B6E" w:rsidRPr="000E1B6E" w:rsidRDefault="000E1B6E" w:rsidP="007D1BEA">
      <w:pPr>
        <w:rPr>
          <w:rFonts w:cs="Arial"/>
          <w:szCs w:val="24"/>
        </w:rPr>
      </w:pPr>
      <w:r w:rsidRPr="000E1B6E">
        <w:rPr>
          <w:rFonts w:cs="Arial"/>
          <w:b/>
          <w:szCs w:val="24"/>
        </w:rPr>
        <w:t>Coram:</w:t>
      </w:r>
      <w:r w:rsidRPr="000E1B6E">
        <w:rPr>
          <w:rFonts w:cs="Arial"/>
          <w:b/>
          <w:szCs w:val="24"/>
        </w:rPr>
        <w:tab/>
      </w:r>
      <w:r w:rsidRPr="000E1B6E">
        <w:rPr>
          <w:rFonts w:cs="Arial"/>
          <w:szCs w:val="24"/>
        </w:rPr>
        <w:t>SHIVUTE CJ, DAMASEB DCJ and HOFF JA</w:t>
      </w:r>
    </w:p>
    <w:p w14:paraId="11841645" w14:textId="77777777" w:rsidR="000E1B6E" w:rsidRPr="000E1B6E" w:rsidRDefault="000E1B6E" w:rsidP="007D1BEA">
      <w:pPr>
        <w:rPr>
          <w:rFonts w:cs="Arial"/>
          <w:b/>
          <w:szCs w:val="24"/>
        </w:rPr>
      </w:pPr>
    </w:p>
    <w:p w14:paraId="13570FF7" w14:textId="77777777" w:rsidR="000E1B6E" w:rsidRPr="000E1B6E" w:rsidRDefault="000E1B6E" w:rsidP="007D1BEA">
      <w:pPr>
        <w:rPr>
          <w:rFonts w:cs="Arial"/>
          <w:b/>
          <w:szCs w:val="24"/>
        </w:rPr>
      </w:pPr>
      <w:r w:rsidRPr="000E1B6E">
        <w:rPr>
          <w:rFonts w:cs="Arial"/>
          <w:b/>
          <w:szCs w:val="24"/>
        </w:rPr>
        <w:t>Heard:</w:t>
      </w:r>
      <w:r w:rsidRPr="000E1B6E">
        <w:rPr>
          <w:rFonts w:cs="Arial"/>
          <w:b/>
          <w:szCs w:val="24"/>
        </w:rPr>
        <w:tab/>
        <w:t>4 March 2024</w:t>
      </w:r>
    </w:p>
    <w:p w14:paraId="0E0C215E" w14:textId="77777777" w:rsidR="000E1B6E" w:rsidRPr="000E1B6E" w:rsidRDefault="000E1B6E" w:rsidP="007D1BEA">
      <w:pPr>
        <w:rPr>
          <w:rFonts w:cs="Arial"/>
          <w:b/>
          <w:szCs w:val="24"/>
        </w:rPr>
      </w:pPr>
    </w:p>
    <w:p w14:paraId="5DE57EB6" w14:textId="50B50EA2" w:rsidR="000E1B6E" w:rsidRPr="007D1BEA" w:rsidRDefault="000E1B6E" w:rsidP="007D1BEA">
      <w:pPr>
        <w:rPr>
          <w:rFonts w:cs="Arial"/>
          <w:b/>
          <w:szCs w:val="24"/>
        </w:rPr>
      </w:pPr>
      <w:r w:rsidRPr="000E1B6E">
        <w:rPr>
          <w:rFonts w:cs="Arial"/>
          <w:b/>
          <w:szCs w:val="24"/>
        </w:rPr>
        <w:t>Delivered:</w:t>
      </w:r>
      <w:r w:rsidRPr="000E1B6E">
        <w:rPr>
          <w:rFonts w:cs="Arial"/>
          <w:b/>
          <w:szCs w:val="24"/>
        </w:rPr>
        <w:tab/>
      </w:r>
      <w:r w:rsidR="007D1BEA">
        <w:rPr>
          <w:rFonts w:cs="Arial"/>
          <w:b/>
          <w:szCs w:val="24"/>
        </w:rPr>
        <w:t>14 June 2024</w:t>
      </w:r>
    </w:p>
    <w:p w14:paraId="49C25F86" w14:textId="77777777" w:rsidR="007D1BEA" w:rsidRDefault="007D1BEA" w:rsidP="007D1BEA">
      <w:pPr>
        <w:spacing w:line="360" w:lineRule="auto"/>
        <w:jc w:val="both"/>
        <w:rPr>
          <w:rFonts w:cs="Arial"/>
          <w:b/>
          <w:szCs w:val="24"/>
        </w:rPr>
      </w:pPr>
    </w:p>
    <w:p w14:paraId="40D770FF" w14:textId="77777777" w:rsidR="007D1BEA" w:rsidRDefault="007D1BEA" w:rsidP="007D1BEA">
      <w:pPr>
        <w:spacing w:line="360" w:lineRule="auto"/>
        <w:jc w:val="both"/>
        <w:rPr>
          <w:rFonts w:cs="Arial"/>
          <w:b/>
          <w:szCs w:val="24"/>
        </w:rPr>
      </w:pPr>
    </w:p>
    <w:p w14:paraId="0034219C" w14:textId="538AE059" w:rsidR="005348EB" w:rsidRPr="005348EB" w:rsidRDefault="000E1B6E" w:rsidP="007D1BEA">
      <w:pPr>
        <w:spacing w:line="360" w:lineRule="auto"/>
        <w:jc w:val="both"/>
        <w:rPr>
          <w:rFonts w:cs="Arial"/>
          <w:szCs w:val="24"/>
        </w:rPr>
      </w:pPr>
      <w:r w:rsidRPr="000E1B6E">
        <w:rPr>
          <w:rFonts w:cs="Arial"/>
          <w:b/>
          <w:szCs w:val="24"/>
        </w:rPr>
        <w:t>Summary:</w:t>
      </w:r>
      <w:r w:rsidRPr="000E1B6E">
        <w:rPr>
          <w:rFonts w:cs="Arial"/>
          <w:szCs w:val="24"/>
        </w:rPr>
        <w:tab/>
      </w:r>
      <w:r w:rsidR="005348EB" w:rsidRPr="005348EB">
        <w:rPr>
          <w:rFonts w:cs="Arial"/>
          <w:szCs w:val="24"/>
        </w:rPr>
        <w:t xml:space="preserve">A French national entered into oral agreements with the </w:t>
      </w:r>
      <w:r w:rsidR="00205788">
        <w:rPr>
          <w:rFonts w:cs="Arial"/>
          <w:szCs w:val="24"/>
        </w:rPr>
        <w:t>owner of a lodge in the Kunene R</w:t>
      </w:r>
      <w:r w:rsidR="005348EB" w:rsidRPr="005348EB">
        <w:rPr>
          <w:rFonts w:cs="Arial"/>
          <w:szCs w:val="24"/>
        </w:rPr>
        <w:t>egion</w:t>
      </w:r>
      <w:r w:rsidR="00E720F5">
        <w:rPr>
          <w:rFonts w:cs="Arial"/>
          <w:szCs w:val="24"/>
        </w:rPr>
        <w:t xml:space="preserve"> of N</w:t>
      </w:r>
      <w:r w:rsidR="00205788">
        <w:rPr>
          <w:rFonts w:cs="Arial"/>
          <w:szCs w:val="24"/>
        </w:rPr>
        <w:t>a</w:t>
      </w:r>
      <w:r w:rsidR="00E720F5">
        <w:rPr>
          <w:rFonts w:cs="Arial"/>
          <w:szCs w:val="24"/>
        </w:rPr>
        <w:t>m</w:t>
      </w:r>
      <w:r w:rsidR="00205788">
        <w:rPr>
          <w:rFonts w:cs="Arial"/>
          <w:szCs w:val="24"/>
        </w:rPr>
        <w:t>ibia in terms whereof he</w:t>
      </w:r>
      <w:r w:rsidR="005348EB" w:rsidRPr="005348EB">
        <w:rPr>
          <w:rFonts w:cs="Arial"/>
          <w:szCs w:val="24"/>
        </w:rPr>
        <w:t xml:space="preserve"> advanc</w:t>
      </w:r>
      <w:r w:rsidR="00205788">
        <w:rPr>
          <w:rFonts w:cs="Arial"/>
          <w:szCs w:val="24"/>
        </w:rPr>
        <w:t xml:space="preserve">e large amounts of Euros to a </w:t>
      </w:r>
      <w:r w:rsidR="005348EB" w:rsidRPr="005348EB">
        <w:rPr>
          <w:rFonts w:cs="Arial"/>
          <w:szCs w:val="24"/>
        </w:rPr>
        <w:t>lodge owner for the construction of a</w:t>
      </w:r>
      <w:r w:rsidR="005139CC" w:rsidRPr="005139CC">
        <w:rPr>
          <w:rFonts w:cs="Arial"/>
          <w:szCs w:val="24"/>
        </w:rPr>
        <w:t xml:space="preserve"> </w:t>
      </w:r>
      <w:r w:rsidR="005139CC" w:rsidRPr="005348EB">
        <w:rPr>
          <w:rFonts w:cs="Arial"/>
          <w:szCs w:val="24"/>
        </w:rPr>
        <w:t>houses</w:t>
      </w:r>
      <w:r w:rsidR="005348EB" w:rsidRPr="005348EB">
        <w:rPr>
          <w:rFonts w:cs="Arial"/>
          <w:szCs w:val="24"/>
        </w:rPr>
        <w:t xml:space="preserve">, two hunters’ </w:t>
      </w:r>
      <w:r w:rsidR="005139CC" w:rsidRPr="005348EB">
        <w:rPr>
          <w:rFonts w:cs="Arial"/>
          <w:szCs w:val="24"/>
        </w:rPr>
        <w:t xml:space="preserve">bungalow </w:t>
      </w:r>
      <w:r w:rsidR="005348EB" w:rsidRPr="005348EB">
        <w:rPr>
          <w:rFonts w:cs="Arial"/>
          <w:szCs w:val="24"/>
        </w:rPr>
        <w:t xml:space="preserve">and installation of a solar system on the lodge. The agreement was that the plaintiff would become the owner of the buildings and that the owner of the lodge would cause the transfer of the buildings into his name and also arrange that the plaintiff </w:t>
      </w:r>
      <w:r w:rsidR="005348EB" w:rsidRPr="005348EB">
        <w:rPr>
          <w:rFonts w:cs="Arial"/>
          <w:szCs w:val="24"/>
        </w:rPr>
        <w:lastRenderedPageBreak/>
        <w:t xml:space="preserve">and his wife would be admitted to permanent residence in Namibia. The buildings were constructed and the solar installation made. </w:t>
      </w:r>
      <w:r w:rsidR="00205788">
        <w:rPr>
          <w:rFonts w:cs="Arial"/>
          <w:szCs w:val="24"/>
        </w:rPr>
        <w:t xml:space="preserve">He also advanced a loan to the defendants for the </w:t>
      </w:r>
      <w:r w:rsidR="00350267">
        <w:rPr>
          <w:rFonts w:cs="Arial"/>
          <w:szCs w:val="24"/>
        </w:rPr>
        <w:t>purchase</w:t>
      </w:r>
      <w:r w:rsidR="00205788">
        <w:rPr>
          <w:rFonts w:cs="Arial"/>
          <w:szCs w:val="24"/>
        </w:rPr>
        <w:t xml:space="preserve"> of game to restock the farm. </w:t>
      </w:r>
    </w:p>
    <w:p w14:paraId="6AFA103F" w14:textId="77777777" w:rsidR="005348EB" w:rsidRPr="005348EB" w:rsidRDefault="005348EB" w:rsidP="002860F4">
      <w:pPr>
        <w:spacing w:line="360" w:lineRule="auto"/>
        <w:jc w:val="both"/>
        <w:rPr>
          <w:rFonts w:cs="Arial"/>
          <w:szCs w:val="24"/>
        </w:rPr>
      </w:pPr>
    </w:p>
    <w:p w14:paraId="164E3208" w14:textId="69CA48BD" w:rsidR="005348EB" w:rsidRPr="005348EB" w:rsidRDefault="005348EB" w:rsidP="002860F4">
      <w:pPr>
        <w:spacing w:line="360" w:lineRule="auto"/>
        <w:jc w:val="both"/>
        <w:rPr>
          <w:rFonts w:cs="Arial"/>
          <w:szCs w:val="24"/>
        </w:rPr>
      </w:pPr>
      <w:r w:rsidRPr="005348EB">
        <w:rPr>
          <w:rFonts w:cs="Arial"/>
          <w:szCs w:val="24"/>
        </w:rPr>
        <w:t xml:space="preserve">The transfer of the buildings to </w:t>
      </w:r>
      <w:r w:rsidR="00E720F5">
        <w:rPr>
          <w:rFonts w:cs="Arial"/>
          <w:szCs w:val="24"/>
        </w:rPr>
        <w:t>the plaintiff never happened</w:t>
      </w:r>
      <w:r w:rsidRPr="005348EB">
        <w:rPr>
          <w:rFonts w:cs="Arial"/>
          <w:szCs w:val="24"/>
        </w:rPr>
        <w:t xml:space="preserve"> and he and his wife never obtained permanent residence in Namibia. </w:t>
      </w:r>
      <w:r w:rsidR="00205788">
        <w:rPr>
          <w:rFonts w:cs="Arial"/>
          <w:szCs w:val="24"/>
        </w:rPr>
        <w:t xml:space="preserve">The animals were also bought. </w:t>
      </w:r>
    </w:p>
    <w:p w14:paraId="50E22968" w14:textId="77777777" w:rsidR="005348EB" w:rsidRPr="005348EB" w:rsidRDefault="005348EB" w:rsidP="002860F4">
      <w:pPr>
        <w:spacing w:line="360" w:lineRule="auto"/>
        <w:jc w:val="both"/>
        <w:rPr>
          <w:rFonts w:cs="Arial"/>
          <w:szCs w:val="24"/>
        </w:rPr>
      </w:pPr>
    </w:p>
    <w:p w14:paraId="0F5B6615" w14:textId="0D3993C7" w:rsidR="005348EB" w:rsidRPr="005348EB" w:rsidRDefault="00205788" w:rsidP="002860F4">
      <w:pPr>
        <w:spacing w:line="360" w:lineRule="auto"/>
        <w:jc w:val="both"/>
        <w:rPr>
          <w:rFonts w:cs="Arial"/>
          <w:szCs w:val="24"/>
        </w:rPr>
      </w:pPr>
      <w:r>
        <w:rPr>
          <w:rFonts w:cs="Arial"/>
          <w:szCs w:val="24"/>
        </w:rPr>
        <w:t xml:space="preserve">The plaintiff </w:t>
      </w:r>
      <w:r w:rsidR="005348EB" w:rsidRPr="005348EB">
        <w:rPr>
          <w:rFonts w:cs="Arial"/>
          <w:szCs w:val="24"/>
        </w:rPr>
        <w:t xml:space="preserve">then instituted action proceedings in the High Court seeking to reclaim under an enrichment cause of action the money he paid to the defendants. He also claimed repayment of the loan for the purchase of the game. In the alternative he relied on misrepresentation alleging that the defendants knowing that he would not as a foreign national become owner of the buildings wrongly so represented to induce him to pay the money. In addition they also represented, knowing it was not possible, that they would arrange permanent residence for him and his wife. </w:t>
      </w:r>
    </w:p>
    <w:p w14:paraId="4067EB4D" w14:textId="77777777" w:rsidR="005348EB" w:rsidRPr="005348EB" w:rsidRDefault="005348EB" w:rsidP="002860F4">
      <w:pPr>
        <w:spacing w:line="360" w:lineRule="auto"/>
        <w:jc w:val="both"/>
        <w:rPr>
          <w:rFonts w:cs="Arial"/>
          <w:szCs w:val="24"/>
        </w:rPr>
      </w:pPr>
    </w:p>
    <w:p w14:paraId="6DBAC13C" w14:textId="134DD113" w:rsidR="005348EB" w:rsidRPr="005348EB" w:rsidRDefault="005348EB" w:rsidP="002860F4">
      <w:pPr>
        <w:spacing w:line="360" w:lineRule="auto"/>
        <w:jc w:val="both"/>
        <w:rPr>
          <w:rFonts w:cs="Arial"/>
          <w:szCs w:val="24"/>
        </w:rPr>
      </w:pPr>
      <w:r w:rsidRPr="005348EB">
        <w:rPr>
          <w:rFonts w:cs="Arial"/>
          <w:szCs w:val="24"/>
        </w:rPr>
        <w:t xml:space="preserve">The defendants opposed the claims, denied the enrichment and </w:t>
      </w:r>
      <w:r w:rsidR="00205788">
        <w:rPr>
          <w:rFonts w:cs="Arial"/>
          <w:szCs w:val="24"/>
        </w:rPr>
        <w:t xml:space="preserve">asserted </w:t>
      </w:r>
      <w:r w:rsidRPr="005348EB">
        <w:rPr>
          <w:rFonts w:cs="Arial"/>
          <w:szCs w:val="24"/>
        </w:rPr>
        <w:t xml:space="preserve">that the improvements were a gift. As for the loan for purchase of game they maintained that the agreement was that the loan would be repaid with earnings to be made from hunters to be brought </w:t>
      </w:r>
      <w:r w:rsidR="004C345D">
        <w:rPr>
          <w:rFonts w:cs="Arial"/>
          <w:szCs w:val="24"/>
        </w:rPr>
        <w:t>to the lodge by the plaintiff. H</w:t>
      </w:r>
      <w:r w:rsidRPr="005348EB">
        <w:rPr>
          <w:rFonts w:cs="Arial"/>
          <w:szCs w:val="24"/>
        </w:rPr>
        <w:t>e failed to do so and therefore waived the right to reclaim the loan.</w:t>
      </w:r>
    </w:p>
    <w:p w14:paraId="309419F4" w14:textId="77777777" w:rsidR="005348EB" w:rsidRPr="00222097" w:rsidRDefault="005348EB" w:rsidP="002860F4">
      <w:pPr>
        <w:spacing w:line="360" w:lineRule="auto"/>
        <w:jc w:val="both"/>
        <w:rPr>
          <w:rFonts w:cs="Arial"/>
          <w:szCs w:val="24"/>
        </w:rPr>
      </w:pPr>
    </w:p>
    <w:p w14:paraId="5C3769BB" w14:textId="11CDA9CD" w:rsidR="005348EB" w:rsidRPr="004C345D" w:rsidRDefault="005348EB" w:rsidP="004C345D">
      <w:pPr>
        <w:pStyle w:val="FootnoteText"/>
        <w:spacing w:line="360" w:lineRule="auto"/>
        <w:jc w:val="both"/>
        <w:rPr>
          <w:sz w:val="24"/>
          <w:szCs w:val="24"/>
          <w:lang w:val="en-US"/>
        </w:rPr>
      </w:pPr>
      <w:r w:rsidRPr="00222097">
        <w:rPr>
          <w:rFonts w:cs="Arial"/>
          <w:sz w:val="24"/>
          <w:szCs w:val="24"/>
        </w:rPr>
        <w:t xml:space="preserve">The High Court held that the defendants were enriched by the improvements and that they failed to rebut the presumption of enrichment. The High Court relied on </w:t>
      </w:r>
      <w:r w:rsidR="00222097" w:rsidRPr="00222097">
        <w:rPr>
          <w:i/>
          <w:sz w:val="24"/>
          <w:szCs w:val="24"/>
        </w:rPr>
        <w:t>African Diamond Exporters (Pty) Ltd v Barclays Bank International Ltd</w:t>
      </w:r>
      <w:r w:rsidR="00222097" w:rsidRPr="00222097">
        <w:rPr>
          <w:sz w:val="24"/>
          <w:szCs w:val="24"/>
        </w:rPr>
        <w:t xml:space="preserve"> 1978 (3) SA 699 (A) and </w:t>
      </w:r>
      <w:r w:rsidR="00222097" w:rsidRPr="00222097">
        <w:rPr>
          <w:i/>
          <w:sz w:val="24"/>
          <w:szCs w:val="24"/>
        </w:rPr>
        <w:t>Kudu Granite Operations (Pty) Ltd v Caterna Ltd</w:t>
      </w:r>
      <w:r w:rsidR="00222097" w:rsidRPr="00222097">
        <w:rPr>
          <w:sz w:val="24"/>
          <w:szCs w:val="24"/>
        </w:rPr>
        <w:t xml:space="preserve"> 2003 (5) SA 193 (SCA).</w:t>
      </w:r>
      <w:r w:rsidR="004C345D">
        <w:rPr>
          <w:sz w:val="24"/>
          <w:szCs w:val="24"/>
        </w:rPr>
        <w:t xml:space="preserve"> </w:t>
      </w:r>
      <w:r w:rsidRPr="00222097">
        <w:rPr>
          <w:rFonts w:cs="Arial"/>
          <w:sz w:val="24"/>
          <w:szCs w:val="24"/>
        </w:rPr>
        <w:t xml:space="preserve">The High Court also held that the defendants had no </w:t>
      </w:r>
      <w:r w:rsidR="00350267" w:rsidRPr="00222097">
        <w:rPr>
          <w:rFonts w:cs="Arial"/>
          <w:sz w:val="24"/>
          <w:szCs w:val="24"/>
        </w:rPr>
        <w:t>defence</w:t>
      </w:r>
      <w:r w:rsidRPr="00222097">
        <w:rPr>
          <w:rFonts w:cs="Arial"/>
          <w:sz w:val="24"/>
          <w:szCs w:val="24"/>
        </w:rPr>
        <w:t xml:space="preserve"> to the claim for the repayment of the loan advanced for the purchase of game.</w:t>
      </w:r>
    </w:p>
    <w:p w14:paraId="6F35D546" w14:textId="37B25E40" w:rsidR="005348EB" w:rsidRPr="005348EB" w:rsidRDefault="005348EB" w:rsidP="002860F4">
      <w:pPr>
        <w:spacing w:line="360" w:lineRule="auto"/>
        <w:jc w:val="both"/>
        <w:rPr>
          <w:rFonts w:cs="Arial"/>
          <w:szCs w:val="24"/>
        </w:rPr>
      </w:pPr>
      <w:r w:rsidRPr="005348EB">
        <w:rPr>
          <w:rFonts w:cs="Arial"/>
          <w:szCs w:val="24"/>
        </w:rPr>
        <w:t>The High court ordered tha</w:t>
      </w:r>
      <w:r w:rsidR="005428AA">
        <w:rPr>
          <w:rFonts w:cs="Arial"/>
          <w:szCs w:val="24"/>
        </w:rPr>
        <w:t>t each party bear their own cos</w:t>
      </w:r>
      <w:r w:rsidRPr="005348EB">
        <w:rPr>
          <w:rFonts w:cs="Arial"/>
          <w:szCs w:val="24"/>
        </w:rPr>
        <w:t>ts as they achieved substantial success in equal measure.</w:t>
      </w:r>
    </w:p>
    <w:p w14:paraId="30511987" w14:textId="77777777" w:rsidR="00E127A9" w:rsidRDefault="00E127A9" w:rsidP="002860F4">
      <w:pPr>
        <w:spacing w:line="360" w:lineRule="auto"/>
        <w:jc w:val="both"/>
        <w:rPr>
          <w:rFonts w:cs="Arial"/>
          <w:szCs w:val="24"/>
        </w:rPr>
      </w:pPr>
    </w:p>
    <w:p w14:paraId="7F43C9A6" w14:textId="77777777" w:rsidR="005348EB" w:rsidRPr="005348EB" w:rsidRDefault="005348EB" w:rsidP="002860F4">
      <w:pPr>
        <w:spacing w:line="360" w:lineRule="auto"/>
        <w:jc w:val="both"/>
        <w:rPr>
          <w:rFonts w:cs="Arial"/>
          <w:szCs w:val="24"/>
        </w:rPr>
      </w:pPr>
      <w:r w:rsidRPr="005348EB">
        <w:rPr>
          <w:rFonts w:cs="Arial"/>
          <w:szCs w:val="24"/>
        </w:rPr>
        <w:t>On appeal to the Supreme Court,</w:t>
      </w:r>
    </w:p>
    <w:p w14:paraId="669BE2CF" w14:textId="77777777" w:rsidR="005348EB" w:rsidRPr="005348EB" w:rsidRDefault="005348EB" w:rsidP="002860F4">
      <w:pPr>
        <w:spacing w:line="360" w:lineRule="auto"/>
        <w:jc w:val="both"/>
        <w:rPr>
          <w:rFonts w:cs="Arial"/>
          <w:szCs w:val="24"/>
        </w:rPr>
      </w:pPr>
    </w:p>
    <w:p w14:paraId="4A4DFC47" w14:textId="31101FBE" w:rsidR="004B7AB5" w:rsidRDefault="004B7AB5" w:rsidP="002860F4">
      <w:pPr>
        <w:spacing w:line="360" w:lineRule="auto"/>
        <w:jc w:val="both"/>
        <w:rPr>
          <w:rFonts w:cs="Arial"/>
          <w:szCs w:val="24"/>
        </w:rPr>
      </w:pPr>
      <w:r w:rsidRPr="0017410A">
        <w:rPr>
          <w:rFonts w:cs="Arial"/>
          <w:i/>
          <w:szCs w:val="24"/>
        </w:rPr>
        <w:lastRenderedPageBreak/>
        <w:t>Held that</w:t>
      </w:r>
      <w:r>
        <w:rPr>
          <w:rFonts w:cs="Arial"/>
          <w:szCs w:val="24"/>
        </w:rPr>
        <w:t>, t</w:t>
      </w:r>
      <w:r w:rsidRPr="00464401">
        <w:rPr>
          <w:rFonts w:cs="Arial"/>
          <w:szCs w:val="24"/>
        </w:rPr>
        <w:t xml:space="preserve">he court </w:t>
      </w:r>
      <w:r w:rsidRPr="00464401">
        <w:rPr>
          <w:rFonts w:cs="Arial"/>
          <w:i/>
          <w:szCs w:val="24"/>
        </w:rPr>
        <w:t>a quo</w:t>
      </w:r>
      <w:r w:rsidRPr="00464401">
        <w:rPr>
          <w:rFonts w:cs="Arial"/>
          <w:szCs w:val="24"/>
        </w:rPr>
        <w:t xml:space="preserve"> took the view that the pre-trial order did not impose an </w:t>
      </w:r>
      <w:r w:rsidRPr="00464401">
        <w:rPr>
          <w:rFonts w:cs="Arial"/>
          <w:i/>
          <w:szCs w:val="24"/>
        </w:rPr>
        <w:t>onus</w:t>
      </w:r>
      <w:r w:rsidRPr="00464401">
        <w:rPr>
          <w:rFonts w:cs="Arial"/>
          <w:szCs w:val="24"/>
        </w:rPr>
        <w:t xml:space="preserve"> on the plaintiff to prove the quantum arising from a finding that the defendants had been enriched at his expense.</w:t>
      </w:r>
      <w:r w:rsidR="00205788">
        <w:rPr>
          <w:rFonts w:cs="Arial"/>
          <w:szCs w:val="24"/>
        </w:rPr>
        <w:t xml:space="preserve"> </w:t>
      </w:r>
      <w:r>
        <w:t>T</w:t>
      </w:r>
      <w:r w:rsidRPr="0017410A">
        <w:rPr>
          <w:rFonts w:cs="Arial"/>
          <w:szCs w:val="24"/>
        </w:rPr>
        <w:t xml:space="preserve">he plaintiff was, in law, required to prove the nature and extent of his </w:t>
      </w:r>
      <w:r w:rsidR="00350267">
        <w:rPr>
          <w:rFonts w:cs="Arial"/>
          <w:szCs w:val="24"/>
        </w:rPr>
        <w:t>impoverishment</w:t>
      </w:r>
      <w:r>
        <w:rPr>
          <w:rFonts w:cs="Arial"/>
          <w:szCs w:val="24"/>
        </w:rPr>
        <w:t xml:space="preserve"> because</w:t>
      </w:r>
      <w:r w:rsidRPr="0017410A">
        <w:rPr>
          <w:rFonts w:cs="Arial"/>
          <w:szCs w:val="24"/>
        </w:rPr>
        <w:t xml:space="preserve"> in an enrichment claim, the passing of money or goods from one person to another does not, without more, constitute enrichment of the recipient in the juridical sense. The person who alleges to have been impoverished by such property being transferred to the estate of the recipient must prove all the </w:t>
      </w:r>
      <w:r>
        <w:rPr>
          <w:rFonts w:cs="Arial"/>
          <w:szCs w:val="24"/>
        </w:rPr>
        <w:t xml:space="preserve">elements of an enrichment claim, which the </w:t>
      </w:r>
      <w:r w:rsidR="009967A1">
        <w:rPr>
          <w:rFonts w:cs="Arial"/>
          <w:szCs w:val="24"/>
        </w:rPr>
        <w:t>plaintiff’s</w:t>
      </w:r>
      <w:r>
        <w:rPr>
          <w:rFonts w:cs="Arial"/>
          <w:szCs w:val="24"/>
        </w:rPr>
        <w:t xml:space="preserve"> failed to do.</w:t>
      </w:r>
    </w:p>
    <w:p w14:paraId="2CD412C6" w14:textId="77777777" w:rsidR="004B7AB5" w:rsidRPr="0017410A" w:rsidRDefault="004B7AB5" w:rsidP="002860F4">
      <w:pPr>
        <w:spacing w:line="360" w:lineRule="auto"/>
        <w:rPr>
          <w:rFonts w:cs="Arial"/>
          <w:szCs w:val="24"/>
        </w:rPr>
      </w:pPr>
    </w:p>
    <w:p w14:paraId="5EE10DBE" w14:textId="545E519C" w:rsidR="004B7AB5" w:rsidRPr="001000D4" w:rsidRDefault="004B7AB5" w:rsidP="002860F4">
      <w:pPr>
        <w:pStyle w:val="NoSpacing"/>
        <w:spacing w:line="360" w:lineRule="auto"/>
        <w:jc w:val="both"/>
        <w:rPr>
          <w:rFonts w:ascii="Arial" w:hAnsi="Arial" w:cs="Arial"/>
          <w:sz w:val="24"/>
          <w:szCs w:val="24"/>
          <w:u w:val="single"/>
        </w:rPr>
      </w:pPr>
      <w:r w:rsidRPr="00105304">
        <w:rPr>
          <w:rFonts w:ascii="Arial" w:hAnsi="Arial" w:cs="Arial"/>
          <w:i/>
          <w:sz w:val="24"/>
          <w:szCs w:val="24"/>
        </w:rPr>
        <w:t>Held that</w:t>
      </w:r>
      <w:r>
        <w:rPr>
          <w:rFonts w:ascii="Arial" w:hAnsi="Arial" w:cs="Arial"/>
          <w:sz w:val="24"/>
          <w:szCs w:val="24"/>
        </w:rPr>
        <w:t xml:space="preserve">, the </w:t>
      </w:r>
      <w:r w:rsidR="009967A1">
        <w:rPr>
          <w:rFonts w:ascii="Arial" w:hAnsi="Arial" w:cs="Arial"/>
          <w:sz w:val="24"/>
          <w:szCs w:val="24"/>
        </w:rPr>
        <w:t>defendants</w:t>
      </w:r>
      <w:r w:rsidRPr="001000D4">
        <w:rPr>
          <w:rFonts w:ascii="Arial" w:hAnsi="Arial" w:cs="Arial"/>
          <w:sz w:val="24"/>
          <w:szCs w:val="24"/>
        </w:rPr>
        <w:t xml:space="preserve"> ha</w:t>
      </w:r>
      <w:r>
        <w:rPr>
          <w:rFonts w:ascii="Arial" w:hAnsi="Arial" w:cs="Arial"/>
          <w:sz w:val="24"/>
          <w:szCs w:val="24"/>
        </w:rPr>
        <w:t>ve</w:t>
      </w:r>
      <w:r w:rsidRPr="001000D4">
        <w:rPr>
          <w:rFonts w:ascii="Arial" w:hAnsi="Arial" w:cs="Arial"/>
          <w:sz w:val="24"/>
          <w:szCs w:val="24"/>
        </w:rPr>
        <w:t xml:space="preserve"> no </w:t>
      </w:r>
      <w:r w:rsidRPr="007417EA">
        <w:rPr>
          <w:rFonts w:ascii="Arial" w:hAnsi="Arial" w:cs="Arial"/>
          <w:i/>
          <w:sz w:val="24"/>
          <w:szCs w:val="24"/>
        </w:rPr>
        <w:t>bon</w:t>
      </w:r>
      <w:r w:rsidR="00CD299A">
        <w:rPr>
          <w:rFonts w:ascii="Arial" w:hAnsi="Arial" w:cs="Arial"/>
          <w:i/>
          <w:sz w:val="24"/>
          <w:szCs w:val="24"/>
        </w:rPr>
        <w:t>a</w:t>
      </w:r>
      <w:r w:rsidRPr="007417EA">
        <w:rPr>
          <w:rFonts w:ascii="Arial" w:hAnsi="Arial" w:cs="Arial"/>
          <w:i/>
          <w:sz w:val="24"/>
          <w:szCs w:val="24"/>
        </w:rPr>
        <w:t xml:space="preserve"> fide</w:t>
      </w:r>
      <w:r w:rsidRPr="001000D4">
        <w:rPr>
          <w:rFonts w:ascii="Arial" w:hAnsi="Arial" w:cs="Arial"/>
          <w:sz w:val="24"/>
          <w:szCs w:val="24"/>
        </w:rPr>
        <w:t xml:space="preserve"> defence to the </w:t>
      </w:r>
      <w:r w:rsidR="009967A1">
        <w:rPr>
          <w:rFonts w:ascii="Arial" w:hAnsi="Arial" w:cs="Arial"/>
          <w:sz w:val="24"/>
          <w:szCs w:val="24"/>
        </w:rPr>
        <w:t>plaintiff</w:t>
      </w:r>
      <w:r w:rsidRPr="001000D4">
        <w:rPr>
          <w:rFonts w:ascii="Arial" w:hAnsi="Arial" w:cs="Arial"/>
          <w:sz w:val="24"/>
          <w:szCs w:val="24"/>
        </w:rPr>
        <w:t xml:space="preserve">’s claim for the repayment of the loan advanced for the purchase of animals to restock the farm. By their own admission the amount was fully repayable. It became due and payable when the </w:t>
      </w:r>
      <w:r w:rsidR="009967A1">
        <w:rPr>
          <w:rFonts w:ascii="Arial" w:hAnsi="Arial" w:cs="Arial"/>
          <w:sz w:val="24"/>
          <w:szCs w:val="24"/>
        </w:rPr>
        <w:t>plaintiff</w:t>
      </w:r>
      <w:r w:rsidRPr="001000D4">
        <w:rPr>
          <w:rFonts w:ascii="Arial" w:hAnsi="Arial" w:cs="Arial"/>
          <w:sz w:val="24"/>
          <w:szCs w:val="24"/>
        </w:rPr>
        <w:t xml:space="preserve"> complied with his obligation to bring the hunters to the farm.</w:t>
      </w:r>
    </w:p>
    <w:p w14:paraId="7AD92DBA" w14:textId="77777777" w:rsidR="004B7AB5" w:rsidRPr="0017410A" w:rsidRDefault="004B7AB5" w:rsidP="002860F4">
      <w:pPr>
        <w:spacing w:line="360" w:lineRule="auto"/>
        <w:rPr>
          <w:rFonts w:cs="Arial"/>
          <w:szCs w:val="24"/>
        </w:rPr>
      </w:pPr>
    </w:p>
    <w:p w14:paraId="78BC3480" w14:textId="74281136" w:rsidR="004B7AB5" w:rsidRDefault="004B7AB5" w:rsidP="002860F4">
      <w:pPr>
        <w:spacing w:line="360" w:lineRule="auto"/>
        <w:jc w:val="both"/>
        <w:rPr>
          <w:rFonts w:cs="Arial"/>
          <w:szCs w:val="24"/>
        </w:rPr>
      </w:pPr>
      <w:r>
        <w:rPr>
          <w:rFonts w:cs="Arial"/>
          <w:i/>
          <w:szCs w:val="24"/>
        </w:rPr>
        <w:t xml:space="preserve">Held that, </w:t>
      </w:r>
      <w:r w:rsidRPr="00C500EA">
        <w:rPr>
          <w:rFonts w:cs="Arial"/>
          <w:szCs w:val="24"/>
        </w:rPr>
        <w:t>subsequent to the success of the appeal on the</w:t>
      </w:r>
      <w:r>
        <w:rPr>
          <w:rFonts w:cs="Arial"/>
          <w:szCs w:val="24"/>
        </w:rPr>
        <w:t xml:space="preserve"> </w:t>
      </w:r>
      <w:r w:rsidRPr="00C500EA">
        <w:rPr>
          <w:rFonts w:cs="Arial"/>
          <w:szCs w:val="24"/>
        </w:rPr>
        <w:t>enrichment claims</w:t>
      </w:r>
      <w:r>
        <w:rPr>
          <w:rFonts w:cs="Arial"/>
          <w:szCs w:val="24"/>
        </w:rPr>
        <w:t>,</w:t>
      </w:r>
      <w:r w:rsidRPr="00C500EA">
        <w:rPr>
          <w:rFonts w:cs="Arial"/>
          <w:szCs w:val="24"/>
        </w:rPr>
        <w:t xml:space="preserve"> the issues of interest and payment in foreign currency</w:t>
      </w:r>
      <w:r w:rsidR="00222097">
        <w:rPr>
          <w:rFonts w:cs="Arial"/>
          <w:szCs w:val="24"/>
        </w:rPr>
        <w:t xml:space="preserve"> fall </w:t>
      </w:r>
      <w:r w:rsidRPr="00C500EA">
        <w:rPr>
          <w:rFonts w:cs="Arial"/>
          <w:szCs w:val="24"/>
        </w:rPr>
        <w:t>away.</w:t>
      </w:r>
    </w:p>
    <w:p w14:paraId="6736FD1F" w14:textId="77777777" w:rsidR="004B7AB5" w:rsidRPr="00C500EA" w:rsidRDefault="004B7AB5" w:rsidP="002860F4">
      <w:pPr>
        <w:spacing w:line="360" w:lineRule="auto"/>
        <w:jc w:val="both"/>
        <w:rPr>
          <w:rFonts w:cs="Arial"/>
          <w:szCs w:val="24"/>
        </w:rPr>
      </w:pPr>
    </w:p>
    <w:p w14:paraId="43997A62" w14:textId="77777777" w:rsidR="004B7AB5" w:rsidRDefault="004B7AB5" w:rsidP="002860F4">
      <w:pPr>
        <w:spacing w:line="360" w:lineRule="auto"/>
        <w:jc w:val="both"/>
        <w:rPr>
          <w:rFonts w:cs="Arial"/>
          <w:i/>
          <w:szCs w:val="24"/>
        </w:rPr>
      </w:pPr>
      <w:r>
        <w:rPr>
          <w:rFonts w:cs="Arial"/>
          <w:i/>
          <w:szCs w:val="24"/>
        </w:rPr>
        <w:t>Cross-Appeal</w:t>
      </w:r>
    </w:p>
    <w:p w14:paraId="1998BB03" w14:textId="77777777" w:rsidR="005F79BD" w:rsidRDefault="005F79BD" w:rsidP="002860F4">
      <w:pPr>
        <w:spacing w:line="360" w:lineRule="auto"/>
        <w:jc w:val="both"/>
        <w:rPr>
          <w:rFonts w:cs="Arial"/>
          <w:i/>
          <w:szCs w:val="24"/>
        </w:rPr>
      </w:pPr>
    </w:p>
    <w:p w14:paraId="71F8DF8F" w14:textId="462235D9" w:rsidR="004B7AB5" w:rsidRDefault="004B7AB5" w:rsidP="002860F4">
      <w:pPr>
        <w:spacing w:line="360" w:lineRule="auto"/>
        <w:jc w:val="both"/>
        <w:rPr>
          <w:rFonts w:cs="Arial"/>
          <w:szCs w:val="24"/>
        </w:rPr>
      </w:pPr>
      <w:r>
        <w:rPr>
          <w:rFonts w:cs="Arial"/>
          <w:i/>
          <w:szCs w:val="24"/>
        </w:rPr>
        <w:t>H</w:t>
      </w:r>
      <w:r w:rsidRPr="0017410A">
        <w:rPr>
          <w:rFonts w:cs="Arial"/>
          <w:i/>
          <w:szCs w:val="24"/>
        </w:rPr>
        <w:t>eld that</w:t>
      </w:r>
      <w:r>
        <w:rPr>
          <w:rFonts w:cs="Arial"/>
          <w:szCs w:val="24"/>
        </w:rPr>
        <w:t>,</w:t>
      </w:r>
      <w:r w:rsidR="00C00388">
        <w:rPr>
          <w:rFonts w:cs="Arial"/>
          <w:szCs w:val="24"/>
        </w:rPr>
        <w:t xml:space="preserve"> the cross-appea</w:t>
      </w:r>
      <w:r w:rsidR="00E20BE2">
        <w:rPr>
          <w:rFonts w:cs="Arial"/>
          <w:szCs w:val="24"/>
        </w:rPr>
        <w:t>l</w:t>
      </w:r>
      <w:r w:rsidR="00C00388">
        <w:rPr>
          <w:rFonts w:cs="Arial"/>
          <w:szCs w:val="24"/>
        </w:rPr>
        <w:t xml:space="preserve"> against</w:t>
      </w:r>
      <w:r w:rsidRPr="0017410A">
        <w:rPr>
          <w:rFonts w:cs="Arial"/>
          <w:szCs w:val="24"/>
        </w:rPr>
        <w:t xml:space="preserve"> </w:t>
      </w:r>
      <w:r w:rsidR="00CD299A">
        <w:rPr>
          <w:rFonts w:cs="Arial"/>
          <w:szCs w:val="24"/>
        </w:rPr>
        <w:t xml:space="preserve">the </w:t>
      </w:r>
      <w:r w:rsidRPr="0017410A">
        <w:rPr>
          <w:rFonts w:cs="Arial"/>
          <w:szCs w:val="24"/>
        </w:rPr>
        <w:t>awa</w:t>
      </w:r>
      <w:r w:rsidR="005F79BD">
        <w:rPr>
          <w:rFonts w:cs="Arial"/>
          <w:szCs w:val="24"/>
        </w:rPr>
        <w:t>rd of costs</w:t>
      </w:r>
      <w:r w:rsidR="00C00388">
        <w:rPr>
          <w:rFonts w:cs="Arial"/>
          <w:szCs w:val="24"/>
        </w:rPr>
        <w:t xml:space="preserve"> </w:t>
      </w:r>
      <w:r w:rsidR="00CD299A">
        <w:rPr>
          <w:rFonts w:cs="Arial"/>
          <w:szCs w:val="24"/>
        </w:rPr>
        <w:t>became</w:t>
      </w:r>
      <w:r w:rsidR="00C00388">
        <w:rPr>
          <w:rFonts w:cs="Arial"/>
          <w:szCs w:val="24"/>
        </w:rPr>
        <w:t xml:space="preserve"> moot</w:t>
      </w:r>
      <w:r w:rsidR="00CD299A">
        <w:rPr>
          <w:rFonts w:cs="Arial"/>
          <w:szCs w:val="24"/>
        </w:rPr>
        <w:t xml:space="preserve">, because the </w:t>
      </w:r>
      <w:r w:rsidR="009967A1">
        <w:rPr>
          <w:rFonts w:cs="Arial"/>
          <w:szCs w:val="24"/>
        </w:rPr>
        <w:t>plaintiff</w:t>
      </w:r>
      <w:r w:rsidR="005F79BD">
        <w:rPr>
          <w:rFonts w:cs="Arial"/>
          <w:szCs w:val="24"/>
        </w:rPr>
        <w:t xml:space="preserve"> </w:t>
      </w:r>
      <w:r w:rsidRPr="0017410A">
        <w:rPr>
          <w:rFonts w:cs="Arial"/>
          <w:szCs w:val="24"/>
        </w:rPr>
        <w:t>is not entitled to pursue</w:t>
      </w:r>
      <w:r w:rsidR="00CD299A">
        <w:rPr>
          <w:rFonts w:cs="Arial"/>
          <w:szCs w:val="24"/>
        </w:rPr>
        <w:t xml:space="preserve"> the cross-appeal</w:t>
      </w:r>
      <w:r w:rsidRPr="0017410A">
        <w:rPr>
          <w:rFonts w:cs="Arial"/>
          <w:szCs w:val="24"/>
        </w:rPr>
        <w:t xml:space="preserve"> without leave, in terms of s 18 of the High Court Act 16 of 1990</w:t>
      </w:r>
      <w:r w:rsidR="00CD299A">
        <w:rPr>
          <w:rFonts w:cs="Arial"/>
          <w:szCs w:val="24"/>
        </w:rPr>
        <w:t>.</w:t>
      </w:r>
      <w:r w:rsidR="00B2188B">
        <w:rPr>
          <w:rFonts w:cs="Arial"/>
          <w:szCs w:val="24"/>
        </w:rPr>
        <w:t xml:space="preserve"> </w:t>
      </w:r>
    </w:p>
    <w:p w14:paraId="58AE87F9" w14:textId="3AA34D6C" w:rsidR="009B5193" w:rsidRPr="000E1B6E" w:rsidRDefault="004229B6" w:rsidP="004229B6">
      <w:pPr>
        <w:rPr>
          <w:rFonts w:cs="Arial"/>
          <w:color w:val="000000" w:themeColor="text1"/>
          <w:szCs w:val="24"/>
        </w:rPr>
      </w:pPr>
      <w:r>
        <w:rPr>
          <w:rFonts w:cs="Arial"/>
          <w:color w:val="000000" w:themeColor="text1"/>
          <w:szCs w:val="24"/>
        </w:rPr>
        <w:br w:type="page"/>
      </w:r>
    </w:p>
    <w:p w14:paraId="3AFC8658" w14:textId="77777777" w:rsidR="000E1B6E" w:rsidRPr="000E1B6E" w:rsidRDefault="000E1B6E" w:rsidP="00E351D8">
      <w:pPr>
        <w:spacing w:line="480" w:lineRule="auto"/>
        <w:rPr>
          <w:rFonts w:cs="Arial"/>
          <w:b/>
          <w:szCs w:val="24"/>
        </w:rPr>
      </w:pPr>
      <w:r w:rsidRPr="000E1B6E">
        <w:rPr>
          <w:rFonts w:cs="Arial"/>
          <w:b/>
          <w:szCs w:val="24"/>
        </w:rPr>
        <w:lastRenderedPageBreak/>
        <w:t>_________________________________________________________________</w:t>
      </w:r>
    </w:p>
    <w:p w14:paraId="07EE4B9C" w14:textId="77777777" w:rsidR="000E1B6E" w:rsidRPr="000E1B6E" w:rsidRDefault="000E1B6E" w:rsidP="00E351D8">
      <w:pPr>
        <w:spacing w:line="480" w:lineRule="auto"/>
        <w:jc w:val="center"/>
        <w:rPr>
          <w:rFonts w:cs="Arial"/>
          <w:b/>
          <w:szCs w:val="24"/>
        </w:rPr>
      </w:pPr>
      <w:r w:rsidRPr="000E1B6E">
        <w:rPr>
          <w:rFonts w:cs="Arial"/>
          <w:b/>
          <w:szCs w:val="24"/>
        </w:rPr>
        <w:t>APPEAL JUDGMENT</w:t>
      </w:r>
    </w:p>
    <w:p w14:paraId="70B7324A" w14:textId="6365B5E4" w:rsidR="000E1B6E" w:rsidRPr="00A71F13" w:rsidRDefault="000E1B6E" w:rsidP="00E351D8">
      <w:pPr>
        <w:spacing w:line="480" w:lineRule="auto"/>
        <w:rPr>
          <w:rFonts w:cs="Arial"/>
          <w:b/>
          <w:szCs w:val="24"/>
        </w:rPr>
      </w:pPr>
      <w:r w:rsidRPr="000E1B6E">
        <w:rPr>
          <w:rFonts w:cs="Arial"/>
          <w:b/>
          <w:szCs w:val="24"/>
        </w:rPr>
        <w:t>_________________________________________________________________</w:t>
      </w:r>
    </w:p>
    <w:p w14:paraId="2507764C" w14:textId="2A51F53D" w:rsidR="002A430A" w:rsidRPr="000E1B6E" w:rsidRDefault="000E1B6E" w:rsidP="00E351D8">
      <w:pPr>
        <w:spacing w:line="480" w:lineRule="auto"/>
        <w:rPr>
          <w:rFonts w:cs="Arial"/>
          <w:szCs w:val="24"/>
        </w:rPr>
      </w:pPr>
      <w:r w:rsidRPr="000E1B6E">
        <w:rPr>
          <w:rFonts w:cs="Arial"/>
          <w:szCs w:val="24"/>
        </w:rPr>
        <w:t>DAMASEB DCJ (SHIVUTE CJ and HOFF JA concurring):</w:t>
      </w:r>
    </w:p>
    <w:p w14:paraId="13682143" w14:textId="77777777" w:rsidR="000E1B6E" w:rsidRDefault="000E1B6E" w:rsidP="00E351D8">
      <w:pPr>
        <w:spacing w:line="480" w:lineRule="auto"/>
        <w:rPr>
          <w:rFonts w:cs="Arial"/>
          <w:szCs w:val="24"/>
          <w:u w:val="single"/>
        </w:rPr>
      </w:pPr>
      <w:r w:rsidRPr="000E1B6E">
        <w:rPr>
          <w:rFonts w:cs="Arial"/>
          <w:szCs w:val="24"/>
          <w:u w:val="single"/>
        </w:rPr>
        <w:t>Introduction</w:t>
      </w:r>
    </w:p>
    <w:p w14:paraId="1CD0CCBA" w14:textId="744B03AE" w:rsidR="000E1B6E" w:rsidRPr="00E934D7" w:rsidRDefault="009A128C" w:rsidP="00E351D8">
      <w:pPr>
        <w:pStyle w:val="NoSpacing"/>
        <w:numPr>
          <w:ilvl w:val="0"/>
          <w:numId w:val="8"/>
        </w:numPr>
        <w:spacing w:line="480" w:lineRule="auto"/>
        <w:ind w:left="0" w:firstLine="0"/>
        <w:jc w:val="both"/>
        <w:rPr>
          <w:rFonts w:ascii="Arial" w:hAnsi="Arial" w:cs="Arial"/>
          <w:sz w:val="24"/>
          <w:szCs w:val="24"/>
        </w:rPr>
      </w:pPr>
      <w:r w:rsidRPr="00E934D7">
        <w:rPr>
          <w:rFonts w:ascii="Arial" w:hAnsi="Arial" w:cs="Arial"/>
          <w:sz w:val="24"/>
          <w:szCs w:val="24"/>
        </w:rPr>
        <w:t xml:space="preserve">The present appeal is </w:t>
      </w:r>
      <w:r w:rsidR="00D26D0B" w:rsidRPr="00E934D7">
        <w:rPr>
          <w:rFonts w:ascii="Arial" w:hAnsi="Arial" w:cs="Arial"/>
          <w:sz w:val="24"/>
          <w:szCs w:val="24"/>
        </w:rPr>
        <w:t xml:space="preserve">yet </w:t>
      </w:r>
      <w:r w:rsidRPr="00E934D7">
        <w:rPr>
          <w:rFonts w:ascii="Arial" w:hAnsi="Arial" w:cs="Arial"/>
          <w:sz w:val="24"/>
          <w:szCs w:val="24"/>
        </w:rPr>
        <w:t xml:space="preserve">another </w:t>
      </w:r>
      <w:r w:rsidR="00A53BBC" w:rsidRPr="00E934D7">
        <w:rPr>
          <w:rFonts w:ascii="Arial" w:hAnsi="Arial" w:cs="Arial"/>
          <w:sz w:val="24"/>
          <w:szCs w:val="24"/>
        </w:rPr>
        <w:t>episode</w:t>
      </w:r>
      <w:r w:rsidRPr="00E934D7">
        <w:rPr>
          <w:rFonts w:ascii="Arial" w:hAnsi="Arial" w:cs="Arial"/>
          <w:sz w:val="24"/>
          <w:szCs w:val="24"/>
        </w:rPr>
        <w:t xml:space="preserve"> in the disturbing </w:t>
      </w:r>
      <w:r w:rsidR="00A53BBC" w:rsidRPr="00E934D7">
        <w:rPr>
          <w:rFonts w:ascii="Arial" w:hAnsi="Arial" w:cs="Arial"/>
          <w:sz w:val="24"/>
          <w:szCs w:val="24"/>
        </w:rPr>
        <w:t>saga</w:t>
      </w:r>
      <w:r w:rsidRPr="00E934D7">
        <w:rPr>
          <w:rFonts w:ascii="Arial" w:hAnsi="Arial" w:cs="Arial"/>
          <w:sz w:val="24"/>
          <w:szCs w:val="24"/>
        </w:rPr>
        <w:t xml:space="preserve"> of foreign nationals entering into schemes with Namibians to acquire interests in </w:t>
      </w:r>
      <w:r w:rsidR="0032024B" w:rsidRPr="00E934D7">
        <w:rPr>
          <w:rFonts w:ascii="Arial" w:hAnsi="Arial" w:cs="Arial"/>
          <w:sz w:val="24"/>
          <w:szCs w:val="24"/>
        </w:rPr>
        <w:t xml:space="preserve">agricultural </w:t>
      </w:r>
      <w:r w:rsidR="00D26D0B" w:rsidRPr="00E934D7">
        <w:rPr>
          <w:rFonts w:ascii="Arial" w:hAnsi="Arial" w:cs="Arial"/>
          <w:sz w:val="24"/>
          <w:szCs w:val="24"/>
        </w:rPr>
        <w:t xml:space="preserve">commercial </w:t>
      </w:r>
      <w:r w:rsidRPr="00E934D7">
        <w:rPr>
          <w:rFonts w:ascii="Arial" w:hAnsi="Arial" w:cs="Arial"/>
          <w:sz w:val="24"/>
          <w:szCs w:val="24"/>
        </w:rPr>
        <w:t>land in Namibia.</w:t>
      </w:r>
      <w:r w:rsidR="00CC5BF8">
        <w:rPr>
          <w:rStyle w:val="FootnoteReference"/>
          <w:rFonts w:ascii="Arial" w:hAnsi="Arial" w:cs="Arial"/>
          <w:sz w:val="24"/>
          <w:szCs w:val="24"/>
        </w:rPr>
        <w:footnoteReference w:id="1"/>
      </w:r>
      <w:r w:rsidR="00CC5BF8">
        <w:rPr>
          <w:rFonts w:ascii="Arial" w:hAnsi="Arial" w:cs="Arial"/>
          <w:sz w:val="24"/>
          <w:szCs w:val="24"/>
        </w:rPr>
        <w:t xml:space="preserve"> </w:t>
      </w:r>
      <w:r w:rsidRPr="00E934D7">
        <w:rPr>
          <w:rFonts w:ascii="Arial" w:hAnsi="Arial" w:cs="Arial"/>
          <w:sz w:val="24"/>
          <w:szCs w:val="24"/>
        </w:rPr>
        <w:t xml:space="preserve">The ingenuity with which these schemes are devised is matched only by the cruel reality that they inevitably </w:t>
      </w:r>
      <w:r w:rsidR="0055472E" w:rsidRPr="00E934D7">
        <w:rPr>
          <w:rFonts w:ascii="Arial" w:hAnsi="Arial" w:cs="Arial"/>
          <w:sz w:val="24"/>
          <w:szCs w:val="24"/>
        </w:rPr>
        <w:t xml:space="preserve">implode </w:t>
      </w:r>
      <w:r w:rsidR="00D37CFE" w:rsidRPr="00E934D7">
        <w:rPr>
          <w:rFonts w:ascii="Arial" w:hAnsi="Arial" w:cs="Arial"/>
          <w:sz w:val="24"/>
          <w:szCs w:val="24"/>
        </w:rPr>
        <w:t xml:space="preserve">under the weight of </w:t>
      </w:r>
      <w:r w:rsidR="00A53BBC" w:rsidRPr="00E934D7">
        <w:rPr>
          <w:rFonts w:ascii="Arial" w:hAnsi="Arial" w:cs="Arial"/>
          <w:sz w:val="24"/>
          <w:szCs w:val="24"/>
        </w:rPr>
        <w:t xml:space="preserve">the primordial human instinct </w:t>
      </w:r>
      <w:r w:rsidRPr="00E934D7">
        <w:rPr>
          <w:rFonts w:ascii="Arial" w:hAnsi="Arial" w:cs="Arial"/>
          <w:sz w:val="24"/>
          <w:szCs w:val="24"/>
        </w:rPr>
        <w:t xml:space="preserve">of </w:t>
      </w:r>
      <w:r w:rsidR="00A53BBC" w:rsidRPr="00E934D7">
        <w:rPr>
          <w:rFonts w:ascii="Arial" w:hAnsi="Arial" w:cs="Arial"/>
          <w:sz w:val="24"/>
          <w:szCs w:val="24"/>
        </w:rPr>
        <w:t xml:space="preserve">self-interest. </w:t>
      </w:r>
    </w:p>
    <w:p w14:paraId="4D949F0B" w14:textId="77777777" w:rsidR="00BC2CB8" w:rsidRDefault="00BC2CB8" w:rsidP="00E351D8">
      <w:pPr>
        <w:spacing w:line="480" w:lineRule="auto"/>
        <w:jc w:val="both"/>
        <w:rPr>
          <w:rFonts w:cs="Arial"/>
          <w:szCs w:val="24"/>
        </w:rPr>
      </w:pPr>
    </w:p>
    <w:p w14:paraId="209009E6" w14:textId="137AE6D8" w:rsidR="001577B3" w:rsidRPr="00E934D7" w:rsidRDefault="00BC2CB8" w:rsidP="00E351D8">
      <w:pPr>
        <w:pStyle w:val="NoSpacing"/>
        <w:numPr>
          <w:ilvl w:val="0"/>
          <w:numId w:val="8"/>
        </w:numPr>
        <w:spacing w:line="480" w:lineRule="auto"/>
        <w:ind w:left="0" w:firstLine="0"/>
        <w:jc w:val="both"/>
        <w:rPr>
          <w:rFonts w:ascii="Arial" w:hAnsi="Arial" w:cs="Arial"/>
          <w:sz w:val="24"/>
          <w:szCs w:val="24"/>
        </w:rPr>
      </w:pPr>
      <w:r w:rsidRPr="00E934D7">
        <w:rPr>
          <w:rFonts w:ascii="Arial" w:hAnsi="Arial" w:cs="Arial"/>
          <w:sz w:val="24"/>
          <w:szCs w:val="24"/>
        </w:rPr>
        <w:t>The scheme giving rise to the appeal now before this Court involves a French businessman</w:t>
      </w:r>
      <w:r w:rsidR="00D26D0B" w:rsidRPr="00E934D7">
        <w:rPr>
          <w:rFonts w:ascii="Arial" w:hAnsi="Arial" w:cs="Arial"/>
          <w:sz w:val="24"/>
          <w:szCs w:val="24"/>
        </w:rPr>
        <w:t xml:space="preserve"> (the </w:t>
      </w:r>
      <w:r w:rsidR="009609E4">
        <w:rPr>
          <w:rFonts w:ascii="Arial" w:hAnsi="Arial" w:cs="Arial"/>
          <w:sz w:val="24"/>
          <w:szCs w:val="24"/>
        </w:rPr>
        <w:t>respondent</w:t>
      </w:r>
      <w:r w:rsidR="00D26D0B" w:rsidRPr="00E934D7">
        <w:rPr>
          <w:rFonts w:ascii="Arial" w:hAnsi="Arial" w:cs="Arial"/>
          <w:sz w:val="24"/>
          <w:szCs w:val="24"/>
        </w:rPr>
        <w:t xml:space="preserve"> in the appeal who was the plaintiff </w:t>
      </w:r>
      <w:r w:rsidR="00D26D0B" w:rsidRPr="00CC5BF8">
        <w:rPr>
          <w:rFonts w:ascii="Arial" w:hAnsi="Arial" w:cs="Arial"/>
          <w:i/>
          <w:sz w:val="24"/>
          <w:szCs w:val="24"/>
        </w:rPr>
        <w:t>a quo</w:t>
      </w:r>
      <w:r w:rsidR="00CC5BF8">
        <w:rPr>
          <w:rFonts w:ascii="Arial" w:hAnsi="Arial" w:cs="Arial"/>
          <w:sz w:val="24"/>
          <w:szCs w:val="24"/>
        </w:rPr>
        <w:t xml:space="preserve">, </w:t>
      </w:r>
      <w:r w:rsidR="00D26D0B" w:rsidRPr="00E934D7">
        <w:rPr>
          <w:rFonts w:ascii="Arial" w:hAnsi="Arial" w:cs="Arial"/>
          <w:sz w:val="24"/>
          <w:szCs w:val="24"/>
        </w:rPr>
        <w:t>hereafter ‘the plaintiff’)</w:t>
      </w:r>
      <w:r w:rsidRPr="00E934D7">
        <w:rPr>
          <w:rFonts w:ascii="Arial" w:hAnsi="Arial" w:cs="Arial"/>
          <w:sz w:val="24"/>
          <w:szCs w:val="24"/>
        </w:rPr>
        <w:t xml:space="preserve"> </w:t>
      </w:r>
      <w:r w:rsidR="00D26D0B" w:rsidRPr="00E934D7">
        <w:rPr>
          <w:rFonts w:ascii="Arial" w:hAnsi="Arial" w:cs="Arial"/>
          <w:sz w:val="24"/>
          <w:szCs w:val="24"/>
        </w:rPr>
        <w:t xml:space="preserve">entering into </w:t>
      </w:r>
      <w:r w:rsidR="00F7245A" w:rsidRPr="00E934D7">
        <w:rPr>
          <w:rFonts w:ascii="Arial" w:hAnsi="Arial" w:cs="Arial"/>
          <w:sz w:val="24"/>
          <w:szCs w:val="24"/>
        </w:rPr>
        <w:t>oral</w:t>
      </w:r>
      <w:r w:rsidR="00D26D0B" w:rsidRPr="00E934D7">
        <w:rPr>
          <w:rFonts w:ascii="Arial" w:hAnsi="Arial" w:cs="Arial"/>
          <w:sz w:val="24"/>
          <w:szCs w:val="24"/>
        </w:rPr>
        <w:t xml:space="preserve"> agreement</w:t>
      </w:r>
      <w:r w:rsidR="00F7245A" w:rsidRPr="00E934D7">
        <w:rPr>
          <w:rFonts w:ascii="Arial" w:hAnsi="Arial" w:cs="Arial"/>
          <w:sz w:val="24"/>
          <w:szCs w:val="24"/>
        </w:rPr>
        <w:t>s</w:t>
      </w:r>
      <w:r w:rsidRPr="00E934D7">
        <w:rPr>
          <w:rFonts w:ascii="Arial" w:hAnsi="Arial" w:cs="Arial"/>
          <w:sz w:val="24"/>
          <w:szCs w:val="24"/>
        </w:rPr>
        <w:t xml:space="preserve"> with </w:t>
      </w:r>
      <w:r w:rsidR="00F7245A" w:rsidRPr="00E934D7">
        <w:rPr>
          <w:rFonts w:ascii="Arial" w:hAnsi="Arial" w:cs="Arial"/>
          <w:sz w:val="24"/>
          <w:szCs w:val="24"/>
        </w:rPr>
        <w:t>the owner</w:t>
      </w:r>
      <w:r w:rsidRPr="00E934D7">
        <w:rPr>
          <w:rFonts w:ascii="Arial" w:hAnsi="Arial" w:cs="Arial"/>
          <w:sz w:val="24"/>
          <w:szCs w:val="24"/>
        </w:rPr>
        <w:t xml:space="preserve"> of a lodge</w:t>
      </w:r>
      <w:r w:rsidR="00F7245A" w:rsidRPr="00E934D7">
        <w:rPr>
          <w:rFonts w:ascii="Arial" w:hAnsi="Arial" w:cs="Arial"/>
          <w:sz w:val="24"/>
          <w:szCs w:val="24"/>
        </w:rPr>
        <w:t xml:space="preserve"> and his wife</w:t>
      </w:r>
      <w:r w:rsidR="00D26D0B" w:rsidRPr="00E934D7">
        <w:rPr>
          <w:rFonts w:ascii="Arial" w:hAnsi="Arial" w:cs="Arial"/>
          <w:sz w:val="24"/>
          <w:szCs w:val="24"/>
        </w:rPr>
        <w:t xml:space="preserve"> </w:t>
      </w:r>
      <w:r w:rsidR="001577B3" w:rsidRPr="00E934D7">
        <w:rPr>
          <w:rFonts w:ascii="Arial" w:hAnsi="Arial" w:cs="Arial"/>
          <w:sz w:val="24"/>
          <w:szCs w:val="24"/>
        </w:rPr>
        <w:t xml:space="preserve">(the </w:t>
      </w:r>
      <w:r w:rsidR="009609E4">
        <w:rPr>
          <w:rFonts w:ascii="Arial" w:hAnsi="Arial" w:cs="Arial"/>
          <w:sz w:val="24"/>
          <w:szCs w:val="24"/>
        </w:rPr>
        <w:t>appellants</w:t>
      </w:r>
      <w:r w:rsidR="001577B3" w:rsidRPr="00E934D7">
        <w:rPr>
          <w:rFonts w:ascii="Arial" w:hAnsi="Arial" w:cs="Arial"/>
          <w:sz w:val="24"/>
          <w:szCs w:val="24"/>
        </w:rPr>
        <w:t xml:space="preserve"> in the appeal and who were defendants </w:t>
      </w:r>
      <w:r w:rsidR="001577B3" w:rsidRPr="00CC5BF8">
        <w:rPr>
          <w:rFonts w:ascii="Arial" w:hAnsi="Arial" w:cs="Arial"/>
          <w:i/>
          <w:sz w:val="24"/>
          <w:szCs w:val="24"/>
        </w:rPr>
        <w:t>a quo</w:t>
      </w:r>
      <w:r w:rsidR="00F7245A" w:rsidRPr="00E934D7">
        <w:rPr>
          <w:rFonts w:ascii="Arial" w:hAnsi="Arial" w:cs="Arial"/>
          <w:sz w:val="24"/>
          <w:szCs w:val="24"/>
        </w:rPr>
        <w:t>,</w:t>
      </w:r>
      <w:r w:rsidR="001577B3" w:rsidRPr="00E934D7">
        <w:rPr>
          <w:rFonts w:ascii="Arial" w:hAnsi="Arial" w:cs="Arial"/>
          <w:sz w:val="24"/>
          <w:szCs w:val="24"/>
        </w:rPr>
        <w:t xml:space="preserve"> ‘the defendants’)</w:t>
      </w:r>
      <w:r w:rsidR="002F29CF" w:rsidRPr="00E934D7">
        <w:rPr>
          <w:rFonts w:ascii="Arial" w:hAnsi="Arial" w:cs="Arial"/>
          <w:sz w:val="24"/>
          <w:szCs w:val="24"/>
        </w:rPr>
        <w:t>. The lodge is located on agricultural commercial land in the Kunene Region of Namibia</w:t>
      </w:r>
      <w:r w:rsidR="00D26D0B" w:rsidRPr="00E934D7">
        <w:rPr>
          <w:rFonts w:ascii="Arial" w:hAnsi="Arial" w:cs="Arial"/>
          <w:sz w:val="24"/>
          <w:szCs w:val="24"/>
        </w:rPr>
        <w:t xml:space="preserve">. </w:t>
      </w:r>
    </w:p>
    <w:p w14:paraId="1DE96B11" w14:textId="77777777" w:rsidR="001577B3" w:rsidRDefault="001577B3" w:rsidP="00E351D8">
      <w:pPr>
        <w:spacing w:line="480" w:lineRule="auto"/>
        <w:jc w:val="both"/>
        <w:rPr>
          <w:rFonts w:cs="Arial"/>
          <w:szCs w:val="24"/>
        </w:rPr>
      </w:pPr>
    </w:p>
    <w:p w14:paraId="592CB7DA" w14:textId="6A01B4B9" w:rsidR="00BC2CB8" w:rsidRDefault="00D37CFE" w:rsidP="00E351D8">
      <w:pPr>
        <w:pStyle w:val="NoSpacing"/>
        <w:numPr>
          <w:ilvl w:val="0"/>
          <w:numId w:val="8"/>
        </w:numPr>
        <w:spacing w:line="480" w:lineRule="auto"/>
        <w:ind w:left="0" w:firstLine="0"/>
        <w:jc w:val="both"/>
        <w:rPr>
          <w:rFonts w:ascii="Arial" w:hAnsi="Arial" w:cs="Arial"/>
          <w:sz w:val="24"/>
          <w:szCs w:val="24"/>
        </w:rPr>
      </w:pPr>
      <w:r w:rsidRPr="00E934D7">
        <w:rPr>
          <w:rFonts w:ascii="Arial" w:hAnsi="Arial" w:cs="Arial"/>
          <w:sz w:val="24"/>
          <w:szCs w:val="24"/>
        </w:rPr>
        <w:t>In April 2009, the</w:t>
      </w:r>
      <w:r w:rsidR="00D26D0B" w:rsidRPr="00E934D7">
        <w:rPr>
          <w:rFonts w:ascii="Arial" w:hAnsi="Arial" w:cs="Arial"/>
          <w:sz w:val="24"/>
          <w:szCs w:val="24"/>
        </w:rPr>
        <w:t xml:space="preserve"> plaintiff had paid large sums of money in Euros to the defendants for agreed </w:t>
      </w:r>
      <w:r w:rsidR="00BC2CB8" w:rsidRPr="00E934D7">
        <w:rPr>
          <w:rFonts w:ascii="Arial" w:hAnsi="Arial" w:cs="Arial"/>
          <w:sz w:val="24"/>
          <w:szCs w:val="24"/>
        </w:rPr>
        <w:t>purposes</w:t>
      </w:r>
      <w:r w:rsidR="00FC6CB5" w:rsidRPr="00E934D7">
        <w:rPr>
          <w:rFonts w:ascii="Arial" w:hAnsi="Arial" w:cs="Arial"/>
          <w:sz w:val="24"/>
          <w:szCs w:val="24"/>
        </w:rPr>
        <w:t>.</w:t>
      </w:r>
      <w:r w:rsidR="00D26D0B" w:rsidRPr="00E934D7">
        <w:rPr>
          <w:rFonts w:ascii="Arial" w:hAnsi="Arial" w:cs="Arial"/>
          <w:sz w:val="24"/>
          <w:szCs w:val="24"/>
        </w:rPr>
        <w:t xml:space="preserve"> </w:t>
      </w:r>
      <w:r w:rsidR="004908F6" w:rsidRPr="00E934D7">
        <w:rPr>
          <w:rFonts w:ascii="Arial" w:hAnsi="Arial" w:cs="Arial"/>
          <w:sz w:val="24"/>
          <w:szCs w:val="24"/>
        </w:rPr>
        <w:t>In</w:t>
      </w:r>
      <w:r w:rsidRPr="00E934D7">
        <w:rPr>
          <w:rFonts w:ascii="Arial" w:hAnsi="Arial" w:cs="Arial"/>
          <w:sz w:val="24"/>
          <w:szCs w:val="24"/>
        </w:rPr>
        <w:t xml:space="preserve"> November 2009, the plaintiff </w:t>
      </w:r>
      <w:r w:rsidR="004908F6" w:rsidRPr="00E934D7">
        <w:rPr>
          <w:rFonts w:ascii="Arial" w:hAnsi="Arial" w:cs="Arial"/>
          <w:sz w:val="24"/>
          <w:szCs w:val="24"/>
        </w:rPr>
        <w:t>instituted several claims</w:t>
      </w:r>
      <w:r w:rsidRPr="00E934D7">
        <w:rPr>
          <w:rFonts w:ascii="Arial" w:hAnsi="Arial" w:cs="Arial"/>
          <w:sz w:val="24"/>
          <w:szCs w:val="24"/>
        </w:rPr>
        <w:t xml:space="preserve"> in the High Court</w:t>
      </w:r>
      <w:r w:rsidR="004908F6" w:rsidRPr="00E934D7">
        <w:rPr>
          <w:rFonts w:ascii="Arial" w:hAnsi="Arial" w:cs="Arial"/>
          <w:sz w:val="24"/>
          <w:szCs w:val="24"/>
        </w:rPr>
        <w:t xml:space="preserve"> against the defendants </w:t>
      </w:r>
      <w:r w:rsidR="0032024B" w:rsidRPr="00E934D7">
        <w:rPr>
          <w:rFonts w:ascii="Arial" w:hAnsi="Arial" w:cs="Arial"/>
          <w:sz w:val="24"/>
          <w:szCs w:val="24"/>
        </w:rPr>
        <w:t>to rec</w:t>
      </w:r>
      <w:r w:rsidR="004908F6" w:rsidRPr="00E934D7">
        <w:rPr>
          <w:rFonts w:ascii="Arial" w:hAnsi="Arial" w:cs="Arial"/>
          <w:sz w:val="24"/>
          <w:szCs w:val="24"/>
        </w:rPr>
        <w:t xml:space="preserve">over </w:t>
      </w:r>
      <w:r w:rsidR="0032024B" w:rsidRPr="00E934D7">
        <w:rPr>
          <w:rFonts w:ascii="Arial" w:hAnsi="Arial" w:cs="Arial"/>
          <w:sz w:val="24"/>
          <w:szCs w:val="24"/>
        </w:rPr>
        <w:t>that money</w:t>
      </w:r>
      <w:r w:rsidR="004908F6" w:rsidRPr="00E934D7">
        <w:rPr>
          <w:rFonts w:ascii="Arial" w:hAnsi="Arial" w:cs="Arial"/>
          <w:sz w:val="24"/>
          <w:szCs w:val="24"/>
        </w:rPr>
        <w:t>.</w:t>
      </w:r>
    </w:p>
    <w:p w14:paraId="4C61A4C8" w14:textId="77777777" w:rsidR="00E934D7" w:rsidRDefault="00E934D7" w:rsidP="00E351D8">
      <w:pPr>
        <w:pStyle w:val="ListParagraph"/>
        <w:spacing w:line="480" w:lineRule="auto"/>
        <w:rPr>
          <w:rFonts w:cs="Arial"/>
          <w:szCs w:val="24"/>
        </w:rPr>
      </w:pPr>
    </w:p>
    <w:p w14:paraId="5E17C5C6" w14:textId="60091BA1" w:rsidR="00693030" w:rsidRPr="00DB3CA0" w:rsidRDefault="00E934D7" w:rsidP="00E351D8">
      <w:pPr>
        <w:pStyle w:val="NoSpacing"/>
        <w:numPr>
          <w:ilvl w:val="0"/>
          <w:numId w:val="8"/>
        </w:numPr>
        <w:spacing w:line="480" w:lineRule="auto"/>
        <w:ind w:left="0" w:firstLine="0"/>
        <w:jc w:val="both"/>
        <w:rPr>
          <w:rFonts w:ascii="Arial" w:hAnsi="Arial" w:cs="Arial"/>
          <w:sz w:val="24"/>
          <w:szCs w:val="24"/>
        </w:rPr>
      </w:pPr>
      <w:r w:rsidRPr="00E934D7">
        <w:rPr>
          <w:rFonts w:ascii="Arial" w:hAnsi="Arial" w:cs="Arial"/>
          <w:sz w:val="24"/>
          <w:szCs w:val="24"/>
        </w:rPr>
        <w:t xml:space="preserve">I can do no better than sum up the essence of the transaction and the resultant fallout in the learned judge </w:t>
      </w:r>
      <w:r w:rsidRPr="00CC5BF8">
        <w:rPr>
          <w:rFonts w:ascii="Arial" w:hAnsi="Arial" w:cs="Arial"/>
          <w:i/>
          <w:sz w:val="24"/>
          <w:szCs w:val="24"/>
        </w:rPr>
        <w:t>a quo</w:t>
      </w:r>
      <w:r w:rsidRPr="00E934D7">
        <w:rPr>
          <w:rFonts w:ascii="Arial" w:hAnsi="Arial" w:cs="Arial"/>
          <w:sz w:val="24"/>
          <w:szCs w:val="24"/>
        </w:rPr>
        <w:t>’s own words:</w:t>
      </w:r>
    </w:p>
    <w:p w14:paraId="2B4D6866" w14:textId="7B8A465D" w:rsidR="007E5850" w:rsidRDefault="009B5193" w:rsidP="009B5193">
      <w:pPr>
        <w:spacing w:line="360" w:lineRule="auto"/>
        <w:ind w:left="720"/>
        <w:jc w:val="both"/>
        <w:rPr>
          <w:rFonts w:cs="Arial"/>
          <w:sz w:val="22"/>
        </w:rPr>
      </w:pPr>
      <w:r>
        <w:rPr>
          <w:rFonts w:cs="Arial"/>
          <w:sz w:val="22"/>
        </w:rPr>
        <w:lastRenderedPageBreak/>
        <w:t>‘</w:t>
      </w:r>
      <w:r w:rsidR="00274F02" w:rsidRPr="00FC6CB5">
        <w:rPr>
          <w:rFonts w:cs="Arial"/>
          <w:sz w:val="22"/>
        </w:rPr>
        <w:t>[4] Sometime in 2008, a French national, and his then consort became enchanted with the far</w:t>
      </w:r>
      <w:r w:rsidR="001577B3">
        <w:rPr>
          <w:rFonts w:cs="Arial"/>
          <w:sz w:val="22"/>
        </w:rPr>
        <w:t>m</w:t>
      </w:r>
      <w:r w:rsidR="00274F02" w:rsidRPr="00FC6CB5">
        <w:rPr>
          <w:rFonts w:cs="Arial"/>
          <w:sz w:val="22"/>
        </w:rPr>
        <w:t>, Okatare during one of their visits to Namibia. It was then that the plaintiff, who owns three factories in France, became desirous to obtain a tranquil place of h</w:t>
      </w:r>
      <w:r w:rsidR="001577B3">
        <w:rPr>
          <w:rFonts w:cs="Arial"/>
          <w:sz w:val="22"/>
        </w:rPr>
        <w:t>is</w:t>
      </w:r>
      <w:r w:rsidR="00274F02" w:rsidRPr="00FC6CB5">
        <w:rPr>
          <w:rFonts w:cs="Arial"/>
          <w:sz w:val="22"/>
        </w:rPr>
        <w:t xml:space="preserve"> own for re-generation purposes. The idea was borne to build a house and </w:t>
      </w:r>
      <w:r w:rsidR="00DC29D8" w:rsidRPr="00FC6CB5">
        <w:rPr>
          <w:rFonts w:cs="Arial"/>
          <w:sz w:val="22"/>
        </w:rPr>
        <w:t>bungalows</w:t>
      </w:r>
      <w:r w:rsidR="00274F02" w:rsidRPr="00FC6CB5">
        <w:rPr>
          <w:rFonts w:cs="Arial"/>
          <w:sz w:val="22"/>
        </w:rPr>
        <w:t xml:space="preserve"> on farm Okatare so that th</w:t>
      </w:r>
      <w:r w:rsidR="004908F6">
        <w:rPr>
          <w:rFonts w:cs="Arial"/>
          <w:sz w:val="22"/>
        </w:rPr>
        <w:t>e plaintiff could, on a regular</w:t>
      </w:r>
      <w:r w:rsidR="00274F02" w:rsidRPr="00FC6CB5">
        <w:rPr>
          <w:rFonts w:cs="Arial"/>
          <w:sz w:val="22"/>
        </w:rPr>
        <w:t xml:space="preserve"> basis, </w:t>
      </w:r>
      <w:r w:rsidR="00157CE4" w:rsidRPr="00FC6CB5">
        <w:rPr>
          <w:rFonts w:cs="Arial"/>
          <w:sz w:val="22"/>
        </w:rPr>
        <w:t>come to Namibia and enjoy some pe</w:t>
      </w:r>
      <w:r w:rsidR="001577B3">
        <w:rPr>
          <w:rFonts w:cs="Arial"/>
          <w:sz w:val="22"/>
        </w:rPr>
        <w:t>ace and quiet and so recharge hi</w:t>
      </w:r>
      <w:r w:rsidR="00157CE4" w:rsidRPr="00FC6CB5">
        <w:rPr>
          <w:rFonts w:cs="Arial"/>
          <w:sz w:val="22"/>
        </w:rPr>
        <w:t xml:space="preserve">s batteries. Initially a good and hearty relationship </w:t>
      </w:r>
      <w:r w:rsidR="00FC6CB5" w:rsidRPr="00FC6CB5">
        <w:rPr>
          <w:rFonts w:cs="Arial"/>
          <w:sz w:val="22"/>
        </w:rPr>
        <w:t xml:space="preserve">prevailed between the plaintiff and his wife and Mr and Mrs </w:t>
      </w:r>
      <w:r w:rsidR="006E2D54">
        <w:rPr>
          <w:rFonts w:cs="Arial"/>
          <w:sz w:val="22"/>
        </w:rPr>
        <w:t>Müller</w:t>
      </w:r>
      <w:r w:rsidR="006966C9">
        <w:rPr>
          <w:rFonts w:cs="Arial"/>
          <w:sz w:val="22"/>
        </w:rPr>
        <w:t xml:space="preserve">. . . </w:t>
      </w:r>
      <w:r w:rsidR="00FC6CB5" w:rsidRPr="00FC6CB5">
        <w:rPr>
          <w:rFonts w:cs="Arial"/>
          <w:sz w:val="22"/>
        </w:rPr>
        <w:t xml:space="preserve">[Mr </w:t>
      </w:r>
      <w:r w:rsidR="006E2D54">
        <w:rPr>
          <w:rFonts w:cs="Arial"/>
          <w:sz w:val="22"/>
        </w:rPr>
        <w:t>Müller</w:t>
      </w:r>
      <w:r w:rsidR="00FC6CB5" w:rsidRPr="00FC6CB5">
        <w:rPr>
          <w:rFonts w:cs="Arial"/>
          <w:sz w:val="22"/>
        </w:rPr>
        <w:t>] being the own</w:t>
      </w:r>
      <w:r w:rsidR="006966C9">
        <w:rPr>
          <w:rFonts w:cs="Arial"/>
          <w:sz w:val="22"/>
        </w:rPr>
        <w:t>er of Okatare. It was during the</w:t>
      </w:r>
      <w:r w:rsidR="00FC6CB5" w:rsidRPr="00FC6CB5">
        <w:rPr>
          <w:rFonts w:cs="Arial"/>
          <w:sz w:val="22"/>
        </w:rPr>
        <w:t>s</w:t>
      </w:r>
      <w:r w:rsidR="006966C9">
        <w:rPr>
          <w:rFonts w:cs="Arial"/>
          <w:sz w:val="22"/>
        </w:rPr>
        <w:t>e</w:t>
      </w:r>
      <w:r w:rsidR="00FC6CB5" w:rsidRPr="00FC6CB5">
        <w:rPr>
          <w:rFonts w:cs="Arial"/>
          <w:sz w:val="22"/>
        </w:rPr>
        <w:t xml:space="preserve"> harmonious times that the intended house and two hunters’ bungalows were built. In addition the plaintiff invested also in the upgrading of a solar system on the farm, provided funds for the establishment of an olive grove, a long-held dream of the second defendant, and for the purchase of additional game.</w:t>
      </w:r>
    </w:p>
    <w:p w14:paraId="2AB26174" w14:textId="77777777" w:rsidR="004D70EE" w:rsidRDefault="004D70EE" w:rsidP="00E351D8">
      <w:pPr>
        <w:spacing w:line="480" w:lineRule="auto"/>
        <w:jc w:val="both"/>
        <w:rPr>
          <w:rFonts w:cs="Arial"/>
          <w:sz w:val="22"/>
        </w:rPr>
      </w:pPr>
    </w:p>
    <w:p w14:paraId="365DAD9B" w14:textId="17DE036F" w:rsidR="009A128C" w:rsidRPr="00EC0F55" w:rsidRDefault="00EC0F55" w:rsidP="00EC0F55">
      <w:pPr>
        <w:pStyle w:val="NoSpacing"/>
        <w:spacing w:line="480" w:lineRule="auto"/>
        <w:ind w:left="720"/>
        <w:jc w:val="both"/>
        <w:rPr>
          <w:rFonts w:ascii="Arial" w:hAnsi="Arial" w:cs="Arial"/>
        </w:rPr>
      </w:pPr>
      <w:r>
        <w:rPr>
          <w:rFonts w:ascii="Arial" w:hAnsi="Arial" w:cs="Arial"/>
        </w:rPr>
        <w:t>[5]</w:t>
      </w:r>
      <w:r>
        <w:rPr>
          <w:rFonts w:ascii="Arial" w:hAnsi="Arial" w:cs="Arial"/>
        </w:rPr>
        <w:tab/>
      </w:r>
      <w:r w:rsidR="007E5850" w:rsidRPr="00EC0F55">
        <w:rPr>
          <w:rFonts w:ascii="Arial" w:hAnsi="Arial" w:cs="Arial"/>
        </w:rPr>
        <w:t xml:space="preserve">Subsequently, and as unfortunately happened, the relationship between the parties soured as a result of which the plaintiff is now </w:t>
      </w:r>
      <w:r w:rsidR="00CC5BF8" w:rsidRPr="00EC0F55">
        <w:rPr>
          <w:rFonts w:ascii="Arial" w:hAnsi="Arial" w:cs="Arial"/>
        </w:rPr>
        <w:t>claiming the repayment of €</w:t>
      </w:r>
      <w:r w:rsidR="007E5850" w:rsidRPr="00EC0F55">
        <w:rPr>
          <w:rFonts w:ascii="Arial" w:hAnsi="Arial" w:cs="Arial"/>
        </w:rPr>
        <w:t xml:space="preserve"> 198 019.17 and N$ 526 322.47 in respect of the house, the bungalows and </w:t>
      </w:r>
      <w:r w:rsidR="00CC5BF8" w:rsidRPr="00EC0F55">
        <w:rPr>
          <w:rFonts w:ascii="Arial" w:hAnsi="Arial" w:cs="Arial"/>
        </w:rPr>
        <w:t>the solar system, the sum of €</w:t>
      </w:r>
      <w:r w:rsidR="007E5850" w:rsidRPr="00EC0F55">
        <w:rPr>
          <w:rFonts w:ascii="Arial" w:hAnsi="Arial" w:cs="Arial"/>
        </w:rPr>
        <w:t xml:space="preserve"> 50 000 in relation to some 4000 olive trees w</w:t>
      </w:r>
      <w:r w:rsidR="00CC5BF8" w:rsidRPr="00EC0F55">
        <w:rPr>
          <w:rFonts w:ascii="Arial" w:hAnsi="Arial" w:cs="Arial"/>
        </w:rPr>
        <w:t>hich were to be planted and €</w:t>
      </w:r>
      <w:r w:rsidR="006675C3" w:rsidRPr="00EC0F55">
        <w:rPr>
          <w:rFonts w:ascii="Arial" w:hAnsi="Arial" w:cs="Arial"/>
        </w:rPr>
        <w:t xml:space="preserve"> 21 252</w:t>
      </w:r>
      <w:r w:rsidR="007E5850" w:rsidRPr="00EC0F55">
        <w:rPr>
          <w:rFonts w:ascii="Arial" w:hAnsi="Arial" w:cs="Arial"/>
        </w:rPr>
        <w:t xml:space="preserve"> in respect of moneys advanced in regard to the purchase of game intended to repopulate the farm’.</w:t>
      </w:r>
    </w:p>
    <w:p w14:paraId="6729D2EA" w14:textId="77777777" w:rsidR="00B665F0" w:rsidRPr="00E934D7" w:rsidRDefault="00B665F0" w:rsidP="00E351D8">
      <w:pPr>
        <w:pStyle w:val="NoSpacing"/>
        <w:spacing w:line="480" w:lineRule="auto"/>
        <w:jc w:val="both"/>
        <w:rPr>
          <w:rFonts w:ascii="Arial" w:hAnsi="Arial" w:cs="Arial"/>
          <w:sz w:val="24"/>
          <w:szCs w:val="24"/>
        </w:rPr>
      </w:pPr>
    </w:p>
    <w:p w14:paraId="232B59E9" w14:textId="0819F9D2" w:rsidR="00032178" w:rsidRPr="00E934D7" w:rsidRDefault="00B665F0" w:rsidP="00E351D8">
      <w:pPr>
        <w:pStyle w:val="NoSpacing"/>
        <w:numPr>
          <w:ilvl w:val="0"/>
          <w:numId w:val="8"/>
        </w:numPr>
        <w:spacing w:line="480" w:lineRule="auto"/>
        <w:ind w:left="0" w:firstLine="0"/>
        <w:jc w:val="both"/>
        <w:rPr>
          <w:rFonts w:ascii="Arial" w:hAnsi="Arial" w:cs="Arial"/>
          <w:sz w:val="24"/>
          <w:szCs w:val="24"/>
        </w:rPr>
      </w:pPr>
      <w:r w:rsidRPr="00E934D7">
        <w:rPr>
          <w:rFonts w:ascii="Arial" w:hAnsi="Arial" w:cs="Arial"/>
          <w:sz w:val="24"/>
          <w:szCs w:val="24"/>
        </w:rPr>
        <w:t xml:space="preserve">An essential backdrop to the dispute is not only the prohibition under s 58 of the </w:t>
      </w:r>
      <w:r w:rsidR="004D70EE" w:rsidRPr="00E934D7">
        <w:rPr>
          <w:rFonts w:ascii="Arial" w:hAnsi="Arial" w:cs="Arial"/>
          <w:sz w:val="24"/>
          <w:szCs w:val="24"/>
        </w:rPr>
        <w:t>ACLRA</w:t>
      </w:r>
      <w:r w:rsidRPr="00E934D7">
        <w:rPr>
          <w:rFonts w:ascii="Arial" w:hAnsi="Arial" w:cs="Arial"/>
          <w:sz w:val="24"/>
          <w:szCs w:val="24"/>
        </w:rPr>
        <w:t xml:space="preserve">, but also the fact that transfer of </w:t>
      </w:r>
      <w:r w:rsidR="002A430A">
        <w:rPr>
          <w:rFonts w:ascii="Arial" w:hAnsi="Arial" w:cs="Arial"/>
          <w:sz w:val="24"/>
          <w:szCs w:val="24"/>
        </w:rPr>
        <w:t>ownership in the bungalows much-</w:t>
      </w:r>
      <w:r w:rsidRPr="00E934D7">
        <w:rPr>
          <w:rFonts w:ascii="Arial" w:hAnsi="Arial" w:cs="Arial"/>
          <w:sz w:val="24"/>
          <w:szCs w:val="24"/>
        </w:rPr>
        <w:t>cherished by the plaintiff</w:t>
      </w:r>
      <w:r w:rsidR="0088380B" w:rsidRPr="00E934D7">
        <w:rPr>
          <w:rFonts w:ascii="Arial" w:hAnsi="Arial" w:cs="Arial"/>
          <w:sz w:val="24"/>
          <w:szCs w:val="24"/>
        </w:rPr>
        <w:t xml:space="preserve"> and his wife</w:t>
      </w:r>
      <w:r w:rsidR="00F7245A" w:rsidRPr="00E934D7">
        <w:rPr>
          <w:rFonts w:ascii="Arial" w:hAnsi="Arial" w:cs="Arial"/>
          <w:sz w:val="24"/>
          <w:szCs w:val="24"/>
        </w:rPr>
        <w:t>,</w:t>
      </w:r>
      <w:r w:rsidRPr="00E934D7">
        <w:rPr>
          <w:rFonts w:ascii="Arial" w:hAnsi="Arial" w:cs="Arial"/>
          <w:sz w:val="24"/>
          <w:szCs w:val="24"/>
        </w:rPr>
        <w:t xml:space="preserve"> </w:t>
      </w:r>
      <w:r w:rsidR="004908F6" w:rsidRPr="00E934D7">
        <w:rPr>
          <w:rFonts w:ascii="Arial" w:hAnsi="Arial" w:cs="Arial"/>
          <w:sz w:val="24"/>
          <w:szCs w:val="24"/>
        </w:rPr>
        <w:t>was</w:t>
      </w:r>
      <w:r w:rsidR="00F7245A" w:rsidRPr="00E934D7">
        <w:rPr>
          <w:rFonts w:ascii="Arial" w:hAnsi="Arial" w:cs="Arial"/>
          <w:sz w:val="24"/>
          <w:szCs w:val="24"/>
        </w:rPr>
        <w:t xml:space="preserve"> only</w:t>
      </w:r>
      <w:r w:rsidRPr="00E934D7">
        <w:rPr>
          <w:rFonts w:ascii="Arial" w:hAnsi="Arial" w:cs="Arial"/>
          <w:sz w:val="24"/>
          <w:szCs w:val="24"/>
        </w:rPr>
        <w:t xml:space="preserve"> possible if the portion of the land on which the</w:t>
      </w:r>
      <w:r w:rsidR="00DF60EF" w:rsidRPr="00E934D7">
        <w:rPr>
          <w:rFonts w:ascii="Arial" w:hAnsi="Arial" w:cs="Arial"/>
          <w:sz w:val="24"/>
          <w:szCs w:val="24"/>
        </w:rPr>
        <w:t xml:space="preserve"> structures</w:t>
      </w:r>
      <w:r w:rsidRPr="00E934D7">
        <w:rPr>
          <w:rFonts w:ascii="Arial" w:hAnsi="Arial" w:cs="Arial"/>
          <w:sz w:val="24"/>
          <w:szCs w:val="24"/>
        </w:rPr>
        <w:t xml:space="preserve"> were built could be subdivided in terms of the Subdivision of</w:t>
      </w:r>
      <w:r w:rsidR="001969AD" w:rsidRPr="00E934D7">
        <w:rPr>
          <w:rFonts w:ascii="Arial" w:hAnsi="Arial" w:cs="Arial"/>
          <w:sz w:val="24"/>
          <w:szCs w:val="24"/>
        </w:rPr>
        <w:t xml:space="preserve"> Agricultural Land Act 70 of 1970 (SALA)</w:t>
      </w:r>
      <w:r w:rsidR="003D2FE2">
        <w:rPr>
          <w:rStyle w:val="FootnoteReference"/>
          <w:rFonts w:ascii="Arial" w:hAnsi="Arial" w:cs="Arial"/>
          <w:sz w:val="24"/>
          <w:szCs w:val="24"/>
        </w:rPr>
        <w:footnoteReference w:id="2"/>
      </w:r>
      <w:r w:rsidR="001969AD" w:rsidRPr="00E934D7">
        <w:rPr>
          <w:rFonts w:ascii="Arial" w:hAnsi="Arial" w:cs="Arial"/>
          <w:sz w:val="24"/>
          <w:szCs w:val="24"/>
        </w:rPr>
        <w:t xml:space="preserve">. In other words, for the bungalows built with the </w:t>
      </w:r>
      <w:r w:rsidR="00DC29D8" w:rsidRPr="00E934D7">
        <w:rPr>
          <w:rFonts w:ascii="Arial" w:hAnsi="Arial" w:cs="Arial"/>
          <w:sz w:val="24"/>
          <w:szCs w:val="24"/>
        </w:rPr>
        <w:t>plaintiff’s</w:t>
      </w:r>
      <w:r w:rsidR="001969AD" w:rsidRPr="00E934D7">
        <w:rPr>
          <w:rFonts w:ascii="Arial" w:hAnsi="Arial" w:cs="Arial"/>
          <w:sz w:val="24"/>
          <w:szCs w:val="24"/>
        </w:rPr>
        <w:t xml:space="preserve"> money to be transferred to him, both the ACLRA and the SALA had to be complied with.</w:t>
      </w:r>
      <w:r w:rsidR="004D7E1B" w:rsidRPr="00E934D7">
        <w:rPr>
          <w:rFonts w:ascii="Arial" w:hAnsi="Arial" w:cs="Arial"/>
          <w:sz w:val="24"/>
          <w:szCs w:val="24"/>
        </w:rPr>
        <w:t xml:space="preserve"> </w:t>
      </w:r>
      <w:r w:rsidR="004419AC" w:rsidRPr="00E934D7">
        <w:rPr>
          <w:rFonts w:ascii="Arial" w:hAnsi="Arial" w:cs="Arial"/>
          <w:sz w:val="24"/>
          <w:szCs w:val="24"/>
        </w:rPr>
        <w:t>Since</w:t>
      </w:r>
      <w:r w:rsidR="00B136A1">
        <w:rPr>
          <w:rFonts w:ascii="Arial" w:hAnsi="Arial" w:cs="Arial"/>
          <w:sz w:val="24"/>
          <w:szCs w:val="24"/>
        </w:rPr>
        <w:t>, as will</w:t>
      </w:r>
      <w:r w:rsidR="004908F6" w:rsidRPr="00E934D7">
        <w:rPr>
          <w:rFonts w:ascii="Arial" w:hAnsi="Arial" w:cs="Arial"/>
          <w:sz w:val="24"/>
          <w:szCs w:val="24"/>
        </w:rPr>
        <w:t xml:space="preserve"> become clearer below,</w:t>
      </w:r>
      <w:r w:rsidR="004419AC" w:rsidRPr="00E934D7">
        <w:rPr>
          <w:rFonts w:ascii="Arial" w:hAnsi="Arial" w:cs="Arial"/>
          <w:sz w:val="24"/>
          <w:szCs w:val="24"/>
        </w:rPr>
        <w:t xml:space="preserve"> the agreement relied </w:t>
      </w:r>
      <w:r w:rsidR="004419AC" w:rsidRPr="00E934D7">
        <w:rPr>
          <w:rFonts w:ascii="Arial" w:hAnsi="Arial" w:cs="Arial"/>
          <w:sz w:val="24"/>
          <w:szCs w:val="24"/>
        </w:rPr>
        <w:lastRenderedPageBreak/>
        <w:t>on by the plaintiff depended for its efficacy on the plaintiff and his wife obtaining permanent residence</w:t>
      </w:r>
      <w:r w:rsidR="004419AC" w:rsidRPr="00F7245A">
        <w:rPr>
          <w:rFonts w:cs="Arial"/>
          <w:szCs w:val="24"/>
        </w:rPr>
        <w:t xml:space="preserve"> </w:t>
      </w:r>
      <w:r w:rsidR="004419AC" w:rsidRPr="00E934D7">
        <w:rPr>
          <w:rFonts w:ascii="Arial" w:hAnsi="Arial" w:cs="Arial"/>
          <w:sz w:val="24"/>
          <w:szCs w:val="24"/>
        </w:rPr>
        <w:t xml:space="preserve">in Namibia, the last important statutory backdrop are the </w:t>
      </w:r>
      <w:r w:rsidR="004908F6" w:rsidRPr="00E934D7">
        <w:rPr>
          <w:rFonts w:ascii="Arial" w:hAnsi="Arial" w:cs="Arial"/>
          <w:sz w:val="24"/>
          <w:szCs w:val="24"/>
        </w:rPr>
        <w:t xml:space="preserve">relevant </w:t>
      </w:r>
      <w:r w:rsidR="004419AC" w:rsidRPr="00E934D7">
        <w:rPr>
          <w:rFonts w:ascii="Arial" w:hAnsi="Arial" w:cs="Arial"/>
          <w:sz w:val="24"/>
          <w:szCs w:val="24"/>
        </w:rPr>
        <w:t xml:space="preserve">provisions of the Immigration Control Act </w:t>
      </w:r>
      <w:r w:rsidR="009F5A11" w:rsidRPr="00E934D7">
        <w:rPr>
          <w:rFonts w:ascii="Arial" w:hAnsi="Arial" w:cs="Arial"/>
          <w:sz w:val="24"/>
          <w:szCs w:val="24"/>
        </w:rPr>
        <w:t>7 of 1993</w:t>
      </w:r>
      <w:r w:rsidR="004419AC" w:rsidRPr="00E934D7">
        <w:rPr>
          <w:rFonts w:ascii="Arial" w:hAnsi="Arial" w:cs="Arial"/>
          <w:sz w:val="24"/>
          <w:szCs w:val="24"/>
        </w:rPr>
        <w:t xml:space="preserve"> (ICA)</w:t>
      </w:r>
      <w:r w:rsidR="004F1F46">
        <w:rPr>
          <w:rFonts w:ascii="Arial" w:hAnsi="Arial" w:cs="Arial"/>
          <w:sz w:val="24"/>
          <w:szCs w:val="24"/>
        </w:rPr>
        <w:t>.</w:t>
      </w:r>
      <w:r w:rsidR="00C03D8D">
        <w:rPr>
          <w:rStyle w:val="FootnoteReference"/>
          <w:rFonts w:ascii="Arial" w:hAnsi="Arial" w:cs="Arial"/>
          <w:sz w:val="24"/>
          <w:szCs w:val="24"/>
        </w:rPr>
        <w:footnoteReference w:id="3"/>
      </w:r>
    </w:p>
    <w:p w14:paraId="0F766B67" w14:textId="77777777" w:rsidR="00AC2C0A" w:rsidRDefault="00AC2C0A" w:rsidP="00E351D8">
      <w:pPr>
        <w:spacing w:line="480" w:lineRule="auto"/>
        <w:jc w:val="both"/>
        <w:rPr>
          <w:rFonts w:cs="Arial"/>
          <w:szCs w:val="24"/>
          <w:u w:val="single"/>
        </w:rPr>
      </w:pPr>
    </w:p>
    <w:p w14:paraId="1B554B47" w14:textId="5052D37D" w:rsidR="000E1B6E" w:rsidRPr="000E1B6E" w:rsidRDefault="000E1B6E" w:rsidP="00E351D8">
      <w:pPr>
        <w:spacing w:line="480" w:lineRule="auto"/>
        <w:jc w:val="both"/>
        <w:rPr>
          <w:rFonts w:cs="Arial"/>
          <w:szCs w:val="24"/>
          <w:u w:val="single"/>
        </w:rPr>
      </w:pPr>
      <w:r w:rsidRPr="000E1B6E">
        <w:rPr>
          <w:rFonts w:cs="Arial"/>
          <w:szCs w:val="24"/>
          <w:u w:val="single"/>
        </w:rPr>
        <w:t>Essence of plaintiff</w:t>
      </w:r>
      <w:r w:rsidR="003E2F9B">
        <w:rPr>
          <w:rFonts w:cs="Arial"/>
          <w:szCs w:val="24"/>
          <w:u w:val="single"/>
        </w:rPr>
        <w:t>’s</w:t>
      </w:r>
      <w:r w:rsidRPr="000E1B6E">
        <w:rPr>
          <w:rFonts w:cs="Arial"/>
          <w:szCs w:val="24"/>
          <w:u w:val="single"/>
        </w:rPr>
        <w:t xml:space="preserve"> case</w:t>
      </w:r>
    </w:p>
    <w:p w14:paraId="32359299" w14:textId="784207E4" w:rsidR="0024629B" w:rsidRPr="00E934D7" w:rsidRDefault="000E1B6E" w:rsidP="00E351D8">
      <w:pPr>
        <w:pStyle w:val="NoSpacing"/>
        <w:numPr>
          <w:ilvl w:val="0"/>
          <w:numId w:val="8"/>
        </w:numPr>
        <w:spacing w:line="480" w:lineRule="auto"/>
        <w:ind w:left="0" w:firstLine="0"/>
        <w:jc w:val="both"/>
        <w:rPr>
          <w:rFonts w:ascii="Arial" w:hAnsi="Arial" w:cs="Arial"/>
          <w:sz w:val="24"/>
          <w:szCs w:val="24"/>
        </w:rPr>
      </w:pPr>
      <w:r w:rsidRPr="00E934D7">
        <w:rPr>
          <w:rFonts w:ascii="Arial" w:hAnsi="Arial" w:cs="Arial"/>
          <w:sz w:val="24"/>
          <w:szCs w:val="24"/>
        </w:rPr>
        <w:t xml:space="preserve">The plaintiff relied on a main and alternative claim in respect of the house, bungalows and solar system. </w:t>
      </w:r>
      <w:r w:rsidR="0089278E" w:rsidRPr="00E934D7">
        <w:rPr>
          <w:rFonts w:ascii="Arial" w:hAnsi="Arial" w:cs="Arial"/>
          <w:sz w:val="24"/>
          <w:szCs w:val="24"/>
        </w:rPr>
        <w:t>In the main</w:t>
      </w:r>
      <w:r w:rsidR="001969AD" w:rsidRPr="00E934D7">
        <w:rPr>
          <w:rFonts w:ascii="Arial" w:hAnsi="Arial" w:cs="Arial"/>
          <w:sz w:val="24"/>
          <w:szCs w:val="24"/>
        </w:rPr>
        <w:t>,</w:t>
      </w:r>
      <w:r w:rsidR="0089278E" w:rsidRPr="00E934D7">
        <w:rPr>
          <w:rFonts w:ascii="Arial" w:hAnsi="Arial" w:cs="Arial"/>
          <w:sz w:val="24"/>
          <w:szCs w:val="24"/>
        </w:rPr>
        <w:t xml:space="preserve"> he claimed</w:t>
      </w:r>
      <w:r w:rsidRPr="00E934D7">
        <w:rPr>
          <w:rFonts w:ascii="Arial" w:hAnsi="Arial" w:cs="Arial"/>
          <w:sz w:val="24"/>
          <w:szCs w:val="24"/>
        </w:rPr>
        <w:t xml:space="preserve"> that he and the defendants entered into an oral agreement in terms of which the defendants agreed to</w:t>
      </w:r>
      <w:r w:rsidR="0089278E" w:rsidRPr="00E934D7">
        <w:rPr>
          <w:rFonts w:ascii="Arial" w:hAnsi="Arial" w:cs="Arial"/>
          <w:sz w:val="24"/>
          <w:szCs w:val="24"/>
        </w:rPr>
        <w:t xml:space="preserve"> avail land to him on farm Okata</w:t>
      </w:r>
      <w:r w:rsidRPr="00E934D7">
        <w:rPr>
          <w:rFonts w:ascii="Arial" w:hAnsi="Arial" w:cs="Arial"/>
          <w:sz w:val="24"/>
          <w:szCs w:val="24"/>
        </w:rPr>
        <w:t>re to build a house and bungalows which would then</w:t>
      </w:r>
      <w:r w:rsidR="002E5B00" w:rsidRPr="00E934D7">
        <w:rPr>
          <w:rFonts w:ascii="Arial" w:hAnsi="Arial" w:cs="Arial"/>
          <w:sz w:val="24"/>
          <w:szCs w:val="24"/>
        </w:rPr>
        <w:t xml:space="preserve"> become his property. </w:t>
      </w:r>
      <w:r w:rsidR="0089278E" w:rsidRPr="00E934D7">
        <w:rPr>
          <w:rFonts w:ascii="Arial" w:hAnsi="Arial" w:cs="Arial"/>
          <w:sz w:val="24"/>
          <w:szCs w:val="24"/>
        </w:rPr>
        <w:t>He alleged that</w:t>
      </w:r>
      <w:r w:rsidR="001969AD" w:rsidRPr="00E934D7">
        <w:rPr>
          <w:rFonts w:ascii="Arial" w:hAnsi="Arial" w:cs="Arial"/>
          <w:sz w:val="24"/>
          <w:szCs w:val="24"/>
        </w:rPr>
        <w:t>,</w:t>
      </w:r>
      <w:r w:rsidR="0089278E" w:rsidRPr="00E934D7">
        <w:rPr>
          <w:rFonts w:ascii="Arial" w:hAnsi="Arial" w:cs="Arial"/>
          <w:sz w:val="24"/>
          <w:szCs w:val="24"/>
        </w:rPr>
        <w:t xml:space="preserve"> in addition</w:t>
      </w:r>
      <w:r w:rsidR="001969AD" w:rsidRPr="00E934D7">
        <w:rPr>
          <w:rFonts w:ascii="Arial" w:hAnsi="Arial" w:cs="Arial"/>
          <w:sz w:val="24"/>
          <w:szCs w:val="24"/>
        </w:rPr>
        <w:t>,</w:t>
      </w:r>
      <w:r w:rsidR="002E5B00" w:rsidRPr="00E934D7">
        <w:rPr>
          <w:rFonts w:ascii="Arial" w:hAnsi="Arial" w:cs="Arial"/>
          <w:sz w:val="24"/>
          <w:szCs w:val="24"/>
        </w:rPr>
        <w:t xml:space="preserve"> it was agreed that the defendants w</w:t>
      </w:r>
      <w:r w:rsidR="0089278E" w:rsidRPr="00E934D7">
        <w:rPr>
          <w:rFonts w:ascii="Arial" w:hAnsi="Arial" w:cs="Arial"/>
          <w:sz w:val="24"/>
          <w:szCs w:val="24"/>
        </w:rPr>
        <w:t xml:space="preserve">ould </w:t>
      </w:r>
      <w:r w:rsidR="002E5B00" w:rsidRPr="00E934D7">
        <w:rPr>
          <w:rFonts w:ascii="Arial" w:hAnsi="Arial" w:cs="Arial"/>
          <w:sz w:val="24"/>
          <w:szCs w:val="24"/>
        </w:rPr>
        <w:t xml:space="preserve">take steps to transfer the properties thus built into his name. </w:t>
      </w:r>
      <w:r w:rsidR="000C79EE" w:rsidRPr="00E934D7">
        <w:rPr>
          <w:rFonts w:ascii="Arial" w:hAnsi="Arial" w:cs="Arial"/>
          <w:sz w:val="24"/>
          <w:szCs w:val="24"/>
        </w:rPr>
        <w:t>It was also agreed, he said, that the</w:t>
      </w:r>
      <w:r w:rsidR="002E5B00" w:rsidRPr="00E934D7">
        <w:rPr>
          <w:rFonts w:ascii="Arial" w:hAnsi="Arial" w:cs="Arial"/>
          <w:sz w:val="24"/>
          <w:szCs w:val="24"/>
        </w:rPr>
        <w:t xml:space="preserve"> defendants would take steps to </w:t>
      </w:r>
      <w:r w:rsidR="0089278E" w:rsidRPr="00E934D7">
        <w:rPr>
          <w:rFonts w:ascii="Arial" w:hAnsi="Arial" w:cs="Arial"/>
          <w:sz w:val="24"/>
          <w:szCs w:val="24"/>
        </w:rPr>
        <w:t xml:space="preserve">secure for him and his consort </w:t>
      </w:r>
      <w:r w:rsidR="002E5B00" w:rsidRPr="00E934D7">
        <w:rPr>
          <w:rFonts w:ascii="Arial" w:hAnsi="Arial" w:cs="Arial"/>
          <w:sz w:val="24"/>
          <w:szCs w:val="24"/>
        </w:rPr>
        <w:t>permanent residence sta</w:t>
      </w:r>
      <w:r w:rsidR="0089278E" w:rsidRPr="00E934D7">
        <w:rPr>
          <w:rFonts w:ascii="Arial" w:hAnsi="Arial" w:cs="Arial"/>
          <w:sz w:val="24"/>
          <w:szCs w:val="24"/>
        </w:rPr>
        <w:t xml:space="preserve">tus </w:t>
      </w:r>
      <w:r w:rsidR="00E934D7">
        <w:rPr>
          <w:rFonts w:ascii="Arial" w:hAnsi="Arial" w:cs="Arial"/>
          <w:sz w:val="24"/>
          <w:szCs w:val="24"/>
        </w:rPr>
        <w:t>in Namibia.</w:t>
      </w:r>
    </w:p>
    <w:p w14:paraId="4C45CD13" w14:textId="77777777" w:rsidR="0024629B" w:rsidRDefault="0024629B" w:rsidP="00E351D8">
      <w:pPr>
        <w:spacing w:line="480" w:lineRule="auto"/>
        <w:jc w:val="both"/>
        <w:rPr>
          <w:rFonts w:cs="Arial"/>
          <w:szCs w:val="24"/>
        </w:rPr>
      </w:pPr>
    </w:p>
    <w:p w14:paraId="2CD93569" w14:textId="2F08B248" w:rsidR="002E5B00" w:rsidRDefault="002E5B00" w:rsidP="00E351D8">
      <w:pPr>
        <w:pStyle w:val="NoSpacing"/>
        <w:numPr>
          <w:ilvl w:val="0"/>
          <w:numId w:val="8"/>
        </w:numPr>
        <w:spacing w:line="480" w:lineRule="auto"/>
        <w:ind w:left="0" w:firstLine="0"/>
        <w:jc w:val="both"/>
        <w:rPr>
          <w:rFonts w:ascii="Arial" w:hAnsi="Arial" w:cs="Arial"/>
          <w:sz w:val="24"/>
          <w:szCs w:val="24"/>
        </w:rPr>
      </w:pPr>
      <w:r w:rsidRPr="00E934D7">
        <w:rPr>
          <w:rFonts w:ascii="Arial" w:hAnsi="Arial" w:cs="Arial"/>
          <w:sz w:val="24"/>
          <w:szCs w:val="24"/>
        </w:rPr>
        <w:t>According to the plaintiff, he complied with his part of the agreement and made available to the defendants the funds required to build the house, bungalows and installation of the solar system</w:t>
      </w:r>
      <w:r w:rsidR="00B136A1">
        <w:rPr>
          <w:rFonts w:ascii="Arial" w:hAnsi="Arial" w:cs="Arial"/>
          <w:sz w:val="24"/>
          <w:szCs w:val="24"/>
        </w:rPr>
        <w:t xml:space="preserve"> (the improvements)</w:t>
      </w:r>
      <w:r w:rsidRPr="00E934D7">
        <w:rPr>
          <w:rFonts w:ascii="Arial" w:hAnsi="Arial" w:cs="Arial"/>
          <w:sz w:val="24"/>
          <w:szCs w:val="24"/>
        </w:rPr>
        <w:t xml:space="preserve">. </w:t>
      </w:r>
      <w:r w:rsidR="000E1B6E" w:rsidRPr="00E934D7">
        <w:rPr>
          <w:rFonts w:ascii="Arial" w:hAnsi="Arial" w:cs="Arial"/>
          <w:sz w:val="24"/>
          <w:szCs w:val="24"/>
        </w:rPr>
        <w:t xml:space="preserve"> </w:t>
      </w:r>
      <w:r w:rsidRPr="00E934D7">
        <w:rPr>
          <w:rFonts w:ascii="Arial" w:hAnsi="Arial" w:cs="Arial"/>
          <w:sz w:val="24"/>
          <w:szCs w:val="24"/>
        </w:rPr>
        <w:t>Th</w:t>
      </w:r>
      <w:r w:rsidR="0089278E" w:rsidRPr="00E934D7">
        <w:rPr>
          <w:rFonts w:ascii="Arial" w:hAnsi="Arial" w:cs="Arial"/>
          <w:sz w:val="24"/>
          <w:szCs w:val="24"/>
        </w:rPr>
        <w:t xml:space="preserve">e </w:t>
      </w:r>
      <w:r w:rsidR="00B136A1">
        <w:rPr>
          <w:rFonts w:ascii="Arial" w:hAnsi="Arial" w:cs="Arial"/>
          <w:sz w:val="24"/>
          <w:szCs w:val="24"/>
        </w:rPr>
        <w:t xml:space="preserve">improvements were made </w:t>
      </w:r>
      <w:r w:rsidRPr="00E934D7">
        <w:rPr>
          <w:rFonts w:ascii="Arial" w:hAnsi="Arial" w:cs="Arial"/>
          <w:sz w:val="24"/>
          <w:szCs w:val="24"/>
        </w:rPr>
        <w:t>but the defendants failed to take steps to have the property transferred into his name and to se</w:t>
      </w:r>
      <w:r w:rsidR="0089278E" w:rsidRPr="00E934D7">
        <w:rPr>
          <w:rFonts w:ascii="Arial" w:hAnsi="Arial" w:cs="Arial"/>
          <w:sz w:val="24"/>
          <w:szCs w:val="24"/>
        </w:rPr>
        <w:t>cure</w:t>
      </w:r>
      <w:r w:rsidRPr="00E934D7">
        <w:rPr>
          <w:rFonts w:ascii="Arial" w:hAnsi="Arial" w:cs="Arial"/>
          <w:sz w:val="24"/>
          <w:szCs w:val="24"/>
        </w:rPr>
        <w:t xml:space="preserve"> permanent residence for him</w:t>
      </w:r>
      <w:r w:rsidR="0089278E" w:rsidRPr="00E934D7">
        <w:rPr>
          <w:rFonts w:ascii="Arial" w:hAnsi="Arial" w:cs="Arial"/>
          <w:sz w:val="24"/>
          <w:szCs w:val="24"/>
        </w:rPr>
        <w:t xml:space="preserve"> and his </w:t>
      </w:r>
      <w:r w:rsidR="002538AE">
        <w:rPr>
          <w:rFonts w:ascii="Arial" w:hAnsi="Arial" w:cs="Arial"/>
          <w:sz w:val="24"/>
          <w:szCs w:val="24"/>
        </w:rPr>
        <w:t>consort</w:t>
      </w:r>
      <w:r w:rsidRPr="00E934D7">
        <w:rPr>
          <w:rFonts w:ascii="Arial" w:hAnsi="Arial" w:cs="Arial"/>
          <w:sz w:val="24"/>
          <w:szCs w:val="24"/>
        </w:rPr>
        <w:t>.</w:t>
      </w:r>
    </w:p>
    <w:p w14:paraId="6FC95539" w14:textId="77777777" w:rsidR="00E934D7" w:rsidRDefault="00E934D7" w:rsidP="00E351D8">
      <w:pPr>
        <w:pStyle w:val="ListParagraph"/>
        <w:spacing w:line="480" w:lineRule="auto"/>
        <w:rPr>
          <w:rFonts w:cs="Arial"/>
          <w:szCs w:val="24"/>
        </w:rPr>
      </w:pPr>
    </w:p>
    <w:p w14:paraId="5482AFFE" w14:textId="0B8D10EF" w:rsidR="008F36A3" w:rsidRPr="00E934D7" w:rsidRDefault="0089278E" w:rsidP="00E351D8">
      <w:pPr>
        <w:pStyle w:val="NoSpacing"/>
        <w:numPr>
          <w:ilvl w:val="0"/>
          <w:numId w:val="8"/>
        </w:numPr>
        <w:spacing w:line="480" w:lineRule="auto"/>
        <w:ind w:left="0" w:firstLine="0"/>
        <w:jc w:val="both"/>
        <w:rPr>
          <w:rFonts w:ascii="Arial" w:hAnsi="Arial" w:cs="Arial"/>
          <w:sz w:val="24"/>
          <w:szCs w:val="24"/>
        </w:rPr>
      </w:pPr>
      <w:r w:rsidRPr="00E934D7">
        <w:rPr>
          <w:rFonts w:ascii="Arial" w:hAnsi="Arial" w:cs="Arial"/>
          <w:sz w:val="24"/>
          <w:szCs w:val="24"/>
        </w:rPr>
        <w:t xml:space="preserve">As an alternative to </w:t>
      </w:r>
      <w:r w:rsidR="00BE1359" w:rsidRPr="00E934D7">
        <w:rPr>
          <w:rFonts w:ascii="Arial" w:hAnsi="Arial" w:cs="Arial"/>
          <w:sz w:val="24"/>
          <w:szCs w:val="24"/>
        </w:rPr>
        <w:t xml:space="preserve">the </w:t>
      </w:r>
      <w:r w:rsidRPr="00E934D7">
        <w:rPr>
          <w:rFonts w:ascii="Arial" w:hAnsi="Arial" w:cs="Arial"/>
          <w:sz w:val="24"/>
          <w:szCs w:val="24"/>
        </w:rPr>
        <w:t xml:space="preserve">main </w:t>
      </w:r>
      <w:r w:rsidR="00BE1359" w:rsidRPr="00E934D7">
        <w:rPr>
          <w:rFonts w:ascii="Arial" w:hAnsi="Arial" w:cs="Arial"/>
          <w:sz w:val="24"/>
          <w:szCs w:val="24"/>
        </w:rPr>
        <w:t>claim</w:t>
      </w:r>
      <w:r w:rsidRPr="00E934D7">
        <w:rPr>
          <w:rFonts w:ascii="Arial" w:hAnsi="Arial" w:cs="Arial"/>
          <w:sz w:val="24"/>
          <w:szCs w:val="24"/>
        </w:rPr>
        <w:t>, the plaintiff claimed that the def</w:t>
      </w:r>
      <w:r w:rsidR="00DC5890" w:rsidRPr="00E934D7">
        <w:rPr>
          <w:rFonts w:ascii="Arial" w:hAnsi="Arial" w:cs="Arial"/>
          <w:sz w:val="24"/>
          <w:szCs w:val="24"/>
        </w:rPr>
        <w:t xml:space="preserve">endants </w:t>
      </w:r>
      <w:r w:rsidR="001327DD">
        <w:rPr>
          <w:rFonts w:ascii="Arial" w:hAnsi="Arial" w:cs="Arial"/>
          <w:sz w:val="24"/>
          <w:szCs w:val="24"/>
        </w:rPr>
        <w:t>–</w:t>
      </w:r>
      <w:r w:rsidRPr="00E934D7">
        <w:rPr>
          <w:rFonts w:ascii="Arial" w:hAnsi="Arial" w:cs="Arial"/>
          <w:sz w:val="24"/>
          <w:szCs w:val="24"/>
        </w:rPr>
        <w:t xml:space="preserve"> </w:t>
      </w:r>
      <w:r w:rsidR="00DC5890" w:rsidRPr="00E934D7">
        <w:rPr>
          <w:rFonts w:ascii="Arial" w:hAnsi="Arial" w:cs="Arial"/>
          <w:sz w:val="24"/>
          <w:szCs w:val="24"/>
        </w:rPr>
        <w:t>knowing that as a foreign</w:t>
      </w:r>
      <w:r w:rsidR="00256003" w:rsidRPr="00E934D7">
        <w:rPr>
          <w:rFonts w:ascii="Arial" w:hAnsi="Arial" w:cs="Arial"/>
          <w:sz w:val="24"/>
          <w:szCs w:val="24"/>
        </w:rPr>
        <w:t xml:space="preserve"> national</w:t>
      </w:r>
      <w:r w:rsidR="00DC5890" w:rsidRPr="00E934D7">
        <w:rPr>
          <w:rFonts w:ascii="Arial" w:hAnsi="Arial" w:cs="Arial"/>
          <w:sz w:val="24"/>
          <w:szCs w:val="24"/>
        </w:rPr>
        <w:t xml:space="preserve"> he could not become owner of the property </w:t>
      </w:r>
      <w:r w:rsidR="00581BEE" w:rsidRPr="00E934D7">
        <w:rPr>
          <w:rFonts w:ascii="Arial" w:hAnsi="Arial" w:cs="Arial"/>
          <w:sz w:val="24"/>
          <w:szCs w:val="24"/>
        </w:rPr>
        <w:t xml:space="preserve">and that the land on which the bungalows are located </w:t>
      </w:r>
      <w:r w:rsidR="00DC5890" w:rsidRPr="00E934D7">
        <w:rPr>
          <w:rFonts w:ascii="Arial" w:hAnsi="Arial" w:cs="Arial"/>
          <w:sz w:val="24"/>
          <w:szCs w:val="24"/>
        </w:rPr>
        <w:t xml:space="preserve">could not be subdivided for him to </w:t>
      </w:r>
      <w:r w:rsidR="00DC5890" w:rsidRPr="00E934D7">
        <w:rPr>
          <w:rFonts w:ascii="Arial" w:hAnsi="Arial" w:cs="Arial"/>
          <w:sz w:val="24"/>
          <w:szCs w:val="24"/>
        </w:rPr>
        <w:lastRenderedPageBreak/>
        <w:t xml:space="preserve">become owner thereof </w:t>
      </w:r>
      <w:r w:rsidR="00581BEE" w:rsidRPr="00E934D7">
        <w:rPr>
          <w:rFonts w:ascii="Arial" w:hAnsi="Arial" w:cs="Arial"/>
          <w:sz w:val="24"/>
          <w:szCs w:val="24"/>
        </w:rPr>
        <w:t>–</w:t>
      </w:r>
      <w:r w:rsidR="00DC5890" w:rsidRPr="00E934D7">
        <w:rPr>
          <w:rFonts w:ascii="Arial" w:hAnsi="Arial" w:cs="Arial"/>
          <w:sz w:val="24"/>
          <w:szCs w:val="24"/>
        </w:rPr>
        <w:t xml:space="preserve"> made</w:t>
      </w:r>
      <w:r w:rsidR="00581BEE" w:rsidRPr="00E934D7">
        <w:rPr>
          <w:rFonts w:ascii="Arial" w:hAnsi="Arial" w:cs="Arial"/>
          <w:sz w:val="24"/>
          <w:szCs w:val="24"/>
        </w:rPr>
        <w:t xml:space="preserve"> material</w:t>
      </w:r>
      <w:r w:rsidR="00DC5890" w:rsidRPr="00E934D7">
        <w:rPr>
          <w:rFonts w:ascii="Arial" w:hAnsi="Arial" w:cs="Arial"/>
          <w:sz w:val="24"/>
          <w:szCs w:val="24"/>
        </w:rPr>
        <w:t xml:space="preserve"> representations to him </w:t>
      </w:r>
      <w:r w:rsidRPr="00E934D7">
        <w:rPr>
          <w:rFonts w:ascii="Arial" w:hAnsi="Arial" w:cs="Arial"/>
          <w:sz w:val="24"/>
          <w:szCs w:val="24"/>
        </w:rPr>
        <w:t xml:space="preserve">which he relied upon </w:t>
      </w:r>
      <w:r w:rsidR="00613A98" w:rsidRPr="00E934D7">
        <w:rPr>
          <w:rFonts w:ascii="Arial" w:hAnsi="Arial" w:cs="Arial"/>
          <w:sz w:val="24"/>
          <w:szCs w:val="24"/>
        </w:rPr>
        <w:t>that they w</w:t>
      </w:r>
      <w:r w:rsidR="00DC5890" w:rsidRPr="00E934D7">
        <w:rPr>
          <w:rFonts w:ascii="Arial" w:hAnsi="Arial" w:cs="Arial"/>
          <w:sz w:val="24"/>
          <w:szCs w:val="24"/>
        </w:rPr>
        <w:t>ould facilitate his becoming owner of th</w:t>
      </w:r>
      <w:r w:rsidR="00DF60EF" w:rsidRPr="00E934D7">
        <w:rPr>
          <w:rFonts w:ascii="Arial" w:hAnsi="Arial" w:cs="Arial"/>
          <w:sz w:val="24"/>
          <w:szCs w:val="24"/>
        </w:rPr>
        <w:t>e property built with his money</w:t>
      </w:r>
      <w:r w:rsidR="00DC5890" w:rsidRPr="00E934D7">
        <w:rPr>
          <w:rFonts w:ascii="Arial" w:hAnsi="Arial" w:cs="Arial"/>
          <w:sz w:val="24"/>
          <w:szCs w:val="24"/>
        </w:rPr>
        <w:t xml:space="preserve">. </w:t>
      </w:r>
    </w:p>
    <w:p w14:paraId="71571C00" w14:textId="77777777" w:rsidR="008F36A3" w:rsidRDefault="008F36A3" w:rsidP="00E351D8">
      <w:pPr>
        <w:spacing w:line="480" w:lineRule="auto"/>
        <w:jc w:val="both"/>
        <w:rPr>
          <w:rFonts w:cs="Arial"/>
          <w:szCs w:val="24"/>
        </w:rPr>
      </w:pPr>
    </w:p>
    <w:p w14:paraId="7FA5F077" w14:textId="67508EBA" w:rsidR="00776DFA" w:rsidRPr="00E934D7" w:rsidRDefault="00613A98" w:rsidP="00E351D8">
      <w:pPr>
        <w:pStyle w:val="NoSpacing"/>
        <w:numPr>
          <w:ilvl w:val="0"/>
          <w:numId w:val="8"/>
        </w:numPr>
        <w:spacing w:line="480" w:lineRule="auto"/>
        <w:ind w:left="0" w:firstLine="0"/>
        <w:jc w:val="both"/>
        <w:rPr>
          <w:rFonts w:ascii="Arial" w:hAnsi="Arial" w:cs="Arial"/>
          <w:sz w:val="24"/>
          <w:szCs w:val="24"/>
        </w:rPr>
      </w:pPr>
      <w:r w:rsidRPr="00E934D7">
        <w:rPr>
          <w:rFonts w:ascii="Arial" w:hAnsi="Arial" w:cs="Arial"/>
          <w:sz w:val="24"/>
          <w:szCs w:val="24"/>
        </w:rPr>
        <w:t xml:space="preserve">He </w:t>
      </w:r>
      <w:r w:rsidR="00AC2C0A" w:rsidRPr="00E934D7">
        <w:rPr>
          <w:rFonts w:ascii="Arial" w:hAnsi="Arial" w:cs="Arial"/>
          <w:sz w:val="24"/>
          <w:szCs w:val="24"/>
        </w:rPr>
        <w:t xml:space="preserve">also </w:t>
      </w:r>
      <w:r w:rsidRPr="00E934D7">
        <w:rPr>
          <w:rFonts w:ascii="Arial" w:hAnsi="Arial" w:cs="Arial"/>
          <w:sz w:val="24"/>
          <w:szCs w:val="24"/>
        </w:rPr>
        <w:t xml:space="preserve">alleged </w:t>
      </w:r>
      <w:r w:rsidR="00DC5890" w:rsidRPr="00E934D7">
        <w:rPr>
          <w:rFonts w:ascii="Arial" w:hAnsi="Arial" w:cs="Arial"/>
          <w:sz w:val="24"/>
          <w:szCs w:val="24"/>
        </w:rPr>
        <w:t>that</w:t>
      </w:r>
      <w:r w:rsidR="0089278E" w:rsidRPr="00E934D7">
        <w:rPr>
          <w:rFonts w:ascii="Arial" w:hAnsi="Arial" w:cs="Arial"/>
          <w:sz w:val="24"/>
          <w:szCs w:val="24"/>
        </w:rPr>
        <w:t>,</w:t>
      </w:r>
      <w:r w:rsidR="00DC5890" w:rsidRPr="00E934D7">
        <w:rPr>
          <w:rFonts w:ascii="Arial" w:hAnsi="Arial" w:cs="Arial"/>
          <w:sz w:val="24"/>
          <w:szCs w:val="24"/>
        </w:rPr>
        <w:t xml:space="preserve"> aware of the fa</w:t>
      </w:r>
      <w:r w:rsidR="0089278E" w:rsidRPr="00E934D7">
        <w:rPr>
          <w:rFonts w:ascii="Arial" w:hAnsi="Arial" w:cs="Arial"/>
          <w:sz w:val="24"/>
          <w:szCs w:val="24"/>
        </w:rPr>
        <w:t>lsity</w:t>
      </w:r>
      <w:r w:rsidR="00DC5890" w:rsidRPr="00E934D7">
        <w:rPr>
          <w:rFonts w:ascii="Arial" w:hAnsi="Arial" w:cs="Arial"/>
          <w:sz w:val="24"/>
          <w:szCs w:val="24"/>
        </w:rPr>
        <w:t xml:space="preserve"> of those representations, </w:t>
      </w:r>
      <w:r w:rsidR="0089278E" w:rsidRPr="00E934D7">
        <w:rPr>
          <w:rFonts w:ascii="Arial" w:hAnsi="Arial" w:cs="Arial"/>
          <w:sz w:val="24"/>
          <w:szCs w:val="24"/>
        </w:rPr>
        <w:t xml:space="preserve">the defendants </w:t>
      </w:r>
      <w:r w:rsidR="00A60715" w:rsidRPr="00E934D7">
        <w:rPr>
          <w:rFonts w:ascii="Arial" w:hAnsi="Arial" w:cs="Arial"/>
          <w:sz w:val="24"/>
          <w:szCs w:val="24"/>
        </w:rPr>
        <w:t>induced him to</w:t>
      </w:r>
      <w:r w:rsidR="00DC5890" w:rsidRPr="00E934D7">
        <w:rPr>
          <w:rFonts w:ascii="Arial" w:hAnsi="Arial" w:cs="Arial"/>
          <w:sz w:val="24"/>
          <w:szCs w:val="24"/>
        </w:rPr>
        <w:t xml:space="preserve"> </w:t>
      </w:r>
      <w:r w:rsidR="0089278E" w:rsidRPr="00E934D7">
        <w:rPr>
          <w:rFonts w:ascii="Arial" w:hAnsi="Arial" w:cs="Arial"/>
          <w:sz w:val="24"/>
          <w:szCs w:val="24"/>
        </w:rPr>
        <w:t>enter into the agreement</w:t>
      </w:r>
      <w:r w:rsidR="00DC5890" w:rsidRPr="00E934D7">
        <w:rPr>
          <w:rFonts w:ascii="Arial" w:hAnsi="Arial" w:cs="Arial"/>
          <w:sz w:val="24"/>
          <w:szCs w:val="24"/>
        </w:rPr>
        <w:t xml:space="preserve"> and caused him loss and damage.</w:t>
      </w:r>
    </w:p>
    <w:p w14:paraId="0FE6612A" w14:textId="77777777" w:rsidR="0019335E" w:rsidRDefault="0019335E" w:rsidP="00E351D8">
      <w:pPr>
        <w:spacing w:line="480" w:lineRule="auto"/>
        <w:jc w:val="both"/>
        <w:rPr>
          <w:rFonts w:cs="Arial"/>
          <w:szCs w:val="24"/>
        </w:rPr>
      </w:pPr>
    </w:p>
    <w:p w14:paraId="2C268913" w14:textId="5A083EA9" w:rsidR="00DC5890" w:rsidRPr="00E934D7" w:rsidRDefault="00613A98" w:rsidP="00E351D8">
      <w:pPr>
        <w:pStyle w:val="NoSpacing"/>
        <w:numPr>
          <w:ilvl w:val="0"/>
          <w:numId w:val="8"/>
        </w:numPr>
        <w:spacing w:line="480" w:lineRule="auto"/>
        <w:ind w:left="0" w:firstLine="0"/>
        <w:jc w:val="both"/>
        <w:rPr>
          <w:rFonts w:ascii="Arial" w:hAnsi="Arial" w:cs="Arial"/>
          <w:sz w:val="24"/>
          <w:szCs w:val="24"/>
        </w:rPr>
      </w:pPr>
      <w:r w:rsidRPr="00E934D7">
        <w:rPr>
          <w:rFonts w:ascii="Arial" w:hAnsi="Arial" w:cs="Arial"/>
          <w:sz w:val="24"/>
          <w:szCs w:val="24"/>
        </w:rPr>
        <w:t xml:space="preserve">The plaintiff further alleged that </w:t>
      </w:r>
      <w:r w:rsidR="00776DFA" w:rsidRPr="00E934D7">
        <w:rPr>
          <w:rFonts w:ascii="Arial" w:hAnsi="Arial" w:cs="Arial"/>
          <w:sz w:val="24"/>
          <w:szCs w:val="24"/>
        </w:rPr>
        <w:t xml:space="preserve">the defendants </w:t>
      </w:r>
      <w:r w:rsidRPr="00E934D7">
        <w:rPr>
          <w:rFonts w:ascii="Arial" w:hAnsi="Arial" w:cs="Arial"/>
          <w:sz w:val="24"/>
          <w:szCs w:val="24"/>
        </w:rPr>
        <w:t>mis</w:t>
      </w:r>
      <w:r w:rsidR="00776DFA" w:rsidRPr="00E934D7">
        <w:rPr>
          <w:rFonts w:ascii="Arial" w:hAnsi="Arial" w:cs="Arial"/>
          <w:sz w:val="24"/>
          <w:szCs w:val="24"/>
        </w:rPr>
        <w:t>represented that the</w:t>
      </w:r>
      <w:r w:rsidR="00E47C83" w:rsidRPr="00E934D7">
        <w:rPr>
          <w:rFonts w:ascii="Arial" w:hAnsi="Arial" w:cs="Arial"/>
          <w:sz w:val="24"/>
          <w:szCs w:val="24"/>
        </w:rPr>
        <w:t>y</w:t>
      </w:r>
      <w:r w:rsidR="00776DFA" w:rsidRPr="00E934D7">
        <w:rPr>
          <w:rFonts w:ascii="Arial" w:hAnsi="Arial" w:cs="Arial"/>
          <w:sz w:val="24"/>
          <w:szCs w:val="24"/>
        </w:rPr>
        <w:t xml:space="preserve"> would obtain</w:t>
      </w:r>
      <w:r w:rsidRPr="00E934D7">
        <w:rPr>
          <w:rFonts w:ascii="Arial" w:hAnsi="Arial" w:cs="Arial"/>
          <w:sz w:val="24"/>
          <w:szCs w:val="24"/>
        </w:rPr>
        <w:t xml:space="preserve"> permanent residence status in Namibia</w:t>
      </w:r>
      <w:r w:rsidR="00776DFA" w:rsidRPr="00E934D7">
        <w:rPr>
          <w:rFonts w:ascii="Arial" w:hAnsi="Arial" w:cs="Arial"/>
          <w:sz w:val="24"/>
          <w:szCs w:val="24"/>
        </w:rPr>
        <w:t xml:space="preserve"> for him and </w:t>
      </w:r>
      <w:r w:rsidRPr="00E934D7">
        <w:rPr>
          <w:rFonts w:ascii="Arial" w:hAnsi="Arial" w:cs="Arial"/>
          <w:sz w:val="24"/>
          <w:szCs w:val="24"/>
        </w:rPr>
        <w:t xml:space="preserve">his wife. </w:t>
      </w:r>
    </w:p>
    <w:p w14:paraId="073C99B0" w14:textId="77777777" w:rsidR="00D571F2" w:rsidRPr="00D571F2" w:rsidRDefault="00D571F2" w:rsidP="00E351D8">
      <w:pPr>
        <w:spacing w:line="480" w:lineRule="auto"/>
        <w:jc w:val="both"/>
        <w:rPr>
          <w:rFonts w:cs="Arial"/>
          <w:szCs w:val="24"/>
        </w:rPr>
      </w:pPr>
    </w:p>
    <w:p w14:paraId="5D6562D6" w14:textId="0D6F3003" w:rsidR="00DC5890" w:rsidRPr="00E934D7" w:rsidRDefault="00DC5890" w:rsidP="00E351D8">
      <w:pPr>
        <w:pStyle w:val="NoSpacing"/>
        <w:numPr>
          <w:ilvl w:val="0"/>
          <w:numId w:val="8"/>
        </w:numPr>
        <w:spacing w:line="480" w:lineRule="auto"/>
        <w:ind w:left="0" w:firstLine="0"/>
        <w:jc w:val="both"/>
        <w:rPr>
          <w:rFonts w:ascii="Arial" w:hAnsi="Arial" w:cs="Arial"/>
          <w:sz w:val="24"/>
          <w:szCs w:val="24"/>
        </w:rPr>
      </w:pPr>
      <w:r w:rsidRPr="00E934D7">
        <w:rPr>
          <w:rFonts w:ascii="Arial" w:hAnsi="Arial" w:cs="Arial"/>
          <w:sz w:val="24"/>
          <w:szCs w:val="24"/>
        </w:rPr>
        <w:t xml:space="preserve">Concerning the money for the purchase of </w:t>
      </w:r>
      <w:r w:rsidR="00456F97" w:rsidRPr="00E934D7">
        <w:rPr>
          <w:rFonts w:ascii="Arial" w:hAnsi="Arial" w:cs="Arial"/>
          <w:sz w:val="24"/>
          <w:szCs w:val="24"/>
        </w:rPr>
        <w:t>game</w:t>
      </w:r>
      <w:r w:rsidRPr="00E934D7">
        <w:rPr>
          <w:rFonts w:ascii="Arial" w:hAnsi="Arial" w:cs="Arial"/>
          <w:sz w:val="24"/>
          <w:szCs w:val="24"/>
        </w:rPr>
        <w:t xml:space="preserve">, </w:t>
      </w:r>
      <w:r w:rsidR="00E367A3" w:rsidRPr="00E934D7">
        <w:rPr>
          <w:rFonts w:ascii="Arial" w:hAnsi="Arial" w:cs="Arial"/>
          <w:sz w:val="24"/>
          <w:szCs w:val="24"/>
        </w:rPr>
        <w:t>the plaintiff</w:t>
      </w:r>
      <w:r w:rsidRPr="00E934D7">
        <w:rPr>
          <w:rFonts w:ascii="Arial" w:hAnsi="Arial" w:cs="Arial"/>
          <w:sz w:val="24"/>
          <w:szCs w:val="24"/>
        </w:rPr>
        <w:t xml:space="preserve"> alleged that at the defendants’ request, </w:t>
      </w:r>
      <w:r w:rsidR="0039146D" w:rsidRPr="00E934D7">
        <w:rPr>
          <w:rFonts w:ascii="Arial" w:hAnsi="Arial" w:cs="Arial"/>
          <w:sz w:val="24"/>
          <w:szCs w:val="24"/>
        </w:rPr>
        <w:t>he</w:t>
      </w:r>
      <w:r w:rsidRPr="00E934D7">
        <w:rPr>
          <w:rFonts w:ascii="Arial" w:hAnsi="Arial" w:cs="Arial"/>
          <w:sz w:val="24"/>
          <w:szCs w:val="24"/>
        </w:rPr>
        <w:t xml:space="preserve"> l</w:t>
      </w:r>
      <w:r w:rsidR="00DF60EF" w:rsidRPr="00E934D7">
        <w:rPr>
          <w:rFonts w:ascii="Arial" w:hAnsi="Arial" w:cs="Arial"/>
          <w:sz w:val="24"/>
          <w:szCs w:val="24"/>
        </w:rPr>
        <w:t>ent</w:t>
      </w:r>
      <w:r w:rsidRPr="00E934D7">
        <w:rPr>
          <w:rFonts w:ascii="Arial" w:hAnsi="Arial" w:cs="Arial"/>
          <w:sz w:val="24"/>
          <w:szCs w:val="24"/>
        </w:rPr>
        <w:t xml:space="preserve"> the claimed amount to them. The animals had been bought and the defendants, contrary to the agreement that they would repay the moneys to him from income </w:t>
      </w:r>
      <w:r w:rsidR="00C74555" w:rsidRPr="00E934D7">
        <w:rPr>
          <w:rFonts w:ascii="Arial" w:hAnsi="Arial" w:cs="Arial"/>
          <w:sz w:val="24"/>
          <w:szCs w:val="24"/>
        </w:rPr>
        <w:t>earned</w:t>
      </w:r>
      <w:r w:rsidRPr="00E934D7">
        <w:rPr>
          <w:rFonts w:ascii="Arial" w:hAnsi="Arial" w:cs="Arial"/>
          <w:sz w:val="24"/>
          <w:szCs w:val="24"/>
        </w:rPr>
        <w:t xml:space="preserve"> from hunting </w:t>
      </w:r>
      <w:r w:rsidR="00CF5142" w:rsidRPr="00E934D7">
        <w:rPr>
          <w:rFonts w:ascii="Arial" w:hAnsi="Arial" w:cs="Arial"/>
          <w:sz w:val="24"/>
          <w:szCs w:val="24"/>
        </w:rPr>
        <w:t>(</w:t>
      </w:r>
      <w:r w:rsidRPr="00E934D7">
        <w:rPr>
          <w:rFonts w:ascii="Arial" w:hAnsi="Arial" w:cs="Arial"/>
          <w:sz w:val="24"/>
          <w:szCs w:val="24"/>
        </w:rPr>
        <w:t xml:space="preserve">which </w:t>
      </w:r>
      <w:r w:rsidR="00CF5142" w:rsidRPr="00E934D7">
        <w:rPr>
          <w:rFonts w:ascii="Arial" w:hAnsi="Arial" w:cs="Arial"/>
          <w:sz w:val="24"/>
          <w:szCs w:val="24"/>
        </w:rPr>
        <w:t>hunting had taken place)</w:t>
      </w:r>
      <w:r w:rsidR="008305FE" w:rsidRPr="00E934D7">
        <w:rPr>
          <w:rFonts w:ascii="Arial" w:hAnsi="Arial" w:cs="Arial"/>
          <w:sz w:val="24"/>
          <w:szCs w:val="24"/>
        </w:rPr>
        <w:t>,</w:t>
      </w:r>
      <w:r w:rsidR="00C74555" w:rsidRPr="00E934D7">
        <w:rPr>
          <w:rFonts w:ascii="Arial" w:hAnsi="Arial" w:cs="Arial"/>
          <w:sz w:val="24"/>
          <w:szCs w:val="24"/>
        </w:rPr>
        <w:t xml:space="preserve"> failed to repay the loan</w:t>
      </w:r>
      <w:r w:rsidR="00CF5142" w:rsidRPr="00E934D7">
        <w:rPr>
          <w:rFonts w:ascii="Arial" w:hAnsi="Arial" w:cs="Arial"/>
          <w:sz w:val="24"/>
          <w:szCs w:val="24"/>
        </w:rPr>
        <w:t>.</w:t>
      </w:r>
    </w:p>
    <w:p w14:paraId="6B5AC225" w14:textId="77777777" w:rsidR="00AC2C0A" w:rsidRDefault="00AC2C0A" w:rsidP="00E351D8">
      <w:pPr>
        <w:spacing w:line="480" w:lineRule="auto"/>
        <w:jc w:val="both"/>
        <w:rPr>
          <w:rFonts w:cs="Arial"/>
          <w:szCs w:val="24"/>
          <w:u w:val="single"/>
        </w:rPr>
      </w:pPr>
    </w:p>
    <w:p w14:paraId="034300E0" w14:textId="0DDA193C" w:rsidR="00AC2C0A" w:rsidRPr="00FF5B31" w:rsidRDefault="00AC2C0A" w:rsidP="00E351D8">
      <w:pPr>
        <w:spacing w:line="480" w:lineRule="auto"/>
        <w:jc w:val="both"/>
        <w:rPr>
          <w:rFonts w:cs="Arial"/>
          <w:szCs w:val="24"/>
          <w:u w:val="single"/>
        </w:rPr>
      </w:pPr>
      <w:r w:rsidRPr="00CF5142">
        <w:rPr>
          <w:rFonts w:cs="Arial"/>
          <w:szCs w:val="24"/>
          <w:u w:val="single"/>
        </w:rPr>
        <w:t>Essence of defence</w:t>
      </w:r>
    </w:p>
    <w:p w14:paraId="4D031081" w14:textId="555869B3" w:rsidR="00AC2C0A" w:rsidRPr="00E934D7" w:rsidRDefault="00AC2C0A" w:rsidP="00E351D8">
      <w:pPr>
        <w:pStyle w:val="NoSpacing"/>
        <w:numPr>
          <w:ilvl w:val="0"/>
          <w:numId w:val="8"/>
        </w:numPr>
        <w:spacing w:line="480" w:lineRule="auto"/>
        <w:ind w:left="0" w:firstLine="0"/>
        <w:jc w:val="both"/>
        <w:rPr>
          <w:rFonts w:ascii="Arial" w:hAnsi="Arial" w:cs="Arial"/>
          <w:sz w:val="24"/>
          <w:szCs w:val="24"/>
        </w:rPr>
      </w:pPr>
      <w:r w:rsidRPr="00E934D7">
        <w:rPr>
          <w:rFonts w:ascii="Arial" w:hAnsi="Arial" w:cs="Arial"/>
          <w:sz w:val="24"/>
          <w:szCs w:val="24"/>
        </w:rPr>
        <w:t xml:space="preserve">The defendants defended the claims and pleaded that the </w:t>
      </w:r>
      <w:r w:rsidR="00B136A1">
        <w:rPr>
          <w:rFonts w:ascii="Arial" w:hAnsi="Arial" w:cs="Arial"/>
          <w:sz w:val="24"/>
          <w:szCs w:val="24"/>
        </w:rPr>
        <w:t xml:space="preserve">improvements </w:t>
      </w:r>
      <w:r w:rsidRPr="00E934D7">
        <w:rPr>
          <w:rFonts w:ascii="Arial" w:hAnsi="Arial" w:cs="Arial"/>
          <w:sz w:val="24"/>
          <w:szCs w:val="24"/>
        </w:rPr>
        <w:t xml:space="preserve">were gifts by the plaintiff to them and therefore not repayable. As regards the moneys </w:t>
      </w:r>
      <w:r w:rsidR="008F36A3" w:rsidRPr="00E934D7">
        <w:rPr>
          <w:rFonts w:ascii="Arial" w:hAnsi="Arial" w:cs="Arial"/>
          <w:sz w:val="24"/>
          <w:szCs w:val="24"/>
        </w:rPr>
        <w:t>for the purchase of game</w:t>
      </w:r>
      <w:r w:rsidRPr="00E934D7">
        <w:rPr>
          <w:rFonts w:ascii="Arial" w:hAnsi="Arial" w:cs="Arial"/>
          <w:sz w:val="24"/>
          <w:szCs w:val="24"/>
        </w:rPr>
        <w:t>, the defendants claimed that the agreement was that the funds would be repayable by them to the plaintiff from income made from hunters the plaintiff was to bring to Okatare. As the plaintiff had failed to live up to his end of the bargain, he had waived the right to claim th</w:t>
      </w:r>
      <w:r w:rsidR="008F36A3" w:rsidRPr="00E934D7">
        <w:rPr>
          <w:rFonts w:ascii="Arial" w:hAnsi="Arial" w:cs="Arial"/>
          <w:sz w:val="24"/>
          <w:szCs w:val="24"/>
        </w:rPr>
        <w:t xml:space="preserve">ose </w:t>
      </w:r>
      <w:r w:rsidRPr="00E934D7">
        <w:rPr>
          <w:rFonts w:ascii="Arial" w:hAnsi="Arial" w:cs="Arial"/>
          <w:sz w:val="24"/>
          <w:szCs w:val="24"/>
        </w:rPr>
        <w:t>moneys</w:t>
      </w:r>
      <w:r w:rsidR="008F36A3" w:rsidRPr="00E934D7">
        <w:rPr>
          <w:rFonts w:ascii="Arial" w:hAnsi="Arial" w:cs="Arial"/>
          <w:sz w:val="24"/>
          <w:szCs w:val="24"/>
        </w:rPr>
        <w:t>.</w:t>
      </w:r>
    </w:p>
    <w:p w14:paraId="099D06A6" w14:textId="77777777" w:rsidR="00AC2C0A" w:rsidRPr="00EA7DC0" w:rsidRDefault="00AC2C0A" w:rsidP="00E351D8">
      <w:pPr>
        <w:spacing w:line="480" w:lineRule="auto"/>
        <w:jc w:val="both"/>
        <w:rPr>
          <w:rFonts w:cs="Arial"/>
          <w:szCs w:val="24"/>
        </w:rPr>
      </w:pPr>
    </w:p>
    <w:p w14:paraId="6814C35A" w14:textId="64CEB8F5" w:rsidR="00AC2C0A" w:rsidRPr="00EA7DC0" w:rsidRDefault="00AC2C0A" w:rsidP="00E351D8">
      <w:pPr>
        <w:pStyle w:val="NoSpacing"/>
        <w:numPr>
          <w:ilvl w:val="0"/>
          <w:numId w:val="8"/>
        </w:numPr>
        <w:spacing w:line="480" w:lineRule="auto"/>
        <w:ind w:left="0" w:firstLine="0"/>
        <w:jc w:val="both"/>
        <w:rPr>
          <w:rFonts w:ascii="Arial" w:hAnsi="Arial" w:cs="Arial"/>
          <w:sz w:val="24"/>
          <w:szCs w:val="24"/>
        </w:rPr>
      </w:pPr>
      <w:r w:rsidRPr="00EA7DC0">
        <w:rPr>
          <w:rFonts w:ascii="Arial" w:hAnsi="Arial" w:cs="Arial"/>
          <w:sz w:val="24"/>
          <w:szCs w:val="24"/>
        </w:rPr>
        <w:lastRenderedPageBreak/>
        <w:t xml:space="preserve">The moneys </w:t>
      </w:r>
      <w:r w:rsidR="00F81C88">
        <w:rPr>
          <w:rFonts w:ascii="Arial" w:hAnsi="Arial" w:cs="Arial"/>
          <w:sz w:val="24"/>
          <w:szCs w:val="24"/>
        </w:rPr>
        <w:t xml:space="preserve">paid </w:t>
      </w:r>
      <w:r w:rsidRPr="00EA7DC0">
        <w:rPr>
          <w:rFonts w:ascii="Arial" w:hAnsi="Arial" w:cs="Arial"/>
          <w:sz w:val="24"/>
          <w:szCs w:val="24"/>
        </w:rPr>
        <w:t>for the olive trees w</w:t>
      </w:r>
      <w:r w:rsidR="00F81C88">
        <w:rPr>
          <w:rFonts w:ascii="Arial" w:hAnsi="Arial" w:cs="Arial"/>
          <w:sz w:val="24"/>
          <w:szCs w:val="24"/>
        </w:rPr>
        <w:t>ere</w:t>
      </w:r>
      <w:r w:rsidRPr="00EA7DC0">
        <w:rPr>
          <w:rFonts w:ascii="Arial" w:hAnsi="Arial" w:cs="Arial"/>
          <w:sz w:val="24"/>
          <w:szCs w:val="24"/>
        </w:rPr>
        <w:t xml:space="preserve"> not persisted with </w:t>
      </w:r>
      <w:r w:rsidRPr="001327DD">
        <w:rPr>
          <w:rFonts w:ascii="Arial" w:hAnsi="Arial" w:cs="Arial"/>
          <w:i/>
          <w:sz w:val="24"/>
          <w:szCs w:val="24"/>
        </w:rPr>
        <w:t>a quo</w:t>
      </w:r>
      <w:r w:rsidRPr="00EA7DC0">
        <w:rPr>
          <w:rFonts w:ascii="Arial" w:hAnsi="Arial" w:cs="Arial"/>
          <w:sz w:val="24"/>
          <w:szCs w:val="24"/>
        </w:rPr>
        <w:t xml:space="preserve"> and nothing further will be mentioned about </w:t>
      </w:r>
      <w:r w:rsidR="00DF60EF" w:rsidRPr="00EA7DC0">
        <w:rPr>
          <w:rFonts w:ascii="Arial" w:hAnsi="Arial" w:cs="Arial"/>
          <w:sz w:val="24"/>
          <w:szCs w:val="24"/>
        </w:rPr>
        <w:t>it</w:t>
      </w:r>
      <w:r w:rsidRPr="00EA7DC0">
        <w:rPr>
          <w:rFonts w:ascii="Arial" w:hAnsi="Arial" w:cs="Arial"/>
          <w:sz w:val="24"/>
          <w:szCs w:val="24"/>
        </w:rPr>
        <w:t xml:space="preserve"> in this judgment.</w:t>
      </w:r>
    </w:p>
    <w:p w14:paraId="78F23300" w14:textId="77777777" w:rsidR="00FF5B31" w:rsidRPr="00EA7DC0" w:rsidRDefault="00FF5B31" w:rsidP="00E351D8">
      <w:pPr>
        <w:spacing w:line="480" w:lineRule="auto"/>
        <w:jc w:val="both"/>
        <w:rPr>
          <w:rFonts w:cs="Arial"/>
          <w:szCs w:val="24"/>
          <w:u w:val="single"/>
        </w:rPr>
      </w:pPr>
    </w:p>
    <w:p w14:paraId="7AB00226" w14:textId="58151F37" w:rsidR="006117E5" w:rsidRPr="00EA7DC0" w:rsidRDefault="00422746" w:rsidP="00E351D8">
      <w:pPr>
        <w:spacing w:line="480" w:lineRule="auto"/>
        <w:jc w:val="both"/>
        <w:rPr>
          <w:rFonts w:cs="Arial"/>
          <w:szCs w:val="24"/>
          <w:u w:val="single"/>
        </w:rPr>
      </w:pPr>
      <w:r w:rsidRPr="00EA7DC0">
        <w:rPr>
          <w:rFonts w:cs="Arial"/>
          <w:szCs w:val="24"/>
          <w:u w:val="single"/>
        </w:rPr>
        <w:t>Common cause</w:t>
      </w:r>
    </w:p>
    <w:p w14:paraId="6C65E618" w14:textId="33CB04C7" w:rsidR="0084293E" w:rsidRPr="00EA7DC0" w:rsidRDefault="009A0C4B" w:rsidP="00E351D8">
      <w:pPr>
        <w:pStyle w:val="NoSpacing"/>
        <w:numPr>
          <w:ilvl w:val="0"/>
          <w:numId w:val="8"/>
        </w:numPr>
        <w:spacing w:line="480" w:lineRule="auto"/>
        <w:ind w:left="0" w:firstLine="0"/>
        <w:jc w:val="both"/>
        <w:rPr>
          <w:rFonts w:ascii="Arial" w:hAnsi="Arial" w:cs="Arial"/>
          <w:sz w:val="24"/>
          <w:szCs w:val="24"/>
        </w:rPr>
      </w:pPr>
      <w:r w:rsidRPr="00EA7DC0">
        <w:rPr>
          <w:rFonts w:ascii="Arial" w:hAnsi="Arial" w:cs="Arial"/>
          <w:sz w:val="24"/>
          <w:szCs w:val="24"/>
        </w:rPr>
        <w:t>I</w:t>
      </w:r>
      <w:r w:rsidR="004C04A0" w:rsidRPr="00EA7DC0">
        <w:rPr>
          <w:rFonts w:ascii="Arial" w:hAnsi="Arial" w:cs="Arial"/>
          <w:sz w:val="24"/>
          <w:szCs w:val="24"/>
        </w:rPr>
        <w:t>t</w:t>
      </w:r>
      <w:r w:rsidR="00422746" w:rsidRPr="00EA7DC0">
        <w:rPr>
          <w:rFonts w:ascii="Arial" w:hAnsi="Arial" w:cs="Arial"/>
          <w:sz w:val="24"/>
          <w:szCs w:val="24"/>
        </w:rPr>
        <w:t xml:space="preserve"> is apparent from the </w:t>
      </w:r>
      <w:r w:rsidR="00B317E2" w:rsidRPr="00EA7DC0">
        <w:rPr>
          <w:rFonts w:ascii="Arial" w:hAnsi="Arial" w:cs="Arial"/>
          <w:sz w:val="24"/>
          <w:szCs w:val="24"/>
        </w:rPr>
        <w:t>plead</w:t>
      </w:r>
      <w:r w:rsidR="00422746" w:rsidRPr="00EA7DC0">
        <w:rPr>
          <w:rFonts w:ascii="Arial" w:hAnsi="Arial" w:cs="Arial"/>
          <w:sz w:val="24"/>
          <w:szCs w:val="24"/>
        </w:rPr>
        <w:t xml:space="preserve">ed </w:t>
      </w:r>
      <w:r w:rsidR="00B317E2" w:rsidRPr="00EA7DC0">
        <w:rPr>
          <w:rFonts w:ascii="Arial" w:hAnsi="Arial" w:cs="Arial"/>
          <w:sz w:val="24"/>
          <w:szCs w:val="24"/>
        </w:rPr>
        <w:t xml:space="preserve">case and the manner the </w:t>
      </w:r>
      <w:r w:rsidR="00422746" w:rsidRPr="00EA7DC0">
        <w:rPr>
          <w:rFonts w:ascii="Arial" w:hAnsi="Arial" w:cs="Arial"/>
          <w:sz w:val="24"/>
          <w:szCs w:val="24"/>
        </w:rPr>
        <w:t xml:space="preserve">case was </w:t>
      </w:r>
      <w:r w:rsidR="00B317E2" w:rsidRPr="00EA7DC0">
        <w:rPr>
          <w:rFonts w:ascii="Arial" w:hAnsi="Arial" w:cs="Arial"/>
          <w:sz w:val="24"/>
          <w:szCs w:val="24"/>
        </w:rPr>
        <w:t xml:space="preserve">fought in the court </w:t>
      </w:r>
      <w:r w:rsidR="00B317E2" w:rsidRPr="001327DD">
        <w:rPr>
          <w:rFonts w:ascii="Arial" w:hAnsi="Arial" w:cs="Arial"/>
          <w:i/>
          <w:sz w:val="24"/>
          <w:szCs w:val="24"/>
        </w:rPr>
        <w:t>a quo</w:t>
      </w:r>
      <w:r w:rsidR="00B317E2" w:rsidRPr="00EA7DC0">
        <w:rPr>
          <w:rFonts w:ascii="Arial" w:hAnsi="Arial" w:cs="Arial"/>
          <w:sz w:val="24"/>
          <w:szCs w:val="24"/>
        </w:rPr>
        <w:t xml:space="preserve"> </w:t>
      </w:r>
      <w:r w:rsidR="004C04A0" w:rsidRPr="00EA7DC0">
        <w:rPr>
          <w:rFonts w:ascii="Arial" w:hAnsi="Arial" w:cs="Arial"/>
          <w:sz w:val="24"/>
          <w:szCs w:val="24"/>
        </w:rPr>
        <w:t xml:space="preserve">that </w:t>
      </w:r>
      <w:r w:rsidR="00B317E2" w:rsidRPr="00EA7DC0">
        <w:rPr>
          <w:rFonts w:ascii="Arial" w:hAnsi="Arial" w:cs="Arial"/>
          <w:sz w:val="24"/>
          <w:szCs w:val="24"/>
        </w:rPr>
        <w:t xml:space="preserve">there is no dispute between the parties that </w:t>
      </w:r>
      <w:r w:rsidR="008F36A3" w:rsidRPr="00EA7DC0">
        <w:rPr>
          <w:rFonts w:ascii="Arial" w:hAnsi="Arial" w:cs="Arial"/>
          <w:sz w:val="24"/>
          <w:szCs w:val="24"/>
        </w:rPr>
        <w:t xml:space="preserve">payment was made by the </w:t>
      </w:r>
      <w:r w:rsidR="00DC29D8" w:rsidRPr="00EA7DC0">
        <w:rPr>
          <w:rFonts w:ascii="Arial" w:hAnsi="Arial" w:cs="Arial"/>
          <w:sz w:val="24"/>
          <w:szCs w:val="24"/>
        </w:rPr>
        <w:t>plaintiff</w:t>
      </w:r>
      <w:r w:rsidR="008F36A3" w:rsidRPr="00EA7DC0">
        <w:rPr>
          <w:rFonts w:ascii="Arial" w:hAnsi="Arial" w:cs="Arial"/>
          <w:sz w:val="24"/>
          <w:szCs w:val="24"/>
        </w:rPr>
        <w:t xml:space="preserve"> to the defendants in the </w:t>
      </w:r>
      <w:r w:rsidR="00B317E2" w:rsidRPr="00EA7DC0">
        <w:rPr>
          <w:rFonts w:ascii="Arial" w:hAnsi="Arial" w:cs="Arial"/>
          <w:sz w:val="24"/>
          <w:szCs w:val="24"/>
        </w:rPr>
        <w:t>amounts stated in the particulars of claim. Nor is there any dispute as to the purposes for which the moneys were advanced by the plaintiff to the defendants. The dispute rather is (a) whether it was for altruistic reasons</w:t>
      </w:r>
      <w:r w:rsidR="00580D0D" w:rsidRPr="00EA7DC0">
        <w:rPr>
          <w:rFonts w:ascii="Arial" w:hAnsi="Arial" w:cs="Arial"/>
          <w:sz w:val="24"/>
          <w:szCs w:val="24"/>
        </w:rPr>
        <w:t>,</w:t>
      </w:r>
      <w:r w:rsidR="00B317E2" w:rsidRPr="00EA7DC0">
        <w:rPr>
          <w:rFonts w:ascii="Arial" w:hAnsi="Arial" w:cs="Arial"/>
          <w:sz w:val="24"/>
          <w:szCs w:val="24"/>
        </w:rPr>
        <w:t xml:space="preserve"> </w:t>
      </w:r>
      <w:r w:rsidR="00580D0D" w:rsidRPr="00EA7DC0">
        <w:rPr>
          <w:rFonts w:ascii="Arial" w:hAnsi="Arial" w:cs="Arial"/>
          <w:sz w:val="24"/>
          <w:szCs w:val="24"/>
        </w:rPr>
        <w:t xml:space="preserve">(b) whether the plaintiff proved all the </w:t>
      </w:r>
      <w:r w:rsidR="00DF60EF" w:rsidRPr="00EA7DC0">
        <w:rPr>
          <w:rFonts w:ascii="Arial" w:hAnsi="Arial" w:cs="Arial"/>
          <w:sz w:val="24"/>
          <w:szCs w:val="24"/>
        </w:rPr>
        <w:t>e</w:t>
      </w:r>
      <w:r w:rsidR="00580D0D" w:rsidRPr="00EA7DC0">
        <w:rPr>
          <w:rFonts w:ascii="Arial" w:hAnsi="Arial" w:cs="Arial"/>
          <w:sz w:val="24"/>
          <w:szCs w:val="24"/>
        </w:rPr>
        <w:t xml:space="preserve">lements of an enrichment claim </w:t>
      </w:r>
      <w:r w:rsidR="00B317E2" w:rsidRPr="00EA7DC0">
        <w:rPr>
          <w:rFonts w:ascii="Arial" w:hAnsi="Arial" w:cs="Arial"/>
          <w:sz w:val="24"/>
          <w:szCs w:val="24"/>
        </w:rPr>
        <w:t xml:space="preserve">and whether, </w:t>
      </w:r>
      <w:r w:rsidR="00580D0D" w:rsidRPr="00EA7DC0">
        <w:rPr>
          <w:rFonts w:ascii="Arial" w:hAnsi="Arial" w:cs="Arial"/>
          <w:sz w:val="24"/>
          <w:szCs w:val="24"/>
        </w:rPr>
        <w:t xml:space="preserve">(c) </w:t>
      </w:r>
      <w:r w:rsidR="00B317E2" w:rsidRPr="00EA7DC0">
        <w:rPr>
          <w:rFonts w:ascii="Arial" w:hAnsi="Arial" w:cs="Arial"/>
          <w:sz w:val="24"/>
          <w:szCs w:val="24"/>
        </w:rPr>
        <w:t>in respect of the loan to buy ga</w:t>
      </w:r>
      <w:r w:rsidR="006117E5" w:rsidRPr="00EA7DC0">
        <w:rPr>
          <w:rFonts w:ascii="Arial" w:hAnsi="Arial" w:cs="Arial"/>
          <w:sz w:val="24"/>
          <w:szCs w:val="24"/>
        </w:rPr>
        <w:t>me, the plaintiff waived the ri</w:t>
      </w:r>
      <w:r w:rsidR="00B317E2" w:rsidRPr="00EA7DC0">
        <w:rPr>
          <w:rFonts w:ascii="Arial" w:hAnsi="Arial" w:cs="Arial"/>
          <w:sz w:val="24"/>
          <w:szCs w:val="24"/>
        </w:rPr>
        <w:t>ght to claim repayment</w:t>
      </w:r>
      <w:r w:rsidR="00580D0D" w:rsidRPr="00EA7DC0">
        <w:rPr>
          <w:rFonts w:ascii="Arial" w:hAnsi="Arial" w:cs="Arial"/>
          <w:sz w:val="24"/>
          <w:szCs w:val="24"/>
        </w:rPr>
        <w:t>.</w:t>
      </w:r>
      <w:r w:rsidR="00B317E2" w:rsidRPr="00EA7DC0">
        <w:rPr>
          <w:rFonts w:ascii="Arial" w:hAnsi="Arial" w:cs="Arial"/>
          <w:sz w:val="24"/>
          <w:szCs w:val="24"/>
        </w:rPr>
        <w:t xml:space="preserve"> </w:t>
      </w:r>
    </w:p>
    <w:p w14:paraId="21AC6EF7" w14:textId="77777777" w:rsidR="004C04A0" w:rsidRPr="00EA7DC0" w:rsidRDefault="004C04A0" w:rsidP="00E351D8">
      <w:pPr>
        <w:spacing w:line="480" w:lineRule="auto"/>
        <w:jc w:val="both"/>
        <w:rPr>
          <w:rFonts w:cs="Arial"/>
          <w:szCs w:val="24"/>
        </w:rPr>
      </w:pPr>
    </w:p>
    <w:p w14:paraId="718D5EB4" w14:textId="7BC36A84" w:rsidR="00E934D7" w:rsidRDefault="00826A10" w:rsidP="00E351D8">
      <w:pPr>
        <w:pStyle w:val="NoSpacing"/>
        <w:numPr>
          <w:ilvl w:val="0"/>
          <w:numId w:val="8"/>
        </w:numPr>
        <w:spacing w:line="480" w:lineRule="auto"/>
        <w:ind w:left="0" w:firstLine="0"/>
        <w:jc w:val="both"/>
        <w:rPr>
          <w:rFonts w:ascii="Arial" w:hAnsi="Arial" w:cs="Arial"/>
          <w:sz w:val="24"/>
          <w:szCs w:val="24"/>
        </w:rPr>
      </w:pPr>
      <w:r w:rsidRPr="00EA7DC0">
        <w:rPr>
          <w:rFonts w:ascii="Arial" w:hAnsi="Arial" w:cs="Arial"/>
          <w:sz w:val="24"/>
          <w:szCs w:val="24"/>
        </w:rPr>
        <w:t xml:space="preserve">The court </w:t>
      </w:r>
      <w:r w:rsidRPr="001327DD">
        <w:rPr>
          <w:rFonts w:ascii="Arial" w:hAnsi="Arial" w:cs="Arial"/>
          <w:i/>
          <w:sz w:val="24"/>
          <w:szCs w:val="24"/>
        </w:rPr>
        <w:t>a quo</w:t>
      </w:r>
      <w:r w:rsidRPr="00EA7DC0">
        <w:rPr>
          <w:rFonts w:ascii="Arial" w:hAnsi="Arial" w:cs="Arial"/>
          <w:sz w:val="24"/>
          <w:szCs w:val="24"/>
        </w:rPr>
        <w:t xml:space="preserve"> records in its judgment that on behalf of the defendants it was argued </w:t>
      </w:r>
      <w:r w:rsidR="004D7E1B" w:rsidRPr="001327DD">
        <w:rPr>
          <w:rFonts w:ascii="Arial" w:hAnsi="Arial" w:cs="Arial"/>
          <w:i/>
          <w:sz w:val="24"/>
          <w:szCs w:val="24"/>
        </w:rPr>
        <w:t>a quo</w:t>
      </w:r>
      <w:r w:rsidR="004D7E1B" w:rsidRPr="00EA7DC0">
        <w:rPr>
          <w:rFonts w:ascii="Arial" w:hAnsi="Arial" w:cs="Arial"/>
          <w:sz w:val="24"/>
          <w:szCs w:val="24"/>
        </w:rPr>
        <w:t xml:space="preserve"> </w:t>
      </w:r>
      <w:r w:rsidRPr="00EA7DC0">
        <w:rPr>
          <w:rFonts w:ascii="Arial" w:hAnsi="Arial" w:cs="Arial"/>
          <w:sz w:val="24"/>
          <w:szCs w:val="24"/>
        </w:rPr>
        <w:t xml:space="preserve">that </w:t>
      </w:r>
      <w:r w:rsidR="00406D89" w:rsidRPr="00EA7DC0">
        <w:rPr>
          <w:rFonts w:ascii="Arial" w:hAnsi="Arial" w:cs="Arial"/>
          <w:sz w:val="24"/>
          <w:szCs w:val="24"/>
        </w:rPr>
        <w:t xml:space="preserve">‘the admission’ that the amounts were paid by the plaintiff to the defendants was ‘not an admission’ of the plaintiff’s alleged impoverishment and the defendants’ </w:t>
      </w:r>
      <w:r w:rsidR="00DC29D8" w:rsidRPr="00EA7DC0">
        <w:rPr>
          <w:rFonts w:ascii="Arial" w:hAnsi="Arial" w:cs="Arial"/>
          <w:sz w:val="24"/>
          <w:szCs w:val="24"/>
        </w:rPr>
        <w:t>corresponding</w:t>
      </w:r>
      <w:r w:rsidR="00406D89" w:rsidRPr="00EA7DC0">
        <w:rPr>
          <w:rFonts w:ascii="Arial" w:hAnsi="Arial" w:cs="Arial"/>
          <w:sz w:val="24"/>
          <w:szCs w:val="24"/>
        </w:rPr>
        <w:t xml:space="preserve"> enrichment</w:t>
      </w:r>
      <w:r w:rsidR="00580D0D" w:rsidRPr="00EA7DC0">
        <w:rPr>
          <w:rFonts w:ascii="Arial" w:hAnsi="Arial" w:cs="Arial"/>
          <w:sz w:val="24"/>
          <w:szCs w:val="24"/>
        </w:rPr>
        <w:t xml:space="preserve">. The learned judge </w:t>
      </w:r>
      <w:r w:rsidR="00580D0D" w:rsidRPr="001327DD">
        <w:rPr>
          <w:rFonts w:ascii="Arial" w:hAnsi="Arial" w:cs="Arial"/>
          <w:i/>
          <w:sz w:val="24"/>
          <w:szCs w:val="24"/>
        </w:rPr>
        <w:t>a quo</w:t>
      </w:r>
      <w:r w:rsidR="00580D0D" w:rsidRPr="00EA7DC0">
        <w:rPr>
          <w:rFonts w:ascii="Arial" w:hAnsi="Arial" w:cs="Arial"/>
          <w:sz w:val="24"/>
          <w:szCs w:val="24"/>
        </w:rPr>
        <w:t xml:space="preserve"> makes clear in the written reasons that the defendants </w:t>
      </w:r>
      <w:r w:rsidR="00DC29D8" w:rsidRPr="00EA7DC0">
        <w:rPr>
          <w:rFonts w:ascii="Arial" w:hAnsi="Arial" w:cs="Arial"/>
          <w:sz w:val="24"/>
          <w:szCs w:val="24"/>
        </w:rPr>
        <w:t>insisted</w:t>
      </w:r>
      <w:r w:rsidR="00580D0D" w:rsidRPr="00EA7DC0">
        <w:rPr>
          <w:rFonts w:ascii="Arial" w:hAnsi="Arial" w:cs="Arial"/>
          <w:sz w:val="24"/>
          <w:szCs w:val="24"/>
        </w:rPr>
        <w:t xml:space="preserve"> that</w:t>
      </w:r>
      <w:r w:rsidR="00406D89" w:rsidRPr="00EA7DC0">
        <w:rPr>
          <w:rFonts w:ascii="Arial" w:hAnsi="Arial" w:cs="Arial"/>
          <w:sz w:val="24"/>
          <w:szCs w:val="24"/>
        </w:rPr>
        <w:t xml:space="preserve"> the plaintiff had to prove his </w:t>
      </w:r>
      <w:r w:rsidR="00DC29D8" w:rsidRPr="00EA7DC0">
        <w:rPr>
          <w:rFonts w:ascii="Arial" w:hAnsi="Arial" w:cs="Arial"/>
          <w:sz w:val="24"/>
          <w:szCs w:val="24"/>
        </w:rPr>
        <w:t>impoverishment</w:t>
      </w:r>
      <w:r w:rsidR="00406D89" w:rsidRPr="00EA7DC0">
        <w:rPr>
          <w:rFonts w:ascii="Arial" w:hAnsi="Arial" w:cs="Arial"/>
          <w:sz w:val="24"/>
          <w:szCs w:val="24"/>
        </w:rPr>
        <w:t xml:space="preserve"> ‘in accordance with the double ceiling’</w:t>
      </w:r>
      <w:r w:rsidR="0039146D" w:rsidRPr="00EA7DC0">
        <w:rPr>
          <w:rFonts w:ascii="Arial" w:hAnsi="Arial" w:cs="Arial"/>
          <w:sz w:val="24"/>
          <w:szCs w:val="24"/>
        </w:rPr>
        <w:t xml:space="preserve"> rule</w:t>
      </w:r>
      <w:r w:rsidR="00406D89" w:rsidRPr="00EA7DC0">
        <w:rPr>
          <w:rFonts w:ascii="Arial" w:hAnsi="Arial" w:cs="Arial"/>
          <w:sz w:val="24"/>
          <w:szCs w:val="24"/>
        </w:rPr>
        <w:t xml:space="preserve"> laid down by this Court in </w:t>
      </w:r>
      <w:r w:rsidR="00DC29D8" w:rsidRPr="00F94562">
        <w:rPr>
          <w:rFonts w:ascii="Arial" w:hAnsi="Arial" w:cs="Arial"/>
          <w:i/>
          <w:sz w:val="24"/>
          <w:szCs w:val="24"/>
        </w:rPr>
        <w:t>Paschke</w:t>
      </w:r>
      <w:r w:rsidR="001A5651">
        <w:rPr>
          <w:rFonts w:ascii="Arial" w:hAnsi="Arial" w:cs="Arial"/>
          <w:i/>
          <w:sz w:val="24"/>
          <w:szCs w:val="24"/>
        </w:rPr>
        <w:t>.</w:t>
      </w:r>
      <w:r w:rsidR="001327DD">
        <w:rPr>
          <w:rStyle w:val="FootnoteReference"/>
          <w:rFonts w:ascii="Arial" w:hAnsi="Arial" w:cs="Arial"/>
          <w:sz w:val="24"/>
          <w:szCs w:val="24"/>
        </w:rPr>
        <w:footnoteReference w:id="4"/>
      </w:r>
      <w:r w:rsidR="00406D89" w:rsidRPr="00EA7DC0">
        <w:rPr>
          <w:rFonts w:ascii="Arial" w:hAnsi="Arial" w:cs="Arial"/>
          <w:sz w:val="24"/>
          <w:szCs w:val="24"/>
        </w:rPr>
        <w:t xml:space="preserve"> </w:t>
      </w:r>
      <w:r w:rsidR="00DF60EF" w:rsidRPr="00EA7DC0">
        <w:rPr>
          <w:rFonts w:ascii="Arial" w:hAnsi="Arial" w:cs="Arial"/>
          <w:sz w:val="24"/>
          <w:szCs w:val="24"/>
        </w:rPr>
        <w:t xml:space="preserve">(The applicable </w:t>
      </w:r>
      <w:r w:rsidR="00DF60EF" w:rsidRPr="001327DD">
        <w:rPr>
          <w:rFonts w:ascii="Arial" w:hAnsi="Arial" w:cs="Arial"/>
          <w:i/>
          <w:sz w:val="24"/>
          <w:szCs w:val="24"/>
        </w:rPr>
        <w:t>dicta</w:t>
      </w:r>
      <w:r w:rsidR="00393F3E">
        <w:rPr>
          <w:rFonts w:ascii="Arial" w:hAnsi="Arial" w:cs="Arial"/>
          <w:sz w:val="24"/>
          <w:szCs w:val="24"/>
        </w:rPr>
        <w:t xml:space="preserve"> are set out in para [69] </w:t>
      </w:r>
      <w:r w:rsidR="00DF60EF" w:rsidRPr="00EA7DC0">
        <w:rPr>
          <w:rFonts w:ascii="Arial" w:hAnsi="Arial" w:cs="Arial"/>
          <w:sz w:val="24"/>
          <w:szCs w:val="24"/>
        </w:rPr>
        <w:t>below).</w:t>
      </w:r>
    </w:p>
    <w:p w14:paraId="11F83B21" w14:textId="77777777" w:rsidR="00FF4EC5" w:rsidRPr="00252B8B" w:rsidRDefault="00FF4EC5" w:rsidP="00FF4EC5">
      <w:pPr>
        <w:pStyle w:val="NoSpacing"/>
        <w:spacing w:line="480" w:lineRule="auto"/>
        <w:jc w:val="both"/>
        <w:rPr>
          <w:rFonts w:ascii="Arial" w:hAnsi="Arial" w:cs="Arial"/>
          <w:sz w:val="24"/>
          <w:szCs w:val="24"/>
        </w:rPr>
      </w:pPr>
    </w:p>
    <w:p w14:paraId="7A2EBB88" w14:textId="520DBDEA" w:rsidR="00406D89" w:rsidRPr="00EA7DC0" w:rsidRDefault="0039146D" w:rsidP="00E351D8">
      <w:pPr>
        <w:pStyle w:val="NoSpacing"/>
        <w:numPr>
          <w:ilvl w:val="0"/>
          <w:numId w:val="8"/>
        </w:numPr>
        <w:spacing w:line="480" w:lineRule="auto"/>
        <w:ind w:left="0" w:firstLine="0"/>
        <w:jc w:val="both"/>
        <w:rPr>
          <w:rFonts w:ascii="Arial" w:hAnsi="Arial" w:cs="Arial"/>
          <w:sz w:val="24"/>
          <w:szCs w:val="24"/>
        </w:rPr>
      </w:pPr>
      <w:r w:rsidRPr="00EA7DC0">
        <w:rPr>
          <w:rFonts w:ascii="Arial" w:hAnsi="Arial" w:cs="Arial"/>
          <w:sz w:val="24"/>
          <w:szCs w:val="24"/>
        </w:rPr>
        <w:t xml:space="preserve">In other words, </w:t>
      </w:r>
      <w:r w:rsidR="00DF60EF" w:rsidRPr="00EA7DC0">
        <w:rPr>
          <w:rFonts w:ascii="Arial" w:hAnsi="Arial" w:cs="Arial"/>
          <w:sz w:val="24"/>
          <w:szCs w:val="24"/>
        </w:rPr>
        <w:t xml:space="preserve">the defendants had consistently maintained </w:t>
      </w:r>
      <w:r w:rsidRPr="00EA7DC0">
        <w:rPr>
          <w:rFonts w:ascii="Arial" w:hAnsi="Arial" w:cs="Arial"/>
          <w:sz w:val="24"/>
          <w:szCs w:val="24"/>
        </w:rPr>
        <w:t>that t</w:t>
      </w:r>
      <w:r w:rsidR="00406D89" w:rsidRPr="00EA7DC0">
        <w:rPr>
          <w:rFonts w:ascii="Arial" w:hAnsi="Arial" w:cs="Arial"/>
          <w:sz w:val="24"/>
          <w:szCs w:val="24"/>
        </w:rPr>
        <w:t>he plaintiff was only entitled to recover</w:t>
      </w:r>
      <w:r w:rsidR="004C04A0" w:rsidRPr="00EA7DC0">
        <w:rPr>
          <w:rFonts w:ascii="Arial" w:hAnsi="Arial" w:cs="Arial"/>
          <w:sz w:val="24"/>
          <w:szCs w:val="24"/>
        </w:rPr>
        <w:t>,</w:t>
      </w:r>
      <w:r w:rsidR="00406D89" w:rsidRPr="00EA7DC0">
        <w:rPr>
          <w:rFonts w:ascii="Arial" w:hAnsi="Arial" w:cs="Arial"/>
          <w:sz w:val="24"/>
          <w:szCs w:val="24"/>
        </w:rPr>
        <w:t xml:space="preserve"> by way of enrichment</w:t>
      </w:r>
      <w:r w:rsidR="004C04A0" w:rsidRPr="00EA7DC0">
        <w:rPr>
          <w:rFonts w:ascii="Arial" w:hAnsi="Arial" w:cs="Arial"/>
          <w:sz w:val="24"/>
          <w:szCs w:val="24"/>
        </w:rPr>
        <w:t>,</w:t>
      </w:r>
      <w:r w:rsidR="00406D89" w:rsidRPr="00EA7DC0">
        <w:rPr>
          <w:rFonts w:ascii="Arial" w:hAnsi="Arial" w:cs="Arial"/>
          <w:sz w:val="24"/>
          <w:szCs w:val="24"/>
        </w:rPr>
        <w:t xml:space="preserve"> the extent of his impoverishment </w:t>
      </w:r>
      <w:r w:rsidR="00406D89" w:rsidRPr="00EA7DC0">
        <w:rPr>
          <w:rFonts w:ascii="Arial" w:hAnsi="Arial" w:cs="Arial"/>
          <w:sz w:val="24"/>
          <w:szCs w:val="24"/>
        </w:rPr>
        <w:lastRenderedPageBreak/>
        <w:t>and the defendant</w:t>
      </w:r>
      <w:r w:rsidRPr="00EA7DC0">
        <w:rPr>
          <w:rFonts w:ascii="Arial" w:hAnsi="Arial" w:cs="Arial"/>
          <w:sz w:val="24"/>
          <w:szCs w:val="24"/>
        </w:rPr>
        <w:t xml:space="preserve">s’ </w:t>
      </w:r>
      <w:r w:rsidR="009E1E20" w:rsidRPr="00EA7DC0">
        <w:rPr>
          <w:rFonts w:ascii="Arial" w:hAnsi="Arial" w:cs="Arial"/>
          <w:sz w:val="24"/>
          <w:szCs w:val="24"/>
        </w:rPr>
        <w:t xml:space="preserve">corresponding </w:t>
      </w:r>
      <w:r w:rsidRPr="00EA7DC0">
        <w:rPr>
          <w:rFonts w:ascii="Arial" w:hAnsi="Arial" w:cs="Arial"/>
          <w:sz w:val="24"/>
          <w:szCs w:val="24"/>
        </w:rPr>
        <w:t>enrichment, which</w:t>
      </w:r>
      <w:r w:rsidR="00406D89" w:rsidRPr="00EA7DC0">
        <w:rPr>
          <w:rFonts w:ascii="Arial" w:hAnsi="Arial" w:cs="Arial"/>
          <w:sz w:val="24"/>
          <w:szCs w:val="24"/>
        </w:rPr>
        <w:t xml:space="preserve">ever is the lesser </w:t>
      </w:r>
      <w:r w:rsidR="004C04A0" w:rsidRPr="00EA7DC0">
        <w:rPr>
          <w:rFonts w:ascii="Arial" w:hAnsi="Arial" w:cs="Arial"/>
          <w:sz w:val="24"/>
          <w:szCs w:val="24"/>
        </w:rPr>
        <w:t>a</w:t>
      </w:r>
      <w:r w:rsidR="00B967CB" w:rsidRPr="00EA7DC0">
        <w:rPr>
          <w:rFonts w:ascii="Arial" w:hAnsi="Arial" w:cs="Arial"/>
          <w:sz w:val="24"/>
          <w:szCs w:val="24"/>
        </w:rPr>
        <w:t xml:space="preserve">s at </w:t>
      </w:r>
      <w:r w:rsidR="00406D89" w:rsidRPr="004B66C7">
        <w:rPr>
          <w:rFonts w:ascii="Arial" w:hAnsi="Arial" w:cs="Arial"/>
          <w:i/>
          <w:sz w:val="24"/>
          <w:szCs w:val="24"/>
        </w:rPr>
        <w:t>litis contestatio</w:t>
      </w:r>
      <w:r w:rsidR="00406D89" w:rsidRPr="00EA7DC0">
        <w:rPr>
          <w:rFonts w:ascii="Arial" w:hAnsi="Arial" w:cs="Arial"/>
          <w:sz w:val="24"/>
          <w:szCs w:val="24"/>
        </w:rPr>
        <w:t xml:space="preserve">. </w:t>
      </w:r>
      <w:r w:rsidR="00DA0F74" w:rsidRPr="00EA7DC0">
        <w:rPr>
          <w:rFonts w:ascii="Arial" w:hAnsi="Arial" w:cs="Arial"/>
          <w:sz w:val="24"/>
          <w:szCs w:val="24"/>
        </w:rPr>
        <w:t>On that authority,</w:t>
      </w:r>
      <w:r w:rsidR="00B967CB" w:rsidRPr="00EA7DC0">
        <w:rPr>
          <w:rFonts w:ascii="Arial" w:hAnsi="Arial" w:cs="Arial"/>
          <w:sz w:val="24"/>
          <w:szCs w:val="24"/>
        </w:rPr>
        <w:t xml:space="preserve"> the defendants had argued, the plaintiff</w:t>
      </w:r>
      <w:r w:rsidR="00406D89" w:rsidRPr="00EA7DC0">
        <w:rPr>
          <w:rFonts w:ascii="Arial" w:hAnsi="Arial" w:cs="Arial"/>
          <w:sz w:val="24"/>
          <w:szCs w:val="24"/>
        </w:rPr>
        <w:t xml:space="preserve"> was not entitled to compensation to the </w:t>
      </w:r>
      <w:r w:rsidR="00693030">
        <w:rPr>
          <w:rFonts w:ascii="Arial" w:hAnsi="Arial" w:cs="Arial"/>
          <w:sz w:val="24"/>
          <w:szCs w:val="24"/>
        </w:rPr>
        <w:t>‘</w:t>
      </w:r>
      <w:r w:rsidR="00406D89" w:rsidRPr="00EA7DC0">
        <w:rPr>
          <w:rFonts w:ascii="Arial" w:hAnsi="Arial" w:cs="Arial"/>
          <w:sz w:val="24"/>
          <w:szCs w:val="24"/>
        </w:rPr>
        <w:t>fullest extent of his loss</w:t>
      </w:r>
      <w:r w:rsidR="00693030">
        <w:rPr>
          <w:rFonts w:ascii="Arial" w:hAnsi="Arial" w:cs="Arial"/>
          <w:sz w:val="24"/>
          <w:szCs w:val="24"/>
        </w:rPr>
        <w:t>’</w:t>
      </w:r>
      <w:r w:rsidR="00DA0F74" w:rsidRPr="00EA7DC0">
        <w:rPr>
          <w:rFonts w:ascii="Arial" w:hAnsi="Arial" w:cs="Arial"/>
          <w:sz w:val="24"/>
          <w:szCs w:val="24"/>
        </w:rPr>
        <w:t>.</w:t>
      </w:r>
    </w:p>
    <w:p w14:paraId="3AEB340A" w14:textId="77777777" w:rsidR="00FF5B31" w:rsidRPr="00EA7DC0" w:rsidRDefault="00FF5B31" w:rsidP="00E351D8">
      <w:pPr>
        <w:spacing w:line="480" w:lineRule="auto"/>
        <w:jc w:val="both"/>
        <w:rPr>
          <w:rFonts w:cs="Arial"/>
          <w:szCs w:val="24"/>
        </w:rPr>
      </w:pPr>
    </w:p>
    <w:p w14:paraId="0B92A40B" w14:textId="78FF3E54" w:rsidR="004C04A0" w:rsidRDefault="004D7E1B" w:rsidP="00E351D8">
      <w:pPr>
        <w:pStyle w:val="NoSpacing"/>
        <w:numPr>
          <w:ilvl w:val="0"/>
          <w:numId w:val="8"/>
        </w:numPr>
        <w:spacing w:line="480" w:lineRule="auto"/>
        <w:ind w:left="0" w:firstLine="0"/>
        <w:jc w:val="both"/>
        <w:rPr>
          <w:rFonts w:ascii="Arial" w:hAnsi="Arial" w:cs="Arial"/>
          <w:sz w:val="24"/>
          <w:szCs w:val="24"/>
        </w:rPr>
      </w:pPr>
      <w:r w:rsidRPr="00EA7DC0">
        <w:rPr>
          <w:rFonts w:ascii="Arial" w:hAnsi="Arial" w:cs="Arial"/>
          <w:sz w:val="24"/>
          <w:szCs w:val="24"/>
        </w:rPr>
        <w:t xml:space="preserve">It is common cause </w:t>
      </w:r>
      <w:r w:rsidR="00666DB3">
        <w:rPr>
          <w:rFonts w:ascii="Arial" w:hAnsi="Arial" w:cs="Arial"/>
          <w:sz w:val="24"/>
          <w:szCs w:val="24"/>
        </w:rPr>
        <w:t xml:space="preserve">then </w:t>
      </w:r>
      <w:r w:rsidRPr="00EA7DC0">
        <w:rPr>
          <w:rFonts w:ascii="Arial" w:hAnsi="Arial" w:cs="Arial"/>
          <w:sz w:val="24"/>
          <w:szCs w:val="24"/>
        </w:rPr>
        <w:t>that in the court below</w:t>
      </w:r>
      <w:r w:rsidR="00406D89" w:rsidRPr="00EA7DC0">
        <w:rPr>
          <w:rFonts w:ascii="Arial" w:hAnsi="Arial" w:cs="Arial"/>
          <w:sz w:val="24"/>
          <w:szCs w:val="24"/>
        </w:rPr>
        <w:t xml:space="preserve"> the defendants </w:t>
      </w:r>
      <w:r w:rsidR="0039146D" w:rsidRPr="00EA7DC0">
        <w:rPr>
          <w:rFonts w:ascii="Arial" w:hAnsi="Arial" w:cs="Arial"/>
          <w:sz w:val="24"/>
          <w:szCs w:val="24"/>
        </w:rPr>
        <w:t xml:space="preserve">had </w:t>
      </w:r>
      <w:r w:rsidR="00406D89" w:rsidRPr="00EA7DC0">
        <w:rPr>
          <w:rFonts w:ascii="Arial" w:hAnsi="Arial" w:cs="Arial"/>
          <w:sz w:val="24"/>
          <w:szCs w:val="24"/>
        </w:rPr>
        <w:t xml:space="preserve">urged the </w:t>
      </w:r>
      <w:r w:rsidR="0039146D" w:rsidRPr="00EA7DC0">
        <w:rPr>
          <w:rFonts w:ascii="Arial" w:hAnsi="Arial" w:cs="Arial"/>
          <w:sz w:val="24"/>
          <w:szCs w:val="24"/>
        </w:rPr>
        <w:t xml:space="preserve">High Court </w:t>
      </w:r>
      <w:r w:rsidR="00815BAB" w:rsidRPr="00EA7DC0">
        <w:rPr>
          <w:rFonts w:ascii="Arial" w:hAnsi="Arial" w:cs="Arial"/>
          <w:sz w:val="24"/>
          <w:szCs w:val="24"/>
        </w:rPr>
        <w:t>to find that</w:t>
      </w:r>
      <w:r w:rsidR="00406D89" w:rsidRPr="00EA7DC0">
        <w:rPr>
          <w:rFonts w:ascii="Arial" w:hAnsi="Arial" w:cs="Arial"/>
          <w:sz w:val="24"/>
          <w:szCs w:val="24"/>
        </w:rPr>
        <w:t xml:space="preserve"> the plaintiff was obliged but failed to present expert evidence of the </w:t>
      </w:r>
      <w:r w:rsidR="009E1E20" w:rsidRPr="00EA7DC0">
        <w:rPr>
          <w:rFonts w:ascii="Arial" w:hAnsi="Arial" w:cs="Arial"/>
          <w:sz w:val="24"/>
          <w:szCs w:val="24"/>
        </w:rPr>
        <w:t>difference in value</w:t>
      </w:r>
      <w:r w:rsidR="00406D89" w:rsidRPr="00EA7DC0">
        <w:rPr>
          <w:rFonts w:ascii="Arial" w:hAnsi="Arial" w:cs="Arial"/>
          <w:sz w:val="24"/>
          <w:szCs w:val="24"/>
        </w:rPr>
        <w:t xml:space="preserve"> of farm Okatare prior to </w:t>
      </w:r>
      <w:r w:rsidR="00666DB3">
        <w:rPr>
          <w:rFonts w:ascii="Arial" w:hAnsi="Arial" w:cs="Arial"/>
          <w:sz w:val="24"/>
          <w:szCs w:val="24"/>
        </w:rPr>
        <w:t>the improvements</w:t>
      </w:r>
      <w:r w:rsidR="009E1E20" w:rsidRPr="00EA7DC0">
        <w:rPr>
          <w:rFonts w:ascii="Arial" w:hAnsi="Arial" w:cs="Arial"/>
          <w:sz w:val="24"/>
          <w:szCs w:val="24"/>
        </w:rPr>
        <w:t xml:space="preserve"> </w:t>
      </w:r>
      <w:r w:rsidR="004E36FD">
        <w:rPr>
          <w:rFonts w:ascii="Arial" w:hAnsi="Arial" w:cs="Arial"/>
          <w:sz w:val="24"/>
          <w:szCs w:val="24"/>
        </w:rPr>
        <w:t>–</w:t>
      </w:r>
      <w:r w:rsidR="009E1E20" w:rsidRPr="00EA7DC0">
        <w:rPr>
          <w:rFonts w:ascii="Arial" w:hAnsi="Arial" w:cs="Arial"/>
          <w:sz w:val="24"/>
          <w:szCs w:val="24"/>
        </w:rPr>
        <w:t xml:space="preserve"> </w:t>
      </w:r>
      <w:r w:rsidR="00406D89" w:rsidRPr="00EA7DC0">
        <w:rPr>
          <w:rFonts w:ascii="Arial" w:hAnsi="Arial" w:cs="Arial"/>
          <w:sz w:val="24"/>
          <w:szCs w:val="24"/>
        </w:rPr>
        <w:t>and the farm’s value afterwards.</w:t>
      </w:r>
    </w:p>
    <w:p w14:paraId="55E8D6B6" w14:textId="77777777" w:rsidR="00252B8B" w:rsidRPr="009F23FC" w:rsidRDefault="00252B8B" w:rsidP="00252B8B">
      <w:pPr>
        <w:pStyle w:val="NoSpacing"/>
        <w:spacing w:line="480" w:lineRule="auto"/>
        <w:jc w:val="both"/>
        <w:rPr>
          <w:rFonts w:ascii="Arial" w:hAnsi="Arial" w:cs="Arial"/>
          <w:sz w:val="24"/>
          <w:szCs w:val="24"/>
        </w:rPr>
      </w:pPr>
    </w:p>
    <w:p w14:paraId="051C5763" w14:textId="1BCA12C9" w:rsidR="007233EE" w:rsidRPr="00EA7DC0" w:rsidRDefault="004C04A0" w:rsidP="00E351D8">
      <w:pPr>
        <w:pStyle w:val="NoSpacing"/>
        <w:numPr>
          <w:ilvl w:val="0"/>
          <w:numId w:val="8"/>
        </w:numPr>
        <w:spacing w:line="480" w:lineRule="auto"/>
        <w:ind w:left="0" w:firstLine="0"/>
        <w:jc w:val="both"/>
        <w:rPr>
          <w:rFonts w:ascii="Arial" w:hAnsi="Arial" w:cs="Arial"/>
          <w:sz w:val="24"/>
          <w:szCs w:val="24"/>
        </w:rPr>
      </w:pPr>
      <w:r w:rsidRPr="00EA7DC0">
        <w:rPr>
          <w:rFonts w:ascii="Arial" w:hAnsi="Arial" w:cs="Arial"/>
          <w:sz w:val="24"/>
          <w:szCs w:val="24"/>
        </w:rPr>
        <w:t>Concerning the alternative claim</w:t>
      </w:r>
      <w:r w:rsidR="00580D0D" w:rsidRPr="00EA7DC0">
        <w:rPr>
          <w:rFonts w:ascii="Arial" w:hAnsi="Arial" w:cs="Arial"/>
          <w:sz w:val="24"/>
          <w:szCs w:val="24"/>
        </w:rPr>
        <w:t xml:space="preserve"> based on misrepresentation</w:t>
      </w:r>
      <w:r w:rsidR="0024717A" w:rsidRPr="00EA7DC0">
        <w:rPr>
          <w:rFonts w:ascii="Arial" w:hAnsi="Arial" w:cs="Arial"/>
          <w:sz w:val="24"/>
          <w:szCs w:val="24"/>
        </w:rPr>
        <w:t>,</w:t>
      </w:r>
      <w:r w:rsidRPr="00EA7DC0">
        <w:rPr>
          <w:rFonts w:ascii="Arial" w:hAnsi="Arial" w:cs="Arial"/>
          <w:sz w:val="24"/>
          <w:szCs w:val="24"/>
        </w:rPr>
        <w:t xml:space="preserve"> the defendants</w:t>
      </w:r>
      <w:r w:rsidR="00580D0D" w:rsidRPr="00EA7DC0">
        <w:rPr>
          <w:rFonts w:ascii="Arial" w:hAnsi="Arial" w:cs="Arial"/>
          <w:sz w:val="24"/>
          <w:szCs w:val="24"/>
        </w:rPr>
        <w:t>’</w:t>
      </w:r>
      <w:r w:rsidRPr="00EA7DC0">
        <w:rPr>
          <w:rFonts w:ascii="Arial" w:hAnsi="Arial" w:cs="Arial"/>
          <w:sz w:val="24"/>
          <w:szCs w:val="24"/>
        </w:rPr>
        <w:t xml:space="preserve"> </w:t>
      </w:r>
      <w:r w:rsidR="00580D0D" w:rsidRPr="00EA7DC0">
        <w:rPr>
          <w:rFonts w:ascii="Arial" w:hAnsi="Arial" w:cs="Arial"/>
          <w:sz w:val="24"/>
          <w:szCs w:val="24"/>
        </w:rPr>
        <w:t xml:space="preserve">case, </w:t>
      </w:r>
      <w:r w:rsidR="009E1E20" w:rsidRPr="00EA7DC0">
        <w:rPr>
          <w:rFonts w:ascii="Arial" w:hAnsi="Arial" w:cs="Arial"/>
          <w:sz w:val="24"/>
          <w:szCs w:val="24"/>
        </w:rPr>
        <w:t>as recorded by the</w:t>
      </w:r>
      <w:r w:rsidR="00580D0D" w:rsidRPr="00EA7DC0">
        <w:rPr>
          <w:rFonts w:ascii="Arial" w:hAnsi="Arial" w:cs="Arial"/>
          <w:sz w:val="24"/>
          <w:szCs w:val="24"/>
        </w:rPr>
        <w:t xml:space="preserve"> court </w:t>
      </w:r>
      <w:r w:rsidR="00580D0D" w:rsidRPr="004E36FD">
        <w:rPr>
          <w:rFonts w:ascii="Arial" w:hAnsi="Arial" w:cs="Arial"/>
          <w:i/>
          <w:sz w:val="24"/>
          <w:szCs w:val="24"/>
        </w:rPr>
        <w:t>a quo</w:t>
      </w:r>
      <w:r w:rsidR="009E1E20" w:rsidRPr="00EA7DC0">
        <w:rPr>
          <w:rFonts w:ascii="Arial" w:hAnsi="Arial" w:cs="Arial"/>
          <w:sz w:val="24"/>
          <w:szCs w:val="24"/>
        </w:rPr>
        <w:t xml:space="preserve"> in its reasons</w:t>
      </w:r>
      <w:r w:rsidR="00580D0D" w:rsidRPr="00EA7DC0">
        <w:rPr>
          <w:rFonts w:ascii="Arial" w:hAnsi="Arial" w:cs="Arial"/>
          <w:sz w:val="24"/>
          <w:szCs w:val="24"/>
        </w:rPr>
        <w:t xml:space="preserve">, was that </w:t>
      </w:r>
      <w:r w:rsidRPr="00EA7DC0">
        <w:rPr>
          <w:rFonts w:ascii="Arial" w:hAnsi="Arial" w:cs="Arial"/>
          <w:sz w:val="24"/>
          <w:szCs w:val="24"/>
        </w:rPr>
        <w:t xml:space="preserve">since the alleged misrepresentations by the defendants to the plaintiff </w:t>
      </w:r>
      <w:r w:rsidR="00580D0D" w:rsidRPr="00EA7DC0">
        <w:rPr>
          <w:rFonts w:ascii="Arial" w:hAnsi="Arial" w:cs="Arial"/>
          <w:sz w:val="24"/>
          <w:szCs w:val="24"/>
        </w:rPr>
        <w:t>are predicated</w:t>
      </w:r>
      <w:r w:rsidRPr="00EA7DC0">
        <w:rPr>
          <w:rFonts w:ascii="Arial" w:hAnsi="Arial" w:cs="Arial"/>
          <w:sz w:val="24"/>
          <w:szCs w:val="24"/>
        </w:rPr>
        <w:t xml:space="preserve"> on an undertaking</w:t>
      </w:r>
      <w:r w:rsidR="0039146D" w:rsidRPr="00EA7DC0">
        <w:rPr>
          <w:rFonts w:ascii="Arial" w:hAnsi="Arial" w:cs="Arial"/>
          <w:sz w:val="24"/>
          <w:szCs w:val="24"/>
        </w:rPr>
        <w:t xml:space="preserve"> (which had to comply with the ACLRA and SALA)</w:t>
      </w:r>
      <w:r w:rsidRPr="00EA7DC0">
        <w:rPr>
          <w:rFonts w:ascii="Arial" w:hAnsi="Arial" w:cs="Arial"/>
          <w:sz w:val="24"/>
          <w:szCs w:val="24"/>
        </w:rPr>
        <w:t xml:space="preserve"> to transfer the buildings constructed with the plaintiff’s money </w:t>
      </w:r>
      <w:r w:rsidR="0024717A" w:rsidRPr="00EA7DC0">
        <w:rPr>
          <w:rFonts w:ascii="Arial" w:hAnsi="Arial" w:cs="Arial"/>
          <w:sz w:val="24"/>
          <w:szCs w:val="24"/>
        </w:rPr>
        <w:t>into his name and to secure permanent residence status for the plaintiff and his spouse</w:t>
      </w:r>
      <w:r w:rsidR="0039146D" w:rsidRPr="00EA7DC0">
        <w:rPr>
          <w:rFonts w:ascii="Arial" w:hAnsi="Arial" w:cs="Arial"/>
          <w:sz w:val="24"/>
          <w:szCs w:val="24"/>
        </w:rPr>
        <w:t xml:space="preserve"> (which was only possible in terms of the </w:t>
      </w:r>
      <w:r w:rsidR="002027E6">
        <w:rPr>
          <w:rFonts w:ascii="Arial" w:hAnsi="Arial" w:cs="Arial"/>
          <w:sz w:val="24"/>
          <w:szCs w:val="24"/>
        </w:rPr>
        <w:t>ICA</w:t>
      </w:r>
      <w:r w:rsidR="0039146D" w:rsidRPr="00EA7DC0">
        <w:rPr>
          <w:rFonts w:ascii="Arial" w:hAnsi="Arial" w:cs="Arial"/>
          <w:sz w:val="24"/>
          <w:szCs w:val="24"/>
        </w:rPr>
        <w:t>)</w:t>
      </w:r>
      <w:r w:rsidR="00580D0D" w:rsidRPr="00EA7DC0">
        <w:rPr>
          <w:rFonts w:ascii="Arial" w:hAnsi="Arial" w:cs="Arial"/>
          <w:sz w:val="24"/>
          <w:szCs w:val="24"/>
        </w:rPr>
        <w:t>, the alleged misre</w:t>
      </w:r>
      <w:r w:rsidR="0024717A" w:rsidRPr="00EA7DC0">
        <w:rPr>
          <w:rFonts w:ascii="Arial" w:hAnsi="Arial" w:cs="Arial"/>
          <w:sz w:val="24"/>
          <w:szCs w:val="24"/>
        </w:rPr>
        <w:t>presentations concern representations of law which cannot be the basis for any relief.</w:t>
      </w:r>
    </w:p>
    <w:p w14:paraId="04B29FAA" w14:textId="77777777" w:rsidR="00DC2301" w:rsidRPr="00E934D7" w:rsidRDefault="00DC2301" w:rsidP="00E351D8">
      <w:pPr>
        <w:spacing w:line="480" w:lineRule="auto"/>
        <w:jc w:val="both"/>
        <w:rPr>
          <w:rFonts w:cs="Arial"/>
          <w:szCs w:val="24"/>
        </w:rPr>
      </w:pPr>
    </w:p>
    <w:p w14:paraId="7BCA55FE" w14:textId="2B513261" w:rsidR="007233EE" w:rsidRPr="008477D8" w:rsidRDefault="007233EE" w:rsidP="00E351D8">
      <w:pPr>
        <w:spacing w:line="480" w:lineRule="auto"/>
        <w:jc w:val="both"/>
        <w:rPr>
          <w:rFonts w:cs="Arial"/>
          <w:szCs w:val="24"/>
          <w:u w:val="single"/>
        </w:rPr>
      </w:pPr>
      <w:r w:rsidRPr="008477D8">
        <w:rPr>
          <w:rFonts w:cs="Arial"/>
          <w:szCs w:val="24"/>
          <w:u w:val="single"/>
        </w:rPr>
        <w:t>Belated amendment</w:t>
      </w:r>
    </w:p>
    <w:p w14:paraId="53A3F660" w14:textId="6E052AC3" w:rsidR="00DC2301" w:rsidRDefault="00DC2301" w:rsidP="00BE0E68">
      <w:pPr>
        <w:pStyle w:val="NoSpacing"/>
        <w:numPr>
          <w:ilvl w:val="0"/>
          <w:numId w:val="8"/>
        </w:numPr>
        <w:spacing w:line="480" w:lineRule="auto"/>
        <w:ind w:left="0" w:firstLine="0"/>
        <w:jc w:val="both"/>
        <w:rPr>
          <w:rFonts w:ascii="Arial" w:hAnsi="Arial" w:cs="Arial"/>
          <w:sz w:val="24"/>
          <w:szCs w:val="24"/>
        </w:rPr>
      </w:pPr>
      <w:r w:rsidRPr="008477D8">
        <w:rPr>
          <w:rFonts w:ascii="Arial" w:hAnsi="Arial" w:cs="Arial"/>
          <w:sz w:val="24"/>
          <w:szCs w:val="24"/>
        </w:rPr>
        <w:t xml:space="preserve">After </w:t>
      </w:r>
      <w:r w:rsidR="00324906" w:rsidRPr="008477D8">
        <w:rPr>
          <w:rFonts w:ascii="Arial" w:hAnsi="Arial" w:cs="Arial"/>
          <w:sz w:val="24"/>
          <w:szCs w:val="24"/>
        </w:rPr>
        <w:t>the</w:t>
      </w:r>
      <w:r w:rsidR="00580D0D" w:rsidRPr="008477D8">
        <w:rPr>
          <w:rFonts w:ascii="Arial" w:hAnsi="Arial" w:cs="Arial"/>
          <w:sz w:val="24"/>
          <w:szCs w:val="24"/>
        </w:rPr>
        <w:t xml:space="preserve"> </w:t>
      </w:r>
      <w:r w:rsidR="00DC29D8" w:rsidRPr="008477D8">
        <w:rPr>
          <w:rFonts w:ascii="Arial" w:hAnsi="Arial" w:cs="Arial"/>
          <w:sz w:val="24"/>
          <w:szCs w:val="24"/>
        </w:rPr>
        <w:t>parties’ respective</w:t>
      </w:r>
      <w:r w:rsidR="00324906" w:rsidRPr="008477D8">
        <w:rPr>
          <w:rFonts w:ascii="Arial" w:hAnsi="Arial" w:cs="Arial"/>
          <w:sz w:val="24"/>
          <w:szCs w:val="24"/>
        </w:rPr>
        <w:t xml:space="preserve"> cases</w:t>
      </w:r>
      <w:r w:rsidRPr="008477D8">
        <w:rPr>
          <w:rFonts w:ascii="Arial" w:hAnsi="Arial" w:cs="Arial"/>
          <w:sz w:val="24"/>
          <w:szCs w:val="24"/>
        </w:rPr>
        <w:t xml:space="preserve"> had </w:t>
      </w:r>
      <w:r w:rsidR="00580D0D" w:rsidRPr="008477D8">
        <w:rPr>
          <w:rFonts w:ascii="Arial" w:hAnsi="Arial" w:cs="Arial"/>
          <w:sz w:val="24"/>
          <w:szCs w:val="24"/>
        </w:rPr>
        <w:t xml:space="preserve">closed </w:t>
      </w:r>
      <w:r w:rsidRPr="008477D8">
        <w:rPr>
          <w:rFonts w:ascii="Arial" w:hAnsi="Arial" w:cs="Arial"/>
          <w:sz w:val="24"/>
          <w:szCs w:val="24"/>
        </w:rPr>
        <w:t>and the</w:t>
      </w:r>
      <w:r w:rsidR="00324906" w:rsidRPr="008477D8">
        <w:rPr>
          <w:rFonts w:ascii="Arial" w:hAnsi="Arial" w:cs="Arial"/>
          <w:sz w:val="24"/>
          <w:szCs w:val="24"/>
        </w:rPr>
        <w:t>ir</w:t>
      </w:r>
      <w:r w:rsidRPr="008477D8">
        <w:rPr>
          <w:rFonts w:ascii="Arial" w:hAnsi="Arial" w:cs="Arial"/>
          <w:sz w:val="24"/>
          <w:szCs w:val="24"/>
        </w:rPr>
        <w:t xml:space="preserve"> counsel </w:t>
      </w:r>
      <w:r w:rsidR="00324906" w:rsidRPr="008477D8">
        <w:rPr>
          <w:rFonts w:ascii="Arial" w:hAnsi="Arial" w:cs="Arial"/>
          <w:sz w:val="24"/>
          <w:szCs w:val="24"/>
        </w:rPr>
        <w:t xml:space="preserve">had </w:t>
      </w:r>
      <w:r w:rsidRPr="008477D8">
        <w:rPr>
          <w:rFonts w:ascii="Arial" w:hAnsi="Arial" w:cs="Arial"/>
          <w:sz w:val="24"/>
          <w:szCs w:val="24"/>
        </w:rPr>
        <w:t>made submissions on the merits, the plaintiff brought an application for leave to amend his particulars of claim</w:t>
      </w:r>
      <w:r w:rsidR="009F23FC" w:rsidRPr="008477D8">
        <w:rPr>
          <w:rFonts w:ascii="Arial" w:hAnsi="Arial" w:cs="Arial"/>
          <w:sz w:val="24"/>
          <w:szCs w:val="24"/>
        </w:rPr>
        <w:t>.</w:t>
      </w:r>
    </w:p>
    <w:p w14:paraId="2CF66F0F" w14:textId="77777777" w:rsidR="00A33A92" w:rsidRPr="00BE0E68" w:rsidRDefault="00A33A92" w:rsidP="00A33A92">
      <w:pPr>
        <w:pStyle w:val="NoSpacing"/>
        <w:spacing w:line="480" w:lineRule="auto"/>
        <w:jc w:val="both"/>
        <w:rPr>
          <w:rFonts w:ascii="Arial" w:hAnsi="Arial" w:cs="Arial"/>
          <w:sz w:val="24"/>
          <w:szCs w:val="24"/>
        </w:rPr>
      </w:pPr>
    </w:p>
    <w:p w14:paraId="6BF57D66" w14:textId="51437ED9" w:rsidR="00DC2301" w:rsidRPr="008477D8" w:rsidRDefault="00DC2301" w:rsidP="00E351D8">
      <w:pPr>
        <w:pStyle w:val="NoSpacing"/>
        <w:numPr>
          <w:ilvl w:val="0"/>
          <w:numId w:val="8"/>
        </w:numPr>
        <w:spacing w:line="480" w:lineRule="auto"/>
        <w:ind w:left="0" w:firstLine="0"/>
        <w:jc w:val="both"/>
        <w:rPr>
          <w:rFonts w:ascii="Arial" w:hAnsi="Arial" w:cs="Arial"/>
          <w:sz w:val="24"/>
          <w:szCs w:val="24"/>
        </w:rPr>
      </w:pPr>
      <w:r w:rsidRPr="008477D8">
        <w:rPr>
          <w:rFonts w:ascii="Arial" w:hAnsi="Arial" w:cs="Arial"/>
          <w:sz w:val="24"/>
          <w:szCs w:val="24"/>
        </w:rPr>
        <w:t xml:space="preserve">The proposed amendment was opposed and was refused by the court </w:t>
      </w:r>
      <w:r w:rsidRPr="008477D8">
        <w:rPr>
          <w:rFonts w:ascii="Arial" w:hAnsi="Arial" w:cs="Arial"/>
          <w:i/>
          <w:sz w:val="24"/>
          <w:szCs w:val="24"/>
        </w:rPr>
        <w:t>a quo</w:t>
      </w:r>
      <w:r w:rsidRPr="008477D8">
        <w:rPr>
          <w:rFonts w:ascii="Arial" w:hAnsi="Arial" w:cs="Arial"/>
          <w:sz w:val="24"/>
          <w:szCs w:val="24"/>
        </w:rPr>
        <w:t>.</w:t>
      </w:r>
      <w:r w:rsidR="00F35FEE" w:rsidRPr="008477D8">
        <w:rPr>
          <w:rFonts w:ascii="Arial" w:hAnsi="Arial" w:cs="Arial"/>
          <w:sz w:val="24"/>
          <w:szCs w:val="24"/>
        </w:rPr>
        <w:t xml:space="preserve"> </w:t>
      </w:r>
      <w:r w:rsidR="00FB69F9" w:rsidRPr="008477D8">
        <w:rPr>
          <w:rFonts w:ascii="Arial" w:hAnsi="Arial" w:cs="Arial"/>
          <w:sz w:val="24"/>
          <w:szCs w:val="24"/>
        </w:rPr>
        <w:t xml:space="preserve">Its </w:t>
      </w:r>
      <w:r w:rsidR="00DC29D8" w:rsidRPr="008477D8">
        <w:rPr>
          <w:rFonts w:ascii="Arial" w:hAnsi="Arial" w:cs="Arial"/>
          <w:sz w:val="24"/>
          <w:szCs w:val="24"/>
        </w:rPr>
        <w:t>significance</w:t>
      </w:r>
      <w:r w:rsidR="00F35FEE" w:rsidRPr="008477D8">
        <w:rPr>
          <w:rFonts w:ascii="Arial" w:hAnsi="Arial" w:cs="Arial"/>
          <w:sz w:val="24"/>
          <w:szCs w:val="24"/>
        </w:rPr>
        <w:t xml:space="preserve"> though, as contended </w:t>
      </w:r>
      <w:r w:rsidR="008F740F" w:rsidRPr="008477D8">
        <w:rPr>
          <w:rFonts w:ascii="Arial" w:hAnsi="Arial" w:cs="Arial"/>
          <w:sz w:val="24"/>
          <w:szCs w:val="24"/>
        </w:rPr>
        <w:t xml:space="preserve">on appeal </w:t>
      </w:r>
      <w:r w:rsidR="00F35FEE" w:rsidRPr="008477D8">
        <w:rPr>
          <w:rFonts w:ascii="Arial" w:hAnsi="Arial" w:cs="Arial"/>
          <w:sz w:val="24"/>
          <w:szCs w:val="24"/>
        </w:rPr>
        <w:t>by the defendants</w:t>
      </w:r>
      <w:r w:rsidR="008F740F" w:rsidRPr="008477D8">
        <w:rPr>
          <w:rFonts w:ascii="Arial" w:hAnsi="Arial" w:cs="Arial"/>
          <w:sz w:val="24"/>
          <w:szCs w:val="24"/>
        </w:rPr>
        <w:t>,</w:t>
      </w:r>
      <w:r w:rsidR="00F35FEE" w:rsidRPr="008477D8">
        <w:rPr>
          <w:rFonts w:ascii="Arial" w:hAnsi="Arial" w:cs="Arial"/>
          <w:sz w:val="24"/>
          <w:szCs w:val="24"/>
        </w:rPr>
        <w:t xml:space="preserve"> is that the </w:t>
      </w:r>
      <w:r w:rsidR="00F35FEE" w:rsidRPr="008477D8">
        <w:rPr>
          <w:rFonts w:ascii="Arial" w:hAnsi="Arial" w:cs="Arial"/>
          <w:sz w:val="24"/>
          <w:szCs w:val="24"/>
        </w:rPr>
        <w:lastRenderedPageBreak/>
        <w:t xml:space="preserve">plaintiff sought to remedy the deficiencies in his originally </w:t>
      </w:r>
      <w:r w:rsidR="00724E36" w:rsidRPr="008477D8">
        <w:rPr>
          <w:rFonts w:ascii="Arial" w:hAnsi="Arial" w:cs="Arial"/>
          <w:sz w:val="24"/>
          <w:szCs w:val="24"/>
        </w:rPr>
        <w:t>plead</w:t>
      </w:r>
      <w:r w:rsidR="00F35FEE" w:rsidRPr="008477D8">
        <w:rPr>
          <w:rFonts w:ascii="Arial" w:hAnsi="Arial" w:cs="Arial"/>
          <w:sz w:val="24"/>
          <w:szCs w:val="24"/>
        </w:rPr>
        <w:t>ed case</w:t>
      </w:r>
      <w:r w:rsidR="008F740F" w:rsidRPr="008477D8">
        <w:rPr>
          <w:rFonts w:ascii="Arial" w:hAnsi="Arial" w:cs="Arial"/>
          <w:sz w:val="24"/>
          <w:szCs w:val="24"/>
        </w:rPr>
        <w:t xml:space="preserve"> as it did not </w:t>
      </w:r>
      <w:r w:rsidR="00724E36" w:rsidRPr="008477D8">
        <w:rPr>
          <w:rFonts w:ascii="Arial" w:hAnsi="Arial" w:cs="Arial"/>
          <w:sz w:val="24"/>
          <w:szCs w:val="24"/>
        </w:rPr>
        <w:t>satisfy the requirements of a cause of action based on unjust enrichment</w:t>
      </w:r>
      <w:r w:rsidR="00F35FEE" w:rsidRPr="008477D8">
        <w:rPr>
          <w:rFonts w:ascii="Arial" w:hAnsi="Arial" w:cs="Arial"/>
          <w:sz w:val="24"/>
          <w:szCs w:val="24"/>
        </w:rPr>
        <w:t>.</w:t>
      </w:r>
    </w:p>
    <w:p w14:paraId="54DBDF14" w14:textId="77777777" w:rsidR="00815BAB" w:rsidRPr="00E934D7" w:rsidRDefault="00815BAB" w:rsidP="00E351D8">
      <w:pPr>
        <w:spacing w:line="480" w:lineRule="auto"/>
        <w:jc w:val="both"/>
        <w:rPr>
          <w:rFonts w:cs="Arial"/>
          <w:szCs w:val="24"/>
        </w:rPr>
      </w:pPr>
    </w:p>
    <w:p w14:paraId="5D988012" w14:textId="53028DF4" w:rsidR="00FF5B31" w:rsidRPr="00D861A8" w:rsidRDefault="00B317E2" w:rsidP="00E351D8">
      <w:pPr>
        <w:spacing w:line="480" w:lineRule="auto"/>
        <w:jc w:val="both"/>
        <w:rPr>
          <w:rFonts w:cs="Arial"/>
          <w:szCs w:val="24"/>
          <w:u w:val="single"/>
        </w:rPr>
      </w:pPr>
      <w:r w:rsidRPr="00D861A8">
        <w:rPr>
          <w:rFonts w:cs="Arial"/>
          <w:szCs w:val="24"/>
          <w:u w:val="single"/>
        </w:rPr>
        <w:t>The High Court</w:t>
      </w:r>
      <w:r w:rsidR="00FB69F9" w:rsidRPr="00D861A8">
        <w:rPr>
          <w:rFonts w:cs="Arial"/>
          <w:szCs w:val="24"/>
          <w:u w:val="single"/>
        </w:rPr>
        <w:t>’s judgment</w:t>
      </w:r>
    </w:p>
    <w:p w14:paraId="57F3D87A" w14:textId="66ECAE34" w:rsidR="001C23EB" w:rsidRDefault="00FF5B31" w:rsidP="00E351D8">
      <w:pPr>
        <w:pStyle w:val="NoSpacing"/>
        <w:numPr>
          <w:ilvl w:val="0"/>
          <w:numId w:val="8"/>
        </w:numPr>
        <w:spacing w:line="480" w:lineRule="auto"/>
        <w:ind w:left="0" w:firstLine="0"/>
        <w:jc w:val="both"/>
        <w:rPr>
          <w:rFonts w:ascii="Arial" w:hAnsi="Arial" w:cs="Arial"/>
          <w:sz w:val="24"/>
          <w:szCs w:val="24"/>
        </w:rPr>
      </w:pPr>
      <w:r w:rsidRPr="00D861A8">
        <w:rPr>
          <w:rFonts w:ascii="Arial" w:hAnsi="Arial" w:cs="Arial"/>
          <w:sz w:val="24"/>
          <w:szCs w:val="24"/>
        </w:rPr>
        <w:t xml:space="preserve">The parties led oral evidence in the High Court proceedings. </w:t>
      </w:r>
      <w:r w:rsidR="009E1E20" w:rsidRPr="00D861A8">
        <w:rPr>
          <w:rFonts w:ascii="Arial" w:hAnsi="Arial" w:cs="Arial"/>
          <w:sz w:val="24"/>
          <w:szCs w:val="24"/>
        </w:rPr>
        <w:t xml:space="preserve">It is common cause that the trial lasted a record-setting 86 days </w:t>
      </w:r>
      <w:r w:rsidR="00436C4D" w:rsidRPr="00D861A8">
        <w:rPr>
          <w:rFonts w:ascii="Arial" w:hAnsi="Arial" w:cs="Arial"/>
          <w:sz w:val="24"/>
          <w:szCs w:val="24"/>
        </w:rPr>
        <w:t xml:space="preserve">lasting for </w:t>
      </w:r>
      <w:r w:rsidR="00CC2270">
        <w:rPr>
          <w:rFonts w:ascii="Arial" w:hAnsi="Arial" w:cs="Arial"/>
          <w:sz w:val="24"/>
          <w:szCs w:val="24"/>
        </w:rPr>
        <w:t>five</w:t>
      </w:r>
      <w:r w:rsidR="00436C4D" w:rsidRPr="00D861A8">
        <w:rPr>
          <w:rFonts w:ascii="Arial" w:hAnsi="Arial" w:cs="Arial"/>
          <w:sz w:val="24"/>
          <w:szCs w:val="24"/>
        </w:rPr>
        <w:t xml:space="preserve"> years.</w:t>
      </w:r>
      <w:r w:rsidR="001C23EB" w:rsidRPr="00D861A8">
        <w:rPr>
          <w:rFonts w:ascii="Arial" w:hAnsi="Arial" w:cs="Arial"/>
          <w:sz w:val="24"/>
          <w:szCs w:val="24"/>
        </w:rPr>
        <w:t xml:space="preserve"> </w:t>
      </w:r>
      <w:r w:rsidRPr="00D861A8">
        <w:rPr>
          <w:rFonts w:ascii="Arial" w:hAnsi="Arial" w:cs="Arial"/>
          <w:sz w:val="24"/>
          <w:szCs w:val="24"/>
        </w:rPr>
        <w:t xml:space="preserve">Although the evidence is prolix and took a very long time to be concluded the issues the court </w:t>
      </w:r>
      <w:r w:rsidRPr="004501EC">
        <w:rPr>
          <w:rFonts w:ascii="Arial" w:hAnsi="Arial" w:cs="Arial"/>
          <w:i/>
          <w:sz w:val="24"/>
          <w:szCs w:val="24"/>
        </w:rPr>
        <w:t>a quo</w:t>
      </w:r>
      <w:r w:rsidRPr="00D861A8">
        <w:rPr>
          <w:rFonts w:ascii="Arial" w:hAnsi="Arial" w:cs="Arial"/>
          <w:sz w:val="24"/>
          <w:szCs w:val="24"/>
        </w:rPr>
        <w:t xml:space="preserve"> eventually had to decide were quite confined. </w:t>
      </w:r>
    </w:p>
    <w:p w14:paraId="6081E213" w14:textId="77777777" w:rsidR="00252B8B" w:rsidRPr="009C1E67" w:rsidRDefault="00252B8B" w:rsidP="00252B8B">
      <w:pPr>
        <w:pStyle w:val="NoSpacing"/>
        <w:spacing w:line="480" w:lineRule="auto"/>
        <w:jc w:val="both"/>
        <w:rPr>
          <w:rFonts w:ascii="Arial" w:hAnsi="Arial" w:cs="Arial"/>
          <w:sz w:val="24"/>
          <w:szCs w:val="24"/>
        </w:rPr>
      </w:pPr>
    </w:p>
    <w:p w14:paraId="3E7623C2" w14:textId="66293A47" w:rsidR="00FF5B31" w:rsidRPr="00D861A8" w:rsidRDefault="00FF5B31" w:rsidP="00E351D8">
      <w:pPr>
        <w:pStyle w:val="NoSpacing"/>
        <w:numPr>
          <w:ilvl w:val="0"/>
          <w:numId w:val="8"/>
        </w:numPr>
        <w:spacing w:line="480" w:lineRule="auto"/>
        <w:ind w:left="0" w:firstLine="0"/>
        <w:jc w:val="both"/>
        <w:rPr>
          <w:rFonts w:ascii="Arial" w:hAnsi="Arial" w:cs="Arial"/>
          <w:sz w:val="24"/>
          <w:szCs w:val="24"/>
        </w:rPr>
      </w:pPr>
      <w:r w:rsidRPr="00D861A8">
        <w:rPr>
          <w:rFonts w:ascii="Arial" w:hAnsi="Arial" w:cs="Arial"/>
          <w:sz w:val="24"/>
          <w:szCs w:val="24"/>
        </w:rPr>
        <w:t>I do not intend to traverse that evidence in detail as I am satisfied that the issues that have crystalised on appeal are capable of resolution on fatcs that are largely undisputed or are common cause.</w:t>
      </w:r>
      <w:r w:rsidR="001C23EB" w:rsidRPr="00D861A8">
        <w:rPr>
          <w:rFonts w:ascii="Arial" w:hAnsi="Arial" w:cs="Arial"/>
          <w:sz w:val="24"/>
          <w:szCs w:val="24"/>
        </w:rPr>
        <w:t xml:space="preserve"> </w:t>
      </w:r>
      <w:r w:rsidRPr="00D861A8">
        <w:rPr>
          <w:rFonts w:ascii="Arial" w:hAnsi="Arial" w:cs="Arial"/>
          <w:sz w:val="24"/>
          <w:szCs w:val="24"/>
        </w:rPr>
        <w:t>Where it becom</w:t>
      </w:r>
      <w:r w:rsidR="00583762">
        <w:rPr>
          <w:rFonts w:ascii="Arial" w:hAnsi="Arial" w:cs="Arial"/>
          <w:sz w:val="24"/>
          <w:szCs w:val="24"/>
        </w:rPr>
        <w:t>es necessary I will refer to</w:t>
      </w:r>
      <w:r w:rsidRPr="00D861A8">
        <w:rPr>
          <w:rFonts w:ascii="Arial" w:hAnsi="Arial" w:cs="Arial"/>
          <w:sz w:val="24"/>
          <w:szCs w:val="24"/>
        </w:rPr>
        <w:t xml:space="preserve"> specific items of evidence (oral and documentary) led on behalf of one or other of the parties.</w:t>
      </w:r>
    </w:p>
    <w:p w14:paraId="3B407C7E" w14:textId="77777777" w:rsidR="001C23EB" w:rsidRPr="00D861A8" w:rsidRDefault="001C23EB" w:rsidP="00E351D8">
      <w:pPr>
        <w:spacing w:line="480" w:lineRule="auto"/>
        <w:jc w:val="both"/>
        <w:rPr>
          <w:rFonts w:cs="Arial"/>
          <w:szCs w:val="24"/>
        </w:rPr>
      </w:pPr>
    </w:p>
    <w:p w14:paraId="4CFB3E79" w14:textId="60E6CC69" w:rsidR="00FF5B31" w:rsidRPr="00D861A8" w:rsidRDefault="001C23EB" w:rsidP="00E351D8">
      <w:pPr>
        <w:pStyle w:val="NoSpacing"/>
        <w:numPr>
          <w:ilvl w:val="0"/>
          <w:numId w:val="8"/>
        </w:numPr>
        <w:spacing w:line="480" w:lineRule="auto"/>
        <w:ind w:left="0" w:firstLine="0"/>
        <w:jc w:val="both"/>
        <w:rPr>
          <w:rFonts w:ascii="Arial" w:hAnsi="Arial" w:cs="Arial"/>
          <w:sz w:val="24"/>
          <w:szCs w:val="24"/>
        </w:rPr>
      </w:pPr>
      <w:r w:rsidRPr="00D861A8">
        <w:rPr>
          <w:rFonts w:ascii="Arial" w:hAnsi="Arial" w:cs="Arial"/>
          <w:sz w:val="24"/>
          <w:szCs w:val="24"/>
        </w:rPr>
        <w:t xml:space="preserve">The defendants testified that they did not gain much value from the </w:t>
      </w:r>
      <w:r w:rsidR="00583762">
        <w:rPr>
          <w:rFonts w:ascii="Arial" w:hAnsi="Arial" w:cs="Arial"/>
          <w:sz w:val="24"/>
          <w:szCs w:val="24"/>
        </w:rPr>
        <w:t xml:space="preserve">improvements </w:t>
      </w:r>
      <w:r w:rsidRPr="00D861A8">
        <w:rPr>
          <w:rFonts w:ascii="Arial" w:hAnsi="Arial" w:cs="Arial"/>
          <w:sz w:val="24"/>
          <w:szCs w:val="24"/>
        </w:rPr>
        <w:t>and that the facilities are used primarily by the children when they come to visit the lodge.</w:t>
      </w:r>
    </w:p>
    <w:p w14:paraId="1EF86B7E" w14:textId="77777777" w:rsidR="001C23EB" w:rsidRPr="00D861A8" w:rsidRDefault="001C23EB" w:rsidP="00E351D8">
      <w:pPr>
        <w:spacing w:line="480" w:lineRule="auto"/>
        <w:jc w:val="both"/>
        <w:rPr>
          <w:rFonts w:cs="Arial"/>
          <w:szCs w:val="24"/>
        </w:rPr>
      </w:pPr>
    </w:p>
    <w:p w14:paraId="33E79D68" w14:textId="050F52BE" w:rsidR="008079D5" w:rsidRPr="00BE0E68" w:rsidRDefault="00FB69F9" w:rsidP="00E351D8">
      <w:pPr>
        <w:pStyle w:val="NoSpacing"/>
        <w:numPr>
          <w:ilvl w:val="0"/>
          <w:numId w:val="8"/>
        </w:numPr>
        <w:spacing w:line="480" w:lineRule="auto"/>
        <w:ind w:left="0" w:firstLine="0"/>
        <w:jc w:val="both"/>
        <w:rPr>
          <w:rFonts w:ascii="Arial" w:hAnsi="Arial" w:cs="Arial"/>
          <w:sz w:val="24"/>
          <w:szCs w:val="24"/>
        </w:rPr>
      </w:pPr>
      <w:r w:rsidRPr="00D861A8">
        <w:rPr>
          <w:rFonts w:ascii="Arial" w:hAnsi="Arial" w:cs="Arial"/>
          <w:sz w:val="24"/>
          <w:szCs w:val="24"/>
        </w:rPr>
        <w:t>T</w:t>
      </w:r>
      <w:r w:rsidR="00335283" w:rsidRPr="00D861A8">
        <w:rPr>
          <w:rFonts w:ascii="Arial" w:hAnsi="Arial" w:cs="Arial"/>
          <w:sz w:val="24"/>
          <w:szCs w:val="24"/>
        </w:rPr>
        <w:t>he High Court found that as a result of the agre</w:t>
      </w:r>
      <w:r w:rsidR="00DD2922" w:rsidRPr="00D861A8">
        <w:rPr>
          <w:rFonts w:ascii="Arial" w:hAnsi="Arial" w:cs="Arial"/>
          <w:sz w:val="24"/>
          <w:szCs w:val="24"/>
        </w:rPr>
        <w:t>e</w:t>
      </w:r>
      <w:r w:rsidR="00335283" w:rsidRPr="00D861A8">
        <w:rPr>
          <w:rFonts w:ascii="Arial" w:hAnsi="Arial" w:cs="Arial"/>
          <w:sz w:val="24"/>
          <w:szCs w:val="24"/>
        </w:rPr>
        <w:t>ment between the parties</w:t>
      </w:r>
      <w:r w:rsidR="0039146D" w:rsidRPr="00D861A8">
        <w:rPr>
          <w:rFonts w:ascii="Arial" w:hAnsi="Arial" w:cs="Arial"/>
          <w:sz w:val="24"/>
          <w:szCs w:val="24"/>
        </w:rPr>
        <w:t xml:space="preserve"> </w:t>
      </w:r>
      <w:r w:rsidR="00335283" w:rsidRPr="00D861A8">
        <w:rPr>
          <w:rFonts w:ascii="Arial" w:hAnsi="Arial" w:cs="Arial"/>
          <w:sz w:val="24"/>
          <w:szCs w:val="24"/>
        </w:rPr>
        <w:t>‘a luxurious house and also two attractive bungalows’ were built on farm Okatare</w:t>
      </w:r>
      <w:r w:rsidR="0039146D" w:rsidRPr="00D861A8">
        <w:rPr>
          <w:rFonts w:ascii="Arial" w:hAnsi="Arial" w:cs="Arial"/>
          <w:sz w:val="24"/>
          <w:szCs w:val="24"/>
        </w:rPr>
        <w:t xml:space="preserve">; and that </w:t>
      </w:r>
      <w:r w:rsidR="00335283" w:rsidRPr="00D861A8">
        <w:rPr>
          <w:rFonts w:ascii="Arial" w:hAnsi="Arial" w:cs="Arial"/>
          <w:sz w:val="24"/>
          <w:szCs w:val="24"/>
        </w:rPr>
        <w:t xml:space="preserve"> the </w:t>
      </w:r>
      <w:r w:rsidR="00DC29D8" w:rsidRPr="00D861A8">
        <w:rPr>
          <w:rFonts w:ascii="Arial" w:hAnsi="Arial" w:cs="Arial"/>
          <w:sz w:val="24"/>
          <w:szCs w:val="24"/>
        </w:rPr>
        <w:t>improvements</w:t>
      </w:r>
      <w:r w:rsidR="00335283" w:rsidRPr="00D861A8">
        <w:rPr>
          <w:rFonts w:ascii="Arial" w:hAnsi="Arial" w:cs="Arial"/>
          <w:sz w:val="24"/>
          <w:szCs w:val="24"/>
        </w:rPr>
        <w:t xml:space="preserve"> </w:t>
      </w:r>
      <w:r w:rsidR="00F46886" w:rsidRPr="00D861A8">
        <w:rPr>
          <w:rFonts w:ascii="Arial" w:hAnsi="Arial" w:cs="Arial"/>
          <w:sz w:val="24"/>
          <w:szCs w:val="24"/>
        </w:rPr>
        <w:t xml:space="preserve">to the farm </w:t>
      </w:r>
      <w:r w:rsidR="00335283" w:rsidRPr="00D861A8">
        <w:rPr>
          <w:rFonts w:ascii="Arial" w:hAnsi="Arial" w:cs="Arial"/>
          <w:sz w:val="24"/>
          <w:szCs w:val="24"/>
        </w:rPr>
        <w:t xml:space="preserve">were </w:t>
      </w:r>
      <w:r w:rsidR="00F46886" w:rsidRPr="00D861A8">
        <w:rPr>
          <w:rFonts w:ascii="Arial" w:hAnsi="Arial" w:cs="Arial"/>
          <w:sz w:val="24"/>
          <w:szCs w:val="24"/>
        </w:rPr>
        <w:t>made</w:t>
      </w:r>
      <w:r w:rsidR="00335283" w:rsidRPr="00D861A8">
        <w:rPr>
          <w:rFonts w:ascii="Arial" w:hAnsi="Arial" w:cs="Arial"/>
          <w:sz w:val="24"/>
          <w:szCs w:val="24"/>
        </w:rPr>
        <w:t xml:space="preserve"> </w:t>
      </w:r>
      <w:r w:rsidR="00F46886" w:rsidRPr="00D861A8">
        <w:rPr>
          <w:rFonts w:ascii="Arial" w:hAnsi="Arial" w:cs="Arial"/>
          <w:sz w:val="24"/>
          <w:szCs w:val="24"/>
        </w:rPr>
        <w:t>‘</w:t>
      </w:r>
      <w:r w:rsidR="00335283" w:rsidRPr="00D861A8">
        <w:rPr>
          <w:rFonts w:ascii="Arial" w:hAnsi="Arial" w:cs="Arial"/>
          <w:sz w:val="24"/>
          <w:szCs w:val="24"/>
        </w:rPr>
        <w:t>with the received funds, at the expense of the plaintiff, th</w:t>
      </w:r>
      <w:r w:rsidR="00F46886" w:rsidRPr="00D861A8">
        <w:rPr>
          <w:rFonts w:ascii="Arial" w:hAnsi="Arial" w:cs="Arial"/>
          <w:sz w:val="24"/>
          <w:szCs w:val="24"/>
        </w:rPr>
        <w:t>rough which the plaintiff was clearly impoverished’.</w:t>
      </w:r>
      <w:r w:rsidR="00335283" w:rsidRPr="00D861A8">
        <w:rPr>
          <w:rFonts w:ascii="Arial" w:hAnsi="Arial" w:cs="Arial"/>
          <w:sz w:val="24"/>
          <w:szCs w:val="24"/>
        </w:rPr>
        <w:t xml:space="preserve"> </w:t>
      </w:r>
    </w:p>
    <w:p w14:paraId="096E8807" w14:textId="09BD8EB4" w:rsidR="009F5A11" w:rsidRPr="00D861A8" w:rsidRDefault="00FB69F9" w:rsidP="00E351D8">
      <w:pPr>
        <w:pStyle w:val="NoSpacing"/>
        <w:numPr>
          <w:ilvl w:val="0"/>
          <w:numId w:val="8"/>
        </w:numPr>
        <w:spacing w:line="480" w:lineRule="auto"/>
        <w:ind w:left="0" w:firstLine="0"/>
        <w:jc w:val="both"/>
        <w:rPr>
          <w:rFonts w:ascii="Arial" w:hAnsi="Arial" w:cs="Arial"/>
          <w:sz w:val="24"/>
          <w:szCs w:val="24"/>
        </w:rPr>
      </w:pPr>
      <w:r w:rsidRPr="00D861A8">
        <w:rPr>
          <w:rFonts w:ascii="Arial" w:hAnsi="Arial" w:cs="Arial"/>
          <w:sz w:val="24"/>
          <w:szCs w:val="24"/>
        </w:rPr>
        <w:lastRenderedPageBreak/>
        <w:t>According to the</w:t>
      </w:r>
      <w:r w:rsidR="00335283" w:rsidRPr="00D861A8">
        <w:rPr>
          <w:rFonts w:ascii="Arial" w:hAnsi="Arial" w:cs="Arial"/>
          <w:sz w:val="24"/>
          <w:szCs w:val="24"/>
        </w:rPr>
        <w:t xml:space="preserve"> learned judge</w:t>
      </w:r>
      <w:r w:rsidRPr="00D861A8">
        <w:rPr>
          <w:rFonts w:ascii="Arial" w:hAnsi="Arial" w:cs="Arial"/>
          <w:sz w:val="24"/>
          <w:szCs w:val="24"/>
        </w:rPr>
        <w:t>,</w:t>
      </w:r>
      <w:r w:rsidR="00335283" w:rsidRPr="00D861A8">
        <w:rPr>
          <w:rFonts w:ascii="Arial" w:hAnsi="Arial" w:cs="Arial"/>
          <w:sz w:val="24"/>
          <w:szCs w:val="24"/>
        </w:rPr>
        <w:t xml:space="preserve"> ‘whether or not there was an existing solar system, for the generation of electricity on the farm, at the time, or whether the farm’s electricity supply was generated by a generator only, is neither here nor there</w:t>
      </w:r>
      <w:r w:rsidR="00A33A92">
        <w:rPr>
          <w:rFonts w:ascii="Arial" w:hAnsi="Arial" w:cs="Arial"/>
          <w:sz w:val="24"/>
          <w:szCs w:val="24"/>
        </w:rPr>
        <w:t>’</w:t>
      </w:r>
      <w:r w:rsidR="00335283" w:rsidRPr="00D861A8">
        <w:rPr>
          <w:rFonts w:ascii="Arial" w:hAnsi="Arial" w:cs="Arial"/>
          <w:sz w:val="24"/>
          <w:szCs w:val="24"/>
        </w:rPr>
        <w:t xml:space="preserve">. </w:t>
      </w:r>
    </w:p>
    <w:p w14:paraId="73BFF95B" w14:textId="77777777" w:rsidR="009F5A11" w:rsidRDefault="009F5A11" w:rsidP="00E351D8">
      <w:pPr>
        <w:spacing w:line="480" w:lineRule="auto"/>
        <w:jc w:val="both"/>
        <w:rPr>
          <w:rFonts w:cs="Arial"/>
          <w:szCs w:val="24"/>
        </w:rPr>
      </w:pPr>
    </w:p>
    <w:p w14:paraId="26CE13C4" w14:textId="6F700A3E" w:rsidR="009F5A11" w:rsidRPr="00222B17" w:rsidRDefault="00460D84" w:rsidP="00E351D8">
      <w:pPr>
        <w:pStyle w:val="NoSpacing"/>
        <w:numPr>
          <w:ilvl w:val="0"/>
          <w:numId w:val="8"/>
        </w:numPr>
        <w:spacing w:line="480" w:lineRule="auto"/>
        <w:ind w:left="0" w:firstLine="0"/>
        <w:jc w:val="both"/>
        <w:rPr>
          <w:rFonts w:ascii="Arial" w:hAnsi="Arial" w:cs="Arial"/>
          <w:sz w:val="24"/>
          <w:szCs w:val="24"/>
        </w:rPr>
      </w:pPr>
      <w:r w:rsidRPr="00222B17">
        <w:rPr>
          <w:rFonts w:ascii="Arial" w:hAnsi="Arial" w:cs="Arial"/>
          <w:sz w:val="24"/>
          <w:szCs w:val="24"/>
        </w:rPr>
        <w:t>T</w:t>
      </w:r>
      <w:r w:rsidR="009F5A11" w:rsidRPr="00222B17">
        <w:rPr>
          <w:rFonts w:ascii="Arial" w:hAnsi="Arial" w:cs="Arial"/>
          <w:sz w:val="24"/>
          <w:szCs w:val="24"/>
        </w:rPr>
        <w:t xml:space="preserve">he </w:t>
      </w:r>
      <w:r w:rsidR="00DC29D8" w:rsidRPr="00222B17">
        <w:rPr>
          <w:rFonts w:ascii="Arial" w:hAnsi="Arial" w:cs="Arial"/>
          <w:sz w:val="24"/>
          <w:szCs w:val="24"/>
        </w:rPr>
        <w:t>learned</w:t>
      </w:r>
      <w:r w:rsidR="009F5A11" w:rsidRPr="00222B17">
        <w:rPr>
          <w:rFonts w:ascii="Arial" w:hAnsi="Arial" w:cs="Arial"/>
          <w:sz w:val="24"/>
          <w:szCs w:val="24"/>
        </w:rPr>
        <w:t xml:space="preserve"> judge added: </w:t>
      </w:r>
    </w:p>
    <w:p w14:paraId="1F2EB96B" w14:textId="77777777" w:rsidR="00222B17" w:rsidRDefault="00222B17" w:rsidP="00E351D8">
      <w:pPr>
        <w:spacing w:line="480" w:lineRule="auto"/>
        <w:ind w:left="720"/>
        <w:contextualSpacing/>
        <w:jc w:val="both"/>
        <w:rPr>
          <w:rFonts w:cs="Arial"/>
          <w:sz w:val="22"/>
        </w:rPr>
      </w:pPr>
    </w:p>
    <w:p w14:paraId="6E04B07E" w14:textId="5D383BC6" w:rsidR="00F46886" w:rsidRPr="00D861A8" w:rsidRDefault="009F5A11" w:rsidP="00252B8B">
      <w:pPr>
        <w:spacing w:line="360" w:lineRule="auto"/>
        <w:ind w:left="720"/>
        <w:contextualSpacing/>
        <w:jc w:val="both"/>
        <w:rPr>
          <w:rFonts w:cs="Arial"/>
          <w:sz w:val="22"/>
        </w:rPr>
      </w:pPr>
      <w:r w:rsidRPr="00D861A8">
        <w:rPr>
          <w:rFonts w:cs="Arial"/>
          <w:sz w:val="22"/>
        </w:rPr>
        <w:t>‘</w:t>
      </w:r>
      <w:r w:rsidR="00335283" w:rsidRPr="00D861A8">
        <w:rPr>
          <w:rFonts w:cs="Arial"/>
          <w:sz w:val="22"/>
        </w:rPr>
        <w:t>Fact of the matter is t</w:t>
      </w:r>
      <w:r w:rsidR="00370453">
        <w:rPr>
          <w:rFonts w:cs="Arial"/>
          <w:sz w:val="22"/>
        </w:rPr>
        <w:t xml:space="preserve">hat the second defendant agreed. . . </w:t>
      </w:r>
      <w:r w:rsidR="001B323D">
        <w:rPr>
          <w:rFonts w:cs="Arial"/>
          <w:sz w:val="22"/>
        </w:rPr>
        <w:t>to the supply</w:t>
      </w:r>
      <w:r w:rsidR="00335283" w:rsidRPr="00D861A8">
        <w:rPr>
          <w:rFonts w:cs="Arial"/>
          <w:sz w:val="22"/>
        </w:rPr>
        <w:t xml:space="preserve"> and installation of an upgraded solar system to the tune of N$ 526 322.47, as offered by the plaintiff, which so became a reality and became available for use and was to the benefit of all on Okatare. Again at the admitted expense and </w:t>
      </w:r>
      <w:r w:rsidR="004B4807">
        <w:rPr>
          <w:rFonts w:cs="Arial"/>
          <w:sz w:val="22"/>
        </w:rPr>
        <w:t>“</w:t>
      </w:r>
      <w:r w:rsidR="00335283" w:rsidRPr="00D861A8">
        <w:rPr>
          <w:rFonts w:cs="Arial"/>
          <w:sz w:val="22"/>
        </w:rPr>
        <w:t>impoverishment</w:t>
      </w:r>
      <w:r w:rsidR="004B4807">
        <w:rPr>
          <w:rFonts w:cs="Arial"/>
          <w:sz w:val="22"/>
        </w:rPr>
        <w:t>”</w:t>
      </w:r>
      <w:r w:rsidR="00335283" w:rsidRPr="00D861A8">
        <w:rPr>
          <w:rFonts w:cs="Arial"/>
          <w:sz w:val="22"/>
        </w:rPr>
        <w:t xml:space="preserve"> of the </w:t>
      </w:r>
      <w:r w:rsidR="00DC29D8" w:rsidRPr="00D861A8">
        <w:rPr>
          <w:rFonts w:cs="Arial"/>
          <w:sz w:val="22"/>
        </w:rPr>
        <w:t>plaintiff</w:t>
      </w:r>
      <w:r w:rsidR="00335283" w:rsidRPr="00D861A8">
        <w:rPr>
          <w:rFonts w:cs="Arial"/>
          <w:sz w:val="22"/>
        </w:rPr>
        <w:t>.</w:t>
      </w:r>
      <w:r w:rsidR="00F46886" w:rsidRPr="00D861A8">
        <w:rPr>
          <w:rFonts w:cs="Arial"/>
          <w:sz w:val="22"/>
        </w:rPr>
        <w:t>’</w:t>
      </w:r>
      <w:r w:rsidR="00D043D9" w:rsidRPr="00D861A8">
        <w:rPr>
          <w:rFonts w:cs="Arial"/>
          <w:sz w:val="22"/>
        </w:rPr>
        <w:t xml:space="preserve"> </w:t>
      </w:r>
    </w:p>
    <w:p w14:paraId="5441E9D0" w14:textId="77777777" w:rsidR="00F46886" w:rsidRDefault="00F46886" w:rsidP="00E351D8">
      <w:pPr>
        <w:spacing w:line="480" w:lineRule="auto"/>
        <w:jc w:val="both"/>
        <w:rPr>
          <w:rFonts w:cs="Arial"/>
          <w:szCs w:val="24"/>
        </w:rPr>
      </w:pPr>
    </w:p>
    <w:p w14:paraId="298CA09F" w14:textId="30F827AA" w:rsidR="00F46886" w:rsidRPr="00D861A8" w:rsidRDefault="00D043D9" w:rsidP="00E351D8">
      <w:pPr>
        <w:pStyle w:val="NoSpacing"/>
        <w:numPr>
          <w:ilvl w:val="0"/>
          <w:numId w:val="8"/>
        </w:numPr>
        <w:spacing w:line="480" w:lineRule="auto"/>
        <w:ind w:left="0" w:firstLine="0"/>
        <w:jc w:val="both"/>
        <w:rPr>
          <w:rFonts w:ascii="Arial" w:hAnsi="Arial" w:cs="Arial"/>
          <w:sz w:val="24"/>
          <w:szCs w:val="24"/>
        </w:rPr>
      </w:pPr>
      <w:r w:rsidRPr="00D861A8">
        <w:rPr>
          <w:rFonts w:ascii="Arial" w:hAnsi="Arial" w:cs="Arial"/>
          <w:sz w:val="24"/>
          <w:szCs w:val="24"/>
        </w:rPr>
        <w:t xml:space="preserve">The </w:t>
      </w:r>
      <w:r w:rsidR="009F5A11" w:rsidRPr="00D861A8">
        <w:rPr>
          <w:rFonts w:ascii="Arial" w:hAnsi="Arial" w:cs="Arial"/>
          <w:sz w:val="24"/>
          <w:szCs w:val="24"/>
        </w:rPr>
        <w:t xml:space="preserve">court </w:t>
      </w:r>
      <w:r w:rsidR="009F5A11" w:rsidRPr="00370453">
        <w:rPr>
          <w:rFonts w:ascii="Arial" w:hAnsi="Arial" w:cs="Arial"/>
          <w:i/>
          <w:sz w:val="24"/>
          <w:szCs w:val="24"/>
        </w:rPr>
        <w:t>a quo</w:t>
      </w:r>
      <w:r w:rsidR="009F5A11" w:rsidRPr="00D861A8">
        <w:rPr>
          <w:rFonts w:ascii="Arial" w:hAnsi="Arial" w:cs="Arial"/>
          <w:sz w:val="24"/>
          <w:szCs w:val="24"/>
        </w:rPr>
        <w:t xml:space="preserve"> </w:t>
      </w:r>
      <w:r w:rsidRPr="00D861A8">
        <w:rPr>
          <w:rFonts w:ascii="Arial" w:hAnsi="Arial" w:cs="Arial"/>
          <w:sz w:val="24"/>
          <w:szCs w:val="24"/>
        </w:rPr>
        <w:t xml:space="preserve">was </w:t>
      </w:r>
      <w:r w:rsidR="001C23EB" w:rsidRPr="00D861A8">
        <w:rPr>
          <w:rFonts w:ascii="Arial" w:hAnsi="Arial" w:cs="Arial"/>
          <w:sz w:val="24"/>
          <w:szCs w:val="24"/>
        </w:rPr>
        <w:t xml:space="preserve">therefore </w:t>
      </w:r>
      <w:r w:rsidRPr="00D861A8">
        <w:rPr>
          <w:rFonts w:ascii="Arial" w:hAnsi="Arial" w:cs="Arial"/>
          <w:sz w:val="24"/>
          <w:szCs w:val="24"/>
        </w:rPr>
        <w:t>satisfied that ‘all this’ ‘enriched the defendants’.</w:t>
      </w:r>
      <w:r w:rsidR="00F46886" w:rsidRPr="00D861A8">
        <w:rPr>
          <w:rFonts w:ascii="Arial" w:hAnsi="Arial" w:cs="Arial"/>
          <w:sz w:val="24"/>
          <w:szCs w:val="24"/>
        </w:rPr>
        <w:t xml:space="preserve"> </w:t>
      </w:r>
      <w:r w:rsidRPr="00D861A8">
        <w:rPr>
          <w:rFonts w:ascii="Arial" w:hAnsi="Arial" w:cs="Arial"/>
          <w:sz w:val="24"/>
          <w:szCs w:val="24"/>
        </w:rPr>
        <w:t>According to the</w:t>
      </w:r>
      <w:r w:rsidR="00370453">
        <w:rPr>
          <w:rFonts w:ascii="Arial" w:hAnsi="Arial" w:cs="Arial"/>
          <w:sz w:val="24"/>
          <w:szCs w:val="24"/>
        </w:rPr>
        <w:t xml:space="preserve"> High Court, the receipt of €</w:t>
      </w:r>
      <w:r w:rsidR="002403B5">
        <w:rPr>
          <w:rFonts w:ascii="Arial" w:hAnsi="Arial" w:cs="Arial"/>
          <w:sz w:val="24"/>
          <w:szCs w:val="24"/>
        </w:rPr>
        <w:t>198 019,</w:t>
      </w:r>
      <w:r w:rsidRPr="00D861A8">
        <w:rPr>
          <w:rFonts w:ascii="Arial" w:hAnsi="Arial" w:cs="Arial"/>
          <w:sz w:val="24"/>
          <w:szCs w:val="24"/>
        </w:rPr>
        <w:t>17</w:t>
      </w:r>
      <w:r w:rsidR="002403B5">
        <w:rPr>
          <w:rFonts w:ascii="Arial" w:hAnsi="Arial" w:cs="Arial"/>
          <w:sz w:val="24"/>
          <w:szCs w:val="24"/>
        </w:rPr>
        <w:t xml:space="preserve"> and N$ 526 322,</w:t>
      </w:r>
      <w:r w:rsidR="00FC1CF5">
        <w:rPr>
          <w:rFonts w:ascii="Arial" w:hAnsi="Arial" w:cs="Arial"/>
          <w:sz w:val="24"/>
          <w:szCs w:val="24"/>
        </w:rPr>
        <w:t xml:space="preserve">47 ‘is admitted’ </w:t>
      </w:r>
      <w:r w:rsidRPr="00D861A8">
        <w:rPr>
          <w:rFonts w:ascii="Arial" w:hAnsi="Arial" w:cs="Arial"/>
          <w:sz w:val="24"/>
          <w:szCs w:val="24"/>
        </w:rPr>
        <w:t xml:space="preserve">and that the plaintiff is ‘in principle’ </w:t>
      </w:r>
      <w:r w:rsidR="009E7150" w:rsidRPr="00D861A8">
        <w:rPr>
          <w:rFonts w:ascii="Arial" w:hAnsi="Arial" w:cs="Arial"/>
          <w:sz w:val="24"/>
          <w:szCs w:val="24"/>
        </w:rPr>
        <w:t xml:space="preserve">entitled to </w:t>
      </w:r>
      <w:r w:rsidRPr="00D861A8">
        <w:rPr>
          <w:rFonts w:ascii="Arial" w:hAnsi="Arial" w:cs="Arial"/>
          <w:sz w:val="24"/>
          <w:szCs w:val="24"/>
        </w:rPr>
        <w:t>‘lay claim to’ that money. And that ‘Generally, the li</w:t>
      </w:r>
      <w:r w:rsidR="00F46886" w:rsidRPr="00D861A8">
        <w:rPr>
          <w:rFonts w:ascii="Arial" w:hAnsi="Arial" w:cs="Arial"/>
          <w:sz w:val="24"/>
          <w:szCs w:val="24"/>
        </w:rPr>
        <w:t>ability of the defendants is thu</w:t>
      </w:r>
      <w:r w:rsidRPr="00D861A8">
        <w:rPr>
          <w:rFonts w:ascii="Arial" w:hAnsi="Arial" w:cs="Arial"/>
          <w:sz w:val="24"/>
          <w:szCs w:val="24"/>
        </w:rPr>
        <w:t>s confined to the extent that they continue to remain enriched through the amo</w:t>
      </w:r>
      <w:r w:rsidR="00F46886" w:rsidRPr="00D861A8">
        <w:rPr>
          <w:rFonts w:ascii="Arial" w:hAnsi="Arial" w:cs="Arial"/>
          <w:sz w:val="24"/>
          <w:szCs w:val="24"/>
        </w:rPr>
        <w:t>u</w:t>
      </w:r>
      <w:r w:rsidRPr="00D861A8">
        <w:rPr>
          <w:rFonts w:ascii="Arial" w:hAnsi="Arial" w:cs="Arial"/>
          <w:sz w:val="24"/>
          <w:szCs w:val="24"/>
        </w:rPr>
        <w:t xml:space="preserve">nts actually </w:t>
      </w:r>
      <w:r w:rsidR="00D861A8">
        <w:rPr>
          <w:rFonts w:ascii="Arial" w:hAnsi="Arial" w:cs="Arial"/>
          <w:sz w:val="24"/>
          <w:szCs w:val="24"/>
        </w:rPr>
        <w:t>. . . a</w:t>
      </w:r>
      <w:r w:rsidRPr="00D861A8">
        <w:rPr>
          <w:rFonts w:ascii="Arial" w:hAnsi="Arial" w:cs="Arial"/>
          <w:sz w:val="24"/>
          <w:szCs w:val="24"/>
        </w:rPr>
        <w:t xml:space="preserve">dmittedly </w:t>
      </w:r>
      <w:r w:rsidR="00D861A8">
        <w:rPr>
          <w:rFonts w:ascii="Arial" w:hAnsi="Arial" w:cs="Arial"/>
          <w:sz w:val="24"/>
          <w:szCs w:val="24"/>
        </w:rPr>
        <w:t>. . . received</w:t>
      </w:r>
      <w:r w:rsidR="006534C6">
        <w:rPr>
          <w:rFonts w:ascii="Arial" w:hAnsi="Arial" w:cs="Arial"/>
          <w:sz w:val="24"/>
          <w:szCs w:val="24"/>
        </w:rPr>
        <w:t>’</w:t>
      </w:r>
      <w:r w:rsidR="00AE75E3">
        <w:rPr>
          <w:rFonts w:ascii="Arial" w:hAnsi="Arial" w:cs="Arial"/>
          <w:sz w:val="24"/>
          <w:szCs w:val="24"/>
        </w:rPr>
        <w:t>.</w:t>
      </w:r>
    </w:p>
    <w:p w14:paraId="14CBF728" w14:textId="77777777" w:rsidR="001C23EB" w:rsidRDefault="001C23EB" w:rsidP="00E351D8">
      <w:pPr>
        <w:spacing w:line="480" w:lineRule="auto"/>
        <w:jc w:val="both"/>
        <w:rPr>
          <w:rFonts w:cs="Arial"/>
          <w:szCs w:val="24"/>
        </w:rPr>
      </w:pPr>
    </w:p>
    <w:p w14:paraId="6FD58189" w14:textId="330E9FC6" w:rsidR="001C23EB" w:rsidRDefault="001C23EB" w:rsidP="00E351D8">
      <w:pPr>
        <w:pStyle w:val="NoSpacing"/>
        <w:numPr>
          <w:ilvl w:val="0"/>
          <w:numId w:val="8"/>
        </w:numPr>
        <w:spacing w:line="480" w:lineRule="auto"/>
        <w:ind w:left="0" w:firstLine="0"/>
        <w:jc w:val="both"/>
        <w:rPr>
          <w:rFonts w:ascii="Arial" w:hAnsi="Arial" w:cs="Arial"/>
          <w:sz w:val="24"/>
          <w:szCs w:val="24"/>
        </w:rPr>
      </w:pPr>
      <w:r w:rsidRPr="00EA7DC0">
        <w:rPr>
          <w:rFonts w:ascii="Arial" w:hAnsi="Arial" w:cs="Arial"/>
          <w:sz w:val="24"/>
          <w:szCs w:val="24"/>
        </w:rPr>
        <w:t xml:space="preserve">The learned judge </w:t>
      </w:r>
      <w:r w:rsidR="00AF5E21" w:rsidRPr="00EA7DC0">
        <w:rPr>
          <w:rFonts w:ascii="Arial" w:hAnsi="Arial" w:cs="Arial"/>
          <w:i/>
          <w:sz w:val="24"/>
          <w:szCs w:val="24"/>
        </w:rPr>
        <w:t>a quo</w:t>
      </w:r>
      <w:r w:rsidR="00AF5E21" w:rsidRPr="00EA7DC0">
        <w:rPr>
          <w:rFonts w:ascii="Arial" w:hAnsi="Arial" w:cs="Arial"/>
          <w:sz w:val="24"/>
          <w:szCs w:val="24"/>
        </w:rPr>
        <w:t xml:space="preserve"> </w:t>
      </w:r>
      <w:r w:rsidR="00D21182" w:rsidRPr="00EA7DC0">
        <w:rPr>
          <w:rFonts w:ascii="Arial" w:hAnsi="Arial" w:cs="Arial"/>
          <w:sz w:val="24"/>
          <w:szCs w:val="24"/>
        </w:rPr>
        <w:t>held:</w:t>
      </w:r>
    </w:p>
    <w:p w14:paraId="0048A5A7" w14:textId="77777777" w:rsidR="00EA7DC0" w:rsidRDefault="00EA7DC0" w:rsidP="00E351D8">
      <w:pPr>
        <w:pStyle w:val="ListParagraph"/>
        <w:spacing w:line="480" w:lineRule="auto"/>
        <w:rPr>
          <w:rFonts w:cs="Arial"/>
          <w:szCs w:val="24"/>
        </w:rPr>
      </w:pPr>
    </w:p>
    <w:p w14:paraId="51332B3D" w14:textId="723A41B9" w:rsidR="00D21182" w:rsidRPr="00D861A8" w:rsidRDefault="00D21182" w:rsidP="00325405">
      <w:pPr>
        <w:pStyle w:val="NoSpacing"/>
        <w:spacing w:line="360" w:lineRule="auto"/>
        <w:ind w:left="720"/>
        <w:jc w:val="both"/>
        <w:rPr>
          <w:rFonts w:ascii="Arial" w:hAnsi="Arial" w:cs="Arial"/>
        </w:rPr>
      </w:pPr>
      <w:r w:rsidRPr="00D861A8">
        <w:rPr>
          <w:rFonts w:ascii="Arial" w:hAnsi="Arial" w:cs="Arial"/>
        </w:rPr>
        <w:t xml:space="preserve">‘[36] I agree with Mr </w:t>
      </w:r>
      <w:r w:rsidR="00E81643" w:rsidRPr="00D861A8">
        <w:rPr>
          <w:rFonts w:ascii="Arial" w:hAnsi="Arial" w:cs="Arial"/>
        </w:rPr>
        <w:t>Mouton. The pre-trial order – and the issues which had been formulated for purposes of</w:t>
      </w:r>
      <w:r w:rsidR="00231FE8">
        <w:rPr>
          <w:rFonts w:ascii="Arial" w:hAnsi="Arial" w:cs="Arial"/>
        </w:rPr>
        <w:t xml:space="preserve"> trial in such pre-trial order – </w:t>
      </w:r>
      <w:r w:rsidR="00E81643" w:rsidRPr="00D861A8">
        <w:rPr>
          <w:rFonts w:ascii="Arial" w:hAnsi="Arial" w:cs="Arial"/>
        </w:rPr>
        <w:t xml:space="preserve">on the basis of the </w:t>
      </w:r>
      <w:r w:rsidR="00DC29D8" w:rsidRPr="00D861A8">
        <w:rPr>
          <w:rFonts w:ascii="Arial" w:hAnsi="Arial" w:cs="Arial"/>
        </w:rPr>
        <w:t>parties’</w:t>
      </w:r>
      <w:r w:rsidR="00231FE8">
        <w:rPr>
          <w:rFonts w:ascii="Arial" w:hAnsi="Arial" w:cs="Arial"/>
        </w:rPr>
        <w:t xml:space="preserve">– </w:t>
      </w:r>
      <w:r w:rsidR="00E81643" w:rsidRPr="00D861A8">
        <w:rPr>
          <w:rFonts w:ascii="Arial" w:hAnsi="Arial" w:cs="Arial"/>
        </w:rPr>
        <w:t xml:space="preserve">trial proposals – did not require the plaintiff to prove the quantum , ie the extent of the </w:t>
      </w:r>
      <w:r w:rsidR="00DC29D8" w:rsidRPr="00D861A8">
        <w:rPr>
          <w:rFonts w:ascii="Arial" w:hAnsi="Arial" w:cs="Arial"/>
        </w:rPr>
        <w:t>defendants’ enrichment</w:t>
      </w:r>
      <w:r w:rsidR="00AE75E3">
        <w:rPr>
          <w:rFonts w:ascii="Arial" w:hAnsi="Arial" w:cs="Arial"/>
        </w:rPr>
        <w:t>.’</w:t>
      </w:r>
    </w:p>
    <w:p w14:paraId="394CCE86" w14:textId="77777777" w:rsidR="00F46886" w:rsidRDefault="00F46886" w:rsidP="00E351D8">
      <w:pPr>
        <w:spacing w:line="480" w:lineRule="auto"/>
        <w:jc w:val="both"/>
        <w:rPr>
          <w:rFonts w:cs="Arial"/>
          <w:szCs w:val="24"/>
        </w:rPr>
      </w:pPr>
    </w:p>
    <w:p w14:paraId="143A9D83" w14:textId="79030AAF" w:rsidR="009F5A11" w:rsidRPr="00D861A8" w:rsidRDefault="00D043D9" w:rsidP="00E351D8">
      <w:pPr>
        <w:pStyle w:val="NoSpacing"/>
        <w:numPr>
          <w:ilvl w:val="0"/>
          <w:numId w:val="8"/>
        </w:numPr>
        <w:spacing w:line="480" w:lineRule="auto"/>
        <w:ind w:left="0" w:firstLine="0"/>
        <w:jc w:val="both"/>
        <w:rPr>
          <w:rFonts w:ascii="Arial" w:hAnsi="Arial" w:cs="Arial"/>
          <w:sz w:val="24"/>
          <w:szCs w:val="24"/>
        </w:rPr>
      </w:pPr>
      <w:r w:rsidRPr="00D861A8">
        <w:rPr>
          <w:rFonts w:ascii="Arial" w:hAnsi="Arial" w:cs="Arial"/>
          <w:sz w:val="24"/>
          <w:szCs w:val="24"/>
        </w:rPr>
        <w:t xml:space="preserve">The </w:t>
      </w:r>
      <w:r w:rsidR="009F5A11" w:rsidRPr="00D861A8">
        <w:rPr>
          <w:rFonts w:ascii="Arial" w:hAnsi="Arial" w:cs="Arial"/>
          <w:sz w:val="24"/>
          <w:szCs w:val="24"/>
        </w:rPr>
        <w:t>High Court</w:t>
      </w:r>
      <w:r w:rsidRPr="00D861A8">
        <w:rPr>
          <w:rFonts w:ascii="Arial" w:hAnsi="Arial" w:cs="Arial"/>
          <w:sz w:val="24"/>
          <w:szCs w:val="24"/>
        </w:rPr>
        <w:t xml:space="preserve"> took the view that the ‘</w:t>
      </w:r>
      <w:r w:rsidR="00512A1D">
        <w:rPr>
          <w:rFonts w:ascii="Arial" w:hAnsi="Arial" w:cs="Arial"/>
          <w:sz w:val="24"/>
          <w:szCs w:val="24"/>
        </w:rPr>
        <w:t>admitted receipt of the amounts . . .</w:t>
      </w:r>
      <w:r w:rsidRPr="00D861A8">
        <w:rPr>
          <w:rFonts w:ascii="Arial" w:hAnsi="Arial" w:cs="Arial"/>
          <w:sz w:val="24"/>
          <w:szCs w:val="24"/>
        </w:rPr>
        <w:t xml:space="preserve"> created a presumption of enrichment, which thus kicks in also in this case</w:t>
      </w:r>
      <w:r w:rsidR="006534C6">
        <w:rPr>
          <w:rFonts w:ascii="Arial" w:hAnsi="Arial" w:cs="Arial"/>
          <w:sz w:val="24"/>
          <w:szCs w:val="24"/>
        </w:rPr>
        <w:t>’</w:t>
      </w:r>
      <w:r w:rsidRPr="00D861A8">
        <w:rPr>
          <w:rFonts w:ascii="Arial" w:hAnsi="Arial" w:cs="Arial"/>
          <w:sz w:val="24"/>
          <w:szCs w:val="24"/>
        </w:rPr>
        <w:t xml:space="preserve">. The </w:t>
      </w:r>
      <w:r w:rsidRPr="00D861A8">
        <w:rPr>
          <w:rFonts w:ascii="Arial" w:hAnsi="Arial" w:cs="Arial"/>
          <w:sz w:val="24"/>
          <w:szCs w:val="24"/>
        </w:rPr>
        <w:lastRenderedPageBreak/>
        <w:t>learned judge added that the defendants failed to dis</w:t>
      </w:r>
      <w:r w:rsidR="004E0F7F" w:rsidRPr="00D861A8">
        <w:rPr>
          <w:rFonts w:ascii="Arial" w:hAnsi="Arial" w:cs="Arial"/>
          <w:sz w:val="24"/>
          <w:szCs w:val="24"/>
        </w:rPr>
        <w:t>charge the onus of disproving the presumption of enrichment which arose from the common cause fact of rece</w:t>
      </w:r>
      <w:r w:rsidR="009E7150" w:rsidRPr="00D861A8">
        <w:rPr>
          <w:rFonts w:ascii="Arial" w:hAnsi="Arial" w:cs="Arial"/>
          <w:sz w:val="24"/>
          <w:szCs w:val="24"/>
        </w:rPr>
        <w:t>i</w:t>
      </w:r>
      <w:r w:rsidR="00D861A8">
        <w:rPr>
          <w:rFonts w:ascii="Arial" w:hAnsi="Arial" w:cs="Arial"/>
          <w:sz w:val="24"/>
          <w:szCs w:val="24"/>
        </w:rPr>
        <w:t>pt of the claimed amounts.</w:t>
      </w:r>
    </w:p>
    <w:p w14:paraId="106E2BEB" w14:textId="77777777" w:rsidR="009F5A11" w:rsidRDefault="009F5A11" w:rsidP="00E351D8">
      <w:pPr>
        <w:spacing w:line="480" w:lineRule="auto"/>
        <w:jc w:val="both"/>
        <w:rPr>
          <w:rFonts w:cs="Arial"/>
          <w:szCs w:val="24"/>
        </w:rPr>
      </w:pPr>
    </w:p>
    <w:p w14:paraId="269AF81F" w14:textId="62EA3F14" w:rsidR="001317EC" w:rsidRPr="00D861A8" w:rsidRDefault="004E0F7F" w:rsidP="00E351D8">
      <w:pPr>
        <w:pStyle w:val="NoSpacing"/>
        <w:numPr>
          <w:ilvl w:val="0"/>
          <w:numId w:val="8"/>
        </w:numPr>
        <w:spacing w:line="480" w:lineRule="auto"/>
        <w:ind w:left="0" w:firstLine="0"/>
        <w:jc w:val="both"/>
        <w:rPr>
          <w:rFonts w:ascii="Arial" w:hAnsi="Arial" w:cs="Arial"/>
          <w:sz w:val="24"/>
          <w:szCs w:val="24"/>
        </w:rPr>
      </w:pPr>
      <w:r w:rsidRPr="00D861A8">
        <w:rPr>
          <w:rFonts w:ascii="Arial" w:hAnsi="Arial" w:cs="Arial"/>
          <w:sz w:val="24"/>
          <w:szCs w:val="24"/>
        </w:rPr>
        <w:t xml:space="preserve">For this conclusion the court </w:t>
      </w:r>
      <w:r w:rsidRPr="00512A1D">
        <w:rPr>
          <w:rFonts w:ascii="Arial" w:hAnsi="Arial" w:cs="Arial"/>
          <w:i/>
          <w:sz w:val="24"/>
          <w:szCs w:val="24"/>
        </w:rPr>
        <w:t>a quo</w:t>
      </w:r>
      <w:r w:rsidRPr="00D861A8">
        <w:rPr>
          <w:rFonts w:ascii="Arial" w:hAnsi="Arial" w:cs="Arial"/>
          <w:sz w:val="24"/>
          <w:szCs w:val="24"/>
        </w:rPr>
        <w:t xml:space="preserve"> relied on </w:t>
      </w:r>
      <w:r w:rsidRPr="002833BA">
        <w:rPr>
          <w:rFonts w:ascii="Arial" w:hAnsi="Arial" w:cs="Arial"/>
          <w:i/>
          <w:sz w:val="24"/>
          <w:szCs w:val="24"/>
        </w:rPr>
        <w:t>dicta</w:t>
      </w:r>
      <w:r w:rsidRPr="00D861A8">
        <w:rPr>
          <w:rFonts w:ascii="Arial" w:hAnsi="Arial" w:cs="Arial"/>
          <w:sz w:val="24"/>
          <w:szCs w:val="24"/>
        </w:rPr>
        <w:t xml:space="preserve"> from South Africa</w:t>
      </w:r>
      <w:r w:rsidR="00512A1D">
        <w:rPr>
          <w:rStyle w:val="FootnoteReference"/>
          <w:rFonts w:ascii="Arial" w:hAnsi="Arial" w:cs="Arial"/>
          <w:sz w:val="24"/>
          <w:szCs w:val="24"/>
        </w:rPr>
        <w:footnoteReference w:id="5"/>
      </w:r>
      <w:r w:rsidR="00512A1D">
        <w:rPr>
          <w:rFonts w:ascii="Arial" w:hAnsi="Arial" w:cs="Arial"/>
          <w:sz w:val="24"/>
          <w:szCs w:val="24"/>
        </w:rPr>
        <w:t xml:space="preserve"> –</w:t>
      </w:r>
      <w:r w:rsidRPr="00D861A8">
        <w:rPr>
          <w:rFonts w:ascii="Arial" w:hAnsi="Arial" w:cs="Arial"/>
          <w:sz w:val="24"/>
          <w:szCs w:val="24"/>
        </w:rPr>
        <w:t xml:space="preserve"> typically stated in the following ter</w:t>
      </w:r>
      <w:r w:rsidR="009E7150" w:rsidRPr="00D861A8">
        <w:rPr>
          <w:rFonts w:ascii="Arial" w:hAnsi="Arial" w:cs="Arial"/>
          <w:sz w:val="24"/>
          <w:szCs w:val="24"/>
        </w:rPr>
        <w:t>m</w:t>
      </w:r>
      <w:r w:rsidRPr="00D861A8">
        <w:rPr>
          <w:rFonts w:ascii="Arial" w:hAnsi="Arial" w:cs="Arial"/>
          <w:sz w:val="24"/>
          <w:szCs w:val="24"/>
        </w:rPr>
        <w:t xml:space="preserve">s  in </w:t>
      </w:r>
      <w:r w:rsidRPr="00427FAA">
        <w:rPr>
          <w:rFonts w:ascii="Arial" w:hAnsi="Arial" w:cs="Arial"/>
          <w:i/>
          <w:sz w:val="24"/>
          <w:szCs w:val="24"/>
        </w:rPr>
        <w:t xml:space="preserve">Kudu Granite Operations (Pty) Ltd </w:t>
      </w:r>
      <w:r w:rsidR="00C31214" w:rsidRPr="00427FAA">
        <w:rPr>
          <w:rFonts w:ascii="Arial" w:hAnsi="Arial" w:cs="Arial"/>
          <w:i/>
          <w:sz w:val="24"/>
          <w:szCs w:val="24"/>
        </w:rPr>
        <w:t>v Caterna Ltd</w:t>
      </w:r>
      <w:r w:rsidR="00512A1D" w:rsidRPr="00855909">
        <w:rPr>
          <w:rStyle w:val="FootnoteReference"/>
          <w:rFonts w:ascii="Arial" w:hAnsi="Arial" w:cs="Arial"/>
          <w:sz w:val="24"/>
          <w:szCs w:val="24"/>
        </w:rPr>
        <w:footnoteReference w:id="6"/>
      </w:r>
      <w:r w:rsidR="00C31214" w:rsidRPr="00D861A8">
        <w:rPr>
          <w:rFonts w:ascii="Arial" w:hAnsi="Arial" w:cs="Arial"/>
          <w:sz w:val="24"/>
          <w:szCs w:val="24"/>
        </w:rPr>
        <w:t>:</w:t>
      </w:r>
    </w:p>
    <w:p w14:paraId="76E05585" w14:textId="77777777" w:rsidR="00D861A8" w:rsidRDefault="00D861A8" w:rsidP="00E351D8">
      <w:pPr>
        <w:spacing w:line="480" w:lineRule="auto"/>
        <w:ind w:left="720"/>
        <w:jc w:val="both"/>
        <w:rPr>
          <w:rFonts w:cs="Arial"/>
          <w:sz w:val="22"/>
        </w:rPr>
      </w:pPr>
    </w:p>
    <w:p w14:paraId="473072F7" w14:textId="730D0E8C" w:rsidR="001317EC" w:rsidRPr="00D861A8" w:rsidRDefault="00C31214" w:rsidP="00A7629F">
      <w:pPr>
        <w:spacing w:line="360" w:lineRule="auto"/>
        <w:ind w:left="720"/>
        <w:jc w:val="both"/>
        <w:rPr>
          <w:rFonts w:cs="Arial"/>
          <w:sz w:val="22"/>
        </w:rPr>
      </w:pPr>
      <w:r w:rsidRPr="00D861A8">
        <w:rPr>
          <w:rFonts w:cs="Arial"/>
          <w:sz w:val="22"/>
        </w:rPr>
        <w:t>‘[21] A presumption of enrichment ari</w:t>
      </w:r>
      <w:r w:rsidR="009E7150" w:rsidRPr="00D861A8">
        <w:rPr>
          <w:rFonts w:cs="Arial"/>
          <w:sz w:val="22"/>
        </w:rPr>
        <w:t>ses</w:t>
      </w:r>
      <w:r w:rsidRPr="00D861A8">
        <w:rPr>
          <w:rFonts w:cs="Arial"/>
          <w:sz w:val="22"/>
        </w:rPr>
        <w:t xml:space="preserve"> when money is paid or goods are delivered.  A defendant then bears the onus to prov</w:t>
      </w:r>
      <w:r w:rsidR="00855909">
        <w:rPr>
          <w:rFonts w:cs="Arial"/>
          <w:sz w:val="22"/>
        </w:rPr>
        <w:t>e that he has not been enriched</w:t>
      </w:r>
      <w:r w:rsidRPr="00D861A8">
        <w:rPr>
          <w:rFonts w:cs="Arial"/>
          <w:sz w:val="22"/>
        </w:rPr>
        <w:t>.</w:t>
      </w:r>
      <w:r w:rsidR="00855909">
        <w:rPr>
          <w:rFonts w:cs="Arial"/>
          <w:sz w:val="22"/>
        </w:rPr>
        <w:t>’</w:t>
      </w:r>
    </w:p>
    <w:p w14:paraId="7C80B62E" w14:textId="77777777" w:rsidR="009F5A11" w:rsidRDefault="009F5A11" w:rsidP="00E351D8">
      <w:pPr>
        <w:spacing w:line="480" w:lineRule="auto"/>
        <w:jc w:val="both"/>
        <w:rPr>
          <w:rFonts w:cs="Arial"/>
          <w:szCs w:val="24"/>
        </w:rPr>
      </w:pPr>
    </w:p>
    <w:p w14:paraId="3769CE3D" w14:textId="1A38695C" w:rsidR="00F86126" w:rsidRPr="00044FD6" w:rsidRDefault="001317EC" w:rsidP="00E351D8">
      <w:pPr>
        <w:pStyle w:val="NoSpacing"/>
        <w:numPr>
          <w:ilvl w:val="0"/>
          <w:numId w:val="8"/>
        </w:numPr>
        <w:spacing w:line="480" w:lineRule="auto"/>
        <w:ind w:left="0" w:firstLine="0"/>
        <w:jc w:val="both"/>
        <w:rPr>
          <w:rFonts w:ascii="Arial" w:hAnsi="Arial" w:cs="Arial"/>
          <w:sz w:val="24"/>
          <w:szCs w:val="24"/>
        </w:rPr>
      </w:pPr>
      <w:r w:rsidRPr="00044FD6">
        <w:rPr>
          <w:rFonts w:ascii="Arial" w:hAnsi="Arial" w:cs="Arial"/>
          <w:sz w:val="24"/>
          <w:szCs w:val="24"/>
        </w:rPr>
        <w:t xml:space="preserve">According to the High Court, the defendants made no attempt to discharge the onus </w:t>
      </w:r>
      <w:r w:rsidR="009F5A11" w:rsidRPr="00044FD6">
        <w:rPr>
          <w:rFonts w:ascii="Arial" w:hAnsi="Arial" w:cs="Arial"/>
          <w:sz w:val="24"/>
          <w:szCs w:val="24"/>
        </w:rPr>
        <w:t>‘because</w:t>
      </w:r>
      <w:r w:rsidRPr="00044FD6">
        <w:rPr>
          <w:rFonts w:ascii="Arial" w:hAnsi="Arial" w:cs="Arial"/>
          <w:sz w:val="24"/>
          <w:szCs w:val="24"/>
        </w:rPr>
        <w:t xml:space="preserve"> their focus was on showing that the amounts they received for the house and bungalows were a gift</w:t>
      </w:r>
      <w:r w:rsidR="007744E1" w:rsidRPr="00044FD6">
        <w:rPr>
          <w:rFonts w:ascii="Arial" w:hAnsi="Arial" w:cs="Arial"/>
          <w:sz w:val="24"/>
          <w:szCs w:val="24"/>
        </w:rPr>
        <w:t>’</w:t>
      </w:r>
      <w:r w:rsidRPr="00044FD6">
        <w:rPr>
          <w:rFonts w:ascii="Arial" w:hAnsi="Arial" w:cs="Arial"/>
          <w:sz w:val="24"/>
          <w:szCs w:val="24"/>
        </w:rPr>
        <w:t>.</w:t>
      </w:r>
      <w:r w:rsidR="00CE5E4B" w:rsidRPr="00044FD6">
        <w:rPr>
          <w:rFonts w:ascii="Arial" w:hAnsi="Arial" w:cs="Arial"/>
          <w:sz w:val="24"/>
          <w:szCs w:val="24"/>
        </w:rPr>
        <w:t xml:space="preserve"> The judge added: </w:t>
      </w:r>
      <w:r w:rsidR="009F5A11" w:rsidRPr="00044FD6">
        <w:rPr>
          <w:rFonts w:ascii="Arial" w:hAnsi="Arial" w:cs="Arial"/>
          <w:sz w:val="24"/>
          <w:szCs w:val="24"/>
        </w:rPr>
        <w:t>‘the defendants also never plead</w:t>
      </w:r>
      <w:r w:rsidR="00CE5E4B" w:rsidRPr="00044FD6">
        <w:rPr>
          <w:rFonts w:ascii="Arial" w:hAnsi="Arial" w:cs="Arial"/>
          <w:sz w:val="24"/>
          <w:szCs w:val="24"/>
        </w:rPr>
        <w:t xml:space="preserve">ed any reduction or the complete </w:t>
      </w:r>
      <w:r w:rsidR="00427FAA">
        <w:rPr>
          <w:rFonts w:ascii="Arial" w:hAnsi="Arial" w:cs="Arial"/>
          <w:sz w:val="24"/>
          <w:szCs w:val="24"/>
        </w:rPr>
        <w:t>loss</w:t>
      </w:r>
      <w:r w:rsidR="00CE5E4B" w:rsidRPr="00044FD6">
        <w:rPr>
          <w:rFonts w:ascii="Arial" w:hAnsi="Arial" w:cs="Arial"/>
          <w:sz w:val="24"/>
          <w:szCs w:val="24"/>
        </w:rPr>
        <w:t xml:space="preserve"> of the enrichment’</w:t>
      </w:r>
      <w:r w:rsidR="009F5A11" w:rsidRPr="00044FD6">
        <w:rPr>
          <w:rFonts w:ascii="Arial" w:hAnsi="Arial" w:cs="Arial"/>
          <w:sz w:val="24"/>
          <w:szCs w:val="24"/>
        </w:rPr>
        <w:t>, adding:</w:t>
      </w:r>
    </w:p>
    <w:p w14:paraId="334B289F" w14:textId="77777777" w:rsidR="009F5A11" w:rsidRPr="00E934D7" w:rsidRDefault="009F5A11" w:rsidP="00E351D8">
      <w:pPr>
        <w:spacing w:line="480" w:lineRule="auto"/>
        <w:jc w:val="both"/>
        <w:rPr>
          <w:rFonts w:cs="Arial"/>
          <w:szCs w:val="24"/>
        </w:rPr>
      </w:pPr>
    </w:p>
    <w:p w14:paraId="1EAA2576" w14:textId="712C867C" w:rsidR="00D71C7C" w:rsidRPr="00044FD6" w:rsidRDefault="00D71C7C" w:rsidP="009770E9">
      <w:pPr>
        <w:spacing w:line="360" w:lineRule="auto"/>
        <w:ind w:left="720"/>
        <w:jc w:val="both"/>
        <w:rPr>
          <w:rFonts w:cs="Arial"/>
          <w:sz w:val="22"/>
        </w:rPr>
      </w:pPr>
      <w:r w:rsidRPr="00044FD6">
        <w:rPr>
          <w:rFonts w:cs="Arial"/>
          <w:sz w:val="22"/>
        </w:rPr>
        <w:t>‘[49]</w:t>
      </w:r>
      <w:r w:rsidR="00044FD6" w:rsidRPr="00044FD6">
        <w:rPr>
          <w:rFonts w:cs="Arial"/>
          <w:sz w:val="22"/>
        </w:rPr>
        <w:t xml:space="preserve"> </w:t>
      </w:r>
      <w:r w:rsidRPr="00044FD6">
        <w:rPr>
          <w:rFonts w:cs="Arial"/>
          <w:sz w:val="22"/>
        </w:rPr>
        <w:t>Fact of the matter is that the defendants, at the end of the day, remain in possession of a beautiful house, 2 hunt</w:t>
      </w:r>
      <w:r w:rsidR="00855909">
        <w:rPr>
          <w:rFonts w:cs="Arial"/>
          <w:sz w:val="22"/>
        </w:rPr>
        <w:t>er’s bungalows and a state-of-</w:t>
      </w:r>
      <w:r w:rsidRPr="00044FD6">
        <w:rPr>
          <w:rFonts w:cs="Arial"/>
          <w:sz w:val="22"/>
        </w:rPr>
        <w:t>the art solar system. The defendants have vehemently denied that they benefit in any way from the use of the house, save, for the occasional use by it, through their children. One only needs to pause here to reflect that the probabilities, of this being true, are absolutely remote. The plaintiff has not set foot on Okatare since 2010. There is absolutely nothing,</w:t>
      </w:r>
      <w:r w:rsidR="00FC1CF5">
        <w:rPr>
          <w:rFonts w:cs="Arial"/>
          <w:sz w:val="22"/>
        </w:rPr>
        <w:t xml:space="preserve"> except for an alleged self-</w:t>
      </w:r>
      <w:r w:rsidRPr="00044FD6">
        <w:rPr>
          <w:rFonts w:cs="Arial"/>
          <w:sz w:val="22"/>
        </w:rPr>
        <w:t>imposed restraint, that prevents the defendants from using and appropriating these improvements at their whim and at any time over many years. The house and bungalows feature prominently in the mentioned brochure and on the website</w:t>
      </w:r>
      <w:r w:rsidR="00855909">
        <w:rPr>
          <w:rFonts w:cs="Arial"/>
          <w:sz w:val="22"/>
        </w:rPr>
        <w:t xml:space="preserve"> through which the Defendants’ “</w:t>
      </w:r>
      <w:r w:rsidRPr="00044FD6">
        <w:rPr>
          <w:rFonts w:cs="Arial"/>
          <w:sz w:val="22"/>
        </w:rPr>
        <w:t>Okatare Hunting Safaris</w:t>
      </w:r>
      <w:r w:rsidR="00855909">
        <w:rPr>
          <w:rFonts w:cs="Arial"/>
          <w:sz w:val="22"/>
        </w:rPr>
        <w:t xml:space="preserve">” </w:t>
      </w:r>
      <w:r w:rsidRPr="00044FD6">
        <w:rPr>
          <w:rFonts w:cs="Arial"/>
          <w:sz w:val="22"/>
        </w:rPr>
        <w:t xml:space="preserve">are advertised and through which it is held out to the public and the </w:t>
      </w:r>
      <w:r w:rsidRPr="00044FD6">
        <w:rPr>
          <w:rFonts w:cs="Arial"/>
          <w:sz w:val="22"/>
        </w:rPr>
        <w:lastRenderedPageBreak/>
        <w:t>world that such facilities are available f</w:t>
      </w:r>
      <w:r w:rsidR="00312EF7">
        <w:rPr>
          <w:rFonts w:cs="Arial"/>
          <w:sz w:val="22"/>
        </w:rPr>
        <w:t>or use and enjoyment. Exhibits “Z”, “</w:t>
      </w:r>
      <w:r w:rsidRPr="00044FD6">
        <w:rPr>
          <w:rFonts w:cs="Arial"/>
          <w:sz w:val="22"/>
        </w:rPr>
        <w:t>ZZ</w:t>
      </w:r>
      <w:r w:rsidR="00312EF7">
        <w:rPr>
          <w:rFonts w:cs="Arial"/>
          <w:sz w:val="22"/>
        </w:rPr>
        <w:t>”</w:t>
      </w:r>
      <w:r w:rsidR="007F4F24">
        <w:rPr>
          <w:rFonts w:cs="Arial"/>
          <w:sz w:val="22"/>
        </w:rPr>
        <w:t xml:space="preserve"> and “</w:t>
      </w:r>
      <w:r w:rsidRPr="00044FD6">
        <w:rPr>
          <w:rFonts w:cs="Arial"/>
          <w:sz w:val="22"/>
        </w:rPr>
        <w:t>VVVV</w:t>
      </w:r>
      <w:r w:rsidR="007F4F24">
        <w:rPr>
          <w:rFonts w:cs="Arial"/>
          <w:sz w:val="22"/>
        </w:rPr>
        <w:t>”</w:t>
      </w:r>
      <w:r w:rsidRPr="00044FD6">
        <w:rPr>
          <w:rFonts w:cs="Arial"/>
          <w:sz w:val="22"/>
        </w:rPr>
        <w:t xml:space="preserve"> underscore all this. Also the state-of-the-art solar system has ever since been available for the exclusive use of the defendants, their children and their guest</w:t>
      </w:r>
      <w:r w:rsidR="00E61F8E">
        <w:rPr>
          <w:rFonts w:cs="Arial"/>
          <w:sz w:val="22"/>
        </w:rPr>
        <w:t>s, through which – and I quote –</w:t>
      </w:r>
      <w:r w:rsidR="00C33243">
        <w:rPr>
          <w:rFonts w:cs="Arial"/>
          <w:sz w:val="22"/>
        </w:rPr>
        <w:t xml:space="preserve"> the . . .</w:t>
      </w:r>
      <w:r w:rsidRPr="00044FD6">
        <w:rPr>
          <w:rFonts w:cs="Arial"/>
          <w:sz w:val="22"/>
        </w:rPr>
        <w:t xml:space="preserve"> ensuite </w:t>
      </w:r>
      <w:r w:rsidR="00DC29D8" w:rsidRPr="00044FD6">
        <w:rPr>
          <w:rFonts w:cs="Arial"/>
          <w:sz w:val="22"/>
        </w:rPr>
        <w:t>bathrooms and</w:t>
      </w:r>
      <w:r w:rsidRPr="00044FD6">
        <w:rPr>
          <w:rFonts w:cs="Arial"/>
          <w:sz w:val="22"/>
        </w:rPr>
        <w:t xml:space="preserve"> all rooms have hot water and daily cleaning and laundry services</w:t>
      </w:r>
      <w:r w:rsidR="00C33243">
        <w:rPr>
          <w:rFonts w:cs="Arial"/>
          <w:sz w:val="22"/>
        </w:rPr>
        <w:t xml:space="preserve">. . . </w:t>
      </w:r>
      <w:r w:rsidRPr="00044FD6">
        <w:rPr>
          <w:rFonts w:cs="Arial"/>
          <w:sz w:val="22"/>
        </w:rPr>
        <w:t>.</w:t>
      </w:r>
    </w:p>
    <w:p w14:paraId="006BE64E" w14:textId="77777777" w:rsidR="00D71C7C" w:rsidRPr="00E934D7" w:rsidRDefault="00D71C7C" w:rsidP="009770E9">
      <w:pPr>
        <w:spacing w:line="360" w:lineRule="auto"/>
        <w:jc w:val="both"/>
        <w:rPr>
          <w:rFonts w:cs="Arial"/>
          <w:szCs w:val="24"/>
        </w:rPr>
      </w:pPr>
      <w:r w:rsidRPr="00E934D7">
        <w:rPr>
          <w:rFonts w:cs="Arial"/>
          <w:szCs w:val="24"/>
        </w:rPr>
        <w:t> </w:t>
      </w:r>
    </w:p>
    <w:p w14:paraId="648A3A38" w14:textId="4216F680" w:rsidR="009770E9" w:rsidRDefault="00D71C7C" w:rsidP="00A27039">
      <w:pPr>
        <w:spacing w:line="360" w:lineRule="auto"/>
        <w:ind w:left="720"/>
        <w:jc w:val="both"/>
        <w:rPr>
          <w:rFonts w:cs="Arial"/>
          <w:sz w:val="22"/>
        </w:rPr>
      </w:pPr>
      <w:r w:rsidRPr="00044FD6">
        <w:rPr>
          <w:rFonts w:cs="Arial"/>
          <w:sz w:val="22"/>
        </w:rPr>
        <w:t>[50]</w:t>
      </w:r>
      <w:r w:rsidR="00044FD6" w:rsidRPr="00044FD6">
        <w:rPr>
          <w:rFonts w:cs="Arial"/>
          <w:sz w:val="22"/>
        </w:rPr>
        <w:t xml:space="preserve"> </w:t>
      </w:r>
      <w:r w:rsidRPr="00044FD6">
        <w:rPr>
          <w:rFonts w:cs="Arial"/>
          <w:sz w:val="22"/>
        </w:rPr>
        <w:t xml:space="preserve">These uncontroverted facts thus strengthen the presumption of enrichment and militate towards the conclusion that the defendants have been enriched and thus – for the moment at least </w:t>
      </w:r>
      <w:r w:rsidR="00837B9F">
        <w:rPr>
          <w:rFonts w:cs="Arial"/>
          <w:sz w:val="22"/>
        </w:rPr>
        <w:t>–</w:t>
      </w:r>
      <w:r w:rsidRPr="00044FD6">
        <w:rPr>
          <w:rFonts w:cs="Arial"/>
          <w:sz w:val="22"/>
        </w:rPr>
        <w:t xml:space="preserve"> that such enrichment is unjustified. This is particularly so in circumstances where the defendants refuse to reimburse the plaintiff for these assets in any manner whatsoever, but in respect of which it must also be taken into account, that this refusal would be legitimate if it were to be found that the receipts of the funds through which the said improvements were effected amounted to a gift or donation.’</w:t>
      </w:r>
    </w:p>
    <w:p w14:paraId="79F872E7" w14:textId="77777777" w:rsidR="00A27039" w:rsidRPr="00E351D8" w:rsidRDefault="00A27039" w:rsidP="00A27039">
      <w:pPr>
        <w:spacing w:line="480" w:lineRule="auto"/>
        <w:ind w:left="720"/>
        <w:jc w:val="both"/>
        <w:rPr>
          <w:rFonts w:cs="Arial"/>
          <w:sz w:val="22"/>
        </w:rPr>
      </w:pPr>
    </w:p>
    <w:p w14:paraId="54D11D4B" w14:textId="7DDFF90F" w:rsidR="00051E52" w:rsidRPr="00044FD6" w:rsidRDefault="00051E52" w:rsidP="00E351D8">
      <w:pPr>
        <w:pStyle w:val="NoSpacing"/>
        <w:numPr>
          <w:ilvl w:val="0"/>
          <w:numId w:val="8"/>
        </w:numPr>
        <w:spacing w:line="480" w:lineRule="auto"/>
        <w:ind w:left="0" w:firstLine="0"/>
        <w:jc w:val="both"/>
        <w:rPr>
          <w:rFonts w:ascii="Arial" w:hAnsi="Arial" w:cs="Arial"/>
          <w:sz w:val="24"/>
          <w:szCs w:val="24"/>
        </w:rPr>
      </w:pPr>
      <w:r w:rsidRPr="00044FD6">
        <w:rPr>
          <w:rFonts w:ascii="Arial" w:hAnsi="Arial" w:cs="Arial"/>
          <w:sz w:val="24"/>
          <w:szCs w:val="24"/>
        </w:rPr>
        <w:t xml:space="preserve">The High Court </w:t>
      </w:r>
      <w:r w:rsidR="007744E1" w:rsidRPr="00044FD6">
        <w:rPr>
          <w:rFonts w:ascii="Arial" w:hAnsi="Arial" w:cs="Arial"/>
          <w:sz w:val="24"/>
          <w:szCs w:val="24"/>
        </w:rPr>
        <w:t xml:space="preserve">then </w:t>
      </w:r>
      <w:r w:rsidRPr="00044FD6">
        <w:rPr>
          <w:rFonts w:ascii="Arial" w:hAnsi="Arial" w:cs="Arial"/>
          <w:sz w:val="24"/>
          <w:szCs w:val="24"/>
        </w:rPr>
        <w:t>made the following order</w:t>
      </w:r>
      <w:r w:rsidR="00B35769" w:rsidRPr="00044FD6">
        <w:rPr>
          <w:rFonts w:ascii="Arial" w:hAnsi="Arial" w:cs="Arial"/>
          <w:sz w:val="24"/>
          <w:szCs w:val="24"/>
        </w:rPr>
        <w:t>:</w:t>
      </w:r>
    </w:p>
    <w:p w14:paraId="515387D4" w14:textId="77777777" w:rsidR="00EA7DC0" w:rsidRDefault="00EA7DC0" w:rsidP="00E351D8">
      <w:pPr>
        <w:tabs>
          <w:tab w:val="left" w:pos="2940"/>
        </w:tabs>
        <w:spacing w:line="480" w:lineRule="auto"/>
        <w:ind w:left="720"/>
        <w:contextualSpacing/>
        <w:jc w:val="both"/>
        <w:rPr>
          <w:rFonts w:cs="Arial"/>
          <w:sz w:val="22"/>
        </w:rPr>
      </w:pPr>
    </w:p>
    <w:p w14:paraId="783FF5F6" w14:textId="0D446513" w:rsidR="00B35769" w:rsidRPr="002E733C" w:rsidRDefault="00596F06" w:rsidP="00B94ADA">
      <w:pPr>
        <w:tabs>
          <w:tab w:val="left" w:pos="2940"/>
        </w:tabs>
        <w:spacing w:line="360" w:lineRule="auto"/>
        <w:ind w:left="720"/>
        <w:contextualSpacing/>
        <w:jc w:val="both"/>
        <w:rPr>
          <w:rFonts w:cs="Arial"/>
          <w:sz w:val="22"/>
        </w:rPr>
      </w:pPr>
      <w:r>
        <w:rPr>
          <w:rFonts w:cs="Arial"/>
          <w:sz w:val="22"/>
        </w:rPr>
        <w:t>‘</w:t>
      </w:r>
      <w:r w:rsidR="00044FD6" w:rsidRPr="002E733C">
        <w:rPr>
          <w:rFonts w:cs="Arial"/>
          <w:sz w:val="22"/>
        </w:rPr>
        <w:t xml:space="preserve">1 . . . </w:t>
      </w:r>
      <w:r w:rsidR="00044FD6" w:rsidRPr="002E733C">
        <w:rPr>
          <w:rFonts w:cs="Arial"/>
          <w:sz w:val="22"/>
        </w:rPr>
        <w:tab/>
      </w:r>
    </w:p>
    <w:p w14:paraId="18304471" w14:textId="0EBE7028" w:rsidR="00F10E99" w:rsidRPr="002E733C" w:rsidRDefault="00F10E99" w:rsidP="00B94ADA">
      <w:pPr>
        <w:spacing w:line="360" w:lineRule="auto"/>
        <w:ind w:left="720"/>
        <w:contextualSpacing/>
        <w:jc w:val="both"/>
        <w:rPr>
          <w:rFonts w:cs="Arial"/>
          <w:sz w:val="22"/>
          <w:u w:val="single"/>
        </w:rPr>
      </w:pPr>
      <w:r w:rsidRPr="002E733C">
        <w:rPr>
          <w:rFonts w:cs="Arial"/>
          <w:sz w:val="22"/>
          <w:u w:val="single"/>
        </w:rPr>
        <w:t>Claim 1</w:t>
      </w:r>
    </w:p>
    <w:p w14:paraId="31235DB8" w14:textId="24F0C5E9" w:rsidR="00B35769" w:rsidRPr="002E733C" w:rsidRDefault="00B35769" w:rsidP="00B94ADA">
      <w:pPr>
        <w:spacing w:line="360" w:lineRule="auto"/>
        <w:ind w:left="720"/>
        <w:contextualSpacing/>
        <w:jc w:val="both"/>
        <w:rPr>
          <w:rFonts w:cs="Arial"/>
          <w:sz w:val="22"/>
        </w:rPr>
      </w:pPr>
      <w:r w:rsidRPr="002E733C">
        <w:rPr>
          <w:rFonts w:cs="Arial"/>
          <w:sz w:val="22"/>
        </w:rPr>
        <w:t xml:space="preserve">2. The first and second defendants are to pay the amounts of </w:t>
      </w:r>
      <w:r w:rsidR="00EA109D">
        <w:rPr>
          <w:rFonts w:cs="Arial"/>
          <w:sz w:val="22"/>
        </w:rPr>
        <w:t>€</w:t>
      </w:r>
      <w:r w:rsidRPr="002E733C">
        <w:rPr>
          <w:rFonts w:cs="Arial"/>
          <w:sz w:val="22"/>
        </w:rPr>
        <w:t xml:space="preserve"> 198 019-17 and N$ 263 161-23, plus interest on the aforesaid amounts, at the rate of 20% per annum, a tempore morae to date of payment, jointly and severally, the one paying </w:t>
      </w:r>
      <w:r w:rsidR="00F10E99" w:rsidRPr="002E733C">
        <w:rPr>
          <w:rFonts w:cs="Arial"/>
          <w:sz w:val="22"/>
        </w:rPr>
        <w:t>the other to be absolved.</w:t>
      </w:r>
    </w:p>
    <w:p w14:paraId="47E67026" w14:textId="77777777" w:rsidR="002E733C" w:rsidRDefault="002E733C" w:rsidP="00B94ADA">
      <w:pPr>
        <w:spacing w:line="360" w:lineRule="auto"/>
        <w:ind w:left="720"/>
        <w:contextualSpacing/>
        <w:jc w:val="both"/>
        <w:rPr>
          <w:rFonts w:cs="Arial"/>
          <w:sz w:val="22"/>
        </w:rPr>
      </w:pPr>
    </w:p>
    <w:p w14:paraId="3AE15E7C" w14:textId="72F29E79" w:rsidR="00F10E99" w:rsidRPr="002E733C" w:rsidRDefault="00F10E99" w:rsidP="00B94ADA">
      <w:pPr>
        <w:spacing w:line="360" w:lineRule="auto"/>
        <w:ind w:left="720"/>
        <w:contextualSpacing/>
        <w:jc w:val="both"/>
        <w:rPr>
          <w:rFonts w:cs="Arial"/>
          <w:sz w:val="22"/>
          <w:u w:val="single"/>
        </w:rPr>
      </w:pPr>
      <w:r w:rsidRPr="002E733C">
        <w:rPr>
          <w:rFonts w:cs="Arial"/>
          <w:sz w:val="22"/>
          <w:u w:val="single"/>
        </w:rPr>
        <w:t>Claim 2</w:t>
      </w:r>
    </w:p>
    <w:p w14:paraId="60B68995" w14:textId="4F95B351" w:rsidR="00F10E99" w:rsidRPr="002E733C" w:rsidRDefault="00F03402" w:rsidP="00B94ADA">
      <w:pPr>
        <w:spacing w:line="360" w:lineRule="auto"/>
        <w:ind w:left="720"/>
        <w:contextualSpacing/>
        <w:jc w:val="both"/>
        <w:rPr>
          <w:rFonts w:cs="Arial"/>
          <w:sz w:val="22"/>
        </w:rPr>
      </w:pPr>
      <w:r>
        <w:rPr>
          <w:rFonts w:cs="Arial"/>
          <w:sz w:val="22"/>
        </w:rPr>
        <w:t>3. This claim is dismissed.</w:t>
      </w:r>
    </w:p>
    <w:p w14:paraId="6E6930A0" w14:textId="77777777" w:rsidR="002E733C" w:rsidRDefault="002E733C" w:rsidP="00B94ADA">
      <w:pPr>
        <w:spacing w:line="360" w:lineRule="auto"/>
        <w:ind w:left="720"/>
        <w:contextualSpacing/>
        <w:jc w:val="both"/>
        <w:rPr>
          <w:rFonts w:cs="Arial"/>
          <w:sz w:val="22"/>
        </w:rPr>
      </w:pPr>
    </w:p>
    <w:p w14:paraId="1A8255BB" w14:textId="7C4A9395" w:rsidR="00F10E99" w:rsidRPr="002E733C" w:rsidRDefault="00F10E99" w:rsidP="00B94ADA">
      <w:pPr>
        <w:spacing w:line="360" w:lineRule="auto"/>
        <w:ind w:left="720"/>
        <w:contextualSpacing/>
        <w:jc w:val="both"/>
        <w:rPr>
          <w:rFonts w:cs="Arial"/>
          <w:sz w:val="22"/>
          <w:u w:val="single"/>
        </w:rPr>
      </w:pPr>
      <w:r w:rsidRPr="002E733C">
        <w:rPr>
          <w:rFonts w:cs="Arial"/>
          <w:sz w:val="22"/>
          <w:u w:val="single"/>
        </w:rPr>
        <w:t>Claim 3</w:t>
      </w:r>
    </w:p>
    <w:p w14:paraId="151FB40A" w14:textId="4ED3F5D1" w:rsidR="00F10E99" w:rsidRPr="002E733C" w:rsidRDefault="00F10E99" w:rsidP="00B94ADA">
      <w:pPr>
        <w:spacing w:line="360" w:lineRule="auto"/>
        <w:ind w:left="720"/>
        <w:contextualSpacing/>
        <w:jc w:val="both"/>
        <w:rPr>
          <w:rFonts w:cs="Arial"/>
          <w:sz w:val="22"/>
        </w:rPr>
      </w:pPr>
      <w:r w:rsidRPr="002E733C">
        <w:rPr>
          <w:rFonts w:cs="Arial"/>
          <w:sz w:val="22"/>
        </w:rPr>
        <w:t xml:space="preserve">4. The first and second defendants are to pay the amount of </w:t>
      </w:r>
      <w:r w:rsidR="00EA109D">
        <w:rPr>
          <w:rFonts w:cs="Arial"/>
          <w:sz w:val="22"/>
        </w:rPr>
        <w:t>€</w:t>
      </w:r>
      <w:r w:rsidRPr="002E733C">
        <w:rPr>
          <w:rFonts w:cs="Arial"/>
          <w:sz w:val="22"/>
        </w:rPr>
        <w:t xml:space="preserve"> 21 252-00, plus interest on the aforesaid amount at the rate of 20% per annum from 20 April 2009 to date of payment, jointly and severally, the one paying, the other to be absolved.</w:t>
      </w:r>
    </w:p>
    <w:p w14:paraId="3EF07187" w14:textId="37B43303" w:rsidR="00F10E99" w:rsidRPr="002E733C" w:rsidRDefault="00F10E99" w:rsidP="00B94ADA">
      <w:pPr>
        <w:spacing w:line="360" w:lineRule="auto"/>
        <w:ind w:left="720"/>
        <w:contextualSpacing/>
        <w:jc w:val="both"/>
        <w:rPr>
          <w:rFonts w:cs="Arial"/>
          <w:sz w:val="22"/>
        </w:rPr>
      </w:pPr>
      <w:r w:rsidRPr="002E733C">
        <w:rPr>
          <w:rFonts w:cs="Arial"/>
          <w:sz w:val="22"/>
        </w:rPr>
        <w:t>5. Each party is to pay its own costs</w:t>
      </w:r>
      <w:r w:rsidR="00F03402">
        <w:rPr>
          <w:rFonts w:cs="Arial"/>
          <w:sz w:val="22"/>
        </w:rPr>
        <w:t>.</w:t>
      </w:r>
      <w:r w:rsidRPr="002E733C">
        <w:rPr>
          <w:rFonts w:cs="Arial"/>
          <w:sz w:val="22"/>
        </w:rPr>
        <w:t>’</w:t>
      </w:r>
    </w:p>
    <w:p w14:paraId="348A6BA1" w14:textId="0E3180BF" w:rsidR="00F177F3" w:rsidRDefault="002E733C" w:rsidP="00E351D8">
      <w:pPr>
        <w:tabs>
          <w:tab w:val="left" w:pos="1125"/>
        </w:tabs>
        <w:spacing w:line="480" w:lineRule="auto"/>
        <w:jc w:val="both"/>
        <w:rPr>
          <w:rFonts w:cs="Arial"/>
          <w:szCs w:val="24"/>
        </w:rPr>
      </w:pPr>
      <w:r>
        <w:rPr>
          <w:rFonts w:cs="Arial"/>
          <w:szCs w:val="24"/>
        </w:rPr>
        <w:tab/>
      </w:r>
    </w:p>
    <w:p w14:paraId="3D4FD85B" w14:textId="6A8573FA" w:rsidR="00F177F3" w:rsidRDefault="00F177F3" w:rsidP="00E351D8">
      <w:pPr>
        <w:pStyle w:val="NoSpacing"/>
        <w:numPr>
          <w:ilvl w:val="0"/>
          <w:numId w:val="8"/>
        </w:numPr>
        <w:spacing w:line="480" w:lineRule="auto"/>
        <w:ind w:left="0" w:firstLine="0"/>
        <w:jc w:val="both"/>
        <w:rPr>
          <w:rFonts w:ascii="Arial" w:hAnsi="Arial" w:cs="Arial"/>
          <w:sz w:val="24"/>
          <w:szCs w:val="24"/>
        </w:rPr>
      </w:pPr>
      <w:r w:rsidRPr="002E733C">
        <w:rPr>
          <w:rFonts w:ascii="Arial" w:hAnsi="Arial" w:cs="Arial"/>
          <w:sz w:val="24"/>
          <w:szCs w:val="24"/>
        </w:rPr>
        <w:lastRenderedPageBreak/>
        <w:t xml:space="preserve">The court </w:t>
      </w:r>
      <w:r w:rsidRPr="006C23EC">
        <w:rPr>
          <w:rFonts w:ascii="Arial" w:hAnsi="Arial" w:cs="Arial"/>
          <w:i/>
          <w:sz w:val="24"/>
          <w:szCs w:val="24"/>
        </w:rPr>
        <w:t>a quo</w:t>
      </w:r>
      <w:r w:rsidRPr="002E733C">
        <w:rPr>
          <w:rFonts w:ascii="Arial" w:hAnsi="Arial" w:cs="Arial"/>
          <w:sz w:val="24"/>
          <w:szCs w:val="24"/>
        </w:rPr>
        <w:t xml:space="preserve"> justified the costs order on the basis that </w:t>
      </w:r>
      <w:r w:rsidR="007744E1" w:rsidRPr="002E733C">
        <w:rPr>
          <w:rFonts w:ascii="Arial" w:hAnsi="Arial" w:cs="Arial"/>
          <w:sz w:val="24"/>
          <w:szCs w:val="24"/>
        </w:rPr>
        <w:t xml:space="preserve">the parties had </w:t>
      </w:r>
      <w:r w:rsidR="00DC29D8" w:rsidRPr="002E733C">
        <w:rPr>
          <w:rFonts w:ascii="Arial" w:hAnsi="Arial" w:cs="Arial"/>
          <w:sz w:val="24"/>
          <w:szCs w:val="24"/>
        </w:rPr>
        <w:t>achieved</w:t>
      </w:r>
      <w:r w:rsidR="007744E1" w:rsidRPr="002E733C">
        <w:rPr>
          <w:rFonts w:ascii="Arial" w:hAnsi="Arial" w:cs="Arial"/>
          <w:sz w:val="24"/>
          <w:szCs w:val="24"/>
        </w:rPr>
        <w:t xml:space="preserve"> substantial success</w:t>
      </w:r>
      <w:r w:rsidR="00E707E8">
        <w:rPr>
          <w:rFonts w:ascii="Arial" w:hAnsi="Arial" w:cs="Arial"/>
          <w:sz w:val="24"/>
          <w:szCs w:val="24"/>
        </w:rPr>
        <w:t xml:space="preserve"> in equal measure</w:t>
      </w:r>
      <w:r w:rsidR="007744E1" w:rsidRPr="002E733C">
        <w:rPr>
          <w:rFonts w:ascii="Arial" w:hAnsi="Arial" w:cs="Arial"/>
          <w:sz w:val="24"/>
          <w:szCs w:val="24"/>
        </w:rPr>
        <w:t>.</w:t>
      </w:r>
    </w:p>
    <w:p w14:paraId="02935DE3" w14:textId="77777777" w:rsidR="00E707E8" w:rsidRPr="00490FC1" w:rsidRDefault="00E707E8" w:rsidP="00E351D8">
      <w:pPr>
        <w:pStyle w:val="NoSpacing"/>
        <w:spacing w:line="480" w:lineRule="auto"/>
        <w:jc w:val="both"/>
        <w:rPr>
          <w:rFonts w:ascii="Arial" w:hAnsi="Arial" w:cs="Arial"/>
          <w:sz w:val="24"/>
          <w:szCs w:val="24"/>
        </w:rPr>
      </w:pPr>
    </w:p>
    <w:p w14:paraId="33B840BA" w14:textId="67E8FB92" w:rsidR="00172555" w:rsidRPr="00B4597B" w:rsidRDefault="00B317E2" w:rsidP="00E351D8">
      <w:pPr>
        <w:spacing w:line="480" w:lineRule="auto"/>
        <w:jc w:val="both"/>
        <w:rPr>
          <w:rFonts w:cs="Arial"/>
          <w:szCs w:val="24"/>
          <w:u w:val="single"/>
        </w:rPr>
      </w:pPr>
      <w:r w:rsidRPr="00B4597B">
        <w:rPr>
          <w:rFonts w:cs="Arial"/>
          <w:szCs w:val="24"/>
          <w:u w:val="single"/>
        </w:rPr>
        <w:t xml:space="preserve">The </w:t>
      </w:r>
      <w:r w:rsidR="00172555" w:rsidRPr="00B4597B">
        <w:rPr>
          <w:rFonts w:cs="Arial"/>
          <w:szCs w:val="24"/>
          <w:u w:val="single"/>
        </w:rPr>
        <w:t xml:space="preserve">main </w:t>
      </w:r>
      <w:r w:rsidRPr="00B4597B">
        <w:rPr>
          <w:rFonts w:cs="Arial"/>
          <w:szCs w:val="24"/>
          <w:u w:val="single"/>
        </w:rPr>
        <w:t>appeal</w:t>
      </w:r>
    </w:p>
    <w:p w14:paraId="6D2F83D6" w14:textId="4AD904DD" w:rsidR="00E22AC9" w:rsidRPr="00427FAA" w:rsidRDefault="00BC65AB" w:rsidP="00E351D8">
      <w:pPr>
        <w:spacing w:line="480" w:lineRule="auto"/>
        <w:jc w:val="both"/>
        <w:rPr>
          <w:rFonts w:cs="Arial"/>
          <w:i/>
          <w:szCs w:val="24"/>
        </w:rPr>
      </w:pPr>
      <w:r>
        <w:rPr>
          <w:rFonts w:cs="Arial"/>
          <w:i/>
          <w:szCs w:val="24"/>
        </w:rPr>
        <w:t>Ad order two</w:t>
      </w:r>
    </w:p>
    <w:p w14:paraId="35324836" w14:textId="3C9A1841" w:rsidR="00E22AC9" w:rsidRDefault="00E707E8" w:rsidP="00E351D8">
      <w:pPr>
        <w:pStyle w:val="NoSpacing"/>
        <w:numPr>
          <w:ilvl w:val="0"/>
          <w:numId w:val="8"/>
        </w:numPr>
        <w:spacing w:line="480" w:lineRule="auto"/>
        <w:ind w:left="0" w:firstLine="0"/>
        <w:jc w:val="both"/>
        <w:rPr>
          <w:rFonts w:ascii="Arial" w:hAnsi="Arial" w:cs="Arial"/>
          <w:sz w:val="24"/>
          <w:szCs w:val="24"/>
        </w:rPr>
      </w:pPr>
      <w:r>
        <w:rPr>
          <w:rFonts w:ascii="Arial" w:hAnsi="Arial" w:cs="Arial"/>
          <w:sz w:val="24"/>
          <w:szCs w:val="24"/>
        </w:rPr>
        <w:t>The defendants</w:t>
      </w:r>
      <w:r w:rsidR="00E22AC9" w:rsidRPr="002E733C">
        <w:rPr>
          <w:rFonts w:ascii="Arial" w:hAnsi="Arial" w:cs="Arial"/>
          <w:sz w:val="24"/>
          <w:szCs w:val="24"/>
        </w:rPr>
        <w:t xml:space="preserve"> challenge the court </w:t>
      </w:r>
      <w:r w:rsidR="00E22AC9" w:rsidRPr="00490FC1">
        <w:rPr>
          <w:rFonts w:ascii="Arial" w:hAnsi="Arial" w:cs="Arial"/>
          <w:i/>
          <w:sz w:val="24"/>
          <w:szCs w:val="24"/>
        </w:rPr>
        <w:t>a quo</w:t>
      </w:r>
      <w:r w:rsidR="00E22AC9" w:rsidRPr="002E733C">
        <w:rPr>
          <w:rFonts w:ascii="Arial" w:hAnsi="Arial" w:cs="Arial"/>
          <w:sz w:val="24"/>
          <w:szCs w:val="24"/>
        </w:rPr>
        <w:t>’s conclusion that the pre-trial order</w:t>
      </w:r>
      <w:r w:rsidR="00211D80">
        <w:rPr>
          <w:rStyle w:val="FootnoteReference"/>
          <w:rFonts w:ascii="Arial" w:hAnsi="Arial" w:cs="Arial"/>
          <w:sz w:val="24"/>
          <w:szCs w:val="24"/>
        </w:rPr>
        <w:footnoteReference w:id="7"/>
      </w:r>
      <w:r w:rsidR="00E22AC9" w:rsidRPr="002E733C">
        <w:rPr>
          <w:rFonts w:ascii="Arial" w:hAnsi="Arial" w:cs="Arial"/>
          <w:sz w:val="24"/>
          <w:szCs w:val="24"/>
        </w:rPr>
        <w:t xml:space="preserve"> </w:t>
      </w:r>
      <w:r w:rsidR="00DC29D8" w:rsidRPr="002E733C">
        <w:rPr>
          <w:rFonts w:ascii="Arial" w:hAnsi="Arial" w:cs="Arial"/>
          <w:sz w:val="24"/>
          <w:szCs w:val="24"/>
        </w:rPr>
        <w:t>relieved</w:t>
      </w:r>
      <w:r w:rsidR="00E22AC9" w:rsidRPr="002E733C">
        <w:rPr>
          <w:rFonts w:ascii="Arial" w:hAnsi="Arial" w:cs="Arial"/>
          <w:sz w:val="24"/>
          <w:szCs w:val="24"/>
        </w:rPr>
        <w:t xml:space="preserve"> the plaintiff of the on</w:t>
      </w:r>
      <w:r w:rsidR="00841C3A" w:rsidRPr="002E733C">
        <w:rPr>
          <w:rFonts w:ascii="Arial" w:hAnsi="Arial" w:cs="Arial"/>
          <w:sz w:val="24"/>
          <w:szCs w:val="24"/>
        </w:rPr>
        <w:t>us</w:t>
      </w:r>
      <w:r w:rsidR="00E22AC9" w:rsidRPr="002E733C">
        <w:rPr>
          <w:rFonts w:ascii="Arial" w:hAnsi="Arial" w:cs="Arial"/>
          <w:sz w:val="24"/>
          <w:szCs w:val="24"/>
        </w:rPr>
        <w:t xml:space="preserve"> that rested on him to prove the extent of his i</w:t>
      </w:r>
      <w:r w:rsidR="00841C3A" w:rsidRPr="002E733C">
        <w:rPr>
          <w:rFonts w:ascii="Arial" w:hAnsi="Arial" w:cs="Arial"/>
          <w:sz w:val="24"/>
          <w:szCs w:val="24"/>
        </w:rPr>
        <w:t>mpoverishment and the defendant</w:t>
      </w:r>
      <w:r w:rsidR="00E22AC9" w:rsidRPr="002E733C">
        <w:rPr>
          <w:rFonts w:ascii="Arial" w:hAnsi="Arial" w:cs="Arial"/>
          <w:sz w:val="24"/>
          <w:szCs w:val="24"/>
        </w:rPr>
        <w:t>s</w:t>
      </w:r>
      <w:r w:rsidR="00841C3A" w:rsidRPr="002E733C">
        <w:rPr>
          <w:rFonts w:ascii="Arial" w:hAnsi="Arial" w:cs="Arial"/>
          <w:sz w:val="24"/>
          <w:szCs w:val="24"/>
        </w:rPr>
        <w:t>’</w:t>
      </w:r>
      <w:r w:rsidR="00E22AC9" w:rsidRPr="002E733C">
        <w:rPr>
          <w:rFonts w:ascii="Arial" w:hAnsi="Arial" w:cs="Arial"/>
          <w:sz w:val="24"/>
          <w:szCs w:val="24"/>
        </w:rPr>
        <w:t xml:space="preserve"> corresponding enrichment. An erroneous conclusion</w:t>
      </w:r>
      <w:r w:rsidR="00841C3A" w:rsidRPr="002E733C">
        <w:rPr>
          <w:rFonts w:ascii="Arial" w:hAnsi="Arial" w:cs="Arial"/>
          <w:sz w:val="24"/>
          <w:szCs w:val="24"/>
        </w:rPr>
        <w:t xml:space="preserve">, the </w:t>
      </w:r>
      <w:r w:rsidR="00DC29D8" w:rsidRPr="002E733C">
        <w:rPr>
          <w:rFonts w:ascii="Arial" w:hAnsi="Arial" w:cs="Arial"/>
          <w:sz w:val="24"/>
          <w:szCs w:val="24"/>
        </w:rPr>
        <w:t>defendants</w:t>
      </w:r>
      <w:r w:rsidR="00841C3A" w:rsidRPr="002E733C">
        <w:rPr>
          <w:rFonts w:ascii="Arial" w:hAnsi="Arial" w:cs="Arial"/>
          <w:sz w:val="24"/>
          <w:szCs w:val="24"/>
        </w:rPr>
        <w:t xml:space="preserve"> maintain,</w:t>
      </w:r>
      <w:r w:rsidR="00E22AC9" w:rsidRPr="002E733C">
        <w:rPr>
          <w:rFonts w:ascii="Arial" w:hAnsi="Arial" w:cs="Arial"/>
          <w:sz w:val="24"/>
          <w:szCs w:val="24"/>
        </w:rPr>
        <w:t xml:space="preserve"> that resulted in the plaintiff being allowed ‘the fullest possible compensation’ in conflict with the ‘double ceiling rule’ laid down in </w:t>
      </w:r>
      <w:r w:rsidR="00E22AC9" w:rsidRPr="009D7F7E">
        <w:rPr>
          <w:rFonts w:ascii="Arial" w:hAnsi="Arial" w:cs="Arial"/>
          <w:i/>
          <w:sz w:val="24"/>
          <w:szCs w:val="24"/>
        </w:rPr>
        <w:t>Paschke</w:t>
      </w:r>
      <w:r w:rsidR="007744E1" w:rsidRPr="002E733C">
        <w:rPr>
          <w:rFonts w:ascii="Arial" w:hAnsi="Arial" w:cs="Arial"/>
          <w:sz w:val="24"/>
          <w:szCs w:val="24"/>
        </w:rPr>
        <w:t>.</w:t>
      </w:r>
    </w:p>
    <w:p w14:paraId="4A1024E0" w14:textId="77777777" w:rsidR="0082241B" w:rsidRPr="00E351D8" w:rsidRDefault="0082241B" w:rsidP="0082241B">
      <w:pPr>
        <w:pStyle w:val="NoSpacing"/>
        <w:spacing w:line="480" w:lineRule="auto"/>
        <w:jc w:val="both"/>
        <w:rPr>
          <w:rFonts w:ascii="Arial" w:hAnsi="Arial" w:cs="Arial"/>
          <w:sz w:val="24"/>
          <w:szCs w:val="24"/>
        </w:rPr>
      </w:pPr>
    </w:p>
    <w:p w14:paraId="65091B7A" w14:textId="4092FC33" w:rsidR="00E22AC9" w:rsidRPr="002E733C" w:rsidRDefault="00E707E8" w:rsidP="00E351D8">
      <w:pPr>
        <w:pStyle w:val="NoSpacing"/>
        <w:numPr>
          <w:ilvl w:val="0"/>
          <w:numId w:val="8"/>
        </w:numPr>
        <w:spacing w:line="480" w:lineRule="auto"/>
        <w:ind w:left="0" w:firstLine="0"/>
        <w:jc w:val="both"/>
        <w:rPr>
          <w:rFonts w:ascii="Arial" w:hAnsi="Arial" w:cs="Arial"/>
          <w:sz w:val="24"/>
          <w:szCs w:val="24"/>
        </w:rPr>
      </w:pPr>
      <w:r>
        <w:rPr>
          <w:rFonts w:ascii="Arial" w:hAnsi="Arial" w:cs="Arial"/>
          <w:sz w:val="24"/>
          <w:szCs w:val="24"/>
        </w:rPr>
        <w:t>The defendants</w:t>
      </w:r>
      <w:r w:rsidR="00172555" w:rsidRPr="002E733C">
        <w:rPr>
          <w:rFonts w:ascii="Arial" w:hAnsi="Arial" w:cs="Arial"/>
          <w:sz w:val="24"/>
          <w:szCs w:val="24"/>
        </w:rPr>
        <w:t xml:space="preserve"> also complain</w:t>
      </w:r>
      <w:r w:rsidR="00E22AC9" w:rsidRPr="002E733C">
        <w:rPr>
          <w:rFonts w:ascii="Arial" w:hAnsi="Arial" w:cs="Arial"/>
          <w:sz w:val="24"/>
          <w:szCs w:val="24"/>
        </w:rPr>
        <w:t xml:space="preserve"> that the court </w:t>
      </w:r>
      <w:r w:rsidR="00E22AC9" w:rsidRPr="009D7F7E">
        <w:rPr>
          <w:rFonts w:ascii="Arial" w:hAnsi="Arial" w:cs="Arial"/>
          <w:i/>
          <w:sz w:val="24"/>
          <w:szCs w:val="24"/>
        </w:rPr>
        <w:t>a quo</w:t>
      </w:r>
      <w:r w:rsidR="00E22AC9" w:rsidRPr="002E733C">
        <w:rPr>
          <w:rFonts w:ascii="Arial" w:hAnsi="Arial" w:cs="Arial"/>
          <w:sz w:val="24"/>
          <w:szCs w:val="24"/>
        </w:rPr>
        <w:t xml:space="preserve"> erred in finding on the facts that the pres</w:t>
      </w:r>
      <w:r w:rsidR="00841C3A" w:rsidRPr="002E733C">
        <w:rPr>
          <w:rFonts w:ascii="Arial" w:hAnsi="Arial" w:cs="Arial"/>
          <w:sz w:val="24"/>
          <w:szCs w:val="24"/>
        </w:rPr>
        <w:t>umption</w:t>
      </w:r>
      <w:r w:rsidR="00E22AC9" w:rsidRPr="002E733C">
        <w:rPr>
          <w:rFonts w:ascii="Arial" w:hAnsi="Arial" w:cs="Arial"/>
          <w:sz w:val="24"/>
          <w:szCs w:val="24"/>
        </w:rPr>
        <w:t xml:space="preserve"> of enrichment arose and that they failed to discharge it. Such presumption, it is said, only arises in respect of an enrichm</w:t>
      </w:r>
      <w:r w:rsidR="00841C3A" w:rsidRPr="002E733C">
        <w:rPr>
          <w:rFonts w:ascii="Arial" w:hAnsi="Arial" w:cs="Arial"/>
          <w:sz w:val="24"/>
          <w:szCs w:val="24"/>
        </w:rPr>
        <w:t xml:space="preserve">ent claim based on the </w:t>
      </w:r>
      <w:r w:rsidR="00841C3A" w:rsidRPr="00427FAA">
        <w:rPr>
          <w:rFonts w:ascii="Arial" w:hAnsi="Arial" w:cs="Arial"/>
          <w:i/>
          <w:sz w:val="24"/>
          <w:szCs w:val="24"/>
        </w:rPr>
        <w:t>condi</w:t>
      </w:r>
      <w:r w:rsidR="00427FAA" w:rsidRPr="00427FAA">
        <w:rPr>
          <w:rFonts w:ascii="Arial" w:hAnsi="Arial" w:cs="Arial"/>
          <w:i/>
          <w:sz w:val="24"/>
          <w:szCs w:val="24"/>
        </w:rPr>
        <w:t>c</w:t>
      </w:r>
      <w:r w:rsidR="00841C3A" w:rsidRPr="00427FAA">
        <w:rPr>
          <w:rFonts w:ascii="Arial" w:hAnsi="Arial" w:cs="Arial"/>
          <w:i/>
          <w:sz w:val="24"/>
          <w:szCs w:val="24"/>
        </w:rPr>
        <w:t>tio</w:t>
      </w:r>
      <w:r w:rsidR="00E22AC9" w:rsidRPr="00427FAA">
        <w:rPr>
          <w:rFonts w:ascii="Arial" w:hAnsi="Arial" w:cs="Arial"/>
          <w:i/>
          <w:sz w:val="24"/>
          <w:szCs w:val="24"/>
        </w:rPr>
        <w:t xml:space="preserve"> indebiti</w:t>
      </w:r>
      <w:r w:rsidR="00E22AC9" w:rsidRPr="002E733C">
        <w:rPr>
          <w:rFonts w:ascii="Arial" w:hAnsi="Arial" w:cs="Arial"/>
          <w:sz w:val="24"/>
          <w:szCs w:val="24"/>
        </w:rPr>
        <w:t xml:space="preserve">: a cause of action not pleaded by the </w:t>
      </w:r>
      <w:r w:rsidR="00841C3A" w:rsidRPr="002E733C">
        <w:rPr>
          <w:rFonts w:ascii="Arial" w:hAnsi="Arial" w:cs="Arial"/>
          <w:sz w:val="24"/>
          <w:szCs w:val="24"/>
        </w:rPr>
        <w:t>plaintiff</w:t>
      </w:r>
      <w:r w:rsidR="00E22AC9" w:rsidRPr="002E733C">
        <w:rPr>
          <w:rFonts w:ascii="Arial" w:hAnsi="Arial" w:cs="Arial"/>
          <w:sz w:val="24"/>
          <w:szCs w:val="24"/>
        </w:rPr>
        <w:t>.</w:t>
      </w:r>
    </w:p>
    <w:p w14:paraId="29700BB0" w14:textId="77777777" w:rsidR="00E22AC9" w:rsidRPr="002E733C" w:rsidRDefault="00E22AC9" w:rsidP="00E351D8">
      <w:pPr>
        <w:spacing w:line="480" w:lineRule="auto"/>
        <w:jc w:val="both"/>
        <w:rPr>
          <w:rFonts w:cs="Arial"/>
          <w:szCs w:val="24"/>
        </w:rPr>
      </w:pPr>
    </w:p>
    <w:p w14:paraId="3BB9985C" w14:textId="676E051F" w:rsidR="00E22AC9" w:rsidRDefault="00E22AC9" w:rsidP="0082241B">
      <w:pPr>
        <w:pStyle w:val="NoSpacing"/>
        <w:numPr>
          <w:ilvl w:val="0"/>
          <w:numId w:val="8"/>
        </w:numPr>
        <w:spacing w:line="480" w:lineRule="auto"/>
        <w:ind w:left="0" w:firstLine="0"/>
        <w:jc w:val="both"/>
        <w:rPr>
          <w:rFonts w:ascii="Arial" w:hAnsi="Arial" w:cs="Arial"/>
          <w:sz w:val="24"/>
          <w:szCs w:val="24"/>
        </w:rPr>
      </w:pPr>
      <w:r w:rsidRPr="002E733C">
        <w:rPr>
          <w:rFonts w:ascii="Arial" w:hAnsi="Arial" w:cs="Arial"/>
          <w:sz w:val="24"/>
          <w:szCs w:val="24"/>
        </w:rPr>
        <w:t>A</w:t>
      </w:r>
      <w:r w:rsidR="00841C3A" w:rsidRPr="002E733C">
        <w:rPr>
          <w:rFonts w:ascii="Arial" w:hAnsi="Arial" w:cs="Arial"/>
          <w:sz w:val="24"/>
          <w:szCs w:val="24"/>
        </w:rPr>
        <w:t>ccording to the defendants,</w:t>
      </w:r>
      <w:r w:rsidRPr="002E733C">
        <w:rPr>
          <w:rFonts w:ascii="Arial" w:hAnsi="Arial" w:cs="Arial"/>
          <w:sz w:val="24"/>
          <w:szCs w:val="24"/>
        </w:rPr>
        <w:t xml:space="preserve"> </w:t>
      </w:r>
      <w:r w:rsidR="00841C3A" w:rsidRPr="002E733C">
        <w:rPr>
          <w:rFonts w:ascii="Arial" w:hAnsi="Arial" w:cs="Arial"/>
          <w:sz w:val="24"/>
          <w:szCs w:val="24"/>
        </w:rPr>
        <w:t xml:space="preserve">the </w:t>
      </w:r>
      <w:r w:rsidR="00841C3A" w:rsidRPr="006A570D">
        <w:rPr>
          <w:rFonts w:ascii="Arial" w:hAnsi="Arial" w:cs="Arial"/>
          <w:i/>
          <w:sz w:val="24"/>
          <w:szCs w:val="24"/>
        </w:rPr>
        <w:t>condi</w:t>
      </w:r>
      <w:r w:rsidR="00427FAA" w:rsidRPr="006A570D">
        <w:rPr>
          <w:rFonts w:ascii="Arial" w:hAnsi="Arial" w:cs="Arial"/>
          <w:i/>
          <w:sz w:val="24"/>
          <w:szCs w:val="24"/>
        </w:rPr>
        <w:t>c</w:t>
      </w:r>
      <w:r w:rsidR="00841C3A" w:rsidRPr="006A570D">
        <w:rPr>
          <w:rFonts w:ascii="Arial" w:hAnsi="Arial" w:cs="Arial"/>
          <w:i/>
          <w:sz w:val="24"/>
          <w:szCs w:val="24"/>
        </w:rPr>
        <w:t>tio</w:t>
      </w:r>
      <w:r w:rsidRPr="006A570D">
        <w:rPr>
          <w:rFonts w:ascii="Arial" w:hAnsi="Arial" w:cs="Arial"/>
          <w:i/>
          <w:sz w:val="24"/>
          <w:szCs w:val="24"/>
        </w:rPr>
        <w:t xml:space="preserve"> indebiti</w:t>
      </w:r>
      <w:r w:rsidRPr="002E733C">
        <w:rPr>
          <w:rFonts w:ascii="Arial" w:hAnsi="Arial" w:cs="Arial"/>
          <w:sz w:val="24"/>
          <w:szCs w:val="24"/>
        </w:rPr>
        <w:t xml:space="preserve"> did not avail the </w:t>
      </w:r>
      <w:r w:rsidR="00841C3A" w:rsidRPr="002E733C">
        <w:rPr>
          <w:rFonts w:ascii="Arial" w:hAnsi="Arial" w:cs="Arial"/>
          <w:sz w:val="24"/>
          <w:szCs w:val="24"/>
        </w:rPr>
        <w:t xml:space="preserve">plaintiff </w:t>
      </w:r>
      <w:r w:rsidRPr="002E733C">
        <w:rPr>
          <w:rFonts w:ascii="Arial" w:hAnsi="Arial" w:cs="Arial"/>
          <w:sz w:val="24"/>
          <w:szCs w:val="24"/>
        </w:rPr>
        <w:t>because the mon</w:t>
      </w:r>
      <w:r w:rsidR="00837B9F">
        <w:rPr>
          <w:rFonts w:ascii="Arial" w:hAnsi="Arial" w:cs="Arial"/>
          <w:sz w:val="24"/>
          <w:szCs w:val="24"/>
        </w:rPr>
        <w:t>eys he paid to the defendants were</w:t>
      </w:r>
      <w:r w:rsidRPr="002E733C">
        <w:rPr>
          <w:rFonts w:ascii="Arial" w:hAnsi="Arial" w:cs="Arial"/>
          <w:sz w:val="24"/>
          <w:szCs w:val="24"/>
        </w:rPr>
        <w:t xml:space="preserve"> not ‘in error or any other ground which may sustain the </w:t>
      </w:r>
      <w:r w:rsidRPr="006A570D">
        <w:rPr>
          <w:rFonts w:ascii="Arial" w:hAnsi="Arial" w:cs="Arial"/>
          <w:i/>
          <w:sz w:val="24"/>
          <w:szCs w:val="24"/>
        </w:rPr>
        <w:t>condi</w:t>
      </w:r>
      <w:r w:rsidR="006A570D" w:rsidRPr="006A570D">
        <w:rPr>
          <w:rFonts w:ascii="Arial" w:hAnsi="Arial" w:cs="Arial"/>
          <w:i/>
          <w:sz w:val="24"/>
          <w:szCs w:val="24"/>
        </w:rPr>
        <w:t>ctio</w:t>
      </w:r>
      <w:r w:rsidRPr="006A570D">
        <w:rPr>
          <w:rFonts w:ascii="Arial" w:hAnsi="Arial" w:cs="Arial"/>
          <w:i/>
          <w:sz w:val="24"/>
          <w:szCs w:val="24"/>
        </w:rPr>
        <w:t xml:space="preserve"> indebiti</w:t>
      </w:r>
      <w:r w:rsidR="007744E1" w:rsidRPr="006A570D">
        <w:rPr>
          <w:rFonts w:ascii="Arial" w:hAnsi="Arial" w:cs="Arial"/>
          <w:i/>
          <w:sz w:val="24"/>
          <w:szCs w:val="24"/>
        </w:rPr>
        <w:t>’</w:t>
      </w:r>
      <w:r w:rsidR="00841C3A" w:rsidRPr="002E733C">
        <w:rPr>
          <w:rFonts w:ascii="Arial" w:hAnsi="Arial" w:cs="Arial"/>
          <w:sz w:val="24"/>
          <w:szCs w:val="24"/>
        </w:rPr>
        <w:t>.</w:t>
      </w:r>
      <w:r w:rsidRPr="002E733C">
        <w:rPr>
          <w:rFonts w:ascii="Arial" w:hAnsi="Arial" w:cs="Arial"/>
          <w:sz w:val="24"/>
          <w:szCs w:val="24"/>
        </w:rPr>
        <w:t xml:space="preserve"> </w:t>
      </w:r>
    </w:p>
    <w:p w14:paraId="05FB6704" w14:textId="77777777" w:rsidR="00837B9F" w:rsidRPr="0082241B" w:rsidRDefault="00837B9F" w:rsidP="00837B9F">
      <w:pPr>
        <w:pStyle w:val="NoSpacing"/>
        <w:spacing w:line="480" w:lineRule="auto"/>
        <w:jc w:val="both"/>
        <w:rPr>
          <w:rFonts w:ascii="Arial" w:hAnsi="Arial" w:cs="Arial"/>
          <w:sz w:val="24"/>
          <w:szCs w:val="24"/>
        </w:rPr>
      </w:pPr>
    </w:p>
    <w:p w14:paraId="5F5ED8D7" w14:textId="74EAFB24" w:rsidR="00E22AC9" w:rsidRPr="00BD2D20" w:rsidRDefault="00841C3A" w:rsidP="00E351D8">
      <w:pPr>
        <w:pStyle w:val="NoSpacing"/>
        <w:numPr>
          <w:ilvl w:val="0"/>
          <w:numId w:val="8"/>
        </w:numPr>
        <w:spacing w:line="480" w:lineRule="auto"/>
        <w:ind w:left="0" w:firstLine="0"/>
        <w:jc w:val="both"/>
        <w:rPr>
          <w:rFonts w:ascii="Arial" w:hAnsi="Arial" w:cs="Arial"/>
          <w:sz w:val="24"/>
          <w:szCs w:val="24"/>
        </w:rPr>
      </w:pPr>
      <w:r w:rsidRPr="00BD2D20">
        <w:rPr>
          <w:rFonts w:ascii="Arial" w:hAnsi="Arial" w:cs="Arial"/>
          <w:sz w:val="24"/>
          <w:szCs w:val="24"/>
        </w:rPr>
        <w:t>The grounds of appeal further state that the</w:t>
      </w:r>
      <w:r w:rsidR="00E22AC9" w:rsidRPr="00BD2D20">
        <w:rPr>
          <w:rFonts w:ascii="Arial" w:hAnsi="Arial" w:cs="Arial"/>
          <w:sz w:val="24"/>
          <w:szCs w:val="24"/>
        </w:rPr>
        <w:t xml:space="preserve"> court </w:t>
      </w:r>
      <w:r w:rsidR="00E22AC9" w:rsidRPr="00966551">
        <w:rPr>
          <w:rFonts w:ascii="Arial" w:hAnsi="Arial" w:cs="Arial"/>
          <w:i/>
          <w:sz w:val="24"/>
          <w:szCs w:val="24"/>
        </w:rPr>
        <w:t>a quo</w:t>
      </w:r>
      <w:r w:rsidR="00E22AC9" w:rsidRPr="00BD2D20">
        <w:rPr>
          <w:rFonts w:ascii="Arial" w:hAnsi="Arial" w:cs="Arial"/>
          <w:sz w:val="24"/>
          <w:szCs w:val="24"/>
        </w:rPr>
        <w:t xml:space="preserve"> erred in shifting to the </w:t>
      </w:r>
      <w:r w:rsidR="009967A1">
        <w:rPr>
          <w:rFonts w:ascii="Arial" w:hAnsi="Arial" w:cs="Arial"/>
          <w:sz w:val="24"/>
          <w:szCs w:val="24"/>
        </w:rPr>
        <w:t>defendants</w:t>
      </w:r>
      <w:r w:rsidR="00E22AC9" w:rsidRPr="00BD2D20">
        <w:rPr>
          <w:rFonts w:ascii="Arial" w:hAnsi="Arial" w:cs="Arial"/>
          <w:sz w:val="24"/>
          <w:szCs w:val="24"/>
        </w:rPr>
        <w:t xml:space="preserve"> the onus to prove the extent of their alleged enrichment whereas </w:t>
      </w:r>
      <w:r w:rsidR="00E22AC9" w:rsidRPr="00BD2D20">
        <w:rPr>
          <w:rFonts w:ascii="Arial" w:hAnsi="Arial" w:cs="Arial"/>
          <w:sz w:val="24"/>
          <w:szCs w:val="24"/>
        </w:rPr>
        <w:lastRenderedPageBreak/>
        <w:t xml:space="preserve">such onus ‘at all times’ rested on the </w:t>
      </w:r>
      <w:r w:rsidRPr="00BD2D20">
        <w:rPr>
          <w:rFonts w:ascii="Arial" w:hAnsi="Arial" w:cs="Arial"/>
          <w:sz w:val="24"/>
          <w:szCs w:val="24"/>
        </w:rPr>
        <w:t xml:space="preserve">plaintiff. </w:t>
      </w:r>
      <w:r w:rsidR="00E22AC9" w:rsidRPr="00BD2D20">
        <w:rPr>
          <w:rFonts w:ascii="Arial" w:hAnsi="Arial" w:cs="Arial"/>
          <w:sz w:val="24"/>
          <w:szCs w:val="24"/>
        </w:rPr>
        <w:t xml:space="preserve">The argument goes that the value of the  alleged enrichment could only have been proved if the </w:t>
      </w:r>
      <w:r w:rsidR="007744E1" w:rsidRPr="00BD2D20">
        <w:rPr>
          <w:rFonts w:ascii="Arial" w:hAnsi="Arial" w:cs="Arial"/>
          <w:sz w:val="24"/>
          <w:szCs w:val="24"/>
        </w:rPr>
        <w:t>plaintiff plead</w:t>
      </w:r>
      <w:r w:rsidRPr="00BD2D20">
        <w:rPr>
          <w:rFonts w:ascii="Arial" w:hAnsi="Arial" w:cs="Arial"/>
          <w:sz w:val="24"/>
          <w:szCs w:val="24"/>
        </w:rPr>
        <w:t xml:space="preserve">ed and </w:t>
      </w:r>
      <w:r w:rsidR="00E22AC9" w:rsidRPr="00BD2D20">
        <w:rPr>
          <w:rFonts w:ascii="Arial" w:hAnsi="Arial" w:cs="Arial"/>
          <w:sz w:val="24"/>
          <w:szCs w:val="24"/>
        </w:rPr>
        <w:t>presented evidence of the value of the f</w:t>
      </w:r>
      <w:r w:rsidRPr="00BD2D20">
        <w:rPr>
          <w:rFonts w:ascii="Arial" w:hAnsi="Arial" w:cs="Arial"/>
          <w:sz w:val="24"/>
          <w:szCs w:val="24"/>
        </w:rPr>
        <w:t>arm</w:t>
      </w:r>
      <w:r w:rsidR="00E22AC9" w:rsidRPr="00BD2D20">
        <w:rPr>
          <w:rFonts w:ascii="Arial" w:hAnsi="Arial" w:cs="Arial"/>
          <w:sz w:val="24"/>
          <w:szCs w:val="24"/>
        </w:rPr>
        <w:t xml:space="preserve"> without the improvements made with the </w:t>
      </w:r>
      <w:r w:rsidRPr="00BD2D20">
        <w:rPr>
          <w:rFonts w:ascii="Arial" w:hAnsi="Arial" w:cs="Arial"/>
          <w:sz w:val="24"/>
          <w:szCs w:val="24"/>
        </w:rPr>
        <w:t xml:space="preserve">plaintiff’s funds </w:t>
      </w:r>
      <w:r w:rsidR="00E22AC9" w:rsidRPr="00BD2D20">
        <w:rPr>
          <w:rFonts w:ascii="Arial" w:hAnsi="Arial" w:cs="Arial"/>
          <w:sz w:val="24"/>
          <w:szCs w:val="24"/>
        </w:rPr>
        <w:t xml:space="preserve">and its value after the improvements. </w:t>
      </w:r>
      <w:r w:rsidR="007744E1" w:rsidRPr="00BD2D20">
        <w:rPr>
          <w:rFonts w:ascii="Arial" w:hAnsi="Arial" w:cs="Arial"/>
          <w:sz w:val="24"/>
          <w:szCs w:val="24"/>
        </w:rPr>
        <w:t>According to the defendants, the</w:t>
      </w:r>
      <w:r w:rsidR="00E22AC9" w:rsidRPr="00BD2D20">
        <w:rPr>
          <w:rFonts w:ascii="Arial" w:hAnsi="Arial" w:cs="Arial"/>
          <w:sz w:val="24"/>
          <w:szCs w:val="24"/>
        </w:rPr>
        <w:t xml:space="preserve"> difference between the t</w:t>
      </w:r>
      <w:r w:rsidRPr="00BD2D20">
        <w:rPr>
          <w:rFonts w:ascii="Arial" w:hAnsi="Arial" w:cs="Arial"/>
          <w:sz w:val="24"/>
          <w:szCs w:val="24"/>
        </w:rPr>
        <w:t xml:space="preserve">wo values would be the </w:t>
      </w:r>
      <w:r w:rsidR="00016753">
        <w:rPr>
          <w:rFonts w:ascii="Arial" w:hAnsi="Arial" w:cs="Arial"/>
          <w:sz w:val="24"/>
          <w:szCs w:val="24"/>
        </w:rPr>
        <w:t>defendant</w:t>
      </w:r>
      <w:r w:rsidRPr="00BD2D20">
        <w:rPr>
          <w:rFonts w:ascii="Arial" w:hAnsi="Arial" w:cs="Arial"/>
          <w:sz w:val="24"/>
          <w:szCs w:val="24"/>
        </w:rPr>
        <w:t>’s</w:t>
      </w:r>
      <w:r w:rsidR="00E22AC9" w:rsidRPr="00BD2D20">
        <w:rPr>
          <w:rFonts w:ascii="Arial" w:hAnsi="Arial" w:cs="Arial"/>
          <w:sz w:val="24"/>
          <w:szCs w:val="24"/>
        </w:rPr>
        <w:t xml:space="preserve"> enrichment and the </w:t>
      </w:r>
      <w:r w:rsidR="009967A1">
        <w:rPr>
          <w:rFonts w:ascii="Arial" w:hAnsi="Arial" w:cs="Arial"/>
          <w:sz w:val="24"/>
          <w:szCs w:val="24"/>
        </w:rPr>
        <w:t>plaintiff</w:t>
      </w:r>
      <w:r w:rsidR="00E22AC9" w:rsidRPr="00BD2D20">
        <w:rPr>
          <w:rFonts w:ascii="Arial" w:hAnsi="Arial" w:cs="Arial"/>
          <w:sz w:val="24"/>
          <w:szCs w:val="24"/>
        </w:rPr>
        <w:t>s’ impoverishment</w:t>
      </w:r>
      <w:r w:rsidR="007744E1" w:rsidRPr="00BD2D20">
        <w:rPr>
          <w:rFonts w:ascii="Arial" w:hAnsi="Arial" w:cs="Arial"/>
          <w:sz w:val="24"/>
          <w:szCs w:val="24"/>
        </w:rPr>
        <w:t>.</w:t>
      </w:r>
    </w:p>
    <w:p w14:paraId="54B19BED" w14:textId="77777777" w:rsidR="00E22AC9" w:rsidRPr="00E934D7" w:rsidRDefault="00E22AC9" w:rsidP="00E351D8">
      <w:pPr>
        <w:spacing w:line="480" w:lineRule="auto"/>
        <w:jc w:val="both"/>
        <w:rPr>
          <w:rFonts w:cs="Arial"/>
          <w:szCs w:val="24"/>
        </w:rPr>
      </w:pPr>
    </w:p>
    <w:p w14:paraId="3CB7BB8C" w14:textId="2EFECDD9" w:rsidR="00E22AC9" w:rsidRPr="00BD2D20" w:rsidRDefault="00841C3A" w:rsidP="00E351D8">
      <w:pPr>
        <w:pStyle w:val="NoSpacing"/>
        <w:numPr>
          <w:ilvl w:val="0"/>
          <w:numId w:val="8"/>
        </w:numPr>
        <w:spacing w:line="480" w:lineRule="auto"/>
        <w:ind w:left="0" w:firstLine="0"/>
        <w:jc w:val="both"/>
        <w:rPr>
          <w:rFonts w:ascii="Arial" w:hAnsi="Arial" w:cs="Arial"/>
          <w:sz w:val="24"/>
          <w:szCs w:val="24"/>
        </w:rPr>
      </w:pPr>
      <w:r w:rsidRPr="00BD2D20">
        <w:rPr>
          <w:rFonts w:ascii="Arial" w:hAnsi="Arial" w:cs="Arial"/>
          <w:sz w:val="24"/>
          <w:szCs w:val="24"/>
        </w:rPr>
        <w:t>The defendants state that as</w:t>
      </w:r>
      <w:r w:rsidR="00E22AC9" w:rsidRPr="00BD2D20">
        <w:rPr>
          <w:rFonts w:ascii="Arial" w:hAnsi="Arial" w:cs="Arial"/>
          <w:sz w:val="24"/>
          <w:szCs w:val="24"/>
        </w:rPr>
        <w:t xml:space="preserve"> no such evidence was presented by the </w:t>
      </w:r>
      <w:r w:rsidRPr="00BD2D20">
        <w:rPr>
          <w:rFonts w:ascii="Arial" w:hAnsi="Arial" w:cs="Arial"/>
          <w:sz w:val="24"/>
          <w:szCs w:val="24"/>
        </w:rPr>
        <w:t>plaintiff</w:t>
      </w:r>
      <w:r w:rsidR="00E22AC9" w:rsidRPr="00BD2D20">
        <w:rPr>
          <w:rFonts w:ascii="Arial" w:hAnsi="Arial" w:cs="Arial"/>
          <w:sz w:val="24"/>
          <w:szCs w:val="24"/>
        </w:rPr>
        <w:t xml:space="preserve"> the court </w:t>
      </w:r>
      <w:r w:rsidR="00E22AC9" w:rsidRPr="00F0129E">
        <w:rPr>
          <w:rFonts w:ascii="Arial" w:hAnsi="Arial" w:cs="Arial"/>
          <w:i/>
          <w:sz w:val="24"/>
          <w:szCs w:val="24"/>
        </w:rPr>
        <w:t>a quo</w:t>
      </w:r>
      <w:r w:rsidR="00E22AC9" w:rsidRPr="00BD2D20">
        <w:rPr>
          <w:rFonts w:ascii="Arial" w:hAnsi="Arial" w:cs="Arial"/>
          <w:sz w:val="24"/>
          <w:szCs w:val="24"/>
        </w:rPr>
        <w:t xml:space="preserve"> ought to have but failed to find that the </w:t>
      </w:r>
      <w:r w:rsidRPr="00BD2D20">
        <w:rPr>
          <w:rFonts w:ascii="Arial" w:hAnsi="Arial" w:cs="Arial"/>
          <w:sz w:val="24"/>
          <w:szCs w:val="24"/>
        </w:rPr>
        <w:t xml:space="preserve">plaintiff </w:t>
      </w:r>
      <w:r w:rsidR="00E22AC9" w:rsidRPr="00BD2D20">
        <w:rPr>
          <w:rFonts w:ascii="Arial" w:hAnsi="Arial" w:cs="Arial"/>
          <w:sz w:val="24"/>
          <w:szCs w:val="24"/>
        </w:rPr>
        <w:t>failed to discharge the onus that rested upon him.</w:t>
      </w:r>
    </w:p>
    <w:p w14:paraId="69663C61" w14:textId="77777777" w:rsidR="00E22AC9" w:rsidRPr="00BD2D20" w:rsidRDefault="00E22AC9" w:rsidP="00E351D8">
      <w:pPr>
        <w:spacing w:line="480" w:lineRule="auto"/>
        <w:jc w:val="both"/>
        <w:rPr>
          <w:rFonts w:cs="Arial"/>
          <w:szCs w:val="24"/>
        </w:rPr>
      </w:pPr>
    </w:p>
    <w:p w14:paraId="7C7D4347" w14:textId="40E68F8A" w:rsidR="00A01DB9" w:rsidRPr="00BD2D20" w:rsidRDefault="007744E1" w:rsidP="00E351D8">
      <w:pPr>
        <w:pStyle w:val="NoSpacing"/>
        <w:numPr>
          <w:ilvl w:val="0"/>
          <w:numId w:val="8"/>
        </w:numPr>
        <w:spacing w:line="480" w:lineRule="auto"/>
        <w:ind w:left="0" w:firstLine="0"/>
        <w:jc w:val="both"/>
        <w:rPr>
          <w:rFonts w:ascii="Arial" w:hAnsi="Arial" w:cs="Arial"/>
          <w:sz w:val="24"/>
          <w:szCs w:val="24"/>
        </w:rPr>
      </w:pPr>
      <w:r w:rsidRPr="00BD2D20">
        <w:rPr>
          <w:rFonts w:ascii="Arial" w:hAnsi="Arial" w:cs="Arial"/>
          <w:sz w:val="24"/>
          <w:szCs w:val="24"/>
        </w:rPr>
        <w:t>As regards the enrichment claims, the</w:t>
      </w:r>
      <w:r w:rsidR="00A01DB9" w:rsidRPr="00BD2D20">
        <w:rPr>
          <w:rFonts w:ascii="Arial" w:hAnsi="Arial" w:cs="Arial"/>
          <w:sz w:val="24"/>
          <w:szCs w:val="24"/>
        </w:rPr>
        <w:t xml:space="preserve"> </w:t>
      </w:r>
      <w:r w:rsidR="00CF070D" w:rsidRPr="00BD2D20">
        <w:rPr>
          <w:rFonts w:ascii="Arial" w:hAnsi="Arial" w:cs="Arial"/>
          <w:sz w:val="24"/>
          <w:szCs w:val="24"/>
        </w:rPr>
        <w:t xml:space="preserve">defendants’ </w:t>
      </w:r>
      <w:r w:rsidR="00A01DB9" w:rsidRPr="00BD2D20">
        <w:rPr>
          <w:rFonts w:ascii="Arial" w:hAnsi="Arial" w:cs="Arial"/>
          <w:sz w:val="24"/>
          <w:szCs w:val="24"/>
        </w:rPr>
        <w:t xml:space="preserve">overarching complaint </w:t>
      </w:r>
      <w:r w:rsidR="00CF070D" w:rsidRPr="00BD2D20">
        <w:rPr>
          <w:rFonts w:ascii="Arial" w:hAnsi="Arial" w:cs="Arial"/>
          <w:sz w:val="24"/>
          <w:szCs w:val="24"/>
        </w:rPr>
        <w:t xml:space="preserve">is that the case found by </w:t>
      </w:r>
      <w:r w:rsidRPr="00BD2D20">
        <w:rPr>
          <w:rFonts w:ascii="Arial" w:hAnsi="Arial" w:cs="Arial"/>
          <w:sz w:val="24"/>
          <w:szCs w:val="24"/>
        </w:rPr>
        <w:t xml:space="preserve">the court </w:t>
      </w:r>
      <w:r w:rsidRPr="0081762E">
        <w:rPr>
          <w:rFonts w:ascii="Arial" w:hAnsi="Arial" w:cs="Arial"/>
          <w:i/>
          <w:sz w:val="24"/>
          <w:szCs w:val="24"/>
        </w:rPr>
        <w:t>a quo</w:t>
      </w:r>
      <w:r w:rsidRPr="00BD2D20">
        <w:rPr>
          <w:rFonts w:ascii="Arial" w:hAnsi="Arial" w:cs="Arial"/>
          <w:sz w:val="24"/>
          <w:szCs w:val="24"/>
        </w:rPr>
        <w:t xml:space="preserve"> </w:t>
      </w:r>
      <w:r w:rsidR="00DC29D8" w:rsidRPr="00BD2D20">
        <w:rPr>
          <w:rFonts w:ascii="Arial" w:hAnsi="Arial" w:cs="Arial"/>
          <w:sz w:val="24"/>
          <w:szCs w:val="24"/>
        </w:rPr>
        <w:t xml:space="preserve">to have been </w:t>
      </w:r>
      <w:r w:rsidR="00CF070D" w:rsidRPr="00BD2D20">
        <w:rPr>
          <w:rFonts w:ascii="Arial" w:hAnsi="Arial" w:cs="Arial"/>
          <w:sz w:val="24"/>
          <w:szCs w:val="24"/>
        </w:rPr>
        <w:t xml:space="preserve">proved was not based on the plaintiff’s pleaded case nor on the evidence led at the trial. The defendants </w:t>
      </w:r>
      <w:r w:rsidR="006A570D">
        <w:rPr>
          <w:rFonts w:ascii="Arial" w:hAnsi="Arial" w:cs="Arial"/>
          <w:sz w:val="24"/>
          <w:szCs w:val="24"/>
        </w:rPr>
        <w:t xml:space="preserve">predicate </w:t>
      </w:r>
      <w:r w:rsidR="00E06E65">
        <w:rPr>
          <w:rFonts w:ascii="Arial" w:hAnsi="Arial" w:cs="Arial"/>
          <w:sz w:val="24"/>
          <w:szCs w:val="24"/>
        </w:rPr>
        <w:t>that complaint on</w:t>
      </w:r>
      <w:r w:rsidR="00CF070D" w:rsidRPr="00BD2D20">
        <w:rPr>
          <w:rFonts w:ascii="Arial" w:hAnsi="Arial" w:cs="Arial"/>
          <w:sz w:val="24"/>
          <w:szCs w:val="24"/>
        </w:rPr>
        <w:t xml:space="preserve"> the common cause fact </w:t>
      </w:r>
      <w:r w:rsidR="00AF0A91" w:rsidRPr="00BD2D20">
        <w:rPr>
          <w:rFonts w:ascii="Arial" w:hAnsi="Arial" w:cs="Arial"/>
          <w:sz w:val="24"/>
          <w:szCs w:val="24"/>
        </w:rPr>
        <w:t xml:space="preserve">that the plaintiff sought </w:t>
      </w:r>
      <w:r w:rsidR="00CF070D" w:rsidRPr="00BD2D20">
        <w:rPr>
          <w:rFonts w:ascii="Arial" w:hAnsi="Arial" w:cs="Arial"/>
          <w:sz w:val="24"/>
          <w:szCs w:val="24"/>
        </w:rPr>
        <w:t>to ‘belatedly’ amend his particulars of claim</w:t>
      </w:r>
      <w:r w:rsidR="00936035" w:rsidRPr="00BD2D20">
        <w:rPr>
          <w:rFonts w:ascii="Arial" w:hAnsi="Arial" w:cs="Arial"/>
          <w:sz w:val="24"/>
          <w:szCs w:val="24"/>
        </w:rPr>
        <w:t xml:space="preserve"> at the end of the trial and after the parties made submissions to the court</w:t>
      </w:r>
      <w:r w:rsidR="00CF070D" w:rsidRPr="00BD2D20">
        <w:rPr>
          <w:rFonts w:ascii="Arial" w:hAnsi="Arial" w:cs="Arial"/>
          <w:sz w:val="24"/>
          <w:szCs w:val="24"/>
        </w:rPr>
        <w:t xml:space="preserve">. </w:t>
      </w:r>
      <w:r w:rsidR="00AF0A91" w:rsidRPr="00BD2D20">
        <w:rPr>
          <w:rFonts w:ascii="Arial" w:hAnsi="Arial" w:cs="Arial"/>
          <w:sz w:val="24"/>
          <w:szCs w:val="24"/>
        </w:rPr>
        <w:t xml:space="preserve">The amendment </w:t>
      </w:r>
      <w:r w:rsidR="0081762E">
        <w:rPr>
          <w:rFonts w:ascii="Arial" w:hAnsi="Arial" w:cs="Arial"/>
          <w:sz w:val="24"/>
          <w:szCs w:val="24"/>
        </w:rPr>
        <w:t>–</w:t>
      </w:r>
      <w:r w:rsidR="00AF0A91" w:rsidRPr="00BD2D20">
        <w:rPr>
          <w:rFonts w:ascii="Arial" w:hAnsi="Arial" w:cs="Arial"/>
          <w:sz w:val="24"/>
          <w:szCs w:val="24"/>
        </w:rPr>
        <w:t xml:space="preserve"> which was refused and is not the subject of a </w:t>
      </w:r>
      <w:r w:rsidR="00DC29D8" w:rsidRPr="00BD2D20">
        <w:rPr>
          <w:rFonts w:ascii="Arial" w:hAnsi="Arial" w:cs="Arial"/>
          <w:sz w:val="24"/>
          <w:szCs w:val="24"/>
        </w:rPr>
        <w:t>cross</w:t>
      </w:r>
      <w:r w:rsidR="00AF0A91" w:rsidRPr="00BD2D20">
        <w:rPr>
          <w:rFonts w:ascii="Arial" w:hAnsi="Arial" w:cs="Arial"/>
          <w:sz w:val="24"/>
          <w:szCs w:val="24"/>
        </w:rPr>
        <w:t>-appeal – according to the defendants demonstrates that the plaintiff took them to ‘trial on a totally different case than the one he eventually supported in the belated amendment’.</w:t>
      </w:r>
      <w:r w:rsidR="00E9047F" w:rsidRPr="00BD2D20">
        <w:rPr>
          <w:rFonts w:ascii="Arial" w:hAnsi="Arial" w:cs="Arial"/>
          <w:sz w:val="24"/>
          <w:szCs w:val="24"/>
        </w:rPr>
        <w:t xml:space="preserve"> </w:t>
      </w:r>
    </w:p>
    <w:p w14:paraId="067767A6" w14:textId="77777777" w:rsidR="009A0CAD" w:rsidRDefault="009A0CAD" w:rsidP="00E351D8">
      <w:pPr>
        <w:spacing w:line="480" w:lineRule="auto"/>
        <w:jc w:val="both"/>
        <w:rPr>
          <w:rFonts w:cs="Arial"/>
          <w:szCs w:val="24"/>
        </w:rPr>
      </w:pPr>
    </w:p>
    <w:p w14:paraId="0F4F99DC" w14:textId="71B1DCA6" w:rsidR="0081762E" w:rsidRPr="0082241B" w:rsidRDefault="00E9047F" w:rsidP="00E351D8">
      <w:pPr>
        <w:pStyle w:val="NoSpacing"/>
        <w:numPr>
          <w:ilvl w:val="0"/>
          <w:numId w:val="8"/>
        </w:numPr>
        <w:spacing w:line="480" w:lineRule="auto"/>
        <w:ind w:left="0" w:firstLine="0"/>
        <w:jc w:val="both"/>
        <w:rPr>
          <w:rFonts w:ascii="Arial" w:hAnsi="Arial" w:cs="Arial"/>
          <w:sz w:val="24"/>
          <w:szCs w:val="24"/>
        </w:rPr>
      </w:pPr>
      <w:r w:rsidRPr="00BD2D20">
        <w:rPr>
          <w:rFonts w:ascii="Arial" w:hAnsi="Arial" w:cs="Arial"/>
          <w:sz w:val="24"/>
          <w:szCs w:val="24"/>
        </w:rPr>
        <w:t xml:space="preserve">According to the defendants, the court </w:t>
      </w:r>
      <w:r w:rsidRPr="0081762E">
        <w:rPr>
          <w:rFonts w:ascii="Arial" w:hAnsi="Arial" w:cs="Arial"/>
          <w:i/>
          <w:sz w:val="24"/>
          <w:szCs w:val="24"/>
        </w:rPr>
        <w:t>a quo</w:t>
      </w:r>
      <w:r w:rsidRPr="00BD2D20">
        <w:rPr>
          <w:rFonts w:ascii="Arial" w:hAnsi="Arial" w:cs="Arial"/>
          <w:sz w:val="24"/>
          <w:szCs w:val="24"/>
        </w:rPr>
        <w:t xml:space="preserve"> should have granted an order of absolution from the</w:t>
      </w:r>
      <w:r w:rsidR="00B97083">
        <w:rPr>
          <w:rFonts w:ascii="Arial" w:hAnsi="Arial" w:cs="Arial"/>
          <w:sz w:val="24"/>
          <w:szCs w:val="24"/>
        </w:rPr>
        <w:t xml:space="preserve"> instance in respect of claim</w:t>
      </w:r>
      <w:r w:rsidR="0081762E">
        <w:rPr>
          <w:rFonts w:ascii="Arial" w:hAnsi="Arial" w:cs="Arial"/>
          <w:sz w:val="24"/>
          <w:szCs w:val="24"/>
        </w:rPr>
        <w:t xml:space="preserve"> one</w:t>
      </w:r>
      <w:r w:rsidR="007417EA">
        <w:rPr>
          <w:rFonts w:ascii="Arial" w:hAnsi="Arial" w:cs="Arial"/>
          <w:sz w:val="24"/>
          <w:szCs w:val="24"/>
        </w:rPr>
        <w:t xml:space="preserve"> </w:t>
      </w:r>
      <w:r w:rsidR="00DC29D8" w:rsidRPr="00BD2D20">
        <w:rPr>
          <w:rFonts w:ascii="Arial" w:hAnsi="Arial" w:cs="Arial"/>
          <w:sz w:val="24"/>
          <w:szCs w:val="24"/>
        </w:rPr>
        <w:t>(the enrichment claims)</w:t>
      </w:r>
      <w:r w:rsidR="009612EA" w:rsidRPr="00BD2D20">
        <w:rPr>
          <w:rFonts w:ascii="Arial" w:hAnsi="Arial" w:cs="Arial"/>
          <w:sz w:val="24"/>
          <w:szCs w:val="24"/>
        </w:rPr>
        <w:t>.</w:t>
      </w:r>
    </w:p>
    <w:p w14:paraId="662407E4" w14:textId="69323285" w:rsidR="0081762E" w:rsidRPr="00BC65AB" w:rsidRDefault="00A07196" w:rsidP="00E351D8">
      <w:pPr>
        <w:pStyle w:val="NoSpacing"/>
        <w:numPr>
          <w:ilvl w:val="0"/>
          <w:numId w:val="8"/>
        </w:numPr>
        <w:spacing w:line="480" w:lineRule="auto"/>
        <w:ind w:left="0" w:firstLine="0"/>
        <w:jc w:val="both"/>
        <w:rPr>
          <w:rFonts w:ascii="Arial" w:hAnsi="Arial" w:cs="Arial"/>
          <w:sz w:val="24"/>
          <w:szCs w:val="24"/>
        </w:rPr>
      </w:pPr>
      <w:r w:rsidRPr="00BD2D20">
        <w:rPr>
          <w:rFonts w:ascii="Arial" w:hAnsi="Arial" w:cs="Arial"/>
          <w:sz w:val="24"/>
          <w:szCs w:val="24"/>
        </w:rPr>
        <w:lastRenderedPageBreak/>
        <w:t xml:space="preserve">As a </w:t>
      </w:r>
      <w:r w:rsidR="00DC29D8" w:rsidRPr="00BD2D20">
        <w:rPr>
          <w:rFonts w:ascii="Arial" w:hAnsi="Arial" w:cs="Arial"/>
          <w:sz w:val="24"/>
          <w:szCs w:val="24"/>
        </w:rPr>
        <w:t>fall-back</w:t>
      </w:r>
      <w:r w:rsidRPr="00BD2D20">
        <w:rPr>
          <w:rFonts w:ascii="Arial" w:hAnsi="Arial" w:cs="Arial"/>
          <w:sz w:val="24"/>
          <w:szCs w:val="24"/>
        </w:rPr>
        <w:t xml:space="preserve"> position, the defendants state that the court </w:t>
      </w:r>
      <w:r w:rsidRPr="00BC65AB">
        <w:rPr>
          <w:rFonts w:ascii="Arial" w:hAnsi="Arial" w:cs="Arial"/>
          <w:i/>
          <w:sz w:val="24"/>
          <w:szCs w:val="24"/>
        </w:rPr>
        <w:t>a quo</w:t>
      </w:r>
      <w:r w:rsidRPr="00BD2D20">
        <w:rPr>
          <w:rFonts w:ascii="Arial" w:hAnsi="Arial" w:cs="Arial"/>
          <w:sz w:val="24"/>
          <w:szCs w:val="24"/>
        </w:rPr>
        <w:t xml:space="preserve"> erred in not finding that the moneys paid by the plaintiff for the buildings and the solar panel system represented a gift or donation to them.</w:t>
      </w:r>
    </w:p>
    <w:p w14:paraId="7EA15512" w14:textId="77777777" w:rsidR="00E351D8" w:rsidRDefault="00E351D8" w:rsidP="00E351D8">
      <w:pPr>
        <w:tabs>
          <w:tab w:val="left" w:pos="2205"/>
        </w:tabs>
        <w:spacing w:line="480" w:lineRule="auto"/>
        <w:jc w:val="both"/>
        <w:rPr>
          <w:rFonts w:cs="Arial"/>
          <w:i/>
          <w:szCs w:val="24"/>
        </w:rPr>
      </w:pPr>
    </w:p>
    <w:p w14:paraId="557468F2" w14:textId="4770E7D6" w:rsidR="00172555" w:rsidRPr="002A0FED" w:rsidRDefault="00172555" w:rsidP="00E351D8">
      <w:pPr>
        <w:tabs>
          <w:tab w:val="left" w:pos="2205"/>
        </w:tabs>
        <w:spacing w:line="480" w:lineRule="auto"/>
        <w:jc w:val="both"/>
        <w:rPr>
          <w:rFonts w:cs="Arial"/>
          <w:i/>
          <w:szCs w:val="24"/>
        </w:rPr>
      </w:pPr>
      <w:r w:rsidRPr="002A0FED">
        <w:rPr>
          <w:rFonts w:cs="Arial"/>
          <w:i/>
          <w:szCs w:val="24"/>
        </w:rPr>
        <w:t>A</w:t>
      </w:r>
      <w:r w:rsidR="00BC65AB">
        <w:rPr>
          <w:rFonts w:cs="Arial"/>
          <w:i/>
          <w:szCs w:val="24"/>
        </w:rPr>
        <w:t>d order four</w:t>
      </w:r>
    </w:p>
    <w:p w14:paraId="213F40C3" w14:textId="00529B83" w:rsidR="005111EB" w:rsidRPr="00BD2D20" w:rsidRDefault="00C50CCE" w:rsidP="00E351D8">
      <w:pPr>
        <w:pStyle w:val="NoSpacing"/>
        <w:numPr>
          <w:ilvl w:val="0"/>
          <w:numId w:val="8"/>
        </w:numPr>
        <w:spacing w:line="480" w:lineRule="auto"/>
        <w:ind w:left="0" w:firstLine="0"/>
        <w:jc w:val="both"/>
        <w:rPr>
          <w:rFonts w:ascii="Arial" w:hAnsi="Arial" w:cs="Arial"/>
          <w:sz w:val="24"/>
          <w:szCs w:val="24"/>
        </w:rPr>
      </w:pPr>
      <w:r w:rsidRPr="00BD2D20">
        <w:rPr>
          <w:rFonts w:ascii="Arial" w:hAnsi="Arial" w:cs="Arial"/>
          <w:sz w:val="24"/>
          <w:szCs w:val="24"/>
        </w:rPr>
        <w:t>The defendants’</w:t>
      </w:r>
      <w:r w:rsidR="00C262F7" w:rsidRPr="00BD2D20">
        <w:rPr>
          <w:rFonts w:ascii="Arial" w:hAnsi="Arial" w:cs="Arial"/>
          <w:sz w:val="24"/>
          <w:szCs w:val="24"/>
        </w:rPr>
        <w:t xml:space="preserve"> </w:t>
      </w:r>
      <w:r w:rsidRPr="00BD2D20">
        <w:rPr>
          <w:rFonts w:ascii="Arial" w:hAnsi="Arial" w:cs="Arial"/>
          <w:sz w:val="24"/>
          <w:szCs w:val="24"/>
        </w:rPr>
        <w:t xml:space="preserve">complaint against the court </w:t>
      </w:r>
      <w:r w:rsidRPr="00A42854">
        <w:rPr>
          <w:rFonts w:ascii="Arial" w:hAnsi="Arial" w:cs="Arial"/>
          <w:i/>
          <w:sz w:val="24"/>
          <w:szCs w:val="24"/>
        </w:rPr>
        <w:t>a quo’s</w:t>
      </w:r>
      <w:r w:rsidRPr="00BD2D20">
        <w:rPr>
          <w:rFonts w:ascii="Arial" w:hAnsi="Arial" w:cs="Arial"/>
          <w:sz w:val="24"/>
          <w:szCs w:val="24"/>
        </w:rPr>
        <w:t xml:space="preserve"> </w:t>
      </w:r>
      <w:r w:rsidR="00C262F7" w:rsidRPr="00BD2D20">
        <w:rPr>
          <w:rFonts w:ascii="Arial" w:hAnsi="Arial" w:cs="Arial"/>
          <w:sz w:val="24"/>
          <w:szCs w:val="24"/>
        </w:rPr>
        <w:t>order</w:t>
      </w:r>
      <w:r w:rsidRPr="00BD2D20">
        <w:rPr>
          <w:rFonts w:ascii="Arial" w:hAnsi="Arial" w:cs="Arial"/>
          <w:sz w:val="24"/>
          <w:szCs w:val="24"/>
        </w:rPr>
        <w:t xml:space="preserve"> on the loan for </w:t>
      </w:r>
      <w:r w:rsidR="00DA0020">
        <w:rPr>
          <w:rFonts w:ascii="Arial" w:hAnsi="Arial" w:cs="Arial"/>
          <w:sz w:val="24"/>
          <w:szCs w:val="24"/>
        </w:rPr>
        <w:t xml:space="preserve">the </w:t>
      </w:r>
      <w:r w:rsidR="002A0FED">
        <w:rPr>
          <w:rFonts w:ascii="Arial" w:hAnsi="Arial" w:cs="Arial"/>
          <w:sz w:val="24"/>
          <w:szCs w:val="24"/>
        </w:rPr>
        <w:t xml:space="preserve">purchase of game </w:t>
      </w:r>
      <w:r w:rsidRPr="00BD2D20">
        <w:rPr>
          <w:rFonts w:ascii="Arial" w:hAnsi="Arial" w:cs="Arial"/>
          <w:sz w:val="24"/>
          <w:szCs w:val="24"/>
        </w:rPr>
        <w:t>is that</w:t>
      </w:r>
      <w:r w:rsidR="00C262F7" w:rsidRPr="00BD2D20">
        <w:rPr>
          <w:rFonts w:ascii="Arial" w:hAnsi="Arial" w:cs="Arial"/>
          <w:sz w:val="24"/>
          <w:szCs w:val="24"/>
        </w:rPr>
        <w:t xml:space="preserve"> the court erroneously found that the defendants had earned enough income from hunters brought by the plaintiff when in fact they had raised only </w:t>
      </w:r>
      <w:r w:rsidR="000C5633">
        <w:rPr>
          <w:rFonts w:ascii="Arial" w:hAnsi="Arial" w:cs="Arial"/>
          <w:sz w:val="24"/>
          <w:szCs w:val="24"/>
        </w:rPr>
        <w:t>€</w:t>
      </w:r>
      <w:r w:rsidR="00696328" w:rsidRPr="00BD2D20">
        <w:rPr>
          <w:rFonts w:ascii="Arial" w:hAnsi="Arial" w:cs="Arial"/>
          <w:sz w:val="24"/>
          <w:szCs w:val="24"/>
        </w:rPr>
        <w:t>17 280.</w:t>
      </w:r>
      <w:r w:rsidR="00BD2D20">
        <w:rPr>
          <w:rFonts w:ascii="Arial" w:hAnsi="Arial" w:cs="Arial"/>
          <w:sz w:val="24"/>
          <w:szCs w:val="24"/>
        </w:rPr>
        <w:t xml:space="preserve"> </w:t>
      </w:r>
      <w:r w:rsidR="00BD2D20" w:rsidRPr="00BD2D20">
        <w:rPr>
          <w:rFonts w:cs="Arial"/>
          <w:szCs w:val="24"/>
        </w:rPr>
        <w:t xml:space="preserve"> </w:t>
      </w:r>
      <w:r w:rsidR="005111EB" w:rsidRPr="00BD2D20">
        <w:rPr>
          <w:rFonts w:ascii="Arial" w:hAnsi="Arial" w:cs="Arial"/>
          <w:sz w:val="24"/>
          <w:szCs w:val="24"/>
        </w:rPr>
        <w:t>(It bears mention that the ground of appeal does not suggest that the plaintiff had waived his right to repayment as alleged in the plea).</w:t>
      </w:r>
    </w:p>
    <w:p w14:paraId="1D8DDD39" w14:textId="77777777" w:rsidR="005111EB" w:rsidRPr="00BD2D20" w:rsidRDefault="005111EB" w:rsidP="00E351D8">
      <w:pPr>
        <w:spacing w:line="480" w:lineRule="auto"/>
        <w:jc w:val="both"/>
        <w:rPr>
          <w:rFonts w:cs="Arial"/>
          <w:szCs w:val="24"/>
        </w:rPr>
      </w:pPr>
    </w:p>
    <w:p w14:paraId="666C8F33" w14:textId="3F57A614" w:rsidR="005111EB" w:rsidRPr="00BD2D20" w:rsidRDefault="005111EB" w:rsidP="00E351D8">
      <w:pPr>
        <w:spacing w:line="480" w:lineRule="auto"/>
        <w:jc w:val="both"/>
        <w:rPr>
          <w:rFonts w:cs="Arial"/>
          <w:szCs w:val="24"/>
          <w:u w:val="single"/>
        </w:rPr>
      </w:pPr>
      <w:r w:rsidRPr="00BD2D20">
        <w:rPr>
          <w:rFonts w:cs="Arial"/>
          <w:szCs w:val="24"/>
          <w:u w:val="single"/>
        </w:rPr>
        <w:t>Interest</w:t>
      </w:r>
    </w:p>
    <w:p w14:paraId="68C86B37" w14:textId="671B2D86" w:rsidR="00020EB2" w:rsidRDefault="005111EB" w:rsidP="00E351D8">
      <w:pPr>
        <w:pStyle w:val="NoSpacing"/>
        <w:numPr>
          <w:ilvl w:val="0"/>
          <w:numId w:val="8"/>
        </w:numPr>
        <w:spacing w:line="480" w:lineRule="auto"/>
        <w:ind w:left="0" w:firstLine="0"/>
        <w:jc w:val="both"/>
        <w:rPr>
          <w:rFonts w:ascii="Arial" w:hAnsi="Arial" w:cs="Arial"/>
          <w:sz w:val="24"/>
          <w:szCs w:val="24"/>
        </w:rPr>
      </w:pPr>
      <w:r w:rsidRPr="00BD2D20">
        <w:rPr>
          <w:rFonts w:ascii="Arial" w:hAnsi="Arial" w:cs="Arial"/>
          <w:sz w:val="24"/>
          <w:szCs w:val="24"/>
        </w:rPr>
        <w:t xml:space="preserve">In relation to the enrichment claims, the defendants state that the court </w:t>
      </w:r>
      <w:r w:rsidRPr="00311EF3">
        <w:rPr>
          <w:rFonts w:ascii="Arial" w:hAnsi="Arial" w:cs="Arial"/>
          <w:i/>
          <w:sz w:val="24"/>
          <w:szCs w:val="24"/>
        </w:rPr>
        <w:t>a quo</w:t>
      </w:r>
      <w:r w:rsidRPr="00BD2D20">
        <w:rPr>
          <w:rFonts w:ascii="Arial" w:hAnsi="Arial" w:cs="Arial"/>
          <w:sz w:val="24"/>
          <w:szCs w:val="24"/>
        </w:rPr>
        <w:t xml:space="preserve"> erred in treating the amounts claimed as liquidated amounts and ordering interest on that basis when it should have imposed interest only from the date of judgment.</w:t>
      </w:r>
    </w:p>
    <w:p w14:paraId="4F6AB9D9" w14:textId="77777777" w:rsidR="0082241B" w:rsidRPr="00E351D8" w:rsidRDefault="0082241B" w:rsidP="0082241B">
      <w:pPr>
        <w:pStyle w:val="NoSpacing"/>
        <w:spacing w:line="480" w:lineRule="auto"/>
        <w:jc w:val="both"/>
        <w:rPr>
          <w:rFonts w:ascii="Arial" w:hAnsi="Arial" w:cs="Arial"/>
          <w:sz w:val="24"/>
          <w:szCs w:val="24"/>
        </w:rPr>
      </w:pPr>
    </w:p>
    <w:p w14:paraId="7A9E8F25" w14:textId="2FE671C2" w:rsidR="00020EB2" w:rsidRPr="00BD2D20" w:rsidRDefault="00020EB2" w:rsidP="00E351D8">
      <w:pPr>
        <w:spacing w:line="480" w:lineRule="auto"/>
        <w:jc w:val="both"/>
        <w:rPr>
          <w:rFonts w:cs="Arial"/>
          <w:szCs w:val="24"/>
          <w:u w:val="single"/>
        </w:rPr>
      </w:pPr>
      <w:r w:rsidRPr="00BD2D20">
        <w:rPr>
          <w:rFonts w:cs="Arial"/>
          <w:szCs w:val="24"/>
          <w:u w:val="single"/>
        </w:rPr>
        <w:t>Damages in foreign currency</w:t>
      </w:r>
    </w:p>
    <w:p w14:paraId="36A6E7EF" w14:textId="41CC0A50" w:rsidR="00020EB2" w:rsidRPr="00BD2D20" w:rsidRDefault="00020EB2" w:rsidP="00E351D8">
      <w:pPr>
        <w:pStyle w:val="NoSpacing"/>
        <w:numPr>
          <w:ilvl w:val="0"/>
          <w:numId w:val="8"/>
        </w:numPr>
        <w:spacing w:line="480" w:lineRule="auto"/>
        <w:ind w:left="0" w:firstLine="0"/>
        <w:jc w:val="both"/>
        <w:rPr>
          <w:rFonts w:ascii="Arial" w:hAnsi="Arial" w:cs="Arial"/>
          <w:sz w:val="24"/>
          <w:szCs w:val="24"/>
        </w:rPr>
      </w:pPr>
      <w:r w:rsidRPr="00BD2D20">
        <w:rPr>
          <w:rFonts w:ascii="Arial" w:hAnsi="Arial" w:cs="Arial"/>
          <w:sz w:val="24"/>
          <w:szCs w:val="24"/>
        </w:rPr>
        <w:t>Although in the grounds of appeal, no grievance is raised by the defendants against the High Court’s order granting damages in Euro</w:t>
      </w:r>
      <w:r w:rsidR="00A70516">
        <w:rPr>
          <w:rFonts w:ascii="Arial" w:hAnsi="Arial" w:cs="Arial"/>
          <w:sz w:val="24"/>
          <w:szCs w:val="24"/>
        </w:rPr>
        <w:t>s</w:t>
      </w:r>
      <w:r w:rsidRPr="00BD2D20">
        <w:rPr>
          <w:rFonts w:ascii="Arial" w:hAnsi="Arial" w:cs="Arial"/>
          <w:sz w:val="24"/>
          <w:szCs w:val="24"/>
        </w:rPr>
        <w:t xml:space="preserve">, the </w:t>
      </w:r>
      <w:r w:rsidR="00943C9E" w:rsidRPr="00BD2D20">
        <w:rPr>
          <w:rFonts w:ascii="Arial" w:hAnsi="Arial" w:cs="Arial"/>
          <w:sz w:val="24"/>
          <w:szCs w:val="24"/>
        </w:rPr>
        <w:t>defendants’ counsel</w:t>
      </w:r>
      <w:r w:rsidRPr="00BD2D20">
        <w:rPr>
          <w:rFonts w:ascii="Arial" w:hAnsi="Arial" w:cs="Arial"/>
          <w:sz w:val="24"/>
          <w:szCs w:val="24"/>
        </w:rPr>
        <w:t xml:space="preserve"> in the heads of argument and in oral argument suggested that the court should not have ordered payment in foreign currency.</w:t>
      </w:r>
    </w:p>
    <w:p w14:paraId="790431A2" w14:textId="77777777" w:rsidR="0052756C" w:rsidRDefault="0052756C" w:rsidP="00E351D8">
      <w:pPr>
        <w:pStyle w:val="NoSpacing"/>
        <w:spacing w:line="480" w:lineRule="auto"/>
        <w:jc w:val="both"/>
        <w:rPr>
          <w:rFonts w:ascii="Arial" w:hAnsi="Arial" w:cs="Arial"/>
          <w:sz w:val="24"/>
          <w:szCs w:val="24"/>
          <w:u w:val="single"/>
        </w:rPr>
      </w:pPr>
    </w:p>
    <w:p w14:paraId="30F10D29" w14:textId="77777777" w:rsidR="0052756C" w:rsidRDefault="0052756C" w:rsidP="00E351D8">
      <w:pPr>
        <w:pStyle w:val="NoSpacing"/>
        <w:spacing w:line="480" w:lineRule="auto"/>
        <w:jc w:val="both"/>
        <w:rPr>
          <w:rFonts w:ascii="Arial" w:hAnsi="Arial" w:cs="Arial"/>
          <w:sz w:val="24"/>
          <w:szCs w:val="24"/>
          <w:u w:val="single"/>
        </w:rPr>
      </w:pPr>
    </w:p>
    <w:p w14:paraId="2A92BABB" w14:textId="77777777" w:rsidR="0052756C" w:rsidRDefault="0052756C" w:rsidP="00E351D8">
      <w:pPr>
        <w:pStyle w:val="NoSpacing"/>
        <w:spacing w:line="480" w:lineRule="auto"/>
        <w:jc w:val="both"/>
        <w:rPr>
          <w:rFonts w:ascii="Arial" w:hAnsi="Arial" w:cs="Arial"/>
          <w:sz w:val="24"/>
          <w:szCs w:val="24"/>
          <w:u w:val="single"/>
        </w:rPr>
      </w:pPr>
    </w:p>
    <w:p w14:paraId="5A1273CB" w14:textId="77777777" w:rsidR="0052756C" w:rsidRDefault="0052756C" w:rsidP="00E351D8">
      <w:pPr>
        <w:pStyle w:val="NoSpacing"/>
        <w:spacing w:line="480" w:lineRule="auto"/>
        <w:jc w:val="both"/>
        <w:rPr>
          <w:rFonts w:ascii="Arial" w:hAnsi="Arial" w:cs="Arial"/>
          <w:sz w:val="24"/>
          <w:szCs w:val="24"/>
          <w:u w:val="single"/>
        </w:rPr>
      </w:pPr>
    </w:p>
    <w:p w14:paraId="148582DE" w14:textId="60FA3DF6" w:rsidR="00D71C7C" w:rsidRPr="00BD2D20" w:rsidRDefault="00D71C7C" w:rsidP="00E351D8">
      <w:pPr>
        <w:pStyle w:val="NoSpacing"/>
        <w:spacing w:line="480" w:lineRule="auto"/>
        <w:jc w:val="both"/>
        <w:rPr>
          <w:rFonts w:ascii="Arial" w:hAnsi="Arial" w:cs="Arial"/>
          <w:sz w:val="24"/>
          <w:szCs w:val="24"/>
          <w:u w:val="single"/>
        </w:rPr>
      </w:pPr>
      <w:r w:rsidRPr="00BD2D20">
        <w:rPr>
          <w:rFonts w:ascii="Arial" w:hAnsi="Arial" w:cs="Arial"/>
          <w:sz w:val="24"/>
          <w:szCs w:val="24"/>
          <w:u w:val="single"/>
        </w:rPr>
        <w:lastRenderedPageBreak/>
        <w:t>Cross-appeal</w:t>
      </w:r>
    </w:p>
    <w:p w14:paraId="04354787" w14:textId="58AFF4D2" w:rsidR="001479DE" w:rsidRPr="00BD2D20" w:rsidRDefault="00051E52" w:rsidP="00E351D8">
      <w:pPr>
        <w:pStyle w:val="NoSpacing"/>
        <w:numPr>
          <w:ilvl w:val="0"/>
          <w:numId w:val="8"/>
        </w:numPr>
        <w:spacing w:line="480" w:lineRule="auto"/>
        <w:ind w:left="0" w:firstLine="0"/>
        <w:jc w:val="both"/>
        <w:rPr>
          <w:rFonts w:ascii="Arial" w:hAnsi="Arial" w:cs="Arial"/>
          <w:sz w:val="24"/>
          <w:szCs w:val="24"/>
        </w:rPr>
      </w:pPr>
      <w:r w:rsidRPr="00BD2D20">
        <w:rPr>
          <w:rFonts w:ascii="Arial" w:hAnsi="Arial" w:cs="Arial"/>
          <w:sz w:val="24"/>
          <w:szCs w:val="24"/>
        </w:rPr>
        <w:t xml:space="preserve">The </w:t>
      </w:r>
      <w:r w:rsidR="001479DE" w:rsidRPr="00BD2D20">
        <w:rPr>
          <w:rFonts w:ascii="Arial" w:hAnsi="Arial" w:cs="Arial"/>
          <w:sz w:val="24"/>
          <w:szCs w:val="24"/>
        </w:rPr>
        <w:t xml:space="preserve">plaintiff supports the court </w:t>
      </w:r>
      <w:r w:rsidR="001479DE" w:rsidRPr="00A70516">
        <w:rPr>
          <w:rFonts w:ascii="Arial" w:hAnsi="Arial" w:cs="Arial"/>
          <w:i/>
          <w:sz w:val="24"/>
          <w:szCs w:val="24"/>
        </w:rPr>
        <w:t>a quo</w:t>
      </w:r>
      <w:r w:rsidR="001479DE" w:rsidRPr="00BD2D20">
        <w:rPr>
          <w:rFonts w:ascii="Arial" w:hAnsi="Arial" w:cs="Arial"/>
          <w:sz w:val="24"/>
          <w:szCs w:val="24"/>
        </w:rPr>
        <w:t xml:space="preserve">’s judgment and </w:t>
      </w:r>
      <w:r w:rsidR="00020EB2" w:rsidRPr="00BD2D20">
        <w:rPr>
          <w:rFonts w:ascii="Arial" w:hAnsi="Arial" w:cs="Arial"/>
          <w:sz w:val="24"/>
          <w:szCs w:val="24"/>
        </w:rPr>
        <w:t>cross-</w:t>
      </w:r>
      <w:r w:rsidRPr="00BD2D20">
        <w:rPr>
          <w:rFonts w:ascii="Arial" w:hAnsi="Arial" w:cs="Arial"/>
          <w:sz w:val="24"/>
          <w:szCs w:val="24"/>
        </w:rPr>
        <w:t xml:space="preserve">appeals only against the costs order on the basis that the court should have granted him costs because he had achieved substantial success. </w:t>
      </w:r>
    </w:p>
    <w:p w14:paraId="78515677" w14:textId="77777777" w:rsidR="001479DE" w:rsidRPr="00BD2D20" w:rsidRDefault="001479DE" w:rsidP="00E351D8">
      <w:pPr>
        <w:spacing w:line="480" w:lineRule="auto"/>
        <w:jc w:val="both"/>
        <w:rPr>
          <w:rFonts w:cs="Arial"/>
          <w:szCs w:val="24"/>
        </w:rPr>
      </w:pPr>
    </w:p>
    <w:p w14:paraId="6C43B8C8" w14:textId="2543D9E3" w:rsidR="00051E52" w:rsidRPr="00BD2D20" w:rsidRDefault="00051E52" w:rsidP="00E351D8">
      <w:pPr>
        <w:pStyle w:val="NoSpacing"/>
        <w:numPr>
          <w:ilvl w:val="0"/>
          <w:numId w:val="8"/>
        </w:numPr>
        <w:spacing w:line="480" w:lineRule="auto"/>
        <w:ind w:left="0" w:firstLine="0"/>
        <w:jc w:val="both"/>
        <w:rPr>
          <w:rFonts w:ascii="Arial" w:hAnsi="Arial" w:cs="Arial"/>
          <w:sz w:val="24"/>
          <w:szCs w:val="24"/>
        </w:rPr>
      </w:pPr>
      <w:r w:rsidRPr="00BD2D20">
        <w:rPr>
          <w:rFonts w:ascii="Arial" w:hAnsi="Arial" w:cs="Arial"/>
          <w:sz w:val="24"/>
          <w:szCs w:val="24"/>
        </w:rPr>
        <w:t xml:space="preserve">The cross-appeal is opposed and the </w:t>
      </w:r>
      <w:r w:rsidRPr="002A0FED">
        <w:rPr>
          <w:rFonts w:ascii="Arial" w:hAnsi="Arial" w:cs="Arial"/>
          <w:i/>
          <w:sz w:val="24"/>
          <w:szCs w:val="24"/>
        </w:rPr>
        <w:t>in limine</w:t>
      </w:r>
      <w:r w:rsidRPr="00BD2D20">
        <w:rPr>
          <w:rFonts w:ascii="Arial" w:hAnsi="Arial" w:cs="Arial"/>
          <w:sz w:val="24"/>
          <w:szCs w:val="24"/>
        </w:rPr>
        <w:t xml:space="preserve"> objection taken that since it is an appeal against a costs order only</w:t>
      </w:r>
      <w:r w:rsidR="002A0FED">
        <w:rPr>
          <w:rFonts w:ascii="Arial" w:hAnsi="Arial" w:cs="Arial"/>
          <w:sz w:val="24"/>
          <w:szCs w:val="24"/>
        </w:rPr>
        <w:t>,</w:t>
      </w:r>
      <w:r w:rsidR="002F293C">
        <w:rPr>
          <w:rFonts w:ascii="Arial" w:hAnsi="Arial" w:cs="Arial"/>
          <w:sz w:val="24"/>
          <w:szCs w:val="24"/>
        </w:rPr>
        <w:t xml:space="preserve"> the plaintiff </w:t>
      </w:r>
      <w:r w:rsidRPr="00BD2D20">
        <w:rPr>
          <w:rFonts w:ascii="Arial" w:hAnsi="Arial" w:cs="Arial"/>
          <w:sz w:val="24"/>
          <w:szCs w:val="24"/>
        </w:rPr>
        <w:t>required leave. It is st</w:t>
      </w:r>
      <w:r w:rsidR="002F293C">
        <w:rPr>
          <w:rFonts w:ascii="Arial" w:hAnsi="Arial" w:cs="Arial"/>
          <w:sz w:val="24"/>
          <w:szCs w:val="24"/>
        </w:rPr>
        <w:t>ated on behalf of the defendants</w:t>
      </w:r>
      <w:r w:rsidRPr="00BD2D20">
        <w:rPr>
          <w:rFonts w:ascii="Arial" w:hAnsi="Arial" w:cs="Arial"/>
          <w:sz w:val="24"/>
          <w:szCs w:val="24"/>
        </w:rPr>
        <w:t xml:space="preserve"> that should the main appeal fail, effectively all that </w:t>
      </w:r>
      <w:r w:rsidR="00943C9E" w:rsidRPr="00BD2D20">
        <w:rPr>
          <w:rFonts w:ascii="Arial" w:hAnsi="Arial" w:cs="Arial"/>
          <w:sz w:val="24"/>
          <w:szCs w:val="24"/>
        </w:rPr>
        <w:t>would</w:t>
      </w:r>
      <w:r w:rsidR="001479DE" w:rsidRPr="00BD2D20">
        <w:rPr>
          <w:rFonts w:ascii="Arial" w:hAnsi="Arial" w:cs="Arial"/>
          <w:sz w:val="24"/>
          <w:szCs w:val="24"/>
        </w:rPr>
        <w:t xml:space="preserve"> </w:t>
      </w:r>
      <w:r w:rsidR="00DC29D8" w:rsidRPr="00BD2D20">
        <w:rPr>
          <w:rFonts w:ascii="Arial" w:hAnsi="Arial" w:cs="Arial"/>
          <w:sz w:val="24"/>
          <w:szCs w:val="24"/>
        </w:rPr>
        <w:t>remain</w:t>
      </w:r>
      <w:r w:rsidRPr="00BD2D20">
        <w:rPr>
          <w:rFonts w:ascii="Arial" w:hAnsi="Arial" w:cs="Arial"/>
          <w:sz w:val="24"/>
          <w:szCs w:val="24"/>
        </w:rPr>
        <w:t xml:space="preserve"> </w:t>
      </w:r>
      <w:r w:rsidR="002A0FED">
        <w:rPr>
          <w:rFonts w:ascii="Arial" w:hAnsi="Arial" w:cs="Arial"/>
          <w:sz w:val="24"/>
          <w:szCs w:val="24"/>
        </w:rPr>
        <w:t>is</w:t>
      </w:r>
      <w:r w:rsidRPr="00BD2D20">
        <w:rPr>
          <w:rFonts w:ascii="Arial" w:hAnsi="Arial" w:cs="Arial"/>
          <w:sz w:val="24"/>
          <w:szCs w:val="24"/>
        </w:rPr>
        <w:t xml:space="preserve"> an appeal </w:t>
      </w:r>
      <w:r w:rsidR="002952AB" w:rsidRPr="00BD2D20">
        <w:rPr>
          <w:rFonts w:ascii="Arial" w:hAnsi="Arial" w:cs="Arial"/>
          <w:sz w:val="24"/>
          <w:szCs w:val="24"/>
        </w:rPr>
        <w:t xml:space="preserve">by the cross-appellant </w:t>
      </w:r>
      <w:r w:rsidRPr="00BD2D20">
        <w:rPr>
          <w:rFonts w:ascii="Arial" w:hAnsi="Arial" w:cs="Arial"/>
          <w:sz w:val="24"/>
          <w:szCs w:val="24"/>
        </w:rPr>
        <w:t xml:space="preserve">against an award of costs which the </w:t>
      </w:r>
      <w:r w:rsidR="001479DE" w:rsidRPr="00BD2D20">
        <w:rPr>
          <w:rFonts w:ascii="Arial" w:hAnsi="Arial" w:cs="Arial"/>
          <w:sz w:val="24"/>
          <w:szCs w:val="24"/>
        </w:rPr>
        <w:t xml:space="preserve">plaintiff </w:t>
      </w:r>
      <w:r w:rsidRPr="00BD2D20">
        <w:rPr>
          <w:rFonts w:ascii="Arial" w:hAnsi="Arial" w:cs="Arial"/>
          <w:sz w:val="24"/>
          <w:szCs w:val="24"/>
        </w:rPr>
        <w:t>is not entitled to pursue without leave</w:t>
      </w:r>
      <w:r w:rsidR="002952AB" w:rsidRPr="00BD2D20">
        <w:rPr>
          <w:rFonts w:ascii="Arial" w:hAnsi="Arial" w:cs="Arial"/>
          <w:sz w:val="24"/>
          <w:szCs w:val="24"/>
        </w:rPr>
        <w:t>, in terms of s 18 of the High Court Act 16 of 1990</w:t>
      </w:r>
      <w:r w:rsidR="00DA0020">
        <w:rPr>
          <w:rFonts w:ascii="Arial" w:hAnsi="Arial" w:cs="Arial"/>
          <w:sz w:val="24"/>
          <w:szCs w:val="24"/>
        </w:rPr>
        <w:t>.</w:t>
      </w:r>
      <w:r w:rsidR="00A70516">
        <w:rPr>
          <w:rStyle w:val="FootnoteReference"/>
          <w:rFonts w:ascii="Arial" w:hAnsi="Arial" w:cs="Arial"/>
          <w:sz w:val="24"/>
          <w:szCs w:val="24"/>
        </w:rPr>
        <w:footnoteReference w:id="8"/>
      </w:r>
    </w:p>
    <w:p w14:paraId="77BA2E27" w14:textId="77777777" w:rsidR="001479DE" w:rsidRPr="00E934D7" w:rsidRDefault="001479DE" w:rsidP="00E351D8">
      <w:pPr>
        <w:spacing w:line="480" w:lineRule="auto"/>
        <w:jc w:val="both"/>
        <w:rPr>
          <w:rFonts w:cs="Arial"/>
          <w:szCs w:val="24"/>
        </w:rPr>
      </w:pPr>
    </w:p>
    <w:p w14:paraId="60DB32C5" w14:textId="77777777" w:rsidR="00572F8A" w:rsidRPr="00BD2D20" w:rsidRDefault="00572F8A" w:rsidP="00E351D8">
      <w:pPr>
        <w:spacing w:line="480" w:lineRule="auto"/>
        <w:jc w:val="both"/>
        <w:rPr>
          <w:rFonts w:cs="Arial"/>
          <w:szCs w:val="24"/>
          <w:u w:val="single"/>
        </w:rPr>
      </w:pPr>
      <w:r w:rsidRPr="00BD2D20">
        <w:rPr>
          <w:rFonts w:cs="Arial"/>
          <w:szCs w:val="24"/>
          <w:u w:val="single"/>
        </w:rPr>
        <w:t>Submissions</w:t>
      </w:r>
    </w:p>
    <w:p w14:paraId="716B6EC7" w14:textId="77777777" w:rsidR="00572F8A" w:rsidRPr="00261F90" w:rsidRDefault="00572F8A" w:rsidP="00E351D8">
      <w:pPr>
        <w:spacing w:line="480" w:lineRule="auto"/>
        <w:jc w:val="both"/>
        <w:rPr>
          <w:rFonts w:cs="Arial"/>
          <w:i/>
          <w:szCs w:val="24"/>
        </w:rPr>
      </w:pPr>
      <w:r w:rsidRPr="00261F90">
        <w:rPr>
          <w:rFonts w:cs="Arial"/>
          <w:i/>
          <w:szCs w:val="24"/>
        </w:rPr>
        <w:t>Appellant</w:t>
      </w:r>
    </w:p>
    <w:p w14:paraId="4185C580" w14:textId="771F4886" w:rsidR="00572F8A" w:rsidRPr="00BD2D20" w:rsidRDefault="00572F8A" w:rsidP="00E351D8">
      <w:pPr>
        <w:pStyle w:val="NoSpacing"/>
        <w:numPr>
          <w:ilvl w:val="0"/>
          <w:numId w:val="8"/>
        </w:numPr>
        <w:spacing w:line="480" w:lineRule="auto"/>
        <w:ind w:left="0" w:firstLine="0"/>
        <w:jc w:val="both"/>
        <w:rPr>
          <w:rFonts w:ascii="Arial" w:hAnsi="Arial" w:cs="Arial"/>
          <w:sz w:val="24"/>
          <w:szCs w:val="24"/>
        </w:rPr>
      </w:pPr>
      <w:r w:rsidRPr="00BD2D20">
        <w:rPr>
          <w:rFonts w:ascii="Arial" w:hAnsi="Arial" w:cs="Arial"/>
          <w:sz w:val="24"/>
          <w:szCs w:val="24"/>
        </w:rPr>
        <w:t xml:space="preserve">Mr Heathcote submitted on behalf of the </w:t>
      </w:r>
      <w:r w:rsidR="009967A1">
        <w:rPr>
          <w:rFonts w:ascii="Arial" w:hAnsi="Arial" w:cs="Arial"/>
          <w:sz w:val="24"/>
          <w:szCs w:val="24"/>
        </w:rPr>
        <w:t>defendants</w:t>
      </w:r>
      <w:r w:rsidRPr="00BD2D20">
        <w:rPr>
          <w:rFonts w:ascii="Arial" w:hAnsi="Arial" w:cs="Arial"/>
          <w:sz w:val="24"/>
          <w:szCs w:val="24"/>
        </w:rPr>
        <w:t xml:space="preserve"> that the High Court made no finding </w:t>
      </w:r>
      <w:r w:rsidR="001479DE" w:rsidRPr="00BD2D20">
        <w:rPr>
          <w:rFonts w:ascii="Arial" w:hAnsi="Arial" w:cs="Arial"/>
          <w:sz w:val="24"/>
          <w:szCs w:val="24"/>
        </w:rPr>
        <w:t>as to</w:t>
      </w:r>
      <w:r w:rsidRPr="00BD2D20">
        <w:rPr>
          <w:rFonts w:ascii="Arial" w:hAnsi="Arial" w:cs="Arial"/>
          <w:sz w:val="24"/>
          <w:szCs w:val="24"/>
        </w:rPr>
        <w:t xml:space="preserve"> which type of enrichment action </w:t>
      </w:r>
      <w:r w:rsidR="002952AB" w:rsidRPr="00BD2D20">
        <w:rPr>
          <w:rFonts w:ascii="Arial" w:hAnsi="Arial" w:cs="Arial"/>
          <w:sz w:val="24"/>
          <w:szCs w:val="24"/>
        </w:rPr>
        <w:t xml:space="preserve">the plaintiff’s </w:t>
      </w:r>
      <w:r w:rsidRPr="00BD2D20">
        <w:rPr>
          <w:rFonts w:ascii="Arial" w:hAnsi="Arial" w:cs="Arial"/>
          <w:sz w:val="24"/>
          <w:szCs w:val="24"/>
        </w:rPr>
        <w:t xml:space="preserve">claim was based. Nor did </w:t>
      </w:r>
      <w:r w:rsidR="002952AB" w:rsidRPr="00BD2D20">
        <w:rPr>
          <w:rFonts w:ascii="Arial" w:hAnsi="Arial" w:cs="Arial"/>
          <w:sz w:val="24"/>
          <w:szCs w:val="24"/>
        </w:rPr>
        <w:t>the plaintiff</w:t>
      </w:r>
      <w:r w:rsidR="001479DE" w:rsidRPr="00BD2D20">
        <w:rPr>
          <w:rFonts w:ascii="Arial" w:hAnsi="Arial" w:cs="Arial"/>
          <w:sz w:val="24"/>
          <w:szCs w:val="24"/>
        </w:rPr>
        <w:t xml:space="preserve"> </w:t>
      </w:r>
      <w:r w:rsidRPr="00BD2D20">
        <w:rPr>
          <w:rFonts w:ascii="Arial" w:hAnsi="Arial" w:cs="Arial"/>
          <w:sz w:val="24"/>
          <w:szCs w:val="24"/>
        </w:rPr>
        <w:t xml:space="preserve">plead a specific enrichment action. According to counsel, the court </w:t>
      </w:r>
      <w:r w:rsidRPr="007C1CB4">
        <w:rPr>
          <w:rFonts w:ascii="Arial" w:hAnsi="Arial" w:cs="Arial"/>
          <w:i/>
          <w:sz w:val="24"/>
          <w:szCs w:val="24"/>
        </w:rPr>
        <w:t>a quo</w:t>
      </w:r>
      <w:r w:rsidRPr="00BD2D20">
        <w:rPr>
          <w:rFonts w:ascii="Arial" w:hAnsi="Arial" w:cs="Arial"/>
          <w:sz w:val="24"/>
          <w:szCs w:val="24"/>
        </w:rPr>
        <w:t xml:space="preserve"> misdirected itself by shifting the onus to prove the extent of the defendants’ enrichment and the plaintiff’s corresponding impoverishment. </w:t>
      </w:r>
      <w:r w:rsidR="001479DE" w:rsidRPr="00BD2D20">
        <w:rPr>
          <w:rFonts w:ascii="Arial" w:hAnsi="Arial" w:cs="Arial"/>
          <w:sz w:val="24"/>
          <w:szCs w:val="24"/>
        </w:rPr>
        <w:t xml:space="preserve">According to counsel, </w:t>
      </w:r>
      <w:r w:rsidRPr="00BD2D20">
        <w:rPr>
          <w:rFonts w:ascii="Arial" w:hAnsi="Arial" w:cs="Arial"/>
          <w:sz w:val="24"/>
          <w:szCs w:val="24"/>
        </w:rPr>
        <w:t xml:space="preserve">the correct position in law is that the onus rested on the plaintiff to prove the extent of his impoverishment. </w:t>
      </w:r>
      <w:r w:rsidR="001479DE" w:rsidRPr="00BD2D20">
        <w:rPr>
          <w:rFonts w:ascii="Arial" w:hAnsi="Arial" w:cs="Arial"/>
          <w:sz w:val="24"/>
          <w:szCs w:val="24"/>
        </w:rPr>
        <w:t xml:space="preserve">Counsel </w:t>
      </w:r>
      <w:r w:rsidRPr="00BD2D20">
        <w:rPr>
          <w:rFonts w:ascii="Arial" w:hAnsi="Arial" w:cs="Arial"/>
          <w:sz w:val="24"/>
          <w:szCs w:val="24"/>
        </w:rPr>
        <w:t xml:space="preserve">added that under our law of unjustified enrichment considered against the present facts, the benefit that the </w:t>
      </w:r>
      <w:r w:rsidR="009967A1">
        <w:rPr>
          <w:rFonts w:ascii="Arial" w:hAnsi="Arial" w:cs="Arial"/>
          <w:sz w:val="24"/>
          <w:szCs w:val="24"/>
        </w:rPr>
        <w:t>defendants</w:t>
      </w:r>
      <w:r w:rsidRPr="00BD2D20">
        <w:rPr>
          <w:rFonts w:ascii="Arial" w:hAnsi="Arial" w:cs="Arial"/>
          <w:sz w:val="24"/>
          <w:szCs w:val="24"/>
        </w:rPr>
        <w:t xml:space="preserve"> received is not the money paid to them but the construction of the </w:t>
      </w:r>
      <w:r w:rsidRPr="00BD2D20">
        <w:rPr>
          <w:rFonts w:ascii="Arial" w:hAnsi="Arial" w:cs="Arial"/>
          <w:sz w:val="24"/>
          <w:szCs w:val="24"/>
        </w:rPr>
        <w:lastRenderedPageBreak/>
        <w:t xml:space="preserve">house </w:t>
      </w:r>
      <w:r w:rsidR="00641791" w:rsidRPr="00BD2D20">
        <w:rPr>
          <w:rFonts w:ascii="Arial" w:hAnsi="Arial" w:cs="Arial"/>
          <w:sz w:val="24"/>
          <w:szCs w:val="24"/>
        </w:rPr>
        <w:t xml:space="preserve">and installation of a solar system </w:t>
      </w:r>
      <w:r w:rsidRPr="00BD2D20">
        <w:rPr>
          <w:rFonts w:ascii="Arial" w:hAnsi="Arial" w:cs="Arial"/>
          <w:sz w:val="24"/>
          <w:szCs w:val="24"/>
        </w:rPr>
        <w:t>on farm Okatare. In other words, the amount the plaintiff paid for the benefit of the defendant’s does not constitute the plaintiff’s enrich</w:t>
      </w:r>
      <w:r w:rsidR="002F293C">
        <w:rPr>
          <w:rFonts w:ascii="Arial" w:hAnsi="Arial" w:cs="Arial"/>
          <w:sz w:val="24"/>
          <w:szCs w:val="24"/>
        </w:rPr>
        <w:t>ment</w:t>
      </w:r>
      <w:r w:rsidRPr="00BD2D20">
        <w:rPr>
          <w:rFonts w:ascii="Arial" w:hAnsi="Arial" w:cs="Arial"/>
          <w:sz w:val="24"/>
          <w:szCs w:val="24"/>
        </w:rPr>
        <w:t xml:space="preserve">. </w:t>
      </w:r>
    </w:p>
    <w:p w14:paraId="43F6870E" w14:textId="77777777" w:rsidR="00572F8A" w:rsidRPr="00E934D7" w:rsidRDefault="00572F8A" w:rsidP="00E351D8">
      <w:pPr>
        <w:spacing w:line="480" w:lineRule="auto"/>
        <w:jc w:val="both"/>
        <w:rPr>
          <w:rFonts w:cs="Arial"/>
          <w:szCs w:val="24"/>
        </w:rPr>
      </w:pPr>
    </w:p>
    <w:p w14:paraId="63A80FD5" w14:textId="4223E389" w:rsidR="00572F8A" w:rsidRPr="00BD2D20" w:rsidRDefault="001479DE" w:rsidP="00E351D8">
      <w:pPr>
        <w:pStyle w:val="NoSpacing"/>
        <w:numPr>
          <w:ilvl w:val="0"/>
          <w:numId w:val="8"/>
        </w:numPr>
        <w:spacing w:line="480" w:lineRule="auto"/>
        <w:ind w:left="0" w:firstLine="0"/>
        <w:jc w:val="both"/>
        <w:rPr>
          <w:rFonts w:ascii="Arial" w:hAnsi="Arial" w:cs="Arial"/>
          <w:sz w:val="24"/>
          <w:szCs w:val="24"/>
        </w:rPr>
      </w:pPr>
      <w:r w:rsidRPr="00BD2D20">
        <w:rPr>
          <w:rFonts w:ascii="Arial" w:hAnsi="Arial" w:cs="Arial"/>
          <w:sz w:val="24"/>
          <w:szCs w:val="24"/>
        </w:rPr>
        <w:t xml:space="preserve">Mr Heathcote also challenged the </w:t>
      </w:r>
      <w:r w:rsidR="00DC29D8" w:rsidRPr="00BD2D20">
        <w:rPr>
          <w:rFonts w:ascii="Arial" w:hAnsi="Arial" w:cs="Arial"/>
          <w:sz w:val="24"/>
          <w:szCs w:val="24"/>
        </w:rPr>
        <w:t>correctness</w:t>
      </w:r>
      <w:r w:rsidRPr="00BD2D20">
        <w:rPr>
          <w:rFonts w:ascii="Arial" w:hAnsi="Arial" w:cs="Arial"/>
          <w:sz w:val="24"/>
          <w:szCs w:val="24"/>
        </w:rPr>
        <w:t xml:space="preserve"> of the court </w:t>
      </w:r>
      <w:r w:rsidRPr="007C1CB4">
        <w:rPr>
          <w:rFonts w:ascii="Arial" w:hAnsi="Arial" w:cs="Arial"/>
          <w:i/>
          <w:sz w:val="24"/>
          <w:szCs w:val="24"/>
        </w:rPr>
        <w:t>a quo</w:t>
      </w:r>
      <w:r w:rsidRPr="00BD2D20">
        <w:rPr>
          <w:rFonts w:ascii="Arial" w:hAnsi="Arial" w:cs="Arial"/>
          <w:sz w:val="24"/>
          <w:szCs w:val="24"/>
        </w:rPr>
        <w:t xml:space="preserve">’s </w:t>
      </w:r>
      <w:r w:rsidR="008476ED" w:rsidRPr="00BD2D20">
        <w:rPr>
          <w:rFonts w:ascii="Arial" w:hAnsi="Arial" w:cs="Arial"/>
          <w:sz w:val="24"/>
          <w:szCs w:val="24"/>
        </w:rPr>
        <w:t xml:space="preserve">conclusion that the pre-trial order absolved the plaintiff from the obligation to prove the </w:t>
      </w:r>
      <w:r w:rsidR="00DC29D8" w:rsidRPr="00BD2D20">
        <w:rPr>
          <w:rFonts w:ascii="Arial" w:hAnsi="Arial" w:cs="Arial"/>
          <w:sz w:val="24"/>
          <w:szCs w:val="24"/>
        </w:rPr>
        <w:t>extent</w:t>
      </w:r>
      <w:r w:rsidR="008476ED" w:rsidRPr="00BD2D20">
        <w:rPr>
          <w:rFonts w:ascii="Arial" w:hAnsi="Arial" w:cs="Arial"/>
          <w:sz w:val="24"/>
          <w:szCs w:val="24"/>
        </w:rPr>
        <w:t xml:space="preserve"> of his impoverishment. In addition, counsel submitted that</w:t>
      </w:r>
      <w:r w:rsidR="00572F8A" w:rsidRPr="00BD2D20">
        <w:rPr>
          <w:rFonts w:ascii="Arial" w:hAnsi="Arial" w:cs="Arial"/>
          <w:sz w:val="24"/>
          <w:szCs w:val="24"/>
        </w:rPr>
        <w:t xml:space="preserve"> the statement by Mr </w:t>
      </w:r>
      <w:r w:rsidR="00760DE5">
        <w:rPr>
          <w:rFonts w:ascii="Arial" w:hAnsi="Arial" w:cs="Arial"/>
          <w:sz w:val="24"/>
          <w:szCs w:val="24"/>
        </w:rPr>
        <w:t>Brandt</w:t>
      </w:r>
      <w:r w:rsidR="00572F8A" w:rsidRPr="00BD2D20">
        <w:rPr>
          <w:rFonts w:ascii="Arial" w:hAnsi="Arial" w:cs="Arial"/>
          <w:sz w:val="24"/>
          <w:szCs w:val="24"/>
        </w:rPr>
        <w:t xml:space="preserve"> which was relied on by the court </w:t>
      </w:r>
      <w:r w:rsidR="00572F8A" w:rsidRPr="007C1CB4">
        <w:rPr>
          <w:rFonts w:ascii="Arial" w:hAnsi="Arial" w:cs="Arial"/>
          <w:i/>
          <w:sz w:val="24"/>
          <w:szCs w:val="24"/>
        </w:rPr>
        <w:t>a quo</w:t>
      </w:r>
      <w:r w:rsidR="00572F8A" w:rsidRPr="00BD2D20">
        <w:rPr>
          <w:rFonts w:ascii="Arial" w:hAnsi="Arial" w:cs="Arial"/>
          <w:sz w:val="24"/>
          <w:szCs w:val="24"/>
        </w:rPr>
        <w:t xml:space="preserve"> for the conclusion that the enrichment quantum was conceded in context meant nothing more than ‘tha</w:t>
      </w:r>
      <w:r w:rsidR="007C1CB4">
        <w:rPr>
          <w:rFonts w:ascii="Arial" w:hAnsi="Arial" w:cs="Arial"/>
          <w:sz w:val="24"/>
          <w:szCs w:val="24"/>
        </w:rPr>
        <w:t xml:space="preserve">t the amounts were indeed paid . . . </w:t>
      </w:r>
      <w:r w:rsidR="00572F8A" w:rsidRPr="00BD2D20">
        <w:rPr>
          <w:rFonts w:ascii="Arial" w:hAnsi="Arial" w:cs="Arial"/>
          <w:sz w:val="24"/>
          <w:szCs w:val="24"/>
        </w:rPr>
        <w:t>Not that the amount equals unjustified enrichment</w:t>
      </w:r>
      <w:r w:rsidR="008D6368">
        <w:rPr>
          <w:rFonts w:ascii="Arial" w:hAnsi="Arial" w:cs="Arial"/>
          <w:sz w:val="24"/>
          <w:szCs w:val="24"/>
        </w:rPr>
        <w:t>’</w:t>
      </w:r>
      <w:r w:rsidR="00572F8A" w:rsidRPr="00BD2D20">
        <w:rPr>
          <w:rFonts w:ascii="Arial" w:hAnsi="Arial" w:cs="Arial"/>
          <w:sz w:val="24"/>
          <w:szCs w:val="24"/>
        </w:rPr>
        <w:t xml:space="preserve">. He added that the approach that the payment value equals enrichment was disapproved by this Court in </w:t>
      </w:r>
      <w:r w:rsidR="00572F8A" w:rsidRPr="00114CD7">
        <w:rPr>
          <w:rFonts w:ascii="Arial" w:hAnsi="Arial" w:cs="Arial"/>
          <w:i/>
          <w:sz w:val="24"/>
          <w:szCs w:val="24"/>
        </w:rPr>
        <w:t>Paschke</w:t>
      </w:r>
      <w:r w:rsidR="00572F8A" w:rsidRPr="00BD2D20">
        <w:rPr>
          <w:rFonts w:ascii="Arial" w:hAnsi="Arial" w:cs="Arial"/>
          <w:sz w:val="24"/>
          <w:szCs w:val="24"/>
        </w:rPr>
        <w:t>.</w:t>
      </w:r>
    </w:p>
    <w:p w14:paraId="016C39B2" w14:textId="77777777" w:rsidR="00572F8A" w:rsidRPr="00BD2D20" w:rsidRDefault="00572F8A" w:rsidP="00E351D8">
      <w:pPr>
        <w:spacing w:line="480" w:lineRule="auto"/>
        <w:jc w:val="both"/>
        <w:rPr>
          <w:rFonts w:cs="Arial"/>
          <w:szCs w:val="24"/>
        </w:rPr>
      </w:pPr>
    </w:p>
    <w:p w14:paraId="2FEE0961" w14:textId="1DCF5BB0" w:rsidR="00572F8A" w:rsidRPr="00BD2D20" w:rsidRDefault="00572F8A" w:rsidP="00E351D8">
      <w:pPr>
        <w:pStyle w:val="NoSpacing"/>
        <w:numPr>
          <w:ilvl w:val="0"/>
          <w:numId w:val="8"/>
        </w:numPr>
        <w:spacing w:line="480" w:lineRule="auto"/>
        <w:ind w:left="0" w:firstLine="0"/>
        <w:jc w:val="both"/>
        <w:rPr>
          <w:rFonts w:ascii="Arial" w:hAnsi="Arial" w:cs="Arial"/>
          <w:sz w:val="24"/>
          <w:szCs w:val="24"/>
        </w:rPr>
      </w:pPr>
      <w:r w:rsidRPr="00BD2D20">
        <w:rPr>
          <w:rFonts w:ascii="Arial" w:hAnsi="Arial" w:cs="Arial"/>
          <w:sz w:val="24"/>
          <w:szCs w:val="24"/>
        </w:rPr>
        <w:t xml:space="preserve">The </w:t>
      </w:r>
      <w:r w:rsidR="008476ED" w:rsidRPr="00BD2D20">
        <w:rPr>
          <w:rFonts w:ascii="Arial" w:hAnsi="Arial" w:cs="Arial"/>
          <w:sz w:val="24"/>
          <w:szCs w:val="24"/>
        </w:rPr>
        <w:t>defendants’</w:t>
      </w:r>
      <w:r w:rsidRPr="00BD2D20">
        <w:rPr>
          <w:rFonts w:ascii="Arial" w:hAnsi="Arial" w:cs="Arial"/>
          <w:sz w:val="24"/>
          <w:szCs w:val="24"/>
        </w:rPr>
        <w:t xml:space="preserve"> contention is that</w:t>
      </w:r>
      <w:r w:rsidR="008476ED" w:rsidRPr="00BD2D20">
        <w:rPr>
          <w:rFonts w:ascii="Arial" w:hAnsi="Arial" w:cs="Arial"/>
          <w:sz w:val="24"/>
          <w:szCs w:val="24"/>
        </w:rPr>
        <w:t>,</w:t>
      </w:r>
      <w:r w:rsidRPr="00BD2D20">
        <w:rPr>
          <w:rFonts w:ascii="Arial" w:hAnsi="Arial" w:cs="Arial"/>
          <w:sz w:val="24"/>
          <w:szCs w:val="24"/>
        </w:rPr>
        <w:t xml:space="preserve"> in any event, the money advanced to them by the </w:t>
      </w:r>
      <w:r w:rsidR="008476ED" w:rsidRPr="00BD2D20">
        <w:rPr>
          <w:rFonts w:ascii="Arial" w:hAnsi="Arial" w:cs="Arial"/>
          <w:sz w:val="24"/>
          <w:szCs w:val="24"/>
        </w:rPr>
        <w:t xml:space="preserve">plaintiff for the construction of the </w:t>
      </w:r>
      <w:r w:rsidRPr="00BD2D20">
        <w:rPr>
          <w:rFonts w:ascii="Arial" w:hAnsi="Arial" w:cs="Arial"/>
          <w:sz w:val="24"/>
          <w:szCs w:val="24"/>
        </w:rPr>
        <w:t>bungalows and half-share of the solar system constituted a gif</w:t>
      </w:r>
      <w:r w:rsidR="002A0FED">
        <w:rPr>
          <w:rFonts w:ascii="Arial" w:hAnsi="Arial" w:cs="Arial"/>
          <w:sz w:val="24"/>
          <w:szCs w:val="24"/>
        </w:rPr>
        <w:t>t.</w:t>
      </w:r>
    </w:p>
    <w:p w14:paraId="59EA8C0E" w14:textId="77777777" w:rsidR="00572F8A" w:rsidRPr="00E934D7" w:rsidRDefault="00572F8A" w:rsidP="00E351D8">
      <w:pPr>
        <w:spacing w:line="480" w:lineRule="auto"/>
        <w:jc w:val="both"/>
        <w:rPr>
          <w:rFonts w:cs="Arial"/>
          <w:szCs w:val="24"/>
        </w:rPr>
      </w:pPr>
    </w:p>
    <w:p w14:paraId="160BD4CF" w14:textId="0A2F0E4B" w:rsidR="00572F8A" w:rsidRPr="0049363F" w:rsidRDefault="00572F8A" w:rsidP="00E351D8">
      <w:pPr>
        <w:tabs>
          <w:tab w:val="left" w:pos="2652"/>
        </w:tabs>
        <w:spacing w:line="480" w:lineRule="auto"/>
        <w:jc w:val="both"/>
        <w:rPr>
          <w:rFonts w:cs="Arial"/>
          <w:i/>
          <w:szCs w:val="24"/>
        </w:rPr>
      </w:pPr>
      <w:r w:rsidRPr="0049363F">
        <w:rPr>
          <w:rFonts w:cs="Arial"/>
          <w:i/>
          <w:szCs w:val="24"/>
        </w:rPr>
        <w:t>Respondent</w:t>
      </w:r>
      <w:r w:rsidR="00E90231" w:rsidRPr="0049363F">
        <w:rPr>
          <w:rFonts w:cs="Arial"/>
          <w:i/>
          <w:szCs w:val="24"/>
        </w:rPr>
        <w:t>s</w:t>
      </w:r>
    </w:p>
    <w:p w14:paraId="5EEFD194" w14:textId="6ECBA6CE" w:rsidR="00572F8A" w:rsidRPr="00BD2D20" w:rsidRDefault="00572F8A" w:rsidP="00E351D8">
      <w:pPr>
        <w:pStyle w:val="NoSpacing"/>
        <w:numPr>
          <w:ilvl w:val="0"/>
          <w:numId w:val="8"/>
        </w:numPr>
        <w:spacing w:line="480" w:lineRule="auto"/>
        <w:ind w:left="0" w:firstLine="0"/>
        <w:jc w:val="both"/>
        <w:rPr>
          <w:rFonts w:ascii="Arial" w:hAnsi="Arial" w:cs="Arial"/>
          <w:sz w:val="24"/>
          <w:szCs w:val="24"/>
        </w:rPr>
      </w:pPr>
      <w:r w:rsidRPr="00BD2D20">
        <w:rPr>
          <w:rFonts w:ascii="Arial" w:hAnsi="Arial" w:cs="Arial"/>
          <w:sz w:val="24"/>
          <w:szCs w:val="24"/>
        </w:rPr>
        <w:t xml:space="preserve">The centrepiece of the </w:t>
      </w:r>
      <w:r w:rsidR="009E5125" w:rsidRPr="00BD2D20">
        <w:rPr>
          <w:rFonts w:ascii="Arial" w:hAnsi="Arial" w:cs="Arial"/>
          <w:sz w:val="24"/>
          <w:szCs w:val="24"/>
        </w:rPr>
        <w:t xml:space="preserve">plaintiff’s </w:t>
      </w:r>
      <w:r w:rsidRPr="00BD2D20">
        <w:rPr>
          <w:rFonts w:ascii="Arial" w:hAnsi="Arial" w:cs="Arial"/>
          <w:sz w:val="24"/>
          <w:szCs w:val="24"/>
        </w:rPr>
        <w:t xml:space="preserve">case on appeal is that the </w:t>
      </w:r>
      <w:r w:rsidR="002A0FED">
        <w:rPr>
          <w:rFonts w:ascii="Arial" w:hAnsi="Arial" w:cs="Arial"/>
          <w:sz w:val="24"/>
          <w:szCs w:val="24"/>
        </w:rPr>
        <w:t>defendants’</w:t>
      </w:r>
      <w:r w:rsidRPr="00BD2D20">
        <w:rPr>
          <w:rFonts w:ascii="Arial" w:hAnsi="Arial" w:cs="Arial"/>
          <w:sz w:val="24"/>
          <w:szCs w:val="24"/>
        </w:rPr>
        <w:t xml:space="preserve"> (a) acceptance </w:t>
      </w:r>
      <w:r w:rsidRPr="00BD2D20">
        <w:rPr>
          <w:rFonts w:ascii="Arial" w:hAnsi="Arial" w:cs="Arial"/>
          <w:i/>
          <w:sz w:val="24"/>
          <w:szCs w:val="24"/>
        </w:rPr>
        <w:t>a quo</w:t>
      </w:r>
      <w:r w:rsidRPr="00BD2D20">
        <w:rPr>
          <w:rFonts w:ascii="Arial" w:hAnsi="Arial" w:cs="Arial"/>
          <w:sz w:val="24"/>
          <w:szCs w:val="24"/>
        </w:rPr>
        <w:t xml:space="preserve"> that they had received the moneys from </w:t>
      </w:r>
      <w:r w:rsidR="004A24B7" w:rsidRPr="00BD2D20">
        <w:rPr>
          <w:rFonts w:ascii="Arial" w:hAnsi="Arial" w:cs="Arial"/>
          <w:sz w:val="24"/>
          <w:szCs w:val="24"/>
        </w:rPr>
        <w:t xml:space="preserve">the plaintiff </w:t>
      </w:r>
      <w:r w:rsidRPr="00BD2D20">
        <w:rPr>
          <w:rFonts w:ascii="Arial" w:hAnsi="Arial" w:cs="Arial"/>
          <w:sz w:val="24"/>
          <w:szCs w:val="24"/>
        </w:rPr>
        <w:t xml:space="preserve">and (b) </w:t>
      </w:r>
      <w:r w:rsidR="006C2F64" w:rsidRPr="00BD2D20">
        <w:rPr>
          <w:rFonts w:ascii="Arial" w:hAnsi="Arial" w:cs="Arial"/>
          <w:sz w:val="24"/>
          <w:szCs w:val="24"/>
        </w:rPr>
        <w:t xml:space="preserve">their </w:t>
      </w:r>
      <w:r w:rsidR="004A24B7" w:rsidRPr="00BD2D20">
        <w:rPr>
          <w:rFonts w:ascii="Arial" w:hAnsi="Arial" w:cs="Arial"/>
          <w:sz w:val="24"/>
          <w:szCs w:val="24"/>
        </w:rPr>
        <w:t xml:space="preserve">counsel’s </w:t>
      </w:r>
      <w:r w:rsidRPr="00BD2D20">
        <w:rPr>
          <w:rFonts w:ascii="Arial" w:hAnsi="Arial" w:cs="Arial"/>
          <w:sz w:val="24"/>
          <w:szCs w:val="24"/>
        </w:rPr>
        <w:t xml:space="preserve">admission to the trial judge that the ‘quantum’ need not be proved, was a concession that they had been enriched at the </w:t>
      </w:r>
      <w:r w:rsidR="004A24B7" w:rsidRPr="00BD2D20">
        <w:rPr>
          <w:rFonts w:ascii="Arial" w:hAnsi="Arial" w:cs="Arial"/>
          <w:sz w:val="24"/>
          <w:szCs w:val="24"/>
        </w:rPr>
        <w:t xml:space="preserve">plaintiff’s </w:t>
      </w:r>
      <w:r w:rsidRPr="00BD2D20">
        <w:rPr>
          <w:rFonts w:ascii="Arial" w:hAnsi="Arial" w:cs="Arial"/>
          <w:sz w:val="24"/>
          <w:szCs w:val="24"/>
        </w:rPr>
        <w:t>expense to the extent of t</w:t>
      </w:r>
      <w:r w:rsidR="006C6D6E">
        <w:rPr>
          <w:rFonts w:ascii="Arial" w:hAnsi="Arial" w:cs="Arial"/>
          <w:sz w:val="24"/>
          <w:szCs w:val="24"/>
        </w:rPr>
        <w:t>he admitted amounts: Being €198 019,</w:t>
      </w:r>
      <w:r w:rsidRPr="00BD2D20">
        <w:rPr>
          <w:rFonts w:ascii="Arial" w:hAnsi="Arial" w:cs="Arial"/>
          <w:sz w:val="24"/>
          <w:szCs w:val="24"/>
        </w:rPr>
        <w:t>17 (on 28 November 2008)</w:t>
      </w:r>
      <w:r w:rsidR="006C6D6E">
        <w:rPr>
          <w:rFonts w:ascii="Arial" w:hAnsi="Arial" w:cs="Arial"/>
          <w:sz w:val="24"/>
          <w:szCs w:val="24"/>
        </w:rPr>
        <w:t xml:space="preserve"> and N$526 322,</w:t>
      </w:r>
      <w:r w:rsidRPr="00BD2D20">
        <w:rPr>
          <w:rFonts w:ascii="Arial" w:hAnsi="Arial" w:cs="Arial"/>
          <w:sz w:val="24"/>
          <w:szCs w:val="24"/>
        </w:rPr>
        <w:t>47 which was paid as soon as construction commenced.</w:t>
      </w:r>
    </w:p>
    <w:p w14:paraId="31480670" w14:textId="77777777" w:rsidR="00572F8A" w:rsidRDefault="00572F8A" w:rsidP="00E351D8">
      <w:pPr>
        <w:spacing w:line="480" w:lineRule="auto"/>
        <w:jc w:val="both"/>
      </w:pPr>
    </w:p>
    <w:p w14:paraId="3FB52655" w14:textId="55934026" w:rsidR="003B53C8" w:rsidRDefault="00572F8A" w:rsidP="00E351D8">
      <w:pPr>
        <w:pStyle w:val="NoSpacing"/>
        <w:numPr>
          <w:ilvl w:val="0"/>
          <w:numId w:val="8"/>
        </w:numPr>
        <w:spacing w:line="480" w:lineRule="auto"/>
        <w:ind w:left="0" w:firstLine="0"/>
        <w:jc w:val="both"/>
        <w:rPr>
          <w:rFonts w:ascii="Arial" w:hAnsi="Arial" w:cs="Arial"/>
          <w:sz w:val="24"/>
          <w:szCs w:val="24"/>
        </w:rPr>
      </w:pPr>
      <w:r w:rsidRPr="00BD2D20">
        <w:rPr>
          <w:rFonts w:ascii="Arial" w:hAnsi="Arial" w:cs="Arial"/>
          <w:sz w:val="24"/>
          <w:szCs w:val="24"/>
        </w:rPr>
        <w:lastRenderedPageBreak/>
        <w:t xml:space="preserve">According to Mr Mouton for the </w:t>
      </w:r>
      <w:r w:rsidR="004A24B7" w:rsidRPr="00BD2D20">
        <w:rPr>
          <w:rFonts w:ascii="Arial" w:hAnsi="Arial" w:cs="Arial"/>
          <w:sz w:val="24"/>
          <w:szCs w:val="24"/>
        </w:rPr>
        <w:t>p</w:t>
      </w:r>
      <w:r w:rsidR="009E5125" w:rsidRPr="00BD2D20">
        <w:rPr>
          <w:rFonts w:ascii="Arial" w:hAnsi="Arial" w:cs="Arial"/>
          <w:sz w:val="24"/>
          <w:szCs w:val="24"/>
        </w:rPr>
        <w:t>laintiff</w:t>
      </w:r>
      <w:r w:rsidR="002A0FED">
        <w:rPr>
          <w:rFonts w:ascii="Arial" w:hAnsi="Arial" w:cs="Arial"/>
          <w:sz w:val="24"/>
          <w:szCs w:val="24"/>
        </w:rPr>
        <w:t>, the p</w:t>
      </w:r>
      <w:r w:rsidR="004A24B7" w:rsidRPr="00BD2D20">
        <w:rPr>
          <w:rFonts w:ascii="Arial" w:hAnsi="Arial" w:cs="Arial"/>
          <w:sz w:val="24"/>
          <w:szCs w:val="24"/>
        </w:rPr>
        <w:t>re-trial</w:t>
      </w:r>
      <w:r w:rsidR="009E5125" w:rsidRPr="00BD2D20">
        <w:rPr>
          <w:rFonts w:ascii="Arial" w:hAnsi="Arial" w:cs="Arial"/>
          <w:sz w:val="24"/>
          <w:szCs w:val="24"/>
        </w:rPr>
        <w:t xml:space="preserve"> order</w:t>
      </w:r>
      <w:r w:rsidRPr="00BD2D20">
        <w:rPr>
          <w:rFonts w:ascii="Arial" w:hAnsi="Arial" w:cs="Arial"/>
          <w:sz w:val="24"/>
          <w:szCs w:val="24"/>
        </w:rPr>
        <w:t xml:space="preserve"> only required proof (on the </w:t>
      </w:r>
      <w:r w:rsidR="009E5125" w:rsidRPr="00BD2D20">
        <w:rPr>
          <w:rFonts w:ascii="Arial" w:hAnsi="Arial" w:cs="Arial"/>
          <w:sz w:val="24"/>
          <w:szCs w:val="24"/>
        </w:rPr>
        <w:t>plaintiff’s</w:t>
      </w:r>
      <w:r w:rsidRPr="00BD2D20">
        <w:rPr>
          <w:rFonts w:ascii="Arial" w:hAnsi="Arial" w:cs="Arial"/>
          <w:sz w:val="24"/>
          <w:szCs w:val="24"/>
        </w:rPr>
        <w:t xml:space="preserve"> part) of the ‘enrichment’ and not the ‘quantum’. According to counsel ‘quantum was since the outset of the trial, not a triable issue’. In other words, once the payment value was admitted, a presumption arose that the amount(s) paid and received represent the unjustified enrichment. My understanding of Mr Mouton’s argument is that the only issue placed in dispute in the </w:t>
      </w:r>
      <w:r w:rsidR="004A24B7" w:rsidRPr="00BD2D20">
        <w:rPr>
          <w:rFonts w:ascii="Arial" w:hAnsi="Arial" w:cs="Arial"/>
          <w:sz w:val="24"/>
          <w:szCs w:val="24"/>
        </w:rPr>
        <w:t xml:space="preserve">pre-trial </w:t>
      </w:r>
      <w:r w:rsidR="002A0FED">
        <w:rPr>
          <w:rFonts w:ascii="Arial" w:hAnsi="Arial" w:cs="Arial"/>
          <w:sz w:val="24"/>
          <w:szCs w:val="24"/>
        </w:rPr>
        <w:t xml:space="preserve">order </w:t>
      </w:r>
      <w:r w:rsidRPr="00BD2D20">
        <w:rPr>
          <w:rFonts w:ascii="Arial" w:hAnsi="Arial" w:cs="Arial"/>
          <w:sz w:val="24"/>
          <w:szCs w:val="24"/>
        </w:rPr>
        <w:t xml:space="preserve">by the </w:t>
      </w:r>
      <w:r w:rsidR="009E5125" w:rsidRPr="00BD2D20">
        <w:rPr>
          <w:rFonts w:ascii="Arial" w:hAnsi="Arial" w:cs="Arial"/>
          <w:sz w:val="24"/>
          <w:szCs w:val="24"/>
        </w:rPr>
        <w:t xml:space="preserve">defendants </w:t>
      </w:r>
      <w:r w:rsidRPr="00BD2D20">
        <w:rPr>
          <w:rFonts w:ascii="Arial" w:hAnsi="Arial" w:cs="Arial"/>
          <w:sz w:val="24"/>
          <w:szCs w:val="24"/>
        </w:rPr>
        <w:t xml:space="preserve">was whether the amounts paid were in furtherance of a donation (claim </w:t>
      </w:r>
      <w:r w:rsidR="007417EA">
        <w:rPr>
          <w:rFonts w:ascii="Arial" w:hAnsi="Arial" w:cs="Arial"/>
          <w:sz w:val="24"/>
          <w:szCs w:val="24"/>
        </w:rPr>
        <w:t>one</w:t>
      </w:r>
      <w:r w:rsidRPr="00BD2D20">
        <w:rPr>
          <w:rFonts w:ascii="Arial" w:hAnsi="Arial" w:cs="Arial"/>
          <w:sz w:val="24"/>
          <w:szCs w:val="24"/>
        </w:rPr>
        <w:t xml:space="preserve">) and whether (in respect </w:t>
      </w:r>
      <w:r w:rsidR="00114CD7">
        <w:rPr>
          <w:rFonts w:ascii="Arial" w:hAnsi="Arial" w:cs="Arial"/>
          <w:sz w:val="24"/>
          <w:szCs w:val="24"/>
        </w:rPr>
        <w:t>of claim three</w:t>
      </w:r>
      <w:r w:rsidRPr="00BD2D20">
        <w:rPr>
          <w:rFonts w:ascii="Arial" w:hAnsi="Arial" w:cs="Arial"/>
          <w:sz w:val="24"/>
          <w:szCs w:val="24"/>
        </w:rPr>
        <w:t xml:space="preserve">) </w:t>
      </w:r>
      <w:r w:rsidR="003B53C8" w:rsidRPr="00BD2D20">
        <w:rPr>
          <w:rFonts w:ascii="Arial" w:hAnsi="Arial" w:cs="Arial"/>
          <w:sz w:val="24"/>
          <w:szCs w:val="24"/>
        </w:rPr>
        <w:t xml:space="preserve">the </w:t>
      </w:r>
      <w:r w:rsidR="00943C9E" w:rsidRPr="00BD2D20">
        <w:rPr>
          <w:rFonts w:ascii="Arial" w:hAnsi="Arial" w:cs="Arial"/>
          <w:sz w:val="24"/>
          <w:szCs w:val="24"/>
        </w:rPr>
        <w:t>plaintiff</w:t>
      </w:r>
      <w:r w:rsidR="003B53C8" w:rsidRPr="00BD2D20">
        <w:rPr>
          <w:rFonts w:ascii="Arial" w:hAnsi="Arial" w:cs="Arial"/>
          <w:sz w:val="24"/>
          <w:szCs w:val="24"/>
        </w:rPr>
        <w:t xml:space="preserve"> </w:t>
      </w:r>
      <w:r w:rsidRPr="00BD2D20">
        <w:rPr>
          <w:rFonts w:ascii="Arial" w:hAnsi="Arial" w:cs="Arial"/>
          <w:sz w:val="24"/>
          <w:szCs w:val="24"/>
        </w:rPr>
        <w:t>waived the right to claim the loan for the game.</w:t>
      </w:r>
    </w:p>
    <w:p w14:paraId="5541A514" w14:textId="77777777" w:rsidR="009967A1" w:rsidRPr="00D84380" w:rsidRDefault="009967A1" w:rsidP="009967A1">
      <w:pPr>
        <w:pStyle w:val="NoSpacing"/>
        <w:spacing w:line="480" w:lineRule="auto"/>
        <w:jc w:val="both"/>
        <w:rPr>
          <w:rFonts w:ascii="Arial" w:hAnsi="Arial" w:cs="Arial"/>
          <w:sz w:val="24"/>
          <w:szCs w:val="24"/>
        </w:rPr>
      </w:pPr>
    </w:p>
    <w:p w14:paraId="74CFAF7F" w14:textId="3EF50BAC" w:rsidR="0097222A" w:rsidRPr="00B35B28" w:rsidRDefault="009C71E1" w:rsidP="00E351D8">
      <w:pPr>
        <w:pStyle w:val="NoSpacing"/>
        <w:numPr>
          <w:ilvl w:val="0"/>
          <w:numId w:val="8"/>
        </w:numPr>
        <w:spacing w:line="480" w:lineRule="auto"/>
        <w:ind w:left="0" w:firstLine="0"/>
        <w:jc w:val="both"/>
        <w:rPr>
          <w:rFonts w:ascii="Arial" w:hAnsi="Arial" w:cs="Arial"/>
          <w:sz w:val="24"/>
          <w:szCs w:val="24"/>
        </w:rPr>
      </w:pPr>
      <w:r w:rsidRPr="00BD2D20">
        <w:rPr>
          <w:rFonts w:ascii="Arial" w:hAnsi="Arial" w:cs="Arial"/>
          <w:sz w:val="24"/>
          <w:szCs w:val="24"/>
        </w:rPr>
        <w:t xml:space="preserve">The proposition that </w:t>
      </w:r>
      <w:r w:rsidR="00421C9B" w:rsidRPr="00BD2D20">
        <w:rPr>
          <w:rFonts w:ascii="Arial" w:hAnsi="Arial" w:cs="Arial"/>
          <w:sz w:val="24"/>
          <w:szCs w:val="24"/>
        </w:rPr>
        <w:t>the defendants never place</w:t>
      </w:r>
      <w:r w:rsidR="002A0FED">
        <w:rPr>
          <w:rFonts w:ascii="Arial" w:hAnsi="Arial" w:cs="Arial"/>
          <w:sz w:val="24"/>
          <w:szCs w:val="24"/>
        </w:rPr>
        <w:t>d</w:t>
      </w:r>
      <w:r w:rsidR="00421C9B" w:rsidRPr="00BD2D20">
        <w:rPr>
          <w:rFonts w:ascii="Arial" w:hAnsi="Arial" w:cs="Arial"/>
          <w:sz w:val="24"/>
          <w:szCs w:val="24"/>
        </w:rPr>
        <w:t xml:space="preserve"> in issue that they were enriched at the expense of the plaintiff does not sit comfortably with the court </w:t>
      </w:r>
      <w:r w:rsidR="00421C9B" w:rsidRPr="00522E8B">
        <w:rPr>
          <w:rFonts w:ascii="Arial" w:hAnsi="Arial" w:cs="Arial"/>
          <w:i/>
          <w:sz w:val="24"/>
          <w:szCs w:val="24"/>
        </w:rPr>
        <w:t>a quo’s</w:t>
      </w:r>
      <w:r w:rsidR="00421C9B" w:rsidRPr="00BD2D20">
        <w:rPr>
          <w:rFonts w:ascii="Arial" w:hAnsi="Arial" w:cs="Arial"/>
          <w:sz w:val="24"/>
          <w:szCs w:val="24"/>
        </w:rPr>
        <w:t xml:space="preserve"> own statement of what it considered was placed in dispute by the defendants</w:t>
      </w:r>
      <w:r w:rsidR="0021084D">
        <w:rPr>
          <w:rFonts w:ascii="Arial" w:hAnsi="Arial" w:cs="Arial"/>
          <w:sz w:val="24"/>
          <w:szCs w:val="24"/>
        </w:rPr>
        <w:t>. (</w:t>
      </w:r>
      <w:r w:rsidR="00421C9B" w:rsidRPr="0075633B">
        <w:rPr>
          <w:rFonts w:ascii="Arial" w:hAnsi="Arial" w:cs="Arial"/>
          <w:i/>
          <w:sz w:val="24"/>
          <w:szCs w:val="24"/>
        </w:rPr>
        <w:t>Vide</w:t>
      </w:r>
      <w:r w:rsidR="00421C9B" w:rsidRPr="00B35B28">
        <w:rPr>
          <w:rFonts w:ascii="Arial" w:hAnsi="Arial" w:cs="Arial"/>
          <w:sz w:val="24"/>
          <w:szCs w:val="24"/>
        </w:rPr>
        <w:t xml:space="preserve"> para</w:t>
      </w:r>
      <w:r w:rsidR="00B35B28" w:rsidRPr="00B35B28">
        <w:rPr>
          <w:rFonts w:ascii="Arial" w:hAnsi="Arial" w:cs="Arial"/>
          <w:sz w:val="24"/>
          <w:szCs w:val="24"/>
        </w:rPr>
        <w:t xml:space="preserve"> [</w:t>
      </w:r>
      <w:r w:rsidR="00D84380">
        <w:rPr>
          <w:rFonts w:ascii="Arial" w:hAnsi="Arial" w:cs="Arial"/>
          <w:sz w:val="24"/>
          <w:szCs w:val="24"/>
        </w:rPr>
        <w:t>16</w:t>
      </w:r>
      <w:r w:rsidR="00B35B28" w:rsidRPr="00B35B28">
        <w:rPr>
          <w:rFonts w:ascii="Arial" w:hAnsi="Arial" w:cs="Arial"/>
          <w:sz w:val="24"/>
          <w:szCs w:val="24"/>
        </w:rPr>
        <w:t>]</w:t>
      </w:r>
      <w:r w:rsidR="00421C9B" w:rsidRPr="00B35B28">
        <w:rPr>
          <w:rFonts w:ascii="Arial" w:hAnsi="Arial" w:cs="Arial"/>
          <w:sz w:val="24"/>
          <w:szCs w:val="24"/>
        </w:rPr>
        <w:t>)</w:t>
      </w:r>
    </w:p>
    <w:p w14:paraId="7772E7DE" w14:textId="77777777" w:rsidR="00A1479C" w:rsidRPr="00B35B28" w:rsidRDefault="00A1479C" w:rsidP="00E351D8">
      <w:pPr>
        <w:spacing w:line="480" w:lineRule="auto"/>
        <w:jc w:val="both"/>
        <w:rPr>
          <w:rFonts w:cs="Arial"/>
          <w:szCs w:val="24"/>
          <w:u w:val="single"/>
        </w:rPr>
      </w:pPr>
    </w:p>
    <w:p w14:paraId="1209E7F2" w14:textId="2113F50D" w:rsidR="00815BAB" w:rsidRPr="00E90231" w:rsidRDefault="00815BAB" w:rsidP="00E351D8">
      <w:pPr>
        <w:spacing w:line="480" w:lineRule="auto"/>
        <w:jc w:val="both"/>
        <w:rPr>
          <w:rFonts w:cs="Arial"/>
          <w:szCs w:val="24"/>
          <w:u w:val="single"/>
        </w:rPr>
      </w:pPr>
      <w:r w:rsidRPr="00E90231">
        <w:rPr>
          <w:rFonts w:cs="Arial"/>
          <w:szCs w:val="24"/>
          <w:u w:val="single"/>
        </w:rPr>
        <w:t>Discussion</w:t>
      </w:r>
    </w:p>
    <w:p w14:paraId="2D44A197" w14:textId="066C0CA3" w:rsidR="0079718E" w:rsidRPr="00BD2D20" w:rsidRDefault="00556392" w:rsidP="00E351D8">
      <w:pPr>
        <w:pStyle w:val="NoSpacing"/>
        <w:numPr>
          <w:ilvl w:val="0"/>
          <w:numId w:val="8"/>
        </w:numPr>
        <w:spacing w:line="480" w:lineRule="auto"/>
        <w:ind w:left="0" w:firstLine="0"/>
        <w:jc w:val="both"/>
        <w:rPr>
          <w:rFonts w:ascii="Arial" w:eastAsia="Times New Roman" w:hAnsi="Arial" w:cs="Arial"/>
          <w:color w:val="222222"/>
          <w:sz w:val="24"/>
          <w:szCs w:val="24"/>
          <w:shd w:val="clear" w:color="auto" w:fill="FFFFFF"/>
          <w:lang w:val="en-GB" w:eastAsia="en-GB"/>
        </w:rPr>
      </w:pPr>
      <w:r w:rsidRPr="00BD2D20">
        <w:rPr>
          <w:rFonts w:ascii="Arial" w:eastAsia="Times New Roman" w:hAnsi="Arial" w:cs="Arial"/>
          <w:color w:val="222222"/>
          <w:sz w:val="24"/>
          <w:szCs w:val="24"/>
          <w:shd w:val="clear" w:color="auto" w:fill="FFFFFF"/>
          <w:lang w:val="en-GB" w:eastAsia="en-GB"/>
        </w:rPr>
        <w:t xml:space="preserve">The outcome-determinative issue in this appeal is the correctness or otherwise of the court </w:t>
      </w:r>
      <w:r w:rsidRPr="00522E8B">
        <w:rPr>
          <w:rFonts w:ascii="Arial" w:eastAsia="Times New Roman" w:hAnsi="Arial" w:cs="Arial"/>
          <w:i/>
          <w:color w:val="222222"/>
          <w:sz w:val="24"/>
          <w:szCs w:val="24"/>
          <w:shd w:val="clear" w:color="auto" w:fill="FFFFFF"/>
          <w:lang w:val="en-GB" w:eastAsia="en-GB"/>
        </w:rPr>
        <w:t>a quo’s</w:t>
      </w:r>
      <w:r w:rsidR="00522E8B">
        <w:rPr>
          <w:rFonts w:ascii="Arial" w:eastAsia="Times New Roman" w:hAnsi="Arial" w:cs="Arial"/>
          <w:color w:val="222222"/>
          <w:sz w:val="24"/>
          <w:szCs w:val="24"/>
          <w:shd w:val="clear" w:color="auto" w:fill="FFFFFF"/>
          <w:lang w:val="en-GB" w:eastAsia="en-GB"/>
        </w:rPr>
        <w:t xml:space="preserve"> finding –</w:t>
      </w:r>
      <w:r w:rsidR="00CA4BC5" w:rsidRPr="00BD2D20">
        <w:rPr>
          <w:rFonts w:ascii="Arial" w:eastAsia="Times New Roman" w:hAnsi="Arial" w:cs="Arial"/>
          <w:color w:val="222222"/>
          <w:sz w:val="24"/>
          <w:szCs w:val="24"/>
          <w:shd w:val="clear" w:color="auto" w:fill="FFFFFF"/>
          <w:lang w:val="en-GB" w:eastAsia="en-GB"/>
        </w:rPr>
        <w:t xml:space="preserve"> </w:t>
      </w:r>
      <w:r w:rsidRPr="00BD2D20">
        <w:rPr>
          <w:rFonts w:ascii="Arial" w:eastAsia="Times New Roman" w:hAnsi="Arial" w:cs="Arial"/>
          <w:color w:val="222222"/>
          <w:sz w:val="24"/>
          <w:szCs w:val="24"/>
          <w:shd w:val="clear" w:color="auto" w:fill="FFFFFF"/>
          <w:lang w:val="en-GB" w:eastAsia="en-GB"/>
        </w:rPr>
        <w:t>whi</w:t>
      </w:r>
      <w:r w:rsidR="00522E8B">
        <w:rPr>
          <w:rFonts w:ascii="Arial" w:eastAsia="Times New Roman" w:hAnsi="Arial" w:cs="Arial"/>
          <w:color w:val="222222"/>
          <w:sz w:val="24"/>
          <w:szCs w:val="24"/>
          <w:shd w:val="clear" w:color="auto" w:fill="FFFFFF"/>
          <w:lang w:val="en-GB" w:eastAsia="en-GB"/>
        </w:rPr>
        <w:t>ch is now challenged on appeal –</w:t>
      </w:r>
      <w:r w:rsidRPr="00BD2D20">
        <w:rPr>
          <w:rFonts w:ascii="Arial" w:eastAsia="Times New Roman" w:hAnsi="Arial" w:cs="Arial"/>
          <w:color w:val="222222"/>
          <w:sz w:val="24"/>
          <w:szCs w:val="24"/>
          <w:shd w:val="clear" w:color="auto" w:fill="FFFFFF"/>
          <w:lang w:val="en-GB" w:eastAsia="en-GB"/>
        </w:rPr>
        <w:t xml:space="preserve"> that the parties agreed in the </w:t>
      </w:r>
      <w:r w:rsidR="00B33273">
        <w:rPr>
          <w:rFonts w:ascii="Arial" w:eastAsia="Times New Roman" w:hAnsi="Arial" w:cs="Arial"/>
          <w:color w:val="222222"/>
          <w:sz w:val="24"/>
          <w:szCs w:val="24"/>
          <w:shd w:val="clear" w:color="auto" w:fill="FFFFFF"/>
          <w:lang w:val="en-GB" w:eastAsia="en-GB"/>
        </w:rPr>
        <w:t>pre-trial</w:t>
      </w:r>
      <w:r w:rsidRPr="00BD2D20">
        <w:rPr>
          <w:rFonts w:ascii="Arial" w:eastAsia="Times New Roman" w:hAnsi="Arial" w:cs="Arial"/>
          <w:color w:val="222222"/>
          <w:sz w:val="24"/>
          <w:szCs w:val="24"/>
          <w:shd w:val="clear" w:color="auto" w:fill="FFFFFF"/>
          <w:lang w:val="en-GB" w:eastAsia="en-GB"/>
        </w:rPr>
        <w:t xml:space="preserve"> order that the plaintiff did not have to prove the extent of his impoverishment and the defendants’ corresponding enrichment. </w:t>
      </w:r>
      <w:r w:rsidR="0079718E" w:rsidRPr="00BD2D20">
        <w:rPr>
          <w:rFonts w:ascii="Arial" w:eastAsia="Times New Roman" w:hAnsi="Arial" w:cs="Arial"/>
          <w:color w:val="222222"/>
          <w:sz w:val="24"/>
          <w:szCs w:val="24"/>
          <w:shd w:val="clear" w:color="auto" w:fill="FFFFFF"/>
          <w:lang w:val="en-GB" w:eastAsia="en-GB"/>
        </w:rPr>
        <w:t xml:space="preserve">In addition, the </w:t>
      </w:r>
      <w:r w:rsidRPr="00BD2D20">
        <w:rPr>
          <w:rFonts w:ascii="Arial" w:eastAsia="Times New Roman" w:hAnsi="Arial" w:cs="Arial"/>
          <w:color w:val="222222"/>
          <w:sz w:val="24"/>
          <w:szCs w:val="24"/>
          <w:shd w:val="clear" w:color="auto" w:fill="FFFFFF"/>
          <w:lang w:val="en-GB" w:eastAsia="en-GB"/>
        </w:rPr>
        <w:t xml:space="preserve">court below in no small measure justified that finding on a statement made by the defendants’ counsel of record during the hearing to the effect that the plaintiff need not prove the </w:t>
      </w:r>
      <w:r w:rsidR="00B33273">
        <w:rPr>
          <w:rFonts w:ascii="Arial" w:eastAsia="Times New Roman" w:hAnsi="Arial" w:cs="Arial"/>
          <w:color w:val="222222"/>
          <w:sz w:val="24"/>
          <w:szCs w:val="24"/>
          <w:shd w:val="clear" w:color="auto" w:fill="FFFFFF"/>
          <w:lang w:val="en-GB" w:eastAsia="en-GB"/>
        </w:rPr>
        <w:t>amounts claimed</w:t>
      </w:r>
      <w:r w:rsidRPr="00BD2D20">
        <w:rPr>
          <w:rFonts w:ascii="Arial" w:eastAsia="Times New Roman" w:hAnsi="Arial" w:cs="Arial"/>
          <w:color w:val="222222"/>
          <w:sz w:val="24"/>
          <w:szCs w:val="24"/>
          <w:shd w:val="clear" w:color="auto" w:fill="FFFFFF"/>
          <w:lang w:val="en-GB" w:eastAsia="en-GB"/>
        </w:rPr>
        <w:t xml:space="preserve">. Such an agreement is denied by the </w:t>
      </w:r>
      <w:r w:rsidR="009967A1">
        <w:rPr>
          <w:rFonts w:ascii="Arial" w:eastAsia="Times New Roman" w:hAnsi="Arial" w:cs="Arial"/>
          <w:color w:val="222222"/>
          <w:sz w:val="24"/>
          <w:szCs w:val="24"/>
          <w:shd w:val="clear" w:color="auto" w:fill="FFFFFF"/>
          <w:lang w:val="en-GB" w:eastAsia="en-GB"/>
        </w:rPr>
        <w:t>defendants</w:t>
      </w:r>
      <w:r w:rsidRPr="00BD2D20">
        <w:rPr>
          <w:rFonts w:ascii="Arial" w:eastAsia="Times New Roman" w:hAnsi="Arial" w:cs="Arial"/>
          <w:color w:val="222222"/>
          <w:sz w:val="24"/>
          <w:szCs w:val="24"/>
          <w:shd w:val="clear" w:color="auto" w:fill="FFFFFF"/>
          <w:lang w:val="en-GB" w:eastAsia="en-GB"/>
        </w:rPr>
        <w:t xml:space="preserve">. </w:t>
      </w:r>
    </w:p>
    <w:p w14:paraId="0CD57CA5" w14:textId="77777777" w:rsidR="0079718E" w:rsidRPr="00BD2D20" w:rsidRDefault="0079718E" w:rsidP="00E351D8">
      <w:pPr>
        <w:spacing w:line="480" w:lineRule="auto"/>
        <w:jc w:val="both"/>
        <w:rPr>
          <w:rFonts w:eastAsia="Times New Roman" w:cs="Arial"/>
          <w:color w:val="222222"/>
          <w:szCs w:val="24"/>
          <w:shd w:val="clear" w:color="auto" w:fill="FFFFFF"/>
          <w:lang w:val="en-GB" w:eastAsia="en-GB"/>
        </w:rPr>
      </w:pPr>
    </w:p>
    <w:p w14:paraId="681F4C69" w14:textId="1E08E440" w:rsidR="00BD2D20" w:rsidRPr="00BD2D20" w:rsidRDefault="00556392" w:rsidP="00E351D8">
      <w:pPr>
        <w:pStyle w:val="NoSpacing"/>
        <w:numPr>
          <w:ilvl w:val="0"/>
          <w:numId w:val="8"/>
        </w:numPr>
        <w:spacing w:line="480" w:lineRule="auto"/>
        <w:ind w:left="0" w:firstLine="0"/>
        <w:jc w:val="both"/>
        <w:rPr>
          <w:rFonts w:ascii="Arial" w:eastAsia="Times New Roman" w:hAnsi="Arial" w:cs="Arial"/>
          <w:color w:val="222222"/>
          <w:sz w:val="24"/>
          <w:szCs w:val="24"/>
          <w:shd w:val="clear" w:color="auto" w:fill="FFFFFF"/>
          <w:lang w:val="en-GB" w:eastAsia="en-GB"/>
        </w:rPr>
      </w:pPr>
      <w:r w:rsidRPr="00BD2D20">
        <w:rPr>
          <w:rFonts w:ascii="Arial" w:eastAsia="Times New Roman" w:hAnsi="Arial" w:cs="Arial"/>
          <w:color w:val="222222"/>
          <w:sz w:val="24"/>
          <w:szCs w:val="24"/>
          <w:shd w:val="clear" w:color="auto" w:fill="FFFFFF"/>
          <w:lang w:val="en-GB" w:eastAsia="en-GB"/>
        </w:rPr>
        <w:lastRenderedPageBreak/>
        <w:t xml:space="preserve">Their </w:t>
      </w:r>
      <w:r w:rsidR="00DC29D8" w:rsidRPr="00BD2D20">
        <w:rPr>
          <w:rFonts w:ascii="Arial" w:eastAsia="Times New Roman" w:hAnsi="Arial" w:cs="Arial"/>
          <w:color w:val="222222"/>
          <w:sz w:val="24"/>
          <w:szCs w:val="24"/>
          <w:shd w:val="clear" w:color="auto" w:fill="FFFFFF"/>
          <w:lang w:val="en-GB" w:eastAsia="en-GB"/>
        </w:rPr>
        <w:t>case,</w:t>
      </w:r>
      <w:r w:rsidRPr="00BD2D20">
        <w:rPr>
          <w:rFonts w:ascii="Arial" w:eastAsia="Times New Roman" w:hAnsi="Arial" w:cs="Arial"/>
          <w:color w:val="222222"/>
          <w:sz w:val="24"/>
          <w:szCs w:val="24"/>
          <w:shd w:val="clear" w:color="auto" w:fill="FFFFFF"/>
          <w:lang w:val="en-GB" w:eastAsia="en-GB"/>
        </w:rPr>
        <w:t xml:space="preserve"> as I understand </w:t>
      </w:r>
      <w:r w:rsidR="00DC29D8" w:rsidRPr="00BD2D20">
        <w:rPr>
          <w:rFonts w:ascii="Arial" w:eastAsia="Times New Roman" w:hAnsi="Arial" w:cs="Arial"/>
          <w:color w:val="222222"/>
          <w:sz w:val="24"/>
          <w:szCs w:val="24"/>
          <w:shd w:val="clear" w:color="auto" w:fill="FFFFFF"/>
          <w:lang w:val="en-GB" w:eastAsia="en-GB"/>
        </w:rPr>
        <w:t>it,</w:t>
      </w:r>
      <w:r w:rsidRPr="00BD2D20">
        <w:rPr>
          <w:rFonts w:ascii="Arial" w:eastAsia="Times New Roman" w:hAnsi="Arial" w:cs="Arial"/>
          <w:color w:val="222222"/>
          <w:sz w:val="24"/>
          <w:szCs w:val="24"/>
          <w:shd w:val="clear" w:color="auto" w:fill="FFFFFF"/>
          <w:lang w:val="en-GB" w:eastAsia="en-GB"/>
        </w:rPr>
        <w:t xml:space="preserve"> is that the court’s conclusion is based on a wrong interpretation of the </w:t>
      </w:r>
      <w:r w:rsidR="00B33273">
        <w:rPr>
          <w:rFonts w:ascii="Arial" w:eastAsia="Times New Roman" w:hAnsi="Arial" w:cs="Arial"/>
          <w:color w:val="222222"/>
          <w:sz w:val="24"/>
          <w:szCs w:val="24"/>
          <w:shd w:val="clear" w:color="auto" w:fill="FFFFFF"/>
          <w:lang w:val="en-GB" w:eastAsia="en-GB"/>
        </w:rPr>
        <w:t>pre-trial</w:t>
      </w:r>
      <w:r w:rsidRPr="00BD2D20">
        <w:rPr>
          <w:rFonts w:ascii="Arial" w:eastAsia="Times New Roman" w:hAnsi="Arial" w:cs="Arial"/>
          <w:color w:val="222222"/>
          <w:sz w:val="24"/>
          <w:szCs w:val="24"/>
          <w:shd w:val="clear" w:color="auto" w:fill="FFFFFF"/>
          <w:lang w:val="en-GB" w:eastAsia="en-GB"/>
        </w:rPr>
        <w:t xml:space="preserve"> order</w:t>
      </w:r>
      <w:r w:rsidR="00A83574" w:rsidRPr="00BD2D20">
        <w:rPr>
          <w:rFonts w:ascii="Arial" w:eastAsia="Times New Roman" w:hAnsi="Arial" w:cs="Arial"/>
          <w:color w:val="222222"/>
          <w:sz w:val="24"/>
          <w:szCs w:val="24"/>
          <w:shd w:val="clear" w:color="auto" w:fill="FFFFFF"/>
          <w:lang w:val="en-GB" w:eastAsia="en-GB"/>
        </w:rPr>
        <w:t xml:space="preserve"> </w:t>
      </w:r>
      <w:r w:rsidR="00AF040A">
        <w:rPr>
          <w:rFonts w:ascii="Arial" w:eastAsia="Times New Roman" w:hAnsi="Arial" w:cs="Arial"/>
          <w:color w:val="222222"/>
          <w:sz w:val="24"/>
          <w:szCs w:val="24"/>
          <w:shd w:val="clear" w:color="auto" w:fill="FFFFFF"/>
          <w:lang w:val="en-GB" w:eastAsia="en-GB"/>
        </w:rPr>
        <w:t>–</w:t>
      </w:r>
      <w:r w:rsidR="0079718E" w:rsidRPr="00BD2D20">
        <w:rPr>
          <w:rFonts w:ascii="Arial" w:eastAsia="Times New Roman" w:hAnsi="Arial" w:cs="Arial"/>
          <w:color w:val="222222"/>
          <w:sz w:val="24"/>
          <w:szCs w:val="24"/>
          <w:shd w:val="clear" w:color="auto" w:fill="FFFFFF"/>
          <w:lang w:val="en-GB" w:eastAsia="en-GB"/>
        </w:rPr>
        <w:t xml:space="preserve"> </w:t>
      </w:r>
      <w:r w:rsidRPr="00BD2D20">
        <w:rPr>
          <w:rFonts w:ascii="Arial" w:eastAsia="Times New Roman" w:hAnsi="Arial" w:cs="Arial"/>
          <w:color w:val="222222"/>
          <w:sz w:val="24"/>
          <w:szCs w:val="24"/>
          <w:shd w:val="clear" w:color="auto" w:fill="FFFFFF"/>
          <w:lang w:val="en-GB" w:eastAsia="en-GB"/>
        </w:rPr>
        <w:t>amounting to a misdirection. </w:t>
      </w:r>
    </w:p>
    <w:p w14:paraId="43E570C3" w14:textId="77777777" w:rsidR="00BD2D20" w:rsidRPr="00FC27B0" w:rsidRDefault="00BD2D20" w:rsidP="00E351D8">
      <w:pPr>
        <w:spacing w:line="480" w:lineRule="auto"/>
        <w:rPr>
          <w:rFonts w:eastAsia="Times New Roman" w:cs="Arial"/>
          <w:color w:val="222222"/>
          <w:szCs w:val="24"/>
          <w:shd w:val="clear" w:color="auto" w:fill="FFFFFF"/>
          <w:lang w:val="en-GB" w:eastAsia="en-GB"/>
        </w:rPr>
      </w:pPr>
    </w:p>
    <w:p w14:paraId="3664BE43" w14:textId="475A87D1" w:rsidR="00F03796" w:rsidRDefault="00556392" w:rsidP="00E351D8">
      <w:pPr>
        <w:pStyle w:val="NoSpacing"/>
        <w:numPr>
          <w:ilvl w:val="0"/>
          <w:numId w:val="8"/>
        </w:numPr>
        <w:spacing w:line="480" w:lineRule="auto"/>
        <w:ind w:left="0" w:firstLine="0"/>
        <w:jc w:val="both"/>
        <w:rPr>
          <w:rFonts w:ascii="Arial" w:eastAsia="Times New Roman" w:hAnsi="Arial" w:cs="Arial"/>
          <w:color w:val="222222"/>
          <w:sz w:val="24"/>
          <w:szCs w:val="24"/>
          <w:shd w:val="clear" w:color="auto" w:fill="FFFFFF"/>
          <w:lang w:val="en-GB" w:eastAsia="en-GB"/>
        </w:rPr>
      </w:pPr>
      <w:r w:rsidRPr="00BD2D20">
        <w:rPr>
          <w:rFonts w:ascii="Arial" w:eastAsia="Times New Roman" w:hAnsi="Arial" w:cs="Arial"/>
          <w:color w:val="222222"/>
          <w:sz w:val="24"/>
          <w:szCs w:val="24"/>
          <w:shd w:val="clear" w:color="auto" w:fill="FFFFFF"/>
          <w:lang w:val="en-GB" w:eastAsia="en-GB"/>
        </w:rPr>
        <w:t xml:space="preserve">The </w:t>
      </w:r>
      <w:r w:rsidR="00A83574" w:rsidRPr="00BD2D20">
        <w:rPr>
          <w:rFonts w:ascii="Arial" w:eastAsia="Times New Roman" w:hAnsi="Arial" w:cs="Arial"/>
          <w:color w:val="222222"/>
          <w:sz w:val="24"/>
          <w:szCs w:val="24"/>
          <w:shd w:val="clear" w:color="auto" w:fill="FFFFFF"/>
          <w:lang w:val="en-GB" w:eastAsia="en-GB"/>
        </w:rPr>
        <w:t xml:space="preserve">submission on behalf of the </w:t>
      </w:r>
      <w:r w:rsidRPr="00BD2D20">
        <w:rPr>
          <w:rFonts w:ascii="Arial" w:eastAsia="Times New Roman" w:hAnsi="Arial" w:cs="Arial"/>
          <w:color w:val="222222"/>
          <w:sz w:val="24"/>
          <w:szCs w:val="24"/>
          <w:shd w:val="clear" w:color="auto" w:fill="FFFFFF"/>
          <w:lang w:val="en-GB" w:eastAsia="en-GB"/>
        </w:rPr>
        <w:t xml:space="preserve">defendants </w:t>
      </w:r>
      <w:r w:rsidR="00F03796" w:rsidRPr="00BD2D20">
        <w:rPr>
          <w:rFonts w:ascii="Arial" w:eastAsia="Times New Roman" w:hAnsi="Arial" w:cs="Arial"/>
          <w:color w:val="222222"/>
          <w:sz w:val="24"/>
          <w:szCs w:val="24"/>
          <w:shd w:val="clear" w:color="auto" w:fill="FFFFFF"/>
          <w:lang w:val="en-GB" w:eastAsia="en-GB"/>
        </w:rPr>
        <w:t>is</w:t>
      </w:r>
      <w:r w:rsidRPr="00BD2D20">
        <w:rPr>
          <w:rFonts w:ascii="Arial" w:eastAsia="Times New Roman" w:hAnsi="Arial" w:cs="Arial"/>
          <w:color w:val="222222"/>
          <w:sz w:val="24"/>
          <w:szCs w:val="24"/>
          <w:shd w:val="clear" w:color="auto" w:fill="FFFFFF"/>
          <w:lang w:val="en-GB" w:eastAsia="en-GB"/>
        </w:rPr>
        <w:t xml:space="preserve"> that all that they admitted in the </w:t>
      </w:r>
      <w:r w:rsidR="00B33273">
        <w:rPr>
          <w:rFonts w:ascii="Arial" w:eastAsia="Times New Roman" w:hAnsi="Arial" w:cs="Arial"/>
          <w:color w:val="222222"/>
          <w:sz w:val="24"/>
          <w:szCs w:val="24"/>
          <w:shd w:val="clear" w:color="auto" w:fill="FFFFFF"/>
          <w:lang w:val="en-GB" w:eastAsia="en-GB"/>
        </w:rPr>
        <w:t>pre-trial</w:t>
      </w:r>
      <w:r w:rsidR="00F03796" w:rsidRPr="00BD2D20">
        <w:rPr>
          <w:rFonts w:ascii="Arial" w:eastAsia="Times New Roman" w:hAnsi="Arial" w:cs="Arial"/>
          <w:color w:val="222222"/>
          <w:sz w:val="24"/>
          <w:szCs w:val="24"/>
          <w:shd w:val="clear" w:color="auto" w:fill="FFFFFF"/>
          <w:lang w:val="en-GB" w:eastAsia="en-GB"/>
        </w:rPr>
        <w:t xml:space="preserve"> </w:t>
      </w:r>
      <w:r w:rsidRPr="00BD2D20">
        <w:rPr>
          <w:rFonts w:ascii="Arial" w:eastAsia="Times New Roman" w:hAnsi="Arial" w:cs="Arial"/>
          <w:color w:val="222222"/>
          <w:sz w:val="24"/>
          <w:szCs w:val="24"/>
          <w:shd w:val="clear" w:color="auto" w:fill="FFFFFF"/>
          <w:lang w:val="en-GB" w:eastAsia="en-GB"/>
        </w:rPr>
        <w:t>order is receiving the money but that they did n</w:t>
      </w:r>
      <w:r w:rsidR="00397AB8">
        <w:rPr>
          <w:rFonts w:ascii="Arial" w:eastAsia="Times New Roman" w:hAnsi="Arial" w:cs="Arial"/>
          <w:color w:val="222222"/>
          <w:sz w:val="24"/>
          <w:szCs w:val="24"/>
          <w:shd w:val="clear" w:color="auto" w:fill="FFFFFF"/>
          <w:lang w:val="en-GB" w:eastAsia="en-GB"/>
        </w:rPr>
        <w:t>ot thereby relieve the plaintiff</w:t>
      </w:r>
      <w:r w:rsidRPr="00BD2D20">
        <w:rPr>
          <w:rFonts w:ascii="Arial" w:eastAsia="Times New Roman" w:hAnsi="Arial" w:cs="Arial"/>
          <w:color w:val="222222"/>
          <w:sz w:val="24"/>
          <w:szCs w:val="24"/>
          <w:shd w:val="clear" w:color="auto" w:fill="FFFFFF"/>
          <w:lang w:val="en-GB" w:eastAsia="en-GB"/>
        </w:rPr>
        <w:t xml:space="preserve"> of his obligation to prove that their receipt of the money </w:t>
      </w:r>
      <w:r w:rsidR="00DC29D8" w:rsidRPr="00BD2D20">
        <w:rPr>
          <w:rFonts w:ascii="Arial" w:eastAsia="Times New Roman" w:hAnsi="Arial" w:cs="Arial"/>
          <w:color w:val="222222"/>
          <w:sz w:val="24"/>
          <w:szCs w:val="24"/>
          <w:shd w:val="clear" w:color="auto" w:fill="FFFFFF"/>
          <w:lang w:val="en-GB" w:eastAsia="en-GB"/>
        </w:rPr>
        <w:t>equalled</w:t>
      </w:r>
      <w:r w:rsidRPr="00BD2D20">
        <w:rPr>
          <w:rFonts w:ascii="Arial" w:eastAsia="Times New Roman" w:hAnsi="Arial" w:cs="Arial"/>
          <w:color w:val="222222"/>
          <w:sz w:val="24"/>
          <w:szCs w:val="24"/>
          <w:shd w:val="clear" w:color="auto" w:fill="FFFFFF"/>
          <w:lang w:val="en-GB" w:eastAsia="en-GB"/>
        </w:rPr>
        <w:t xml:space="preserve"> the extent of </w:t>
      </w:r>
      <w:r w:rsidR="00DC29D8" w:rsidRPr="00BD2D20">
        <w:rPr>
          <w:rFonts w:ascii="Arial" w:eastAsia="Times New Roman" w:hAnsi="Arial" w:cs="Arial"/>
          <w:color w:val="222222"/>
          <w:sz w:val="24"/>
          <w:szCs w:val="24"/>
          <w:shd w:val="clear" w:color="auto" w:fill="FFFFFF"/>
          <w:lang w:val="en-GB" w:eastAsia="en-GB"/>
        </w:rPr>
        <w:t>their</w:t>
      </w:r>
      <w:r w:rsidR="00F03796" w:rsidRPr="00BD2D20">
        <w:rPr>
          <w:rFonts w:ascii="Arial" w:eastAsia="Times New Roman" w:hAnsi="Arial" w:cs="Arial"/>
          <w:color w:val="222222"/>
          <w:sz w:val="24"/>
          <w:szCs w:val="24"/>
          <w:shd w:val="clear" w:color="auto" w:fill="FFFFFF"/>
          <w:lang w:val="en-GB" w:eastAsia="en-GB"/>
        </w:rPr>
        <w:t xml:space="preserve"> enrichment and the plaintiff’s</w:t>
      </w:r>
      <w:r w:rsidRPr="00BD2D20">
        <w:rPr>
          <w:rFonts w:ascii="Arial" w:eastAsia="Times New Roman" w:hAnsi="Arial" w:cs="Arial"/>
          <w:color w:val="222222"/>
          <w:sz w:val="24"/>
          <w:szCs w:val="24"/>
          <w:shd w:val="clear" w:color="auto" w:fill="FFFFFF"/>
          <w:lang w:val="en-GB" w:eastAsia="en-GB"/>
        </w:rPr>
        <w:t xml:space="preserve"> </w:t>
      </w:r>
      <w:r w:rsidR="00A1479C" w:rsidRPr="00BD2D20">
        <w:rPr>
          <w:rFonts w:ascii="Arial" w:eastAsia="Times New Roman" w:hAnsi="Arial" w:cs="Arial"/>
          <w:color w:val="222222"/>
          <w:sz w:val="24"/>
          <w:szCs w:val="24"/>
          <w:shd w:val="clear" w:color="auto" w:fill="FFFFFF"/>
          <w:lang w:val="en-GB" w:eastAsia="en-GB"/>
        </w:rPr>
        <w:t xml:space="preserve">corresponding </w:t>
      </w:r>
      <w:r w:rsidR="00C06385">
        <w:rPr>
          <w:rFonts w:ascii="Arial" w:eastAsia="Times New Roman" w:hAnsi="Arial" w:cs="Arial"/>
          <w:color w:val="222222"/>
          <w:sz w:val="24"/>
          <w:szCs w:val="24"/>
          <w:shd w:val="clear" w:color="auto" w:fill="FFFFFF"/>
          <w:lang w:val="en-GB" w:eastAsia="en-GB"/>
        </w:rPr>
        <w:t>impoverishment</w:t>
      </w:r>
      <w:r w:rsidR="00FC27B0">
        <w:rPr>
          <w:rFonts w:ascii="Arial" w:eastAsia="Times New Roman" w:hAnsi="Arial" w:cs="Arial"/>
          <w:color w:val="222222"/>
          <w:sz w:val="24"/>
          <w:szCs w:val="24"/>
          <w:shd w:val="clear" w:color="auto" w:fill="FFFFFF"/>
          <w:lang w:val="en-GB" w:eastAsia="en-GB"/>
        </w:rPr>
        <w:t>.</w:t>
      </w:r>
    </w:p>
    <w:p w14:paraId="2D4CA06A" w14:textId="77777777" w:rsidR="00397AB8" w:rsidRPr="00522E8B" w:rsidRDefault="00397AB8" w:rsidP="00E351D8">
      <w:pPr>
        <w:pStyle w:val="NoSpacing"/>
        <w:spacing w:line="480" w:lineRule="auto"/>
        <w:jc w:val="both"/>
        <w:rPr>
          <w:rFonts w:ascii="Arial" w:eastAsia="Times New Roman" w:hAnsi="Arial" w:cs="Arial"/>
          <w:color w:val="222222"/>
          <w:sz w:val="24"/>
          <w:szCs w:val="24"/>
          <w:shd w:val="clear" w:color="auto" w:fill="FFFFFF"/>
          <w:lang w:val="en-GB" w:eastAsia="en-GB"/>
        </w:rPr>
      </w:pPr>
    </w:p>
    <w:p w14:paraId="36940423" w14:textId="0E0DB61B" w:rsidR="00556392" w:rsidRPr="00BD2D20" w:rsidRDefault="00556392" w:rsidP="00E351D8">
      <w:pPr>
        <w:pStyle w:val="NoSpacing"/>
        <w:numPr>
          <w:ilvl w:val="0"/>
          <w:numId w:val="8"/>
        </w:numPr>
        <w:spacing w:line="480" w:lineRule="auto"/>
        <w:ind w:left="0" w:firstLine="0"/>
        <w:jc w:val="both"/>
        <w:rPr>
          <w:rFonts w:ascii="Arial" w:eastAsia="Times New Roman" w:hAnsi="Arial" w:cs="Arial"/>
          <w:sz w:val="24"/>
          <w:szCs w:val="24"/>
          <w:lang w:val="en-GB" w:eastAsia="en-GB"/>
        </w:rPr>
      </w:pPr>
      <w:r w:rsidRPr="00BD2D20">
        <w:rPr>
          <w:rFonts w:ascii="Arial" w:eastAsia="Times New Roman" w:hAnsi="Arial" w:cs="Arial"/>
          <w:color w:val="222222"/>
          <w:sz w:val="24"/>
          <w:szCs w:val="24"/>
          <w:shd w:val="clear" w:color="auto" w:fill="FFFFFF"/>
          <w:lang w:val="en-GB" w:eastAsia="en-GB"/>
        </w:rPr>
        <w:t xml:space="preserve">According to the defendants, the court </w:t>
      </w:r>
      <w:r w:rsidRPr="00BD2D20">
        <w:rPr>
          <w:rFonts w:ascii="Arial" w:eastAsia="Times New Roman" w:hAnsi="Arial" w:cs="Arial"/>
          <w:i/>
          <w:color w:val="222222"/>
          <w:sz w:val="24"/>
          <w:szCs w:val="24"/>
          <w:shd w:val="clear" w:color="auto" w:fill="FFFFFF"/>
          <w:lang w:val="en-GB" w:eastAsia="en-GB"/>
        </w:rPr>
        <w:t>a quo’s</w:t>
      </w:r>
      <w:r w:rsidRPr="00BD2D20">
        <w:rPr>
          <w:rFonts w:ascii="Arial" w:eastAsia="Times New Roman" w:hAnsi="Arial" w:cs="Arial"/>
          <w:color w:val="222222"/>
          <w:sz w:val="24"/>
          <w:szCs w:val="24"/>
          <w:shd w:val="clear" w:color="auto" w:fill="FFFFFF"/>
          <w:lang w:val="en-GB" w:eastAsia="en-GB"/>
        </w:rPr>
        <w:t xml:space="preserve"> conclusion is not supported by the fact that the parties engaged in a </w:t>
      </w:r>
      <w:r w:rsidR="00DC29D8" w:rsidRPr="00BD2D20">
        <w:rPr>
          <w:rFonts w:ascii="Arial" w:eastAsia="Times New Roman" w:hAnsi="Arial" w:cs="Arial"/>
          <w:color w:val="222222"/>
          <w:sz w:val="24"/>
          <w:szCs w:val="24"/>
          <w:shd w:val="clear" w:color="auto" w:fill="FFFFFF"/>
          <w:lang w:val="en-GB" w:eastAsia="en-GB"/>
        </w:rPr>
        <w:t>full-blown</w:t>
      </w:r>
      <w:r w:rsidRPr="00BD2D20">
        <w:rPr>
          <w:rFonts w:ascii="Arial" w:eastAsia="Times New Roman" w:hAnsi="Arial" w:cs="Arial"/>
          <w:color w:val="222222"/>
          <w:sz w:val="24"/>
          <w:szCs w:val="24"/>
          <w:shd w:val="clear" w:color="auto" w:fill="FFFFFF"/>
          <w:lang w:val="en-GB" w:eastAsia="en-GB"/>
        </w:rPr>
        <w:t xml:space="preserve"> trial </w:t>
      </w:r>
      <w:r w:rsidR="00B33273">
        <w:rPr>
          <w:rFonts w:ascii="Arial" w:eastAsia="Times New Roman" w:hAnsi="Arial" w:cs="Arial"/>
          <w:color w:val="222222"/>
          <w:sz w:val="24"/>
          <w:szCs w:val="24"/>
          <w:shd w:val="clear" w:color="auto" w:fill="FFFFFF"/>
          <w:lang w:val="en-GB" w:eastAsia="en-GB"/>
        </w:rPr>
        <w:t xml:space="preserve">lasting for </w:t>
      </w:r>
      <w:r w:rsidR="00DD5771">
        <w:rPr>
          <w:rFonts w:ascii="Arial" w:eastAsia="Times New Roman" w:hAnsi="Arial" w:cs="Arial"/>
          <w:color w:val="222222"/>
          <w:sz w:val="24"/>
          <w:szCs w:val="24"/>
          <w:shd w:val="clear" w:color="auto" w:fill="FFFFFF"/>
          <w:lang w:val="en-GB" w:eastAsia="en-GB"/>
        </w:rPr>
        <w:t>five</w:t>
      </w:r>
      <w:r w:rsidR="00B33273">
        <w:rPr>
          <w:rFonts w:ascii="Arial" w:eastAsia="Times New Roman" w:hAnsi="Arial" w:cs="Arial"/>
          <w:color w:val="222222"/>
          <w:sz w:val="24"/>
          <w:szCs w:val="24"/>
          <w:shd w:val="clear" w:color="auto" w:fill="FFFFFF"/>
          <w:lang w:val="en-GB" w:eastAsia="en-GB"/>
        </w:rPr>
        <w:t xml:space="preserve"> years </w:t>
      </w:r>
      <w:r w:rsidRPr="00BD2D20">
        <w:rPr>
          <w:rFonts w:ascii="Arial" w:eastAsia="Times New Roman" w:hAnsi="Arial" w:cs="Arial"/>
          <w:color w:val="222222"/>
          <w:sz w:val="24"/>
          <w:szCs w:val="24"/>
          <w:shd w:val="clear" w:color="auto" w:fill="FFFFFF"/>
          <w:lang w:val="en-GB" w:eastAsia="en-GB"/>
        </w:rPr>
        <w:t>amongst others on the very question whether the defendants were at all enric</w:t>
      </w:r>
      <w:r w:rsidR="00FC27B0">
        <w:rPr>
          <w:rFonts w:ascii="Arial" w:eastAsia="Times New Roman" w:hAnsi="Arial" w:cs="Arial"/>
          <w:color w:val="222222"/>
          <w:sz w:val="24"/>
          <w:szCs w:val="24"/>
          <w:shd w:val="clear" w:color="auto" w:fill="FFFFFF"/>
          <w:lang w:val="en-GB" w:eastAsia="en-GB"/>
        </w:rPr>
        <w:t>hed at the plaintiff’s expense.</w:t>
      </w:r>
    </w:p>
    <w:p w14:paraId="676F9279" w14:textId="77777777" w:rsidR="00556392" w:rsidRPr="00BD2D20" w:rsidRDefault="00556392" w:rsidP="00E351D8">
      <w:pPr>
        <w:spacing w:line="480" w:lineRule="auto"/>
        <w:jc w:val="both"/>
        <w:rPr>
          <w:rFonts w:cs="Arial"/>
          <w:szCs w:val="24"/>
        </w:rPr>
      </w:pPr>
    </w:p>
    <w:p w14:paraId="4DFEE07F" w14:textId="60DCA2DB" w:rsidR="00B05E1A" w:rsidRPr="00BD2D20" w:rsidRDefault="00815BAB" w:rsidP="00E351D8">
      <w:pPr>
        <w:pStyle w:val="NoSpacing"/>
        <w:numPr>
          <w:ilvl w:val="0"/>
          <w:numId w:val="8"/>
        </w:numPr>
        <w:spacing w:line="480" w:lineRule="auto"/>
        <w:ind w:left="0" w:firstLine="0"/>
        <w:jc w:val="both"/>
        <w:rPr>
          <w:rFonts w:ascii="Arial" w:hAnsi="Arial" w:cs="Arial"/>
          <w:sz w:val="24"/>
          <w:szCs w:val="24"/>
        </w:rPr>
      </w:pPr>
      <w:r w:rsidRPr="00BD2D20">
        <w:rPr>
          <w:rFonts w:ascii="Arial" w:hAnsi="Arial" w:cs="Arial"/>
          <w:sz w:val="24"/>
          <w:szCs w:val="24"/>
        </w:rPr>
        <w:t xml:space="preserve">At the heart of the court </w:t>
      </w:r>
      <w:r w:rsidRPr="00BD2D20">
        <w:rPr>
          <w:rFonts w:ascii="Arial" w:hAnsi="Arial" w:cs="Arial"/>
          <w:i/>
          <w:sz w:val="24"/>
          <w:szCs w:val="24"/>
        </w:rPr>
        <w:t>a quo’s</w:t>
      </w:r>
      <w:r w:rsidRPr="00BD2D20">
        <w:rPr>
          <w:rFonts w:ascii="Arial" w:hAnsi="Arial" w:cs="Arial"/>
          <w:sz w:val="24"/>
          <w:szCs w:val="24"/>
        </w:rPr>
        <w:t xml:space="preserve"> findings in favour of </w:t>
      </w:r>
      <w:r w:rsidR="00A1479C" w:rsidRPr="00BD2D20">
        <w:rPr>
          <w:rFonts w:ascii="Arial" w:hAnsi="Arial" w:cs="Arial"/>
          <w:sz w:val="24"/>
          <w:szCs w:val="24"/>
        </w:rPr>
        <w:t xml:space="preserve">the plaintiff </w:t>
      </w:r>
      <w:r w:rsidRPr="00BD2D20">
        <w:rPr>
          <w:rFonts w:ascii="Arial" w:hAnsi="Arial" w:cs="Arial"/>
          <w:sz w:val="24"/>
          <w:szCs w:val="24"/>
        </w:rPr>
        <w:t xml:space="preserve">on </w:t>
      </w:r>
      <w:r w:rsidR="00A1479C" w:rsidRPr="00BD2D20">
        <w:rPr>
          <w:rFonts w:ascii="Arial" w:hAnsi="Arial" w:cs="Arial"/>
          <w:sz w:val="24"/>
          <w:szCs w:val="24"/>
        </w:rPr>
        <w:t xml:space="preserve">the enrichment </w:t>
      </w:r>
      <w:r w:rsidRPr="00BD2D20">
        <w:rPr>
          <w:rFonts w:ascii="Arial" w:hAnsi="Arial" w:cs="Arial"/>
          <w:sz w:val="24"/>
          <w:szCs w:val="24"/>
        </w:rPr>
        <w:t xml:space="preserve">claim is its interpretation of the </w:t>
      </w:r>
      <w:r w:rsidR="009734E7">
        <w:rPr>
          <w:rFonts w:ascii="Arial" w:hAnsi="Arial" w:cs="Arial"/>
          <w:sz w:val="24"/>
          <w:szCs w:val="24"/>
        </w:rPr>
        <w:t>pre-tr</w:t>
      </w:r>
      <w:r w:rsidR="00A1479C" w:rsidRPr="00BD2D20">
        <w:rPr>
          <w:rFonts w:ascii="Arial" w:hAnsi="Arial" w:cs="Arial"/>
          <w:sz w:val="24"/>
          <w:szCs w:val="24"/>
        </w:rPr>
        <w:t>i</w:t>
      </w:r>
      <w:r w:rsidR="009734E7">
        <w:rPr>
          <w:rFonts w:ascii="Arial" w:hAnsi="Arial" w:cs="Arial"/>
          <w:sz w:val="24"/>
          <w:szCs w:val="24"/>
        </w:rPr>
        <w:t>a</w:t>
      </w:r>
      <w:r w:rsidR="00A1479C" w:rsidRPr="00BD2D20">
        <w:rPr>
          <w:rFonts w:ascii="Arial" w:hAnsi="Arial" w:cs="Arial"/>
          <w:sz w:val="24"/>
          <w:szCs w:val="24"/>
        </w:rPr>
        <w:t>l</w:t>
      </w:r>
      <w:r w:rsidR="00F03796" w:rsidRPr="00BD2D20">
        <w:rPr>
          <w:rFonts w:ascii="Arial" w:hAnsi="Arial" w:cs="Arial"/>
          <w:sz w:val="24"/>
          <w:szCs w:val="24"/>
        </w:rPr>
        <w:t xml:space="preserve"> order</w:t>
      </w:r>
      <w:r w:rsidRPr="00BD2D20">
        <w:rPr>
          <w:rFonts w:ascii="Arial" w:hAnsi="Arial" w:cs="Arial"/>
          <w:sz w:val="24"/>
          <w:szCs w:val="24"/>
        </w:rPr>
        <w:t xml:space="preserve"> and </w:t>
      </w:r>
      <w:r w:rsidR="00F03796" w:rsidRPr="00BD2D20">
        <w:rPr>
          <w:rFonts w:ascii="Arial" w:hAnsi="Arial" w:cs="Arial"/>
          <w:sz w:val="24"/>
          <w:szCs w:val="24"/>
        </w:rPr>
        <w:t>the concession</w:t>
      </w:r>
      <w:r w:rsidRPr="00BD2D20">
        <w:rPr>
          <w:rFonts w:ascii="Arial" w:hAnsi="Arial" w:cs="Arial"/>
          <w:sz w:val="24"/>
          <w:szCs w:val="24"/>
        </w:rPr>
        <w:t xml:space="preserve"> made by Mr Brand</w:t>
      </w:r>
      <w:r w:rsidR="00522E8B">
        <w:rPr>
          <w:rFonts w:ascii="Arial" w:hAnsi="Arial" w:cs="Arial"/>
          <w:sz w:val="24"/>
          <w:szCs w:val="24"/>
        </w:rPr>
        <w:t>t</w:t>
      </w:r>
      <w:r w:rsidRPr="00BD2D20">
        <w:rPr>
          <w:rFonts w:ascii="Arial" w:hAnsi="Arial" w:cs="Arial"/>
          <w:sz w:val="24"/>
          <w:szCs w:val="24"/>
        </w:rPr>
        <w:t xml:space="preserve"> on </w:t>
      </w:r>
      <w:r w:rsidR="00F03796" w:rsidRPr="00BD2D20">
        <w:rPr>
          <w:rFonts w:ascii="Arial" w:hAnsi="Arial" w:cs="Arial"/>
          <w:sz w:val="24"/>
          <w:szCs w:val="24"/>
        </w:rPr>
        <w:t>their behalf.</w:t>
      </w:r>
      <w:r w:rsidRPr="00BD2D20">
        <w:rPr>
          <w:rFonts w:ascii="Arial" w:hAnsi="Arial" w:cs="Arial"/>
          <w:sz w:val="24"/>
          <w:szCs w:val="24"/>
        </w:rPr>
        <w:t xml:space="preserve"> </w:t>
      </w:r>
      <w:r w:rsidR="00B05E1A" w:rsidRPr="00BD2D20">
        <w:rPr>
          <w:rFonts w:ascii="Arial" w:hAnsi="Arial" w:cs="Arial"/>
          <w:sz w:val="24"/>
          <w:szCs w:val="24"/>
        </w:rPr>
        <w:t xml:space="preserve">That is an issue of law and calls for a consideration of the </w:t>
      </w:r>
      <w:r w:rsidR="00F03796" w:rsidRPr="00BD2D20">
        <w:rPr>
          <w:rFonts w:ascii="Arial" w:hAnsi="Arial" w:cs="Arial"/>
          <w:sz w:val="24"/>
          <w:szCs w:val="24"/>
        </w:rPr>
        <w:t>P</w:t>
      </w:r>
      <w:r w:rsidR="00F05673">
        <w:rPr>
          <w:rFonts w:ascii="Arial" w:hAnsi="Arial" w:cs="Arial"/>
          <w:sz w:val="24"/>
          <w:szCs w:val="24"/>
        </w:rPr>
        <w:t>re-trial</w:t>
      </w:r>
      <w:r w:rsidR="00F03796" w:rsidRPr="00BD2D20">
        <w:rPr>
          <w:rFonts w:ascii="Arial" w:hAnsi="Arial" w:cs="Arial"/>
          <w:sz w:val="24"/>
          <w:szCs w:val="24"/>
        </w:rPr>
        <w:t xml:space="preserve"> order </w:t>
      </w:r>
      <w:r w:rsidR="00B05E1A" w:rsidRPr="00BD2D20">
        <w:rPr>
          <w:rFonts w:ascii="Arial" w:hAnsi="Arial" w:cs="Arial"/>
          <w:sz w:val="24"/>
          <w:szCs w:val="24"/>
        </w:rPr>
        <w:t>against the backdrop of the pleaded case.</w:t>
      </w:r>
    </w:p>
    <w:p w14:paraId="66F7E51A" w14:textId="77777777" w:rsidR="00F03796" w:rsidRPr="00BD2D20" w:rsidRDefault="00F03796" w:rsidP="00E351D8">
      <w:pPr>
        <w:spacing w:line="480" w:lineRule="auto"/>
        <w:jc w:val="both"/>
        <w:rPr>
          <w:rFonts w:cs="Arial"/>
          <w:szCs w:val="24"/>
          <w:u w:val="single"/>
        </w:rPr>
      </w:pPr>
    </w:p>
    <w:p w14:paraId="67A018E4" w14:textId="77777777" w:rsidR="00776DFA" w:rsidRPr="00BD2D20" w:rsidRDefault="00776DFA" w:rsidP="00E351D8">
      <w:pPr>
        <w:spacing w:line="480" w:lineRule="auto"/>
        <w:jc w:val="both"/>
        <w:rPr>
          <w:rFonts w:cs="Arial"/>
          <w:szCs w:val="24"/>
          <w:u w:val="single"/>
        </w:rPr>
      </w:pPr>
      <w:r w:rsidRPr="00BD2D20">
        <w:rPr>
          <w:rFonts w:cs="Arial"/>
          <w:szCs w:val="24"/>
          <w:u w:val="single"/>
        </w:rPr>
        <w:t>Pre-trial order</w:t>
      </w:r>
    </w:p>
    <w:p w14:paraId="03E7DE17" w14:textId="7AB9B731" w:rsidR="00CF5142" w:rsidRDefault="003F6C74" w:rsidP="00E351D8">
      <w:pPr>
        <w:pStyle w:val="NoSpacing"/>
        <w:numPr>
          <w:ilvl w:val="0"/>
          <w:numId w:val="8"/>
        </w:numPr>
        <w:spacing w:line="480" w:lineRule="auto"/>
        <w:ind w:left="0" w:firstLine="0"/>
        <w:jc w:val="both"/>
        <w:rPr>
          <w:rFonts w:ascii="Arial" w:hAnsi="Arial" w:cs="Arial"/>
          <w:sz w:val="24"/>
          <w:szCs w:val="24"/>
        </w:rPr>
      </w:pPr>
      <w:r w:rsidRPr="00BD2D20">
        <w:rPr>
          <w:rFonts w:ascii="Arial" w:hAnsi="Arial" w:cs="Arial"/>
          <w:sz w:val="24"/>
          <w:szCs w:val="24"/>
        </w:rPr>
        <w:t>The P</w:t>
      </w:r>
      <w:r w:rsidR="00F05673">
        <w:rPr>
          <w:rFonts w:ascii="Arial" w:hAnsi="Arial" w:cs="Arial"/>
          <w:sz w:val="24"/>
          <w:szCs w:val="24"/>
        </w:rPr>
        <w:t>re-trial</w:t>
      </w:r>
      <w:r w:rsidRPr="00BD2D20">
        <w:rPr>
          <w:rFonts w:ascii="Arial" w:hAnsi="Arial" w:cs="Arial"/>
          <w:sz w:val="24"/>
          <w:szCs w:val="24"/>
        </w:rPr>
        <w:t xml:space="preserve"> </w:t>
      </w:r>
      <w:r w:rsidR="00CB4178" w:rsidRPr="00BD2D20">
        <w:rPr>
          <w:rFonts w:ascii="Arial" w:hAnsi="Arial" w:cs="Arial"/>
          <w:sz w:val="24"/>
          <w:szCs w:val="24"/>
        </w:rPr>
        <w:t>order states the following</w:t>
      </w:r>
      <w:r w:rsidRPr="00BD2D20">
        <w:rPr>
          <w:rFonts w:ascii="Arial" w:hAnsi="Arial" w:cs="Arial"/>
          <w:sz w:val="24"/>
          <w:szCs w:val="24"/>
        </w:rPr>
        <w:t>:</w:t>
      </w:r>
      <w:r w:rsidR="00CB4178" w:rsidRPr="00BD2D20">
        <w:rPr>
          <w:rFonts w:ascii="Arial" w:hAnsi="Arial" w:cs="Arial"/>
          <w:sz w:val="24"/>
          <w:szCs w:val="24"/>
        </w:rPr>
        <w:t xml:space="preserve"> </w:t>
      </w:r>
    </w:p>
    <w:p w14:paraId="5AD58138" w14:textId="77777777" w:rsidR="00222B17" w:rsidRPr="00BD2D20" w:rsidRDefault="00222B17" w:rsidP="00312085">
      <w:pPr>
        <w:pStyle w:val="NoSpacing"/>
        <w:spacing w:line="360" w:lineRule="auto"/>
        <w:jc w:val="both"/>
        <w:rPr>
          <w:rFonts w:ascii="Arial" w:hAnsi="Arial" w:cs="Arial"/>
          <w:sz w:val="24"/>
          <w:szCs w:val="24"/>
        </w:rPr>
      </w:pPr>
    </w:p>
    <w:p w14:paraId="713FC41C" w14:textId="2E655577" w:rsidR="00CB4178" w:rsidRPr="00BD2D20" w:rsidRDefault="00312085" w:rsidP="00312085">
      <w:pPr>
        <w:spacing w:line="360" w:lineRule="auto"/>
        <w:ind w:left="720"/>
        <w:jc w:val="both"/>
        <w:rPr>
          <w:rFonts w:eastAsia="Calibri" w:cs="Arial"/>
          <w:i/>
          <w:sz w:val="22"/>
          <w:lang w:val="en-US"/>
        </w:rPr>
      </w:pPr>
      <w:r>
        <w:rPr>
          <w:rFonts w:eastAsia="Calibri" w:cs="Arial"/>
          <w:i/>
          <w:sz w:val="22"/>
          <w:lang w:val="en-US"/>
        </w:rPr>
        <w:t>‘</w:t>
      </w:r>
      <w:r w:rsidR="00CB4178" w:rsidRPr="00BD2D20">
        <w:rPr>
          <w:rFonts w:eastAsia="Calibri" w:cs="Arial"/>
          <w:i/>
          <w:sz w:val="22"/>
          <w:lang w:val="en-US"/>
        </w:rPr>
        <w:t>Questions of fact</w:t>
      </w:r>
    </w:p>
    <w:p w14:paraId="3653695F" w14:textId="77777777" w:rsidR="00CB4178" w:rsidRPr="00BD2D20" w:rsidRDefault="00CB4178" w:rsidP="00312085">
      <w:pPr>
        <w:spacing w:line="360" w:lineRule="auto"/>
        <w:jc w:val="both"/>
        <w:rPr>
          <w:rFonts w:eastAsia="Calibri" w:cs="Arial"/>
          <w:i/>
          <w:sz w:val="22"/>
          <w:lang w:val="en-US"/>
        </w:rPr>
      </w:pPr>
    </w:p>
    <w:p w14:paraId="38FE3D73" w14:textId="008C77DF" w:rsidR="00CB4178" w:rsidRPr="00BD2D20" w:rsidRDefault="00CB4178" w:rsidP="00312085">
      <w:pPr>
        <w:spacing w:line="360" w:lineRule="auto"/>
        <w:ind w:firstLine="720"/>
        <w:jc w:val="both"/>
        <w:rPr>
          <w:rFonts w:eastAsia="Calibri" w:cs="Arial"/>
          <w:sz w:val="22"/>
          <w:lang w:val="en-US"/>
        </w:rPr>
      </w:pPr>
      <w:r w:rsidRPr="00BD2D20">
        <w:rPr>
          <w:rFonts w:eastAsia="Calibri" w:cs="Arial"/>
          <w:sz w:val="22"/>
          <w:lang w:val="en-US"/>
        </w:rPr>
        <w:t>Ad claim one</w:t>
      </w:r>
    </w:p>
    <w:p w14:paraId="0C8839C0" w14:textId="77777777" w:rsidR="00CB4178" w:rsidRPr="00BD2D20" w:rsidRDefault="00CB4178" w:rsidP="00312085">
      <w:pPr>
        <w:spacing w:line="360" w:lineRule="auto"/>
        <w:jc w:val="both"/>
        <w:rPr>
          <w:rFonts w:eastAsia="Calibri" w:cs="Arial"/>
          <w:sz w:val="22"/>
          <w:lang w:val="en-US"/>
        </w:rPr>
      </w:pPr>
    </w:p>
    <w:p w14:paraId="611C2D7A" w14:textId="77777777" w:rsidR="00CB4178" w:rsidRPr="00BD2D20" w:rsidRDefault="00CB4178" w:rsidP="00312085">
      <w:pPr>
        <w:numPr>
          <w:ilvl w:val="0"/>
          <w:numId w:val="4"/>
        </w:numPr>
        <w:spacing w:line="360" w:lineRule="auto"/>
        <w:ind w:left="851" w:hanging="142"/>
        <w:jc w:val="both"/>
        <w:rPr>
          <w:rFonts w:eastAsia="Calibri" w:cs="Arial"/>
          <w:sz w:val="22"/>
          <w:lang w:val="en-US"/>
        </w:rPr>
      </w:pPr>
      <w:r w:rsidRPr="00BD2D20">
        <w:rPr>
          <w:rFonts w:eastAsia="Calibri" w:cs="Arial"/>
          <w:sz w:val="22"/>
          <w:lang w:val="en-US"/>
        </w:rPr>
        <w:t xml:space="preserve">Whether the parties entered into an oral agreement in terms of which they agreed that Plaintiff would pay for the construction and fitting of a dwelling for </w:t>
      </w:r>
      <w:r w:rsidRPr="00BD2D20">
        <w:rPr>
          <w:rFonts w:eastAsia="Calibri" w:cs="Arial"/>
          <w:sz w:val="22"/>
          <w:lang w:val="en-US"/>
        </w:rPr>
        <w:lastRenderedPageBreak/>
        <w:t>Plaintiff and his partner and the construction of two hunters bungalows on the property so as to expand Defendants hunting operations on the property under the conditions pleaded at 4.1 to 4.2 of the Plaintiff’s particulars of claim;</w:t>
      </w:r>
    </w:p>
    <w:p w14:paraId="11097A0A" w14:textId="77777777" w:rsidR="00CB4178" w:rsidRPr="00BD2D20" w:rsidRDefault="00CB4178" w:rsidP="00312085">
      <w:pPr>
        <w:spacing w:line="360" w:lineRule="auto"/>
        <w:jc w:val="both"/>
        <w:rPr>
          <w:rFonts w:eastAsia="Calibri" w:cs="Arial"/>
          <w:sz w:val="22"/>
          <w:lang w:val="en-US"/>
        </w:rPr>
      </w:pPr>
      <w:r w:rsidRPr="00BD2D20">
        <w:rPr>
          <w:rFonts w:eastAsia="Calibri" w:cs="Arial"/>
          <w:sz w:val="22"/>
          <w:lang w:val="en-US"/>
        </w:rPr>
        <w:t xml:space="preserve"> </w:t>
      </w:r>
    </w:p>
    <w:p w14:paraId="339B8782" w14:textId="77777777" w:rsidR="00CB4178" w:rsidRPr="00BD2D20" w:rsidRDefault="00CB4178" w:rsidP="00312085">
      <w:pPr>
        <w:numPr>
          <w:ilvl w:val="0"/>
          <w:numId w:val="4"/>
        </w:numPr>
        <w:spacing w:line="360" w:lineRule="auto"/>
        <w:ind w:left="0" w:firstLine="709"/>
        <w:jc w:val="both"/>
        <w:rPr>
          <w:rFonts w:eastAsia="Calibri" w:cs="Arial"/>
          <w:sz w:val="22"/>
          <w:lang w:val="en-US"/>
        </w:rPr>
      </w:pPr>
      <w:r w:rsidRPr="00BD2D20">
        <w:rPr>
          <w:rFonts w:eastAsia="Calibri" w:cs="Arial"/>
          <w:sz w:val="22"/>
          <w:lang w:val="en-US"/>
        </w:rPr>
        <w:t>Whether the conditions had been fulfilled;</w:t>
      </w:r>
    </w:p>
    <w:p w14:paraId="70AA50B4" w14:textId="77777777" w:rsidR="00CB4178" w:rsidRPr="00BD2D20" w:rsidRDefault="00CB4178" w:rsidP="00312085">
      <w:pPr>
        <w:spacing w:line="360" w:lineRule="auto"/>
        <w:jc w:val="both"/>
        <w:rPr>
          <w:rFonts w:eastAsia="Calibri" w:cs="Arial"/>
          <w:sz w:val="22"/>
          <w:lang w:val="en-US"/>
        </w:rPr>
      </w:pPr>
    </w:p>
    <w:p w14:paraId="50E6F85C" w14:textId="77777777" w:rsidR="00CB4178" w:rsidRPr="00BD2D20" w:rsidRDefault="00CB4178" w:rsidP="00312085">
      <w:pPr>
        <w:numPr>
          <w:ilvl w:val="0"/>
          <w:numId w:val="4"/>
        </w:numPr>
        <w:spacing w:line="360" w:lineRule="auto"/>
        <w:ind w:left="709" w:firstLine="0"/>
        <w:jc w:val="both"/>
        <w:rPr>
          <w:rFonts w:eastAsia="Calibri" w:cs="Arial"/>
          <w:sz w:val="22"/>
          <w:lang w:val="en-US"/>
        </w:rPr>
      </w:pPr>
      <w:r w:rsidRPr="00BD2D20">
        <w:rPr>
          <w:rFonts w:eastAsia="Calibri" w:cs="Arial"/>
          <w:sz w:val="22"/>
          <w:u w:val="single"/>
          <w:lang w:val="en-US"/>
        </w:rPr>
        <w:t>Whether the Defendants have been unduly enriched with the improvements to the property</w:t>
      </w:r>
      <w:r w:rsidRPr="00BD2D20">
        <w:rPr>
          <w:rFonts w:eastAsia="Calibri" w:cs="Arial"/>
          <w:sz w:val="22"/>
          <w:lang w:val="en-US"/>
        </w:rPr>
        <w:t>;</w:t>
      </w:r>
    </w:p>
    <w:p w14:paraId="7A780A3C" w14:textId="77777777" w:rsidR="00CB4178" w:rsidRPr="00BD2D20" w:rsidRDefault="00CB4178" w:rsidP="00312085">
      <w:pPr>
        <w:spacing w:line="360" w:lineRule="auto"/>
        <w:jc w:val="both"/>
        <w:rPr>
          <w:rFonts w:eastAsia="Calibri" w:cs="Arial"/>
          <w:sz w:val="22"/>
          <w:lang w:val="en-US"/>
        </w:rPr>
      </w:pPr>
    </w:p>
    <w:p w14:paraId="6A2D86D2" w14:textId="77777777" w:rsidR="00CB4178" w:rsidRPr="00BD2D20" w:rsidRDefault="00CB4178" w:rsidP="00312085">
      <w:pPr>
        <w:numPr>
          <w:ilvl w:val="0"/>
          <w:numId w:val="4"/>
        </w:numPr>
        <w:spacing w:line="360" w:lineRule="auto"/>
        <w:ind w:left="709" w:firstLine="0"/>
        <w:jc w:val="both"/>
        <w:rPr>
          <w:rFonts w:eastAsia="Calibri" w:cs="Arial"/>
          <w:sz w:val="22"/>
          <w:lang w:val="en-US"/>
        </w:rPr>
      </w:pPr>
      <w:r w:rsidRPr="00BD2D20">
        <w:rPr>
          <w:rFonts w:eastAsia="Calibri" w:cs="Arial"/>
          <w:sz w:val="22"/>
          <w:lang w:val="en-US"/>
        </w:rPr>
        <w:t>Whether the construction of the dwelling and the two bungalows was purely for the use and enjoyment of the Plaintiff, whenever he visited Namibia;</w:t>
      </w:r>
    </w:p>
    <w:p w14:paraId="6F9A1D33" w14:textId="77777777" w:rsidR="00CB4178" w:rsidRPr="00BD2D20" w:rsidRDefault="00CB4178" w:rsidP="00312085">
      <w:pPr>
        <w:spacing w:line="360" w:lineRule="auto"/>
        <w:ind w:firstLine="567"/>
        <w:jc w:val="both"/>
        <w:rPr>
          <w:rFonts w:eastAsia="Calibri" w:cs="Arial"/>
          <w:sz w:val="22"/>
          <w:lang w:val="en-US"/>
        </w:rPr>
      </w:pPr>
    </w:p>
    <w:p w14:paraId="065F117C" w14:textId="77777777" w:rsidR="00CB4178" w:rsidRPr="00BD2D20" w:rsidRDefault="00CB4178" w:rsidP="00312085">
      <w:pPr>
        <w:numPr>
          <w:ilvl w:val="0"/>
          <w:numId w:val="4"/>
        </w:numPr>
        <w:spacing w:line="360" w:lineRule="auto"/>
        <w:ind w:left="709" w:firstLine="0"/>
        <w:jc w:val="both"/>
        <w:rPr>
          <w:rFonts w:eastAsia="Calibri" w:cs="Arial"/>
          <w:sz w:val="22"/>
          <w:lang w:val="en-US"/>
        </w:rPr>
      </w:pPr>
      <w:r w:rsidRPr="00BD2D20">
        <w:rPr>
          <w:rFonts w:eastAsia="Calibri" w:cs="Arial"/>
          <w:sz w:val="22"/>
          <w:lang w:val="en-US"/>
        </w:rPr>
        <w:t>Whether the construction of the dwelling and the two bungalows was a gift, alternatively donation from Plaintiff to the Defendant’s.</w:t>
      </w:r>
    </w:p>
    <w:p w14:paraId="082E8184" w14:textId="77777777" w:rsidR="00CB4178" w:rsidRPr="00BD2D20" w:rsidRDefault="00CB4178" w:rsidP="00312085">
      <w:pPr>
        <w:spacing w:line="360" w:lineRule="auto"/>
        <w:jc w:val="both"/>
        <w:rPr>
          <w:rFonts w:eastAsia="Calibri" w:cs="Arial"/>
          <w:sz w:val="22"/>
          <w:lang w:val="en-US"/>
        </w:rPr>
      </w:pPr>
    </w:p>
    <w:p w14:paraId="7B2B52A8" w14:textId="77777777" w:rsidR="00CB4178" w:rsidRPr="00BD2D20" w:rsidRDefault="00CB4178" w:rsidP="00312085">
      <w:pPr>
        <w:spacing w:line="360" w:lineRule="auto"/>
        <w:ind w:firstLine="709"/>
        <w:jc w:val="both"/>
        <w:rPr>
          <w:rFonts w:eastAsia="Calibri" w:cs="Arial"/>
          <w:sz w:val="22"/>
          <w:lang w:val="en-US"/>
        </w:rPr>
      </w:pPr>
      <w:r w:rsidRPr="00BD2D20">
        <w:rPr>
          <w:rFonts w:eastAsia="Calibri" w:cs="Arial"/>
          <w:sz w:val="22"/>
          <w:lang w:val="en-US"/>
        </w:rPr>
        <w:t>Ad alternative claim</w:t>
      </w:r>
    </w:p>
    <w:p w14:paraId="480EEF97" w14:textId="77777777" w:rsidR="00CB4178" w:rsidRPr="00BD2D20" w:rsidRDefault="00CB4178" w:rsidP="00312085">
      <w:pPr>
        <w:spacing w:line="360" w:lineRule="auto"/>
        <w:jc w:val="both"/>
        <w:rPr>
          <w:rFonts w:eastAsia="Calibri" w:cs="Arial"/>
          <w:sz w:val="22"/>
          <w:lang w:val="en-US"/>
        </w:rPr>
      </w:pPr>
    </w:p>
    <w:p w14:paraId="000A57BD" w14:textId="77777777" w:rsidR="00CB4178" w:rsidRPr="00BD2D20" w:rsidRDefault="00CB4178" w:rsidP="00312085">
      <w:pPr>
        <w:numPr>
          <w:ilvl w:val="0"/>
          <w:numId w:val="4"/>
        </w:numPr>
        <w:spacing w:line="360" w:lineRule="auto"/>
        <w:ind w:left="709" w:firstLine="0"/>
        <w:jc w:val="both"/>
        <w:rPr>
          <w:rFonts w:eastAsia="Calibri" w:cs="Arial"/>
          <w:sz w:val="22"/>
          <w:lang w:val="en-US"/>
        </w:rPr>
      </w:pPr>
      <w:r w:rsidRPr="00BD2D20">
        <w:rPr>
          <w:rFonts w:eastAsia="Calibri" w:cs="Arial"/>
          <w:sz w:val="22"/>
          <w:lang w:val="en-US"/>
        </w:rPr>
        <w:t>Whether the Defendants made the representations as alleged and whether these representations were made with the intention to induce the Plaintiff to advance the said sums of money to the Defendants;</w:t>
      </w:r>
    </w:p>
    <w:p w14:paraId="27D4A602" w14:textId="77777777" w:rsidR="00CB4178" w:rsidRPr="00BD2D20" w:rsidRDefault="00CB4178" w:rsidP="00312085">
      <w:pPr>
        <w:spacing w:line="360" w:lineRule="auto"/>
        <w:jc w:val="both"/>
        <w:rPr>
          <w:rFonts w:eastAsia="Calibri" w:cs="Arial"/>
          <w:sz w:val="22"/>
          <w:lang w:val="en-US"/>
        </w:rPr>
      </w:pPr>
    </w:p>
    <w:p w14:paraId="23F164FC" w14:textId="77777777" w:rsidR="00CB4178" w:rsidRPr="00BD2D20" w:rsidRDefault="00CB4178" w:rsidP="00312085">
      <w:pPr>
        <w:numPr>
          <w:ilvl w:val="0"/>
          <w:numId w:val="4"/>
        </w:numPr>
        <w:spacing w:line="360" w:lineRule="auto"/>
        <w:ind w:left="0" w:firstLine="709"/>
        <w:jc w:val="both"/>
        <w:rPr>
          <w:rFonts w:eastAsia="Calibri" w:cs="Arial"/>
          <w:sz w:val="22"/>
          <w:lang w:val="en-US"/>
        </w:rPr>
      </w:pPr>
      <w:r w:rsidRPr="00BD2D20">
        <w:rPr>
          <w:rFonts w:eastAsia="Calibri" w:cs="Arial"/>
          <w:sz w:val="22"/>
          <w:lang w:val="en-US"/>
        </w:rPr>
        <w:t>Whether the representations were made intentionally or negligently;</w:t>
      </w:r>
    </w:p>
    <w:p w14:paraId="7EBBD8E1" w14:textId="77777777" w:rsidR="00CB4178" w:rsidRPr="00BD2D20" w:rsidRDefault="00CB4178" w:rsidP="00312085">
      <w:pPr>
        <w:spacing w:line="360" w:lineRule="auto"/>
        <w:jc w:val="both"/>
        <w:rPr>
          <w:rFonts w:eastAsia="Calibri" w:cs="Arial"/>
          <w:sz w:val="22"/>
          <w:lang w:val="en-US"/>
        </w:rPr>
      </w:pPr>
    </w:p>
    <w:p w14:paraId="077C3EEE" w14:textId="77777777" w:rsidR="00CB4178" w:rsidRPr="00BD2D20" w:rsidRDefault="00CB4178" w:rsidP="00312085">
      <w:pPr>
        <w:numPr>
          <w:ilvl w:val="0"/>
          <w:numId w:val="4"/>
        </w:numPr>
        <w:spacing w:line="360" w:lineRule="auto"/>
        <w:ind w:left="0" w:firstLine="709"/>
        <w:jc w:val="both"/>
        <w:rPr>
          <w:rFonts w:eastAsia="Calibri" w:cs="Arial"/>
          <w:sz w:val="22"/>
          <w:lang w:val="en-US"/>
        </w:rPr>
      </w:pPr>
      <w:r w:rsidRPr="00BD2D20">
        <w:rPr>
          <w:rFonts w:eastAsia="Calibri" w:cs="Arial"/>
          <w:sz w:val="22"/>
          <w:lang w:val="en-US"/>
        </w:rPr>
        <w:t>Whether the representations were false;</w:t>
      </w:r>
    </w:p>
    <w:p w14:paraId="4486E86F" w14:textId="77777777" w:rsidR="00CB4178" w:rsidRPr="00BD2D20" w:rsidRDefault="00CB4178" w:rsidP="00312085">
      <w:pPr>
        <w:spacing w:line="360" w:lineRule="auto"/>
        <w:jc w:val="both"/>
        <w:rPr>
          <w:rFonts w:eastAsia="Calibri" w:cs="Arial"/>
          <w:sz w:val="22"/>
          <w:lang w:val="en-US"/>
        </w:rPr>
      </w:pPr>
    </w:p>
    <w:p w14:paraId="0F8280E4" w14:textId="77777777" w:rsidR="00222B17" w:rsidRDefault="00CB4178" w:rsidP="00312085">
      <w:pPr>
        <w:numPr>
          <w:ilvl w:val="0"/>
          <w:numId w:val="4"/>
        </w:numPr>
        <w:spacing w:line="360" w:lineRule="auto"/>
        <w:ind w:left="0" w:firstLine="709"/>
        <w:jc w:val="both"/>
        <w:rPr>
          <w:rFonts w:eastAsia="Calibri" w:cs="Arial"/>
          <w:sz w:val="22"/>
          <w:u w:val="single"/>
          <w:lang w:val="en-US"/>
        </w:rPr>
      </w:pPr>
      <w:r w:rsidRPr="00BD2D20">
        <w:rPr>
          <w:rFonts w:eastAsia="Calibri" w:cs="Arial"/>
          <w:sz w:val="22"/>
          <w:u w:val="single"/>
          <w:lang w:val="en-US"/>
        </w:rPr>
        <w:t xml:space="preserve">Whether the Plaintiff suffered damages as a result of the representations in </w:t>
      </w:r>
    </w:p>
    <w:p w14:paraId="068FB81B" w14:textId="1C9776CF" w:rsidR="00CB4178" w:rsidRPr="00BD2D20" w:rsidRDefault="00CB4178" w:rsidP="00312085">
      <w:pPr>
        <w:spacing w:line="360" w:lineRule="auto"/>
        <w:ind w:left="709" w:firstLine="11"/>
        <w:jc w:val="both"/>
        <w:rPr>
          <w:rFonts w:eastAsia="Calibri" w:cs="Arial"/>
          <w:sz w:val="22"/>
          <w:u w:val="single"/>
          <w:lang w:val="en-US"/>
        </w:rPr>
      </w:pPr>
      <w:r w:rsidRPr="00BD2D20">
        <w:rPr>
          <w:rFonts w:eastAsia="Calibri" w:cs="Arial"/>
          <w:sz w:val="22"/>
          <w:u w:val="single"/>
          <w:lang w:val="en-US"/>
        </w:rPr>
        <w:t>the amount of €198 019-17 and N$526 322-47;</w:t>
      </w:r>
    </w:p>
    <w:p w14:paraId="529685C0" w14:textId="77777777" w:rsidR="00CB4178" w:rsidRPr="00BD2D20" w:rsidRDefault="00CB4178" w:rsidP="00312085">
      <w:pPr>
        <w:spacing w:line="360" w:lineRule="auto"/>
        <w:jc w:val="both"/>
        <w:rPr>
          <w:rFonts w:eastAsia="Calibri" w:cs="Arial"/>
          <w:sz w:val="22"/>
          <w:lang w:val="en-US"/>
        </w:rPr>
      </w:pPr>
    </w:p>
    <w:p w14:paraId="7395FB73" w14:textId="77777777" w:rsidR="00CB4178" w:rsidRPr="00BD2D20" w:rsidRDefault="00CB4178" w:rsidP="00312085">
      <w:pPr>
        <w:numPr>
          <w:ilvl w:val="0"/>
          <w:numId w:val="4"/>
        </w:numPr>
        <w:spacing w:line="360" w:lineRule="auto"/>
        <w:ind w:left="709" w:firstLine="0"/>
        <w:jc w:val="both"/>
        <w:rPr>
          <w:rFonts w:eastAsia="Calibri" w:cs="Arial"/>
          <w:sz w:val="22"/>
          <w:lang w:val="en-US"/>
        </w:rPr>
      </w:pPr>
      <w:r w:rsidRPr="00BD2D20">
        <w:rPr>
          <w:rFonts w:eastAsia="Calibri" w:cs="Arial"/>
          <w:sz w:val="22"/>
          <w:lang w:val="en-US"/>
        </w:rPr>
        <w:t>Whether the payment effected was done voluntarily by Plaintiff and whether they constituted a “gift”;</w:t>
      </w:r>
    </w:p>
    <w:p w14:paraId="5BDC6FC6" w14:textId="77777777" w:rsidR="00CB4178" w:rsidRPr="00BD2D20" w:rsidRDefault="00CB4178" w:rsidP="00312085">
      <w:pPr>
        <w:spacing w:line="360" w:lineRule="auto"/>
        <w:jc w:val="both"/>
        <w:rPr>
          <w:rFonts w:eastAsia="Calibri" w:cs="Arial"/>
          <w:sz w:val="22"/>
          <w:lang w:val="en-US"/>
        </w:rPr>
      </w:pPr>
    </w:p>
    <w:p w14:paraId="32B8E8A8" w14:textId="77777777" w:rsidR="00CB4178" w:rsidRPr="00BD2D20" w:rsidRDefault="00CB4178" w:rsidP="00312085">
      <w:pPr>
        <w:spacing w:line="360" w:lineRule="auto"/>
        <w:ind w:firstLine="709"/>
        <w:jc w:val="both"/>
        <w:rPr>
          <w:rFonts w:eastAsia="Calibri" w:cs="Arial"/>
          <w:sz w:val="22"/>
          <w:lang w:val="en-US"/>
        </w:rPr>
      </w:pPr>
      <w:r w:rsidRPr="00BD2D20">
        <w:rPr>
          <w:rFonts w:eastAsia="Calibri" w:cs="Arial"/>
          <w:sz w:val="22"/>
          <w:lang w:val="en-US"/>
        </w:rPr>
        <w:t>Ad claim two</w:t>
      </w:r>
    </w:p>
    <w:p w14:paraId="7AC233D1" w14:textId="77777777" w:rsidR="00CB4178" w:rsidRPr="00BD2D20" w:rsidRDefault="00CB4178" w:rsidP="00312085">
      <w:pPr>
        <w:spacing w:line="360" w:lineRule="auto"/>
        <w:ind w:left="720"/>
        <w:jc w:val="both"/>
        <w:rPr>
          <w:rFonts w:eastAsia="Calibri" w:cs="Arial"/>
          <w:sz w:val="22"/>
          <w:lang w:val="en-US"/>
        </w:rPr>
      </w:pPr>
    </w:p>
    <w:p w14:paraId="074AE160" w14:textId="77777777" w:rsidR="00CB4178" w:rsidRPr="00BD2D20" w:rsidRDefault="00CB4178" w:rsidP="00312085">
      <w:pPr>
        <w:numPr>
          <w:ilvl w:val="0"/>
          <w:numId w:val="4"/>
        </w:numPr>
        <w:spacing w:line="360" w:lineRule="auto"/>
        <w:ind w:left="720" w:firstLine="0"/>
        <w:jc w:val="both"/>
        <w:rPr>
          <w:rFonts w:eastAsia="Calibri" w:cs="Arial"/>
          <w:sz w:val="22"/>
          <w:lang w:val="en-US"/>
        </w:rPr>
      </w:pPr>
      <w:r w:rsidRPr="00BD2D20">
        <w:rPr>
          <w:rFonts w:eastAsia="Calibri" w:cs="Arial"/>
          <w:sz w:val="22"/>
          <w:lang w:val="en-US"/>
        </w:rPr>
        <w:t>Whether the amount advanced by Plaintiff constituted a loan to defendants as pleaded pursuant to the terms and conditions pleaded at paragraph 15 of Plaintiff’s particulars of claim;</w:t>
      </w:r>
    </w:p>
    <w:p w14:paraId="5EB4CA82" w14:textId="77777777" w:rsidR="00CB4178" w:rsidRPr="00BD2D20" w:rsidRDefault="00CB4178" w:rsidP="00312085">
      <w:pPr>
        <w:spacing w:line="360" w:lineRule="auto"/>
        <w:ind w:left="720"/>
        <w:jc w:val="both"/>
        <w:rPr>
          <w:rFonts w:eastAsia="Calibri" w:cs="Arial"/>
          <w:sz w:val="22"/>
          <w:lang w:val="en-US"/>
        </w:rPr>
      </w:pPr>
      <w:r w:rsidRPr="00BD2D20">
        <w:rPr>
          <w:rFonts w:eastAsia="Calibri" w:cs="Arial"/>
          <w:sz w:val="22"/>
          <w:lang w:val="en-US"/>
        </w:rPr>
        <w:lastRenderedPageBreak/>
        <w:t xml:space="preserve"> </w:t>
      </w:r>
    </w:p>
    <w:p w14:paraId="58C9C4A0" w14:textId="77777777" w:rsidR="00CB4178" w:rsidRPr="00BD2D20" w:rsidRDefault="00CB4178" w:rsidP="00312085">
      <w:pPr>
        <w:numPr>
          <w:ilvl w:val="0"/>
          <w:numId w:val="4"/>
        </w:numPr>
        <w:spacing w:line="360" w:lineRule="auto"/>
        <w:ind w:left="720" w:firstLine="0"/>
        <w:jc w:val="both"/>
        <w:rPr>
          <w:rFonts w:eastAsia="Calibri" w:cs="Arial"/>
          <w:sz w:val="22"/>
          <w:lang w:val="en-US"/>
        </w:rPr>
      </w:pPr>
      <w:r w:rsidRPr="00BD2D20">
        <w:rPr>
          <w:rFonts w:eastAsia="Calibri" w:cs="Arial"/>
          <w:sz w:val="22"/>
          <w:lang w:val="en-US"/>
        </w:rPr>
        <w:t>Whether the amount so advanced was a donation out of pure liberality from the Plaintiff;</w:t>
      </w:r>
    </w:p>
    <w:p w14:paraId="4F892170" w14:textId="77777777" w:rsidR="00CB4178" w:rsidRPr="00BD2D20" w:rsidRDefault="00CB4178" w:rsidP="00312085">
      <w:pPr>
        <w:spacing w:line="360" w:lineRule="auto"/>
        <w:ind w:left="720"/>
        <w:jc w:val="both"/>
        <w:rPr>
          <w:rFonts w:eastAsia="Calibri" w:cs="Arial"/>
          <w:sz w:val="22"/>
          <w:lang w:val="en-US"/>
        </w:rPr>
      </w:pPr>
    </w:p>
    <w:p w14:paraId="5AD4B46E" w14:textId="77777777" w:rsidR="00CB4178" w:rsidRPr="00BD2D20" w:rsidRDefault="00CB4178" w:rsidP="00312085">
      <w:pPr>
        <w:spacing w:line="360" w:lineRule="auto"/>
        <w:ind w:left="720"/>
        <w:jc w:val="both"/>
        <w:rPr>
          <w:rFonts w:eastAsia="Calibri" w:cs="Arial"/>
          <w:sz w:val="22"/>
          <w:lang w:val="en-US"/>
        </w:rPr>
      </w:pPr>
      <w:r w:rsidRPr="00BD2D20">
        <w:rPr>
          <w:rFonts w:eastAsia="Calibri" w:cs="Arial"/>
          <w:sz w:val="22"/>
          <w:lang w:val="en-US"/>
        </w:rPr>
        <w:t>Ad claim three</w:t>
      </w:r>
    </w:p>
    <w:p w14:paraId="2D1ACBA2" w14:textId="77777777" w:rsidR="00CB4178" w:rsidRPr="00BD2D20" w:rsidRDefault="00CB4178" w:rsidP="00312085">
      <w:pPr>
        <w:spacing w:line="360" w:lineRule="auto"/>
        <w:ind w:left="720"/>
        <w:jc w:val="both"/>
        <w:rPr>
          <w:rFonts w:eastAsia="Calibri" w:cs="Arial"/>
          <w:sz w:val="22"/>
          <w:lang w:val="en-US"/>
        </w:rPr>
      </w:pPr>
    </w:p>
    <w:p w14:paraId="7802E05D" w14:textId="77777777" w:rsidR="00CB4178" w:rsidRPr="00BD2D20" w:rsidRDefault="00CB4178" w:rsidP="00312085">
      <w:pPr>
        <w:numPr>
          <w:ilvl w:val="0"/>
          <w:numId w:val="4"/>
        </w:numPr>
        <w:spacing w:line="360" w:lineRule="auto"/>
        <w:ind w:left="720" w:firstLine="0"/>
        <w:jc w:val="both"/>
        <w:rPr>
          <w:rFonts w:eastAsia="Calibri" w:cs="Arial"/>
          <w:sz w:val="22"/>
          <w:lang w:val="en-US"/>
        </w:rPr>
      </w:pPr>
      <w:r w:rsidRPr="00BD2D20">
        <w:rPr>
          <w:rFonts w:eastAsia="Calibri" w:cs="Arial"/>
          <w:sz w:val="22"/>
          <w:lang w:val="en-US"/>
        </w:rPr>
        <w:t>What the terms and conditions were of the oral agreement concluded between the parties, relating to the purchase of game;</w:t>
      </w:r>
    </w:p>
    <w:p w14:paraId="216639D0" w14:textId="77777777" w:rsidR="00CB4178" w:rsidRPr="00BD2D20" w:rsidRDefault="00CB4178" w:rsidP="00312085">
      <w:pPr>
        <w:spacing w:line="360" w:lineRule="auto"/>
        <w:ind w:left="720"/>
        <w:jc w:val="both"/>
        <w:rPr>
          <w:rFonts w:eastAsia="Calibri" w:cs="Arial"/>
          <w:sz w:val="22"/>
          <w:lang w:val="en-US"/>
        </w:rPr>
      </w:pPr>
    </w:p>
    <w:p w14:paraId="69C494EF" w14:textId="77777777" w:rsidR="00CB4178" w:rsidRPr="00BD2D20" w:rsidRDefault="00CB4178" w:rsidP="00312085">
      <w:pPr>
        <w:numPr>
          <w:ilvl w:val="0"/>
          <w:numId w:val="4"/>
        </w:numPr>
        <w:spacing w:line="360" w:lineRule="auto"/>
        <w:ind w:left="720" w:firstLine="0"/>
        <w:jc w:val="both"/>
        <w:rPr>
          <w:rFonts w:eastAsia="Calibri" w:cs="Arial"/>
          <w:sz w:val="22"/>
          <w:lang w:val="en-US"/>
        </w:rPr>
      </w:pPr>
      <w:r w:rsidRPr="00BD2D20">
        <w:rPr>
          <w:rFonts w:eastAsia="Calibri" w:cs="Arial"/>
          <w:sz w:val="22"/>
          <w:lang w:val="en-US"/>
        </w:rPr>
        <w:t>Whether the Plaintiff waived his rights to claim the amount of €21252-00 as alleged by Defendants;</w:t>
      </w:r>
    </w:p>
    <w:p w14:paraId="1CEA180F" w14:textId="77777777" w:rsidR="0043776F" w:rsidRDefault="0043776F" w:rsidP="00312085">
      <w:pPr>
        <w:spacing w:line="360" w:lineRule="auto"/>
        <w:ind w:left="720"/>
        <w:jc w:val="both"/>
        <w:rPr>
          <w:rFonts w:eastAsia="Calibri" w:cs="Arial"/>
          <w:i/>
          <w:sz w:val="22"/>
          <w:lang w:val="en-US"/>
        </w:rPr>
      </w:pPr>
    </w:p>
    <w:p w14:paraId="359293C1" w14:textId="77777777" w:rsidR="00CB4178" w:rsidRPr="00BD2D20" w:rsidRDefault="00CB4178" w:rsidP="00312085">
      <w:pPr>
        <w:spacing w:line="360" w:lineRule="auto"/>
        <w:ind w:left="720"/>
        <w:jc w:val="both"/>
        <w:rPr>
          <w:rFonts w:eastAsia="Calibri" w:cs="Arial"/>
          <w:i/>
          <w:sz w:val="22"/>
          <w:lang w:val="en-US"/>
        </w:rPr>
      </w:pPr>
      <w:r w:rsidRPr="00BD2D20">
        <w:rPr>
          <w:rFonts w:eastAsia="Calibri" w:cs="Arial"/>
          <w:i/>
          <w:sz w:val="22"/>
          <w:lang w:val="en-US"/>
        </w:rPr>
        <w:t>Issues of law</w:t>
      </w:r>
    </w:p>
    <w:p w14:paraId="533B216A" w14:textId="77777777" w:rsidR="00CB4178" w:rsidRPr="00BD2D20" w:rsidRDefault="00CB4178" w:rsidP="00312085">
      <w:pPr>
        <w:spacing w:line="360" w:lineRule="auto"/>
        <w:jc w:val="both"/>
        <w:rPr>
          <w:rFonts w:eastAsia="Calibri" w:cs="Arial"/>
          <w:sz w:val="22"/>
          <w:lang w:val="en-US"/>
        </w:rPr>
      </w:pPr>
    </w:p>
    <w:p w14:paraId="1E7DB23B" w14:textId="5BA9BDA8" w:rsidR="00CB4178" w:rsidRPr="00BD2D20" w:rsidRDefault="00CB4178" w:rsidP="00312085">
      <w:pPr>
        <w:spacing w:line="360" w:lineRule="auto"/>
        <w:ind w:firstLine="720"/>
        <w:jc w:val="both"/>
        <w:rPr>
          <w:rFonts w:eastAsia="Calibri" w:cs="Arial"/>
          <w:sz w:val="22"/>
          <w:lang w:val="en-US"/>
        </w:rPr>
      </w:pPr>
      <w:r w:rsidRPr="00BD2D20">
        <w:rPr>
          <w:rFonts w:eastAsia="Calibri" w:cs="Arial"/>
          <w:sz w:val="22"/>
          <w:lang w:val="en-US"/>
        </w:rPr>
        <w:t>The issues of law are:</w:t>
      </w:r>
    </w:p>
    <w:p w14:paraId="572B494A" w14:textId="77777777" w:rsidR="00CB4178" w:rsidRPr="00BD2D20" w:rsidRDefault="00CB4178" w:rsidP="00312085">
      <w:pPr>
        <w:spacing w:line="360" w:lineRule="auto"/>
        <w:jc w:val="both"/>
        <w:rPr>
          <w:rFonts w:eastAsia="Calibri" w:cs="Arial"/>
          <w:sz w:val="22"/>
          <w:lang w:val="en-US"/>
        </w:rPr>
      </w:pPr>
    </w:p>
    <w:p w14:paraId="32A77D24" w14:textId="07C58028" w:rsidR="00CB4178" w:rsidRPr="00BD2D20" w:rsidRDefault="00CB4178" w:rsidP="00312085">
      <w:pPr>
        <w:pStyle w:val="ListParagraph"/>
        <w:numPr>
          <w:ilvl w:val="0"/>
          <w:numId w:val="6"/>
        </w:numPr>
        <w:spacing w:line="360" w:lineRule="auto"/>
        <w:jc w:val="both"/>
        <w:rPr>
          <w:rFonts w:eastAsia="Calibri" w:cs="Arial"/>
          <w:sz w:val="22"/>
          <w:lang w:val="en-US"/>
        </w:rPr>
      </w:pPr>
      <w:r w:rsidRPr="00BD2D20">
        <w:rPr>
          <w:rFonts w:eastAsia="Calibri" w:cs="Arial"/>
          <w:sz w:val="22"/>
          <w:lang w:val="en-US"/>
        </w:rPr>
        <w:t xml:space="preserve">Whether the amounts advanced to the Defendants by Plaintiff were advanced out </w:t>
      </w:r>
      <w:r w:rsidR="005B2735" w:rsidRPr="00BD2D20">
        <w:rPr>
          <w:rFonts w:eastAsia="Calibri" w:cs="Arial"/>
          <w:sz w:val="22"/>
          <w:lang w:val="en-US"/>
        </w:rPr>
        <w:t xml:space="preserve">of </w:t>
      </w:r>
      <w:r w:rsidRPr="00BD2D20">
        <w:rPr>
          <w:rFonts w:eastAsia="Calibri" w:cs="Arial"/>
          <w:sz w:val="22"/>
          <w:lang w:val="en-US"/>
        </w:rPr>
        <w:t>pure liberality and whether they constituted a donation.’</w:t>
      </w:r>
      <w:r w:rsidR="00141EB6">
        <w:rPr>
          <w:rFonts w:eastAsia="Calibri" w:cs="Arial"/>
          <w:sz w:val="22"/>
          <w:lang w:val="en-US"/>
        </w:rPr>
        <w:t xml:space="preserve"> </w:t>
      </w:r>
      <w:r w:rsidR="00141EB6" w:rsidRPr="009F6EB8">
        <w:rPr>
          <w:rFonts w:eastAsia="Calibri" w:cs="Arial"/>
          <w:szCs w:val="24"/>
          <w:lang w:val="en-US"/>
        </w:rPr>
        <w:t xml:space="preserve">(My underlining for emphasis) </w:t>
      </w:r>
    </w:p>
    <w:p w14:paraId="5E789F13" w14:textId="77777777" w:rsidR="005A54DD" w:rsidRPr="005A54DD" w:rsidRDefault="005A54DD" w:rsidP="00E351D8">
      <w:pPr>
        <w:spacing w:line="480" w:lineRule="auto"/>
        <w:ind w:left="720"/>
        <w:jc w:val="both"/>
        <w:rPr>
          <w:rFonts w:cs="Arial"/>
          <w:sz w:val="22"/>
        </w:rPr>
      </w:pPr>
    </w:p>
    <w:p w14:paraId="2169144A" w14:textId="07F30022" w:rsidR="001C2504" w:rsidRPr="003156C3" w:rsidRDefault="003156C3" w:rsidP="00E351D8">
      <w:pPr>
        <w:spacing w:line="480" w:lineRule="auto"/>
        <w:jc w:val="both"/>
        <w:rPr>
          <w:rFonts w:cs="Arial"/>
          <w:szCs w:val="24"/>
          <w:u w:val="single"/>
        </w:rPr>
      </w:pPr>
      <w:r w:rsidRPr="003156C3">
        <w:rPr>
          <w:rFonts w:cs="Arial"/>
          <w:szCs w:val="24"/>
          <w:u w:val="single"/>
        </w:rPr>
        <w:t>Mr Brand</w:t>
      </w:r>
      <w:r w:rsidR="00522E8B">
        <w:rPr>
          <w:rFonts w:cs="Arial"/>
          <w:szCs w:val="24"/>
          <w:u w:val="single"/>
        </w:rPr>
        <w:t>t</w:t>
      </w:r>
      <w:r w:rsidRPr="003156C3">
        <w:rPr>
          <w:rFonts w:cs="Arial"/>
          <w:szCs w:val="24"/>
          <w:u w:val="single"/>
        </w:rPr>
        <w:t>’s concession during the trial</w:t>
      </w:r>
    </w:p>
    <w:p w14:paraId="79403CFC" w14:textId="3B9EC0AB" w:rsidR="003156C3" w:rsidRPr="00464401" w:rsidRDefault="00A5302E" w:rsidP="00E351D8">
      <w:pPr>
        <w:pStyle w:val="NoSpacing"/>
        <w:numPr>
          <w:ilvl w:val="0"/>
          <w:numId w:val="8"/>
        </w:numPr>
        <w:spacing w:line="480" w:lineRule="auto"/>
        <w:ind w:left="0" w:firstLine="0"/>
        <w:jc w:val="both"/>
        <w:rPr>
          <w:rFonts w:ascii="Arial" w:hAnsi="Arial" w:cs="Arial"/>
          <w:sz w:val="24"/>
          <w:szCs w:val="24"/>
        </w:rPr>
      </w:pPr>
      <w:r w:rsidRPr="00464401">
        <w:rPr>
          <w:rFonts w:ascii="Arial" w:hAnsi="Arial" w:cs="Arial"/>
          <w:sz w:val="24"/>
          <w:szCs w:val="24"/>
        </w:rPr>
        <w:t xml:space="preserve">At some stage during the proceedings a disagreement arose during the course of Ms </w:t>
      </w:r>
      <w:r w:rsidR="001A3606" w:rsidRPr="00464401">
        <w:rPr>
          <w:rFonts w:ascii="Arial" w:hAnsi="Arial" w:cs="Arial"/>
          <w:sz w:val="24"/>
          <w:szCs w:val="24"/>
        </w:rPr>
        <w:t xml:space="preserve">Lauer’s testimony as to what amounts they paid to the defendants in furtherance of the agreements between the parties. The trial judge then invited </w:t>
      </w:r>
      <w:r w:rsidR="00943C9E" w:rsidRPr="00464401">
        <w:rPr>
          <w:rFonts w:ascii="Arial" w:hAnsi="Arial" w:cs="Arial"/>
          <w:sz w:val="24"/>
          <w:szCs w:val="24"/>
        </w:rPr>
        <w:t>the</w:t>
      </w:r>
      <w:r w:rsidR="001A3606" w:rsidRPr="00464401">
        <w:rPr>
          <w:rFonts w:ascii="Arial" w:hAnsi="Arial" w:cs="Arial"/>
          <w:sz w:val="24"/>
          <w:szCs w:val="24"/>
        </w:rPr>
        <w:t xml:space="preserve"> two counsel representing the</w:t>
      </w:r>
      <w:r w:rsidR="00711623">
        <w:rPr>
          <w:rFonts w:ascii="Arial" w:hAnsi="Arial" w:cs="Arial"/>
          <w:sz w:val="24"/>
          <w:szCs w:val="24"/>
        </w:rPr>
        <w:t xml:space="preserve"> respective</w:t>
      </w:r>
      <w:r w:rsidR="001A3606" w:rsidRPr="00464401">
        <w:rPr>
          <w:rFonts w:ascii="Arial" w:hAnsi="Arial" w:cs="Arial"/>
          <w:sz w:val="24"/>
          <w:szCs w:val="24"/>
        </w:rPr>
        <w:t xml:space="preserve"> parties (Mr Mouton and Mr Brand</w:t>
      </w:r>
      <w:r w:rsidR="00760DE5">
        <w:rPr>
          <w:rFonts w:ascii="Arial" w:hAnsi="Arial" w:cs="Arial"/>
          <w:sz w:val="24"/>
          <w:szCs w:val="24"/>
        </w:rPr>
        <w:t>t</w:t>
      </w:r>
      <w:r w:rsidR="001A3606" w:rsidRPr="00464401">
        <w:rPr>
          <w:rFonts w:ascii="Arial" w:hAnsi="Arial" w:cs="Arial"/>
          <w:sz w:val="24"/>
          <w:szCs w:val="24"/>
        </w:rPr>
        <w:t>) to confer and to resolve the disagreement. The two practitioners did so and reported back to the court that they had agreed that the defendants do not dispute receipt from the plaintiff of the</w:t>
      </w:r>
      <w:r w:rsidR="00B1527C">
        <w:rPr>
          <w:rFonts w:ascii="Arial" w:hAnsi="Arial" w:cs="Arial"/>
          <w:sz w:val="24"/>
          <w:szCs w:val="24"/>
        </w:rPr>
        <w:t xml:space="preserve"> moneys referred to in para</w:t>
      </w:r>
      <w:r w:rsidR="001A3606" w:rsidRPr="00464401">
        <w:rPr>
          <w:rFonts w:ascii="Arial" w:hAnsi="Arial" w:cs="Arial"/>
          <w:sz w:val="24"/>
          <w:szCs w:val="24"/>
        </w:rPr>
        <w:t xml:space="preserve"> 14 of the particulars of claim. </w:t>
      </w:r>
    </w:p>
    <w:p w14:paraId="698E453B" w14:textId="77777777" w:rsidR="003F164B" w:rsidRPr="00464401" w:rsidRDefault="003F164B" w:rsidP="00E351D8">
      <w:pPr>
        <w:spacing w:line="480" w:lineRule="auto"/>
        <w:jc w:val="both"/>
        <w:rPr>
          <w:rFonts w:cs="Arial"/>
          <w:szCs w:val="24"/>
        </w:rPr>
      </w:pPr>
    </w:p>
    <w:p w14:paraId="578819CC" w14:textId="0CE527D5" w:rsidR="00464401" w:rsidRPr="009F6EB8" w:rsidRDefault="003F164B" w:rsidP="009F6EB8">
      <w:pPr>
        <w:pStyle w:val="NoSpacing"/>
        <w:numPr>
          <w:ilvl w:val="0"/>
          <w:numId w:val="8"/>
        </w:numPr>
        <w:spacing w:line="480" w:lineRule="auto"/>
        <w:ind w:left="0" w:firstLine="0"/>
        <w:jc w:val="both"/>
        <w:rPr>
          <w:rFonts w:ascii="Arial" w:hAnsi="Arial" w:cs="Arial"/>
          <w:sz w:val="24"/>
          <w:szCs w:val="24"/>
        </w:rPr>
      </w:pPr>
      <w:r w:rsidRPr="00464401">
        <w:rPr>
          <w:rFonts w:ascii="Arial" w:hAnsi="Arial" w:cs="Arial"/>
          <w:sz w:val="24"/>
          <w:szCs w:val="24"/>
        </w:rPr>
        <w:t>Para</w:t>
      </w:r>
      <w:r w:rsidR="004009EB">
        <w:rPr>
          <w:rFonts w:ascii="Arial" w:hAnsi="Arial" w:cs="Arial"/>
          <w:sz w:val="24"/>
          <w:szCs w:val="24"/>
        </w:rPr>
        <w:t>graph</w:t>
      </w:r>
      <w:r w:rsidRPr="00464401">
        <w:rPr>
          <w:rFonts w:ascii="Arial" w:hAnsi="Arial" w:cs="Arial"/>
          <w:sz w:val="24"/>
          <w:szCs w:val="24"/>
        </w:rPr>
        <w:t xml:space="preserve"> 14 states:</w:t>
      </w:r>
      <w:r w:rsidR="00FC27B0">
        <w:rPr>
          <w:rFonts w:ascii="Arial" w:hAnsi="Arial" w:cs="Arial"/>
          <w:sz w:val="24"/>
          <w:szCs w:val="24"/>
        </w:rPr>
        <w:t xml:space="preserve"> </w:t>
      </w:r>
      <w:r w:rsidR="00625D21">
        <w:rPr>
          <w:rFonts w:ascii="Arial" w:hAnsi="Arial" w:cs="Arial"/>
          <w:sz w:val="24"/>
          <w:szCs w:val="24"/>
        </w:rPr>
        <w:t>‘</w:t>
      </w:r>
      <w:r w:rsidRPr="00464401">
        <w:rPr>
          <w:rFonts w:ascii="Arial" w:hAnsi="Arial" w:cs="Arial"/>
          <w:sz w:val="24"/>
          <w:szCs w:val="24"/>
        </w:rPr>
        <w:t>As a consequence of the Defendants representations Plaintiff has suffere</w:t>
      </w:r>
      <w:r w:rsidR="00760DE5">
        <w:rPr>
          <w:rFonts w:ascii="Arial" w:hAnsi="Arial" w:cs="Arial"/>
          <w:sz w:val="24"/>
          <w:szCs w:val="24"/>
        </w:rPr>
        <w:t>d damages in the amounts of €</w:t>
      </w:r>
      <w:r w:rsidRPr="00464401">
        <w:rPr>
          <w:rFonts w:ascii="Arial" w:hAnsi="Arial" w:cs="Arial"/>
          <w:sz w:val="24"/>
          <w:szCs w:val="24"/>
        </w:rPr>
        <w:t>198 019-17 and N$ 526 322.47’.</w:t>
      </w:r>
    </w:p>
    <w:p w14:paraId="50E80AE8" w14:textId="6F7AE8A3" w:rsidR="008913E8" w:rsidRDefault="008913E8" w:rsidP="00E351D8">
      <w:pPr>
        <w:pStyle w:val="NoSpacing"/>
        <w:numPr>
          <w:ilvl w:val="0"/>
          <w:numId w:val="8"/>
        </w:numPr>
        <w:spacing w:line="480" w:lineRule="auto"/>
        <w:ind w:left="0" w:firstLine="0"/>
        <w:jc w:val="both"/>
        <w:rPr>
          <w:rFonts w:ascii="Arial" w:hAnsi="Arial" w:cs="Arial"/>
          <w:sz w:val="24"/>
          <w:szCs w:val="24"/>
        </w:rPr>
      </w:pPr>
      <w:r w:rsidRPr="00222B17">
        <w:rPr>
          <w:rFonts w:ascii="Arial" w:hAnsi="Arial" w:cs="Arial"/>
          <w:sz w:val="24"/>
          <w:szCs w:val="24"/>
        </w:rPr>
        <w:lastRenderedPageBreak/>
        <w:t>The plea to that allegation is at para 5.1 of the defendants’ plea as follows:</w:t>
      </w:r>
    </w:p>
    <w:p w14:paraId="7E9F5304" w14:textId="77777777" w:rsidR="00222B17" w:rsidRPr="00222B17" w:rsidRDefault="00222B17" w:rsidP="00E351D8">
      <w:pPr>
        <w:pStyle w:val="NoSpacing"/>
        <w:spacing w:line="480" w:lineRule="auto"/>
        <w:jc w:val="both"/>
        <w:rPr>
          <w:rFonts w:ascii="Arial" w:hAnsi="Arial" w:cs="Arial"/>
          <w:sz w:val="24"/>
          <w:szCs w:val="24"/>
        </w:rPr>
      </w:pPr>
    </w:p>
    <w:p w14:paraId="7ABAE89E" w14:textId="676A7D5C" w:rsidR="008913E8" w:rsidRPr="00464401" w:rsidRDefault="008913E8" w:rsidP="00815B00">
      <w:pPr>
        <w:spacing w:line="360" w:lineRule="auto"/>
        <w:ind w:left="720"/>
        <w:jc w:val="both"/>
        <w:rPr>
          <w:rFonts w:cs="Arial"/>
          <w:sz w:val="22"/>
        </w:rPr>
      </w:pPr>
      <w:r w:rsidRPr="00464401">
        <w:rPr>
          <w:rFonts w:cs="Arial"/>
          <w:sz w:val="22"/>
        </w:rPr>
        <w:t xml:space="preserve">‘The allegation herein contained is denied and the Plaintiff is put to the proof </w:t>
      </w:r>
      <w:r w:rsidR="00943C9E" w:rsidRPr="00464401">
        <w:rPr>
          <w:rFonts w:cs="Arial"/>
          <w:sz w:val="22"/>
        </w:rPr>
        <w:t>thereof</w:t>
      </w:r>
      <w:r w:rsidRPr="00464401">
        <w:rPr>
          <w:rFonts w:cs="Arial"/>
          <w:sz w:val="22"/>
        </w:rPr>
        <w:t xml:space="preserve">. In amplification of the denial the Defendants plead the Plaintiff, at </w:t>
      </w:r>
      <w:r w:rsidR="007E48F9">
        <w:rPr>
          <w:rFonts w:cs="Arial"/>
          <w:sz w:val="22"/>
        </w:rPr>
        <w:t>its</w:t>
      </w:r>
      <w:r w:rsidRPr="00464401">
        <w:rPr>
          <w:rFonts w:cs="Arial"/>
          <w:sz w:val="22"/>
        </w:rPr>
        <w:t xml:space="preserve"> own instant constructed the bungalow and effected payment to the Defendants voluntarily, which he late indicated was a gift</w:t>
      </w:r>
      <w:r w:rsidR="00636AAE">
        <w:rPr>
          <w:rFonts w:cs="Arial"/>
          <w:sz w:val="22"/>
        </w:rPr>
        <w:t>.’</w:t>
      </w:r>
    </w:p>
    <w:p w14:paraId="54C7DEB2" w14:textId="77777777" w:rsidR="008913E8" w:rsidRPr="00464401" w:rsidRDefault="008913E8" w:rsidP="00E351D8">
      <w:pPr>
        <w:spacing w:line="480" w:lineRule="auto"/>
        <w:jc w:val="both"/>
        <w:rPr>
          <w:rFonts w:cs="Arial"/>
          <w:szCs w:val="24"/>
        </w:rPr>
      </w:pPr>
    </w:p>
    <w:p w14:paraId="12B7368C" w14:textId="1E089F71" w:rsidR="008913E8" w:rsidRPr="00464401" w:rsidRDefault="008913E8" w:rsidP="00E351D8">
      <w:pPr>
        <w:pStyle w:val="NoSpacing"/>
        <w:numPr>
          <w:ilvl w:val="0"/>
          <w:numId w:val="8"/>
        </w:numPr>
        <w:spacing w:line="480" w:lineRule="auto"/>
        <w:ind w:left="0" w:firstLine="0"/>
        <w:jc w:val="both"/>
        <w:rPr>
          <w:rFonts w:ascii="Arial" w:hAnsi="Arial" w:cs="Arial"/>
          <w:sz w:val="24"/>
          <w:szCs w:val="24"/>
        </w:rPr>
      </w:pPr>
      <w:r w:rsidRPr="00464401">
        <w:rPr>
          <w:rFonts w:ascii="Arial" w:hAnsi="Arial" w:cs="Arial"/>
          <w:sz w:val="24"/>
          <w:szCs w:val="24"/>
        </w:rPr>
        <w:t xml:space="preserve">My understanding then of the agreement reached during the trial </w:t>
      </w:r>
      <w:r w:rsidR="00EE15C1">
        <w:rPr>
          <w:rFonts w:ascii="Arial" w:hAnsi="Arial" w:cs="Arial"/>
          <w:sz w:val="24"/>
          <w:szCs w:val="24"/>
        </w:rPr>
        <w:t>is simply that the</w:t>
      </w:r>
      <w:r w:rsidRPr="00464401">
        <w:rPr>
          <w:rFonts w:ascii="Arial" w:hAnsi="Arial" w:cs="Arial"/>
          <w:sz w:val="24"/>
          <w:szCs w:val="24"/>
        </w:rPr>
        <w:t xml:space="preserve"> receipt of the amounts stated in para 14 of the particulars of claim was not disputed and that the plainti</w:t>
      </w:r>
      <w:r w:rsidR="00760DE5">
        <w:rPr>
          <w:rFonts w:ascii="Arial" w:hAnsi="Arial" w:cs="Arial"/>
          <w:sz w:val="24"/>
          <w:szCs w:val="24"/>
        </w:rPr>
        <w:t>ff did not need to prove that he</w:t>
      </w:r>
      <w:r w:rsidRPr="00464401">
        <w:rPr>
          <w:rFonts w:ascii="Arial" w:hAnsi="Arial" w:cs="Arial"/>
          <w:sz w:val="24"/>
          <w:szCs w:val="24"/>
        </w:rPr>
        <w:t xml:space="preserve"> paid those amounts to the defendants.</w:t>
      </w:r>
    </w:p>
    <w:p w14:paraId="095D889A" w14:textId="77777777" w:rsidR="00A5302E" w:rsidRPr="00464401" w:rsidRDefault="00A5302E" w:rsidP="00E351D8">
      <w:pPr>
        <w:spacing w:line="480" w:lineRule="auto"/>
        <w:jc w:val="both"/>
        <w:rPr>
          <w:rFonts w:cs="Arial"/>
          <w:szCs w:val="24"/>
        </w:rPr>
      </w:pPr>
    </w:p>
    <w:p w14:paraId="403AA80B" w14:textId="7C6D9F2F" w:rsidR="00C7116D" w:rsidRPr="00464401" w:rsidRDefault="00C7116D" w:rsidP="00E351D8">
      <w:pPr>
        <w:pStyle w:val="NoSpacing"/>
        <w:numPr>
          <w:ilvl w:val="0"/>
          <w:numId w:val="8"/>
        </w:numPr>
        <w:spacing w:line="480" w:lineRule="auto"/>
        <w:ind w:left="0" w:firstLine="0"/>
        <w:jc w:val="both"/>
        <w:rPr>
          <w:rFonts w:ascii="Arial" w:hAnsi="Arial" w:cs="Arial"/>
          <w:sz w:val="24"/>
          <w:szCs w:val="24"/>
        </w:rPr>
      </w:pPr>
      <w:r w:rsidRPr="00464401">
        <w:rPr>
          <w:rFonts w:ascii="Arial" w:hAnsi="Arial" w:cs="Arial"/>
          <w:sz w:val="24"/>
          <w:szCs w:val="24"/>
        </w:rPr>
        <w:t>The court</w:t>
      </w:r>
      <w:r w:rsidR="001C2504" w:rsidRPr="00464401">
        <w:rPr>
          <w:rFonts w:ascii="Arial" w:hAnsi="Arial" w:cs="Arial"/>
          <w:sz w:val="24"/>
          <w:szCs w:val="24"/>
        </w:rPr>
        <w:t xml:space="preserve"> </w:t>
      </w:r>
      <w:r w:rsidR="001C2504" w:rsidRPr="00464401">
        <w:rPr>
          <w:rFonts w:ascii="Arial" w:hAnsi="Arial" w:cs="Arial"/>
          <w:i/>
          <w:sz w:val="24"/>
          <w:szCs w:val="24"/>
        </w:rPr>
        <w:t>a quo</w:t>
      </w:r>
      <w:r w:rsidR="001C2504" w:rsidRPr="00464401">
        <w:rPr>
          <w:rFonts w:ascii="Arial" w:hAnsi="Arial" w:cs="Arial"/>
          <w:sz w:val="24"/>
          <w:szCs w:val="24"/>
        </w:rPr>
        <w:t xml:space="preserve"> took the view that the pre-trial order did not impose an </w:t>
      </w:r>
      <w:r w:rsidR="001C2504" w:rsidRPr="00464401">
        <w:rPr>
          <w:rFonts w:ascii="Arial" w:hAnsi="Arial" w:cs="Arial"/>
          <w:i/>
          <w:sz w:val="24"/>
          <w:szCs w:val="24"/>
        </w:rPr>
        <w:t>onus</w:t>
      </w:r>
      <w:r w:rsidR="001C2504" w:rsidRPr="00464401">
        <w:rPr>
          <w:rFonts w:ascii="Arial" w:hAnsi="Arial" w:cs="Arial"/>
          <w:sz w:val="24"/>
          <w:szCs w:val="24"/>
        </w:rPr>
        <w:t xml:space="preserve"> on t</w:t>
      </w:r>
      <w:r w:rsidR="00F00EC1" w:rsidRPr="00464401">
        <w:rPr>
          <w:rFonts w:ascii="Arial" w:hAnsi="Arial" w:cs="Arial"/>
          <w:sz w:val="24"/>
          <w:szCs w:val="24"/>
        </w:rPr>
        <w:t>he plaintiff to prove the quant</w:t>
      </w:r>
      <w:r w:rsidR="001C2504" w:rsidRPr="00464401">
        <w:rPr>
          <w:rFonts w:ascii="Arial" w:hAnsi="Arial" w:cs="Arial"/>
          <w:sz w:val="24"/>
          <w:szCs w:val="24"/>
        </w:rPr>
        <w:t>um arising from a finding that the de</w:t>
      </w:r>
      <w:r w:rsidRPr="00464401">
        <w:rPr>
          <w:rFonts w:ascii="Arial" w:hAnsi="Arial" w:cs="Arial"/>
          <w:sz w:val="24"/>
          <w:szCs w:val="24"/>
        </w:rPr>
        <w:t xml:space="preserve">fendants </w:t>
      </w:r>
      <w:r w:rsidR="001C2504" w:rsidRPr="00464401">
        <w:rPr>
          <w:rFonts w:ascii="Arial" w:hAnsi="Arial" w:cs="Arial"/>
          <w:sz w:val="24"/>
          <w:szCs w:val="24"/>
        </w:rPr>
        <w:t>h</w:t>
      </w:r>
      <w:r w:rsidRPr="00464401">
        <w:rPr>
          <w:rFonts w:ascii="Arial" w:hAnsi="Arial" w:cs="Arial"/>
          <w:sz w:val="24"/>
          <w:szCs w:val="24"/>
        </w:rPr>
        <w:t>ad been enriched at his expense</w:t>
      </w:r>
      <w:r w:rsidR="001C2504" w:rsidRPr="00464401">
        <w:rPr>
          <w:rFonts w:ascii="Arial" w:hAnsi="Arial" w:cs="Arial"/>
          <w:sz w:val="24"/>
          <w:szCs w:val="24"/>
        </w:rPr>
        <w:t>. The implication of this f</w:t>
      </w:r>
      <w:r w:rsidRPr="00464401">
        <w:rPr>
          <w:rFonts w:ascii="Arial" w:hAnsi="Arial" w:cs="Arial"/>
          <w:sz w:val="24"/>
          <w:szCs w:val="24"/>
        </w:rPr>
        <w:t>inding</w:t>
      </w:r>
      <w:r w:rsidR="001C2504" w:rsidRPr="00464401">
        <w:rPr>
          <w:rFonts w:ascii="Arial" w:hAnsi="Arial" w:cs="Arial"/>
          <w:sz w:val="24"/>
          <w:szCs w:val="24"/>
        </w:rPr>
        <w:t xml:space="preserve"> is that the undisputed moneys paid by the plaintif</w:t>
      </w:r>
      <w:r w:rsidRPr="00464401">
        <w:rPr>
          <w:rFonts w:ascii="Arial" w:hAnsi="Arial" w:cs="Arial"/>
          <w:sz w:val="24"/>
          <w:szCs w:val="24"/>
        </w:rPr>
        <w:t>f to the defendants</w:t>
      </w:r>
      <w:r w:rsidR="00F00EC1" w:rsidRPr="00464401">
        <w:rPr>
          <w:rFonts w:ascii="Arial" w:hAnsi="Arial" w:cs="Arial"/>
          <w:sz w:val="24"/>
          <w:szCs w:val="24"/>
        </w:rPr>
        <w:t xml:space="preserve"> necessaril</w:t>
      </w:r>
      <w:r w:rsidR="001C2504" w:rsidRPr="00464401">
        <w:rPr>
          <w:rFonts w:ascii="Arial" w:hAnsi="Arial" w:cs="Arial"/>
          <w:sz w:val="24"/>
          <w:szCs w:val="24"/>
        </w:rPr>
        <w:t>y constituted the extent of the plaintiff</w:t>
      </w:r>
      <w:r w:rsidR="00A314A7">
        <w:rPr>
          <w:rFonts w:ascii="Arial" w:hAnsi="Arial" w:cs="Arial"/>
          <w:sz w:val="24"/>
          <w:szCs w:val="24"/>
        </w:rPr>
        <w:t>’</w:t>
      </w:r>
      <w:r w:rsidR="001C2504" w:rsidRPr="00464401">
        <w:rPr>
          <w:rFonts w:ascii="Arial" w:hAnsi="Arial" w:cs="Arial"/>
          <w:sz w:val="24"/>
          <w:szCs w:val="24"/>
        </w:rPr>
        <w:t>s impoverishment and the de</w:t>
      </w:r>
      <w:r w:rsidRPr="00464401">
        <w:rPr>
          <w:rFonts w:ascii="Arial" w:hAnsi="Arial" w:cs="Arial"/>
          <w:sz w:val="24"/>
          <w:szCs w:val="24"/>
        </w:rPr>
        <w:t>fendants’</w:t>
      </w:r>
      <w:r w:rsidR="001C2504" w:rsidRPr="00464401">
        <w:rPr>
          <w:rFonts w:ascii="Arial" w:hAnsi="Arial" w:cs="Arial"/>
          <w:sz w:val="24"/>
          <w:szCs w:val="24"/>
        </w:rPr>
        <w:t xml:space="preserve"> corresponding enrichment. Th</w:t>
      </w:r>
      <w:r w:rsidRPr="00464401">
        <w:rPr>
          <w:rFonts w:ascii="Arial" w:hAnsi="Arial" w:cs="Arial"/>
          <w:sz w:val="24"/>
          <w:szCs w:val="24"/>
        </w:rPr>
        <w:t xml:space="preserve">at </w:t>
      </w:r>
      <w:r w:rsidR="001C2504" w:rsidRPr="00464401">
        <w:rPr>
          <w:rFonts w:ascii="Arial" w:hAnsi="Arial" w:cs="Arial"/>
          <w:sz w:val="24"/>
          <w:szCs w:val="24"/>
        </w:rPr>
        <w:t xml:space="preserve">conclusion is impugned on appeal. </w:t>
      </w:r>
    </w:p>
    <w:p w14:paraId="2BF35C4F" w14:textId="77777777" w:rsidR="00C7116D" w:rsidRPr="00464401" w:rsidRDefault="00C7116D" w:rsidP="00E351D8">
      <w:pPr>
        <w:spacing w:line="480" w:lineRule="auto"/>
        <w:jc w:val="both"/>
        <w:rPr>
          <w:rFonts w:cs="Arial"/>
          <w:szCs w:val="24"/>
        </w:rPr>
      </w:pPr>
    </w:p>
    <w:p w14:paraId="0386217A" w14:textId="2CBD4377" w:rsidR="00833F2B" w:rsidRDefault="00833F2B" w:rsidP="00E351D8">
      <w:pPr>
        <w:spacing w:line="480" w:lineRule="auto"/>
        <w:jc w:val="both"/>
        <w:rPr>
          <w:rFonts w:cs="Arial"/>
          <w:szCs w:val="24"/>
        </w:rPr>
      </w:pPr>
      <w:r w:rsidRPr="008918AB">
        <w:rPr>
          <w:rFonts w:cs="Arial"/>
          <w:szCs w:val="24"/>
          <w:u w:val="single"/>
        </w:rPr>
        <w:t xml:space="preserve">Was the court </w:t>
      </w:r>
      <w:r w:rsidRPr="005E05C9">
        <w:rPr>
          <w:rFonts w:cs="Arial"/>
          <w:i/>
          <w:szCs w:val="24"/>
          <w:u w:val="single"/>
        </w:rPr>
        <w:t>a quo’s</w:t>
      </w:r>
      <w:r w:rsidRPr="008918AB">
        <w:rPr>
          <w:rFonts w:cs="Arial"/>
          <w:szCs w:val="24"/>
          <w:u w:val="single"/>
        </w:rPr>
        <w:t xml:space="preserve"> conclusion justified</w:t>
      </w:r>
      <w:r>
        <w:rPr>
          <w:rFonts w:cs="Arial"/>
          <w:szCs w:val="24"/>
        </w:rPr>
        <w:t>?</w:t>
      </w:r>
    </w:p>
    <w:p w14:paraId="201A5179" w14:textId="115E8EF5" w:rsidR="00701277" w:rsidRPr="00BC3945" w:rsidRDefault="00BD71F1" w:rsidP="00E351D8">
      <w:pPr>
        <w:pStyle w:val="NoSpacing"/>
        <w:numPr>
          <w:ilvl w:val="0"/>
          <w:numId w:val="8"/>
        </w:numPr>
        <w:spacing w:line="480" w:lineRule="auto"/>
        <w:ind w:left="0" w:firstLine="0"/>
        <w:jc w:val="both"/>
        <w:rPr>
          <w:rFonts w:ascii="Arial" w:hAnsi="Arial" w:cs="Arial"/>
          <w:sz w:val="24"/>
          <w:szCs w:val="24"/>
        </w:rPr>
      </w:pPr>
      <w:r>
        <w:rPr>
          <w:rFonts w:ascii="Arial" w:hAnsi="Arial" w:cs="Arial"/>
          <w:sz w:val="24"/>
          <w:szCs w:val="24"/>
        </w:rPr>
        <w:t xml:space="preserve">It is clear from paras </w:t>
      </w:r>
      <w:r w:rsidR="00D11EA1">
        <w:rPr>
          <w:rFonts w:ascii="Arial" w:hAnsi="Arial" w:cs="Arial"/>
          <w:sz w:val="24"/>
          <w:szCs w:val="24"/>
        </w:rPr>
        <w:t xml:space="preserve">three and nine of the </w:t>
      </w:r>
      <w:r w:rsidR="00B33273">
        <w:rPr>
          <w:rFonts w:ascii="Arial" w:hAnsi="Arial" w:cs="Arial"/>
          <w:sz w:val="24"/>
          <w:szCs w:val="24"/>
        </w:rPr>
        <w:t>pre-trial</w:t>
      </w:r>
      <w:r w:rsidR="000B6ACB" w:rsidRPr="00464401">
        <w:rPr>
          <w:rFonts w:ascii="Arial" w:hAnsi="Arial" w:cs="Arial"/>
          <w:sz w:val="24"/>
          <w:szCs w:val="24"/>
        </w:rPr>
        <w:t xml:space="preserve"> order that the defendants put the plaintiff to the proof that they were unjustly enriched. </w:t>
      </w:r>
      <w:r w:rsidR="00971BD3" w:rsidRPr="00464401">
        <w:rPr>
          <w:rFonts w:ascii="Arial" w:hAnsi="Arial" w:cs="Arial"/>
          <w:sz w:val="24"/>
          <w:szCs w:val="24"/>
        </w:rPr>
        <w:t xml:space="preserve">A position articulated further and </w:t>
      </w:r>
      <w:r w:rsidR="007E48F9" w:rsidRPr="00464401">
        <w:rPr>
          <w:rFonts w:ascii="Arial" w:hAnsi="Arial" w:cs="Arial"/>
          <w:sz w:val="24"/>
          <w:szCs w:val="24"/>
        </w:rPr>
        <w:t>amplified</w:t>
      </w:r>
      <w:r w:rsidR="00971BD3" w:rsidRPr="00464401">
        <w:rPr>
          <w:rFonts w:ascii="Arial" w:hAnsi="Arial" w:cs="Arial"/>
          <w:sz w:val="24"/>
          <w:szCs w:val="24"/>
        </w:rPr>
        <w:t xml:space="preserve"> in submissions to the judge </w:t>
      </w:r>
      <w:r w:rsidR="00971BD3" w:rsidRPr="00644DC8">
        <w:rPr>
          <w:rFonts w:ascii="Arial" w:hAnsi="Arial" w:cs="Arial"/>
          <w:i/>
          <w:sz w:val="24"/>
          <w:szCs w:val="24"/>
        </w:rPr>
        <w:t>a quo</w:t>
      </w:r>
      <w:r w:rsidR="00971BD3" w:rsidRPr="00464401">
        <w:rPr>
          <w:rFonts w:ascii="Arial" w:hAnsi="Arial" w:cs="Arial"/>
          <w:sz w:val="24"/>
          <w:szCs w:val="24"/>
        </w:rPr>
        <w:t xml:space="preserve"> as I previously demonstrated. </w:t>
      </w:r>
      <w:r w:rsidR="002861BB" w:rsidRPr="00464401">
        <w:rPr>
          <w:rFonts w:ascii="Arial" w:hAnsi="Arial" w:cs="Arial"/>
          <w:sz w:val="24"/>
          <w:szCs w:val="24"/>
        </w:rPr>
        <w:t>My understanding of the defendants’ case is that on the authori</w:t>
      </w:r>
      <w:r w:rsidR="00F00EC1" w:rsidRPr="00464401">
        <w:rPr>
          <w:rFonts w:ascii="Arial" w:hAnsi="Arial" w:cs="Arial"/>
          <w:sz w:val="24"/>
          <w:szCs w:val="24"/>
        </w:rPr>
        <w:t xml:space="preserve">ty of </w:t>
      </w:r>
      <w:r w:rsidR="00F00EC1" w:rsidRPr="00464401">
        <w:rPr>
          <w:rFonts w:ascii="Arial" w:hAnsi="Arial" w:cs="Arial"/>
          <w:i/>
          <w:sz w:val="24"/>
          <w:szCs w:val="24"/>
        </w:rPr>
        <w:t xml:space="preserve">Paschke </w:t>
      </w:r>
      <w:r w:rsidR="002861BB" w:rsidRPr="00464401">
        <w:rPr>
          <w:rFonts w:ascii="Arial" w:hAnsi="Arial" w:cs="Arial"/>
          <w:sz w:val="24"/>
          <w:szCs w:val="24"/>
        </w:rPr>
        <w:t>the plaintiff was</w:t>
      </w:r>
      <w:r w:rsidR="0009644A" w:rsidRPr="00464401">
        <w:rPr>
          <w:rFonts w:ascii="Arial" w:hAnsi="Arial" w:cs="Arial"/>
          <w:sz w:val="24"/>
          <w:szCs w:val="24"/>
        </w:rPr>
        <w:t>,</w:t>
      </w:r>
      <w:r w:rsidR="002861BB" w:rsidRPr="00464401">
        <w:rPr>
          <w:rFonts w:ascii="Arial" w:hAnsi="Arial" w:cs="Arial"/>
          <w:sz w:val="24"/>
          <w:szCs w:val="24"/>
        </w:rPr>
        <w:t xml:space="preserve"> in law</w:t>
      </w:r>
      <w:r w:rsidR="0009644A" w:rsidRPr="00464401">
        <w:rPr>
          <w:rFonts w:ascii="Arial" w:hAnsi="Arial" w:cs="Arial"/>
          <w:sz w:val="24"/>
          <w:szCs w:val="24"/>
        </w:rPr>
        <w:t>,</w:t>
      </w:r>
      <w:r w:rsidR="002861BB" w:rsidRPr="00464401">
        <w:rPr>
          <w:rFonts w:ascii="Arial" w:hAnsi="Arial" w:cs="Arial"/>
          <w:sz w:val="24"/>
          <w:szCs w:val="24"/>
        </w:rPr>
        <w:t xml:space="preserve"> required to prove the nature and extent of his enrichment.</w:t>
      </w:r>
      <w:r w:rsidR="00701277">
        <w:rPr>
          <w:rFonts w:ascii="Arial" w:hAnsi="Arial" w:cs="Arial"/>
          <w:sz w:val="24"/>
          <w:szCs w:val="24"/>
        </w:rPr>
        <w:t xml:space="preserve"> The said paras three and nine </w:t>
      </w:r>
      <w:r w:rsidR="00350267">
        <w:rPr>
          <w:rFonts w:ascii="Arial" w:hAnsi="Arial" w:cs="Arial"/>
          <w:sz w:val="24"/>
          <w:szCs w:val="24"/>
        </w:rPr>
        <w:t>sufficiently</w:t>
      </w:r>
      <w:r w:rsidR="00701277">
        <w:rPr>
          <w:rFonts w:ascii="Arial" w:hAnsi="Arial" w:cs="Arial"/>
          <w:sz w:val="24"/>
          <w:szCs w:val="24"/>
        </w:rPr>
        <w:t xml:space="preserve"> put that in issue.</w:t>
      </w:r>
    </w:p>
    <w:p w14:paraId="62EC1B6C" w14:textId="208EC4A2" w:rsidR="00530E09" w:rsidRDefault="000874D7" w:rsidP="00E351D8">
      <w:pPr>
        <w:pStyle w:val="NoSpacing"/>
        <w:numPr>
          <w:ilvl w:val="0"/>
          <w:numId w:val="8"/>
        </w:numPr>
        <w:spacing w:line="480" w:lineRule="auto"/>
        <w:ind w:left="0" w:firstLine="0"/>
        <w:jc w:val="both"/>
        <w:rPr>
          <w:rFonts w:ascii="Arial" w:hAnsi="Arial" w:cs="Arial"/>
          <w:sz w:val="24"/>
          <w:szCs w:val="24"/>
        </w:rPr>
      </w:pPr>
      <w:r w:rsidRPr="00464401">
        <w:rPr>
          <w:rFonts w:ascii="Arial" w:hAnsi="Arial" w:cs="Arial"/>
          <w:sz w:val="24"/>
          <w:szCs w:val="24"/>
        </w:rPr>
        <w:lastRenderedPageBreak/>
        <w:t xml:space="preserve"> </w:t>
      </w:r>
      <w:r w:rsidR="002343BA" w:rsidRPr="00464401">
        <w:rPr>
          <w:rFonts w:ascii="Arial" w:hAnsi="Arial" w:cs="Arial"/>
          <w:sz w:val="24"/>
          <w:szCs w:val="24"/>
        </w:rPr>
        <w:t>By parity of reasoning, in</w:t>
      </w:r>
      <w:r w:rsidR="00633CB7" w:rsidRPr="00464401">
        <w:rPr>
          <w:rFonts w:ascii="Arial" w:hAnsi="Arial" w:cs="Arial"/>
          <w:sz w:val="24"/>
          <w:szCs w:val="24"/>
        </w:rPr>
        <w:t xml:space="preserve"> an enrichment claim, </w:t>
      </w:r>
      <w:r w:rsidR="00763A5D" w:rsidRPr="00464401">
        <w:rPr>
          <w:rFonts w:ascii="Arial" w:hAnsi="Arial" w:cs="Arial"/>
          <w:sz w:val="24"/>
          <w:szCs w:val="24"/>
        </w:rPr>
        <w:t>t</w:t>
      </w:r>
      <w:r w:rsidR="002343BA" w:rsidRPr="00464401">
        <w:rPr>
          <w:rFonts w:ascii="Arial" w:hAnsi="Arial" w:cs="Arial"/>
          <w:sz w:val="24"/>
          <w:szCs w:val="24"/>
        </w:rPr>
        <w:t xml:space="preserve">he </w:t>
      </w:r>
      <w:r w:rsidR="00930E0F" w:rsidRPr="00464401">
        <w:rPr>
          <w:rFonts w:ascii="Arial" w:hAnsi="Arial" w:cs="Arial"/>
          <w:sz w:val="24"/>
          <w:szCs w:val="24"/>
        </w:rPr>
        <w:t xml:space="preserve">passing of </w:t>
      </w:r>
      <w:r w:rsidR="002343BA" w:rsidRPr="00464401">
        <w:rPr>
          <w:rFonts w:ascii="Arial" w:hAnsi="Arial" w:cs="Arial"/>
          <w:sz w:val="24"/>
          <w:szCs w:val="24"/>
        </w:rPr>
        <w:t xml:space="preserve">money </w:t>
      </w:r>
      <w:r w:rsidR="00EB6B1D" w:rsidRPr="00464401">
        <w:rPr>
          <w:rFonts w:ascii="Arial" w:hAnsi="Arial" w:cs="Arial"/>
          <w:sz w:val="24"/>
          <w:szCs w:val="24"/>
        </w:rPr>
        <w:t xml:space="preserve">or goods </w:t>
      </w:r>
      <w:r w:rsidR="00AF1DBD" w:rsidRPr="00464401">
        <w:rPr>
          <w:rFonts w:ascii="Arial" w:hAnsi="Arial" w:cs="Arial"/>
          <w:sz w:val="24"/>
          <w:szCs w:val="24"/>
        </w:rPr>
        <w:t>from one person to another</w:t>
      </w:r>
      <w:r w:rsidR="00633CB7" w:rsidRPr="00464401">
        <w:rPr>
          <w:rFonts w:ascii="Arial" w:hAnsi="Arial" w:cs="Arial"/>
          <w:sz w:val="24"/>
          <w:szCs w:val="24"/>
        </w:rPr>
        <w:t xml:space="preserve"> </w:t>
      </w:r>
      <w:r w:rsidR="00431098" w:rsidRPr="00464401">
        <w:rPr>
          <w:rFonts w:ascii="Arial" w:hAnsi="Arial" w:cs="Arial"/>
          <w:sz w:val="24"/>
          <w:szCs w:val="24"/>
        </w:rPr>
        <w:t xml:space="preserve">does not, without more, constitute enrichment </w:t>
      </w:r>
      <w:r w:rsidR="00AF1DBD" w:rsidRPr="00464401">
        <w:rPr>
          <w:rFonts w:ascii="Arial" w:hAnsi="Arial" w:cs="Arial"/>
          <w:sz w:val="24"/>
          <w:szCs w:val="24"/>
        </w:rPr>
        <w:t>o</w:t>
      </w:r>
      <w:r w:rsidR="002343BA" w:rsidRPr="00464401">
        <w:rPr>
          <w:rFonts w:ascii="Arial" w:hAnsi="Arial" w:cs="Arial"/>
          <w:sz w:val="24"/>
          <w:szCs w:val="24"/>
        </w:rPr>
        <w:t>f</w:t>
      </w:r>
      <w:r w:rsidR="00AF1DBD" w:rsidRPr="00464401">
        <w:rPr>
          <w:rFonts w:ascii="Arial" w:hAnsi="Arial" w:cs="Arial"/>
          <w:sz w:val="24"/>
          <w:szCs w:val="24"/>
        </w:rPr>
        <w:t xml:space="preserve"> the recipient </w:t>
      </w:r>
      <w:r w:rsidR="00431098" w:rsidRPr="00464401">
        <w:rPr>
          <w:rFonts w:ascii="Arial" w:hAnsi="Arial" w:cs="Arial"/>
          <w:sz w:val="24"/>
          <w:szCs w:val="24"/>
        </w:rPr>
        <w:t xml:space="preserve">in the juridical sense. </w:t>
      </w:r>
      <w:r w:rsidR="003616BF" w:rsidRPr="00464401">
        <w:rPr>
          <w:rFonts w:ascii="Arial" w:hAnsi="Arial" w:cs="Arial"/>
          <w:sz w:val="24"/>
          <w:szCs w:val="24"/>
        </w:rPr>
        <w:t xml:space="preserve">The person who alleges to have been impoverished by such property being transferred to the estate of the recipient must </w:t>
      </w:r>
      <w:r w:rsidR="003F7FBF" w:rsidRPr="00464401">
        <w:rPr>
          <w:rFonts w:ascii="Arial" w:hAnsi="Arial" w:cs="Arial"/>
          <w:sz w:val="24"/>
          <w:szCs w:val="24"/>
        </w:rPr>
        <w:t xml:space="preserve">prove all the </w:t>
      </w:r>
      <w:r w:rsidR="00BF146A" w:rsidRPr="00464401">
        <w:rPr>
          <w:rFonts w:ascii="Arial" w:hAnsi="Arial" w:cs="Arial"/>
          <w:sz w:val="24"/>
          <w:szCs w:val="24"/>
        </w:rPr>
        <w:t>elements of an enrichment claim.</w:t>
      </w:r>
    </w:p>
    <w:p w14:paraId="078F906F" w14:textId="77777777" w:rsidR="00022432" w:rsidRDefault="00022432" w:rsidP="00E351D8">
      <w:pPr>
        <w:pStyle w:val="NoSpacing"/>
        <w:spacing w:line="480" w:lineRule="auto"/>
        <w:jc w:val="both"/>
        <w:rPr>
          <w:rFonts w:ascii="Arial" w:hAnsi="Arial" w:cs="Arial"/>
          <w:sz w:val="24"/>
          <w:szCs w:val="24"/>
        </w:rPr>
      </w:pPr>
    </w:p>
    <w:p w14:paraId="342245C0" w14:textId="3ECC512D" w:rsidR="00022432" w:rsidRDefault="00022432" w:rsidP="00E351D8">
      <w:pPr>
        <w:pStyle w:val="NoSpacing"/>
        <w:spacing w:line="480" w:lineRule="auto"/>
        <w:jc w:val="both"/>
        <w:rPr>
          <w:rFonts w:ascii="Arial" w:hAnsi="Arial" w:cs="Arial"/>
          <w:sz w:val="24"/>
          <w:szCs w:val="24"/>
          <w:u w:val="single"/>
        </w:rPr>
      </w:pPr>
      <w:r w:rsidRPr="00022432">
        <w:rPr>
          <w:rFonts w:ascii="Arial" w:hAnsi="Arial" w:cs="Arial"/>
          <w:sz w:val="24"/>
          <w:szCs w:val="24"/>
          <w:u w:val="single"/>
        </w:rPr>
        <w:t>Elements of an enrichment cause of action</w:t>
      </w:r>
    </w:p>
    <w:p w14:paraId="21DAB7EF" w14:textId="29F0AE8D" w:rsidR="00022432" w:rsidRDefault="00022432" w:rsidP="00E351D8">
      <w:pPr>
        <w:pStyle w:val="NoSpacing"/>
        <w:numPr>
          <w:ilvl w:val="0"/>
          <w:numId w:val="8"/>
        </w:numPr>
        <w:spacing w:line="480" w:lineRule="auto"/>
        <w:ind w:left="0" w:firstLine="0"/>
        <w:jc w:val="both"/>
        <w:rPr>
          <w:rFonts w:ascii="Arial" w:hAnsi="Arial" w:cs="Arial"/>
          <w:sz w:val="24"/>
          <w:szCs w:val="24"/>
        </w:rPr>
      </w:pPr>
      <w:r w:rsidRPr="00022432">
        <w:rPr>
          <w:rFonts w:ascii="Arial" w:hAnsi="Arial" w:cs="Arial"/>
          <w:sz w:val="24"/>
          <w:szCs w:val="24"/>
        </w:rPr>
        <w:t xml:space="preserve">The first point to be made is that an enrichment claim should be anchored </w:t>
      </w:r>
      <w:r w:rsidR="00BD71F1">
        <w:rPr>
          <w:rFonts w:ascii="Arial" w:hAnsi="Arial" w:cs="Arial"/>
          <w:sz w:val="24"/>
          <w:szCs w:val="24"/>
        </w:rPr>
        <w:t xml:space="preserve">on one of the </w:t>
      </w:r>
      <w:r w:rsidR="00BD71F1" w:rsidRPr="00BD71F1">
        <w:rPr>
          <w:rFonts w:ascii="Arial" w:hAnsi="Arial" w:cs="Arial"/>
          <w:i/>
          <w:sz w:val="24"/>
          <w:szCs w:val="24"/>
        </w:rPr>
        <w:t>condictiones</w:t>
      </w:r>
      <w:r>
        <w:rPr>
          <w:rFonts w:ascii="Arial" w:hAnsi="Arial" w:cs="Arial"/>
          <w:sz w:val="24"/>
          <w:szCs w:val="24"/>
        </w:rPr>
        <w:t xml:space="preserve"> as set out more fully below. That said, the following are the general require</w:t>
      </w:r>
      <w:r w:rsidR="00C06385">
        <w:rPr>
          <w:rFonts w:ascii="Arial" w:hAnsi="Arial" w:cs="Arial"/>
          <w:sz w:val="24"/>
          <w:szCs w:val="24"/>
        </w:rPr>
        <w:t>me</w:t>
      </w:r>
      <w:r>
        <w:rPr>
          <w:rFonts w:ascii="Arial" w:hAnsi="Arial" w:cs="Arial"/>
          <w:sz w:val="24"/>
          <w:szCs w:val="24"/>
        </w:rPr>
        <w:t>nts for liability in an enrichment claim:</w:t>
      </w:r>
    </w:p>
    <w:p w14:paraId="1B41F039" w14:textId="77777777" w:rsidR="00022432" w:rsidRDefault="00022432" w:rsidP="00E351D8">
      <w:pPr>
        <w:pStyle w:val="NoSpacing"/>
        <w:spacing w:line="480" w:lineRule="auto"/>
        <w:jc w:val="both"/>
        <w:rPr>
          <w:rFonts w:ascii="Arial" w:hAnsi="Arial" w:cs="Arial"/>
          <w:sz w:val="24"/>
          <w:szCs w:val="24"/>
        </w:rPr>
      </w:pPr>
    </w:p>
    <w:p w14:paraId="02745CDA" w14:textId="50A07FC9" w:rsidR="00022432" w:rsidRDefault="00022432" w:rsidP="00E351D8">
      <w:pPr>
        <w:pStyle w:val="NoSpacing"/>
        <w:numPr>
          <w:ilvl w:val="0"/>
          <w:numId w:val="10"/>
        </w:numPr>
        <w:spacing w:line="480" w:lineRule="auto"/>
        <w:jc w:val="both"/>
        <w:rPr>
          <w:rFonts w:ascii="Arial" w:hAnsi="Arial" w:cs="Arial"/>
          <w:sz w:val="24"/>
          <w:szCs w:val="24"/>
        </w:rPr>
      </w:pPr>
      <w:r>
        <w:rPr>
          <w:rFonts w:ascii="Arial" w:hAnsi="Arial" w:cs="Arial"/>
          <w:sz w:val="24"/>
          <w:szCs w:val="24"/>
        </w:rPr>
        <w:t>The defendant must be enriched.</w:t>
      </w:r>
    </w:p>
    <w:p w14:paraId="4BA9876F" w14:textId="6C59AD3B" w:rsidR="00022432" w:rsidRDefault="00AB3F42" w:rsidP="00E351D8">
      <w:pPr>
        <w:pStyle w:val="NoSpacing"/>
        <w:numPr>
          <w:ilvl w:val="0"/>
          <w:numId w:val="10"/>
        </w:numPr>
        <w:spacing w:line="480" w:lineRule="auto"/>
        <w:jc w:val="both"/>
        <w:rPr>
          <w:rFonts w:ascii="Arial" w:hAnsi="Arial" w:cs="Arial"/>
          <w:sz w:val="24"/>
          <w:szCs w:val="24"/>
        </w:rPr>
      </w:pPr>
      <w:r>
        <w:rPr>
          <w:rFonts w:ascii="Arial" w:hAnsi="Arial" w:cs="Arial"/>
          <w:sz w:val="24"/>
          <w:szCs w:val="24"/>
        </w:rPr>
        <w:t>The plaintiff must be i</w:t>
      </w:r>
      <w:r w:rsidR="00022432">
        <w:rPr>
          <w:rFonts w:ascii="Arial" w:hAnsi="Arial" w:cs="Arial"/>
          <w:sz w:val="24"/>
          <w:szCs w:val="24"/>
        </w:rPr>
        <w:t>mpoverished.</w:t>
      </w:r>
    </w:p>
    <w:p w14:paraId="71A0EEE2" w14:textId="739F04BF" w:rsidR="00022432" w:rsidRDefault="00022432" w:rsidP="00E351D8">
      <w:pPr>
        <w:pStyle w:val="NoSpacing"/>
        <w:numPr>
          <w:ilvl w:val="0"/>
          <w:numId w:val="10"/>
        </w:numPr>
        <w:spacing w:line="480" w:lineRule="auto"/>
        <w:jc w:val="both"/>
        <w:rPr>
          <w:rFonts w:ascii="Arial" w:hAnsi="Arial" w:cs="Arial"/>
          <w:sz w:val="24"/>
          <w:szCs w:val="24"/>
        </w:rPr>
      </w:pPr>
      <w:r>
        <w:rPr>
          <w:rFonts w:ascii="Arial" w:hAnsi="Arial" w:cs="Arial"/>
          <w:sz w:val="24"/>
          <w:szCs w:val="24"/>
        </w:rPr>
        <w:t>The defendant</w:t>
      </w:r>
      <w:r w:rsidR="00AB3F42">
        <w:rPr>
          <w:rFonts w:ascii="Arial" w:hAnsi="Arial" w:cs="Arial"/>
          <w:sz w:val="24"/>
          <w:szCs w:val="24"/>
        </w:rPr>
        <w:t>’</w:t>
      </w:r>
      <w:r>
        <w:rPr>
          <w:rFonts w:ascii="Arial" w:hAnsi="Arial" w:cs="Arial"/>
          <w:sz w:val="24"/>
          <w:szCs w:val="24"/>
        </w:rPr>
        <w:t xml:space="preserve">s enrichment must be at the expense of the </w:t>
      </w:r>
      <w:r w:rsidR="00350267">
        <w:rPr>
          <w:rFonts w:ascii="Arial" w:hAnsi="Arial" w:cs="Arial"/>
          <w:sz w:val="24"/>
          <w:szCs w:val="24"/>
        </w:rPr>
        <w:t>plaintiff</w:t>
      </w:r>
      <w:r>
        <w:rPr>
          <w:rFonts w:ascii="Arial" w:hAnsi="Arial" w:cs="Arial"/>
          <w:sz w:val="24"/>
          <w:szCs w:val="24"/>
        </w:rPr>
        <w:t>.</w:t>
      </w:r>
    </w:p>
    <w:p w14:paraId="2071E97E" w14:textId="24A2D365" w:rsidR="00022432" w:rsidRPr="00BC3945" w:rsidRDefault="00022432" w:rsidP="00E351D8">
      <w:pPr>
        <w:pStyle w:val="NoSpacing"/>
        <w:numPr>
          <w:ilvl w:val="0"/>
          <w:numId w:val="10"/>
        </w:numPr>
        <w:spacing w:line="480" w:lineRule="auto"/>
        <w:jc w:val="both"/>
        <w:rPr>
          <w:rFonts w:ascii="Arial" w:hAnsi="Arial" w:cs="Arial"/>
          <w:sz w:val="24"/>
          <w:szCs w:val="24"/>
        </w:rPr>
      </w:pPr>
      <w:r>
        <w:rPr>
          <w:rFonts w:ascii="Arial" w:hAnsi="Arial" w:cs="Arial"/>
          <w:sz w:val="24"/>
          <w:szCs w:val="24"/>
        </w:rPr>
        <w:t>The enrichment must be unjustified;</w:t>
      </w:r>
      <w:r w:rsidR="00AB3F42">
        <w:rPr>
          <w:rFonts w:ascii="Arial" w:hAnsi="Arial" w:cs="Arial"/>
          <w:sz w:val="24"/>
          <w:szCs w:val="24"/>
        </w:rPr>
        <w:t xml:space="preserve"> </w:t>
      </w:r>
      <w:r>
        <w:rPr>
          <w:rFonts w:ascii="Arial" w:hAnsi="Arial" w:cs="Arial"/>
          <w:sz w:val="24"/>
          <w:szCs w:val="24"/>
        </w:rPr>
        <w:t xml:space="preserve">in other words without legal grounds or </w:t>
      </w:r>
      <w:r w:rsidRPr="00022432">
        <w:rPr>
          <w:rFonts w:ascii="Arial" w:hAnsi="Arial" w:cs="Arial"/>
          <w:i/>
          <w:sz w:val="24"/>
          <w:szCs w:val="24"/>
        </w:rPr>
        <w:t>sine causa</w:t>
      </w:r>
      <w:r w:rsidRPr="00BC3945">
        <w:rPr>
          <w:rFonts w:ascii="Arial" w:hAnsi="Arial" w:cs="Arial"/>
          <w:sz w:val="24"/>
          <w:szCs w:val="24"/>
        </w:rPr>
        <w:t>.</w:t>
      </w:r>
      <w:r w:rsidRPr="00BC3945">
        <w:rPr>
          <w:rStyle w:val="FootnoteReference"/>
          <w:rFonts w:ascii="Arial" w:hAnsi="Arial" w:cs="Arial"/>
          <w:sz w:val="24"/>
          <w:szCs w:val="24"/>
        </w:rPr>
        <w:footnoteReference w:id="9"/>
      </w:r>
    </w:p>
    <w:p w14:paraId="5A0D8621" w14:textId="77777777" w:rsidR="00022432" w:rsidRPr="00022432" w:rsidRDefault="00022432" w:rsidP="00E351D8">
      <w:pPr>
        <w:pStyle w:val="NoSpacing"/>
        <w:spacing w:line="480" w:lineRule="auto"/>
        <w:jc w:val="both"/>
        <w:rPr>
          <w:rFonts w:ascii="Arial" w:hAnsi="Arial" w:cs="Arial"/>
          <w:sz w:val="24"/>
          <w:szCs w:val="24"/>
        </w:rPr>
      </w:pPr>
    </w:p>
    <w:p w14:paraId="3C0CBC53" w14:textId="368618FC" w:rsidR="00E8744A" w:rsidRPr="00464401" w:rsidRDefault="00530E09" w:rsidP="00E351D8">
      <w:pPr>
        <w:pStyle w:val="NoSpacing"/>
        <w:numPr>
          <w:ilvl w:val="0"/>
          <w:numId w:val="8"/>
        </w:numPr>
        <w:spacing w:line="480" w:lineRule="auto"/>
        <w:ind w:left="0" w:firstLine="0"/>
        <w:jc w:val="both"/>
        <w:rPr>
          <w:rFonts w:ascii="Arial" w:hAnsi="Arial" w:cs="Arial"/>
          <w:sz w:val="24"/>
          <w:szCs w:val="24"/>
        </w:rPr>
      </w:pPr>
      <w:r w:rsidRPr="00464401">
        <w:rPr>
          <w:rFonts w:ascii="Arial" w:hAnsi="Arial" w:cs="Arial"/>
          <w:sz w:val="24"/>
          <w:szCs w:val="24"/>
        </w:rPr>
        <w:t>The elements will of course depend on the type of enrichment claim (</w:t>
      </w:r>
      <w:r w:rsidRPr="00CD4604">
        <w:rPr>
          <w:rFonts w:ascii="Arial" w:hAnsi="Arial" w:cs="Arial"/>
          <w:i/>
          <w:sz w:val="24"/>
          <w:szCs w:val="24"/>
        </w:rPr>
        <w:t>condictiones</w:t>
      </w:r>
      <w:r w:rsidRPr="00464401">
        <w:rPr>
          <w:rFonts w:ascii="Arial" w:hAnsi="Arial" w:cs="Arial"/>
          <w:sz w:val="24"/>
          <w:szCs w:val="24"/>
        </w:rPr>
        <w:t xml:space="preserve">) that the plaintiff relies on. The </w:t>
      </w:r>
      <w:r w:rsidR="007E48F9" w:rsidRPr="00464401">
        <w:rPr>
          <w:rFonts w:ascii="Arial" w:hAnsi="Arial" w:cs="Arial"/>
          <w:sz w:val="24"/>
          <w:szCs w:val="24"/>
        </w:rPr>
        <w:t>consensus</w:t>
      </w:r>
      <w:r w:rsidRPr="00464401">
        <w:rPr>
          <w:rFonts w:ascii="Arial" w:hAnsi="Arial" w:cs="Arial"/>
          <w:sz w:val="24"/>
          <w:szCs w:val="24"/>
        </w:rPr>
        <w:t xml:space="preserve"> of academic opinion</w:t>
      </w:r>
      <w:r w:rsidRPr="00464401">
        <w:rPr>
          <w:rStyle w:val="FootnoteReference"/>
          <w:rFonts w:ascii="Arial" w:hAnsi="Arial" w:cs="Arial"/>
          <w:sz w:val="24"/>
          <w:szCs w:val="24"/>
        </w:rPr>
        <w:footnoteReference w:id="10"/>
      </w:r>
      <w:r w:rsidRPr="00464401">
        <w:rPr>
          <w:rFonts w:ascii="Arial" w:hAnsi="Arial" w:cs="Arial"/>
          <w:sz w:val="24"/>
          <w:szCs w:val="24"/>
        </w:rPr>
        <w:t xml:space="preserve"> and approach of the courts</w:t>
      </w:r>
      <w:r w:rsidRPr="00464401">
        <w:rPr>
          <w:rStyle w:val="FootnoteReference"/>
          <w:rFonts w:ascii="Arial" w:hAnsi="Arial" w:cs="Arial"/>
          <w:sz w:val="24"/>
          <w:szCs w:val="24"/>
        </w:rPr>
        <w:footnoteReference w:id="11"/>
      </w:r>
      <w:r w:rsidRPr="00464401">
        <w:rPr>
          <w:rFonts w:ascii="Arial" w:hAnsi="Arial" w:cs="Arial"/>
          <w:sz w:val="24"/>
          <w:szCs w:val="24"/>
        </w:rPr>
        <w:t xml:space="preserve"> is that a general enrichment </w:t>
      </w:r>
      <w:r w:rsidR="007E48F9" w:rsidRPr="00464401">
        <w:rPr>
          <w:rFonts w:ascii="Arial" w:hAnsi="Arial" w:cs="Arial"/>
          <w:sz w:val="24"/>
          <w:szCs w:val="24"/>
        </w:rPr>
        <w:t>action</w:t>
      </w:r>
      <w:r w:rsidRPr="00464401">
        <w:rPr>
          <w:rFonts w:ascii="Arial" w:hAnsi="Arial" w:cs="Arial"/>
          <w:sz w:val="24"/>
          <w:szCs w:val="24"/>
        </w:rPr>
        <w:t xml:space="preserve"> has never been applied </w:t>
      </w:r>
      <w:r w:rsidRPr="00464401">
        <w:rPr>
          <w:rFonts w:ascii="Arial" w:hAnsi="Arial" w:cs="Arial"/>
          <w:sz w:val="24"/>
          <w:szCs w:val="24"/>
        </w:rPr>
        <w:lastRenderedPageBreak/>
        <w:t xml:space="preserve">in our courts and that it is preferable for a plaintiff to anchor an enrichment claim </w:t>
      </w:r>
      <w:r w:rsidR="00350267">
        <w:rPr>
          <w:rFonts w:ascii="Arial" w:hAnsi="Arial" w:cs="Arial"/>
          <w:sz w:val="24"/>
          <w:szCs w:val="24"/>
        </w:rPr>
        <w:t>on one</w:t>
      </w:r>
      <w:r w:rsidRPr="00464401">
        <w:rPr>
          <w:rFonts w:ascii="Arial" w:hAnsi="Arial" w:cs="Arial"/>
          <w:sz w:val="24"/>
          <w:szCs w:val="24"/>
        </w:rPr>
        <w:t xml:space="preserve"> or other of the </w:t>
      </w:r>
      <w:r w:rsidRPr="00CD4604">
        <w:rPr>
          <w:rFonts w:ascii="Arial" w:hAnsi="Arial" w:cs="Arial"/>
          <w:i/>
          <w:sz w:val="24"/>
          <w:szCs w:val="24"/>
        </w:rPr>
        <w:t>condictiones</w:t>
      </w:r>
      <w:r w:rsidRPr="00464401">
        <w:rPr>
          <w:rFonts w:ascii="Arial" w:hAnsi="Arial" w:cs="Arial"/>
          <w:sz w:val="24"/>
          <w:szCs w:val="24"/>
        </w:rPr>
        <w:t>.</w:t>
      </w:r>
    </w:p>
    <w:p w14:paraId="16E4E843" w14:textId="77777777" w:rsidR="00530E09" w:rsidRPr="00464401" w:rsidRDefault="00530E09" w:rsidP="00E351D8">
      <w:pPr>
        <w:spacing w:line="480" w:lineRule="auto"/>
        <w:jc w:val="both"/>
        <w:rPr>
          <w:rFonts w:cs="Arial"/>
          <w:szCs w:val="24"/>
        </w:rPr>
      </w:pPr>
    </w:p>
    <w:p w14:paraId="7FF9BC72" w14:textId="13ACDA82" w:rsidR="00AF1DBD" w:rsidRDefault="00AF1DBD" w:rsidP="00E351D8">
      <w:pPr>
        <w:pStyle w:val="NoSpacing"/>
        <w:numPr>
          <w:ilvl w:val="0"/>
          <w:numId w:val="8"/>
        </w:numPr>
        <w:spacing w:line="480" w:lineRule="auto"/>
        <w:ind w:left="0" w:firstLine="0"/>
        <w:jc w:val="both"/>
        <w:rPr>
          <w:rFonts w:ascii="Arial" w:hAnsi="Arial" w:cs="Arial"/>
          <w:sz w:val="24"/>
          <w:szCs w:val="24"/>
        </w:rPr>
      </w:pPr>
      <w:r w:rsidRPr="00464401">
        <w:rPr>
          <w:rFonts w:ascii="Arial" w:hAnsi="Arial" w:cs="Arial"/>
          <w:sz w:val="24"/>
          <w:szCs w:val="24"/>
        </w:rPr>
        <w:t xml:space="preserve">As </w:t>
      </w:r>
      <w:r w:rsidR="00894EF4" w:rsidRPr="00464401">
        <w:rPr>
          <w:rFonts w:ascii="Arial" w:hAnsi="Arial" w:cs="Arial"/>
          <w:sz w:val="24"/>
          <w:szCs w:val="24"/>
        </w:rPr>
        <w:t xml:space="preserve">the learned authors of </w:t>
      </w:r>
      <w:r w:rsidR="00710431" w:rsidRPr="00464401">
        <w:rPr>
          <w:rFonts w:ascii="Arial" w:hAnsi="Arial" w:cs="Arial"/>
          <w:sz w:val="24"/>
          <w:szCs w:val="24"/>
        </w:rPr>
        <w:t xml:space="preserve">LAWSA on </w:t>
      </w:r>
      <w:r w:rsidR="007E48F9" w:rsidRPr="00464401">
        <w:rPr>
          <w:rFonts w:ascii="Arial" w:hAnsi="Arial" w:cs="Arial"/>
          <w:sz w:val="24"/>
          <w:szCs w:val="24"/>
        </w:rPr>
        <w:t>Unjust</w:t>
      </w:r>
      <w:r w:rsidR="00977C38" w:rsidRPr="00464401">
        <w:rPr>
          <w:rFonts w:ascii="Arial" w:hAnsi="Arial" w:cs="Arial"/>
          <w:sz w:val="24"/>
          <w:szCs w:val="24"/>
        </w:rPr>
        <w:t xml:space="preserve"> E</w:t>
      </w:r>
      <w:r w:rsidR="00710431" w:rsidRPr="00464401">
        <w:rPr>
          <w:rFonts w:ascii="Arial" w:hAnsi="Arial" w:cs="Arial"/>
          <w:sz w:val="24"/>
          <w:szCs w:val="24"/>
        </w:rPr>
        <w:t xml:space="preserve">nrichment </w:t>
      </w:r>
      <w:r w:rsidR="004A6099" w:rsidRPr="00464401">
        <w:rPr>
          <w:rFonts w:ascii="Arial" w:hAnsi="Arial" w:cs="Arial"/>
          <w:sz w:val="24"/>
          <w:szCs w:val="24"/>
        </w:rPr>
        <w:t>correctly sum up</w:t>
      </w:r>
      <w:r w:rsidR="001348B8" w:rsidRPr="00464401">
        <w:rPr>
          <w:rFonts w:ascii="Arial" w:hAnsi="Arial" w:cs="Arial"/>
          <w:sz w:val="24"/>
          <w:szCs w:val="24"/>
        </w:rPr>
        <w:t xml:space="preserve"> the position:</w:t>
      </w:r>
    </w:p>
    <w:p w14:paraId="561AFB70" w14:textId="77777777" w:rsidR="00464401" w:rsidRPr="00464401" w:rsidRDefault="00464401" w:rsidP="00E351D8">
      <w:pPr>
        <w:pStyle w:val="NoSpacing"/>
        <w:spacing w:line="480" w:lineRule="auto"/>
        <w:jc w:val="both"/>
        <w:rPr>
          <w:rFonts w:ascii="Arial" w:hAnsi="Arial" w:cs="Arial"/>
          <w:sz w:val="24"/>
          <w:szCs w:val="24"/>
        </w:rPr>
      </w:pPr>
    </w:p>
    <w:p w14:paraId="365EC155" w14:textId="3D1DBA2E" w:rsidR="001348B8" w:rsidRPr="00A60616" w:rsidRDefault="001348B8" w:rsidP="00251610">
      <w:pPr>
        <w:spacing w:line="360" w:lineRule="auto"/>
        <w:ind w:left="720"/>
        <w:jc w:val="both"/>
        <w:rPr>
          <w:rFonts w:cs="Arial"/>
          <w:szCs w:val="24"/>
        </w:rPr>
      </w:pPr>
      <w:r w:rsidRPr="00A60616">
        <w:rPr>
          <w:rFonts w:cs="Arial"/>
          <w:sz w:val="22"/>
        </w:rPr>
        <w:t xml:space="preserve">’[T]he enrichment which the defendant is obliged to return </w:t>
      </w:r>
      <w:r w:rsidR="00CB695F" w:rsidRPr="00A60616">
        <w:rPr>
          <w:rFonts w:cs="Arial"/>
          <w:sz w:val="22"/>
        </w:rPr>
        <w:t>is calculated, not on the basis of the value received, but rather on t</w:t>
      </w:r>
      <w:r w:rsidR="00CB47F2" w:rsidRPr="00A60616">
        <w:rPr>
          <w:rFonts w:cs="Arial"/>
          <w:sz w:val="22"/>
        </w:rPr>
        <w:t xml:space="preserve">he basis of the value remaining, that is to say the defendant is liable to return the net </w:t>
      </w:r>
      <w:r w:rsidR="006958EB" w:rsidRPr="00A60616">
        <w:rPr>
          <w:rFonts w:cs="Arial"/>
          <w:sz w:val="22"/>
        </w:rPr>
        <w:t xml:space="preserve">surviving gain. This means that the totality of </w:t>
      </w:r>
      <w:r w:rsidR="0021605F" w:rsidRPr="00A60616">
        <w:rPr>
          <w:rFonts w:cs="Arial"/>
          <w:sz w:val="22"/>
        </w:rPr>
        <w:t xml:space="preserve">the defendant’s </w:t>
      </w:r>
      <w:r w:rsidR="00F13501" w:rsidRPr="00A60616">
        <w:rPr>
          <w:rFonts w:cs="Arial"/>
          <w:sz w:val="22"/>
        </w:rPr>
        <w:t xml:space="preserve">assets and liabilities after the alleged enrichment </w:t>
      </w:r>
      <w:r w:rsidR="00151225" w:rsidRPr="00A60616">
        <w:rPr>
          <w:rFonts w:cs="Arial"/>
          <w:sz w:val="22"/>
        </w:rPr>
        <w:t xml:space="preserve">occurred must </w:t>
      </w:r>
      <w:r w:rsidR="00694F27" w:rsidRPr="00A60616">
        <w:rPr>
          <w:rFonts w:cs="Arial"/>
          <w:sz w:val="22"/>
        </w:rPr>
        <w:t xml:space="preserve">be compared with what it was </w:t>
      </w:r>
      <w:r w:rsidR="00DC29D8" w:rsidRPr="00A60616">
        <w:rPr>
          <w:rFonts w:cs="Arial"/>
          <w:sz w:val="22"/>
        </w:rPr>
        <w:t>prior</w:t>
      </w:r>
      <w:r w:rsidR="00694F27" w:rsidRPr="00A60616">
        <w:rPr>
          <w:rFonts w:cs="Arial"/>
          <w:sz w:val="22"/>
        </w:rPr>
        <w:t xml:space="preserve"> thereto: the defendant’s liability is confined to the amount of his or her actual enrichment at the time of the commencement of the action</w:t>
      </w:r>
      <w:r w:rsidR="00694F27" w:rsidRPr="00A60616">
        <w:rPr>
          <w:rFonts w:cs="Arial"/>
          <w:szCs w:val="24"/>
        </w:rPr>
        <w:t>.</w:t>
      </w:r>
      <w:r w:rsidR="002370DE">
        <w:rPr>
          <w:rFonts w:cs="Arial"/>
          <w:szCs w:val="24"/>
        </w:rPr>
        <w:t>’</w:t>
      </w:r>
      <w:r w:rsidR="00694F27" w:rsidRPr="00A60616">
        <w:rPr>
          <w:rStyle w:val="FootnoteReference"/>
          <w:rFonts w:cs="Arial"/>
          <w:szCs w:val="24"/>
        </w:rPr>
        <w:footnoteReference w:id="12"/>
      </w:r>
    </w:p>
    <w:p w14:paraId="51D00123" w14:textId="77777777" w:rsidR="00FE1A6C" w:rsidRPr="00464401" w:rsidRDefault="00FE1A6C" w:rsidP="00E351D8">
      <w:pPr>
        <w:spacing w:line="480" w:lineRule="auto"/>
        <w:jc w:val="both"/>
        <w:rPr>
          <w:rFonts w:cs="Arial"/>
          <w:szCs w:val="24"/>
        </w:rPr>
      </w:pPr>
    </w:p>
    <w:p w14:paraId="1E464512" w14:textId="75AC0ACA" w:rsidR="00FE1A6C" w:rsidRPr="00464401" w:rsidRDefault="00FE1A6C" w:rsidP="00E351D8">
      <w:pPr>
        <w:pStyle w:val="NoSpacing"/>
        <w:numPr>
          <w:ilvl w:val="0"/>
          <w:numId w:val="8"/>
        </w:numPr>
        <w:spacing w:line="480" w:lineRule="auto"/>
        <w:ind w:left="0" w:firstLine="0"/>
        <w:jc w:val="both"/>
        <w:rPr>
          <w:rFonts w:ascii="Arial" w:hAnsi="Arial" w:cs="Arial"/>
          <w:sz w:val="24"/>
          <w:szCs w:val="24"/>
        </w:rPr>
      </w:pPr>
      <w:r w:rsidRPr="00464401">
        <w:rPr>
          <w:rFonts w:ascii="Arial" w:hAnsi="Arial" w:cs="Arial"/>
          <w:sz w:val="24"/>
          <w:szCs w:val="24"/>
        </w:rPr>
        <w:t>A</w:t>
      </w:r>
      <w:r w:rsidR="00A60616" w:rsidRPr="00464401">
        <w:rPr>
          <w:rFonts w:ascii="Arial" w:hAnsi="Arial" w:cs="Arial"/>
          <w:sz w:val="24"/>
          <w:szCs w:val="24"/>
        </w:rPr>
        <w:t>s to onus,</w:t>
      </w:r>
      <w:r w:rsidRPr="00464401">
        <w:rPr>
          <w:rFonts w:ascii="Arial" w:hAnsi="Arial" w:cs="Arial"/>
          <w:sz w:val="24"/>
          <w:szCs w:val="24"/>
        </w:rPr>
        <w:t xml:space="preserve"> </w:t>
      </w:r>
      <w:r w:rsidR="00A60616" w:rsidRPr="00464401">
        <w:rPr>
          <w:rFonts w:ascii="Arial" w:hAnsi="Arial" w:cs="Arial"/>
          <w:sz w:val="24"/>
          <w:szCs w:val="24"/>
        </w:rPr>
        <w:t xml:space="preserve">Professor </w:t>
      </w:r>
      <w:r w:rsidRPr="00464401">
        <w:rPr>
          <w:rFonts w:ascii="Arial" w:hAnsi="Arial" w:cs="Arial"/>
          <w:sz w:val="24"/>
          <w:szCs w:val="24"/>
        </w:rPr>
        <w:t xml:space="preserve">Sonnekus states the correct </w:t>
      </w:r>
      <w:r w:rsidR="00A60616" w:rsidRPr="00464401">
        <w:rPr>
          <w:rFonts w:ascii="Arial" w:hAnsi="Arial" w:cs="Arial"/>
          <w:sz w:val="24"/>
          <w:szCs w:val="24"/>
        </w:rPr>
        <w:t xml:space="preserve">legal </w:t>
      </w:r>
      <w:r w:rsidRPr="00464401">
        <w:rPr>
          <w:rFonts w:ascii="Arial" w:hAnsi="Arial" w:cs="Arial"/>
          <w:sz w:val="24"/>
          <w:szCs w:val="24"/>
        </w:rPr>
        <w:t>position</w:t>
      </w:r>
      <w:r w:rsidR="00A60616" w:rsidRPr="00464401">
        <w:rPr>
          <w:rFonts w:ascii="Arial" w:hAnsi="Arial" w:cs="Arial"/>
          <w:sz w:val="24"/>
          <w:szCs w:val="24"/>
        </w:rPr>
        <w:t xml:space="preserve"> thus</w:t>
      </w:r>
      <w:r w:rsidRPr="00464401">
        <w:rPr>
          <w:rFonts w:ascii="Arial" w:hAnsi="Arial" w:cs="Arial"/>
          <w:sz w:val="24"/>
          <w:szCs w:val="24"/>
        </w:rPr>
        <w:t>:</w:t>
      </w:r>
    </w:p>
    <w:p w14:paraId="49556886" w14:textId="77777777" w:rsidR="00222B17" w:rsidRDefault="00222B17" w:rsidP="00E351D8">
      <w:pPr>
        <w:spacing w:line="480" w:lineRule="auto"/>
        <w:jc w:val="both"/>
        <w:rPr>
          <w:rFonts w:cs="Arial"/>
          <w:szCs w:val="24"/>
        </w:rPr>
      </w:pPr>
    </w:p>
    <w:p w14:paraId="08D480D6" w14:textId="7720C29D" w:rsidR="00FE1A6C" w:rsidRPr="00222B17" w:rsidRDefault="00FE1A6C" w:rsidP="00780D5E">
      <w:pPr>
        <w:spacing w:line="360" w:lineRule="auto"/>
        <w:ind w:left="720"/>
        <w:jc w:val="both"/>
        <w:rPr>
          <w:rFonts w:cs="Arial"/>
          <w:sz w:val="22"/>
        </w:rPr>
      </w:pPr>
      <w:r w:rsidRPr="00222B17">
        <w:rPr>
          <w:rFonts w:cs="Arial"/>
          <w:sz w:val="22"/>
        </w:rPr>
        <w:t xml:space="preserve">‘All the facts required to establish liability must be determined before the obligation </w:t>
      </w:r>
      <w:r w:rsidR="00A60616" w:rsidRPr="00222B17">
        <w:rPr>
          <w:rFonts w:cs="Arial"/>
          <w:sz w:val="22"/>
        </w:rPr>
        <w:t>stemming from unfounded or unjustified enrichment can arise. The onus to prove all the facts or elements is on the plaintiff. This implies that the plaintiff must plead enrichment and that his pleadings will clearly raise every element and indicate also that proof of both the enrichment and impoverishment will be provided.’</w:t>
      </w:r>
      <w:r w:rsidR="00A60616" w:rsidRPr="00222B17">
        <w:rPr>
          <w:rStyle w:val="FootnoteReference"/>
          <w:rFonts w:cs="Arial"/>
          <w:sz w:val="22"/>
        </w:rPr>
        <w:footnoteReference w:id="13"/>
      </w:r>
    </w:p>
    <w:p w14:paraId="34C217C8" w14:textId="77777777" w:rsidR="00721F52" w:rsidRPr="00464401" w:rsidRDefault="00721F52" w:rsidP="00E351D8">
      <w:pPr>
        <w:spacing w:line="480" w:lineRule="auto"/>
        <w:jc w:val="both"/>
        <w:rPr>
          <w:rFonts w:cs="Arial"/>
          <w:szCs w:val="24"/>
        </w:rPr>
      </w:pPr>
    </w:p>
    <w:p w14:paraId="67C5343F" w14:textId="13CEDA46" w:rsidR="00393F3E" w:rsidRDefault="00721F52" w:rsidP="00E351D8">
      <w:pPr>
        <w:pStyle w:val="NoSpacing"/>
        <w:numPr>
          <w:ilvl w:val="0"/>
          <w:numId w:val="8"/>
        </w:numPr>
        <w:spacing w:line="480" w:lineRule="auto"/>
        <w:ind w:left="0" w:firstLine="0"/>
        <w:jc w:val="both"/>
        <w:rPr>
          <w:rFonts w:ascii="Arial" w:hAnsi="Arial" w:cs="Arial"/>
          <w:sz w:val="24"/>
          <w:szCs w:val="24"/>
        </w:rPr>
      </w:pPr>
      <w:r w:rsidRPr="00464401">
        <w:rPr>
          <w:rFonts w:ascii="Arial" w:hAnsi="Arial" w:cs="Arial"/>
          <w:sz w:val="24"/>
          <w:szCs w:val="24"/>
        </w:rPr>
        <w:t xml:space="preserve">This resonates with this Court’s judgment in </w:t>
      </w:r>
      <w:r w:rsidRPr="00393F3E">
        <w:rPr>
          <w:rFonts w:ascii="Arial" w:hAnsi="Arial" w:cs="Arial"/>
          <w:i/>
          <w:sz w:val="24"/>
          <w:szCs w:val="24"/>
        </w:rPr>
        <w:t xml:space="preserve">Paschke </w:t>
      </w:r>
      <w:r w:rsidRPr="00464401">
        <w:rPr>
          <w:rFonts w:ascii="Arial" w:hAnsi="Arial" w:cs="Arial"/>
          <w:sz w:val="24"/>
          <w:szCs w:val="24"/>
        </w:rPr>
        <w:t>where O’R</w:t>
      </w:r>
      <w:r w:rsidR="009457D5" w:rsidRPr="00464401">
        <w:rPr>
          <w:rFonts w:ascii="Arial" w:hAnsi="Arial" w:cs="Arial"/>
          <w:sz w:val="24"/>
          <w:szCs w:val="24"/>
        </w:rPr>
        <w:t>egan AJA wrote thus for a unanimous court:</w:t>
      </w:r>
    </w:p>
    <w:p w14:paraId="76D7FDE6" w14:textId="77777777" w:rsidR="00257276" w:rsidRDefault="00257276" w:rsidP="00257276">
      <w:pPr>
        <w:pStyle w:val="NoSpacing"/>
        <w:spacing w:line="480" w:lineRule="auto"/>
        <w:jc w:val="both"/>
        <w:rPr>
          <w:rFonts w:ascii="Arial" w:hAnsi="Arial" w:cs="Arial"/>
          <w:sz w:val="24"/>
          <w:szCs w:val="24"/>
        </w:rPr>
      </w:pPr>
    </w:p>
    <w:p w14:paraId="3792B7DF" w14:textId="77777777" w:rsidR="002370DE" w:rsidRPr="00F67A6E" w:rsidRDefault="002370DE" w:rsidP="00257276">
      <w:pPr>
        <w:pStyle w:val="NoSpacing"/>
        <w:spacing w:line="480" w:lineRule="auto"/>
        <w:jc w:val="both"/>
        <w:rPr>
          <w:rFonts w:ascii="Arial" w:hAnsi="Arial" w:cs="Arial"/>
          <w:sz w:val="24"/>
          <w:szCs w:val="24"/>
        </w:rPr>
      </w:pPr>
    </w:p>
    <w:p w14:paraId="655DA66E" w14:textId="24359FE5" w:rsidR="00ED5697" w:rsidRDefault="00ED5697" w:rsidP="00956732">
      <w:pPr>
        <w:pStyle w:val="ListParagraph"/>
        <w:spacing w:line="360" w:lineRule="auto"/>
        <w:jc w:val="both"/>
        <w:rPr>
          <w:sz w:val="22"/>
        </w:rPr>
      </w:pPr>
      <w:r w:rsidRPr="00431782">
        <w:rPr>
          <w:rFonts w:cs="Arial"/>
          <w:sz w:val="22"/>
        </w:rPr>
        <w:lastRenderedPageBreak/>
        <w:t>‘[14]</w:t>
      </w:r>
      <w:r w:rsidRPr="00431782">
        <w:rPr>
          <w:sz w:val="22"/>
        </w:rPr>
        <w:tab/>
        <w:t xml:space="preserve">The High Court’s proposition that in calculating damages the principle that a plaintiff should receive 'the fullest compensation' is not a principle that can properly be said to underpin the law of unjustified enrichment. The law of unjustified enrichment in Namibia, and in South Africa, contains a complex web of overlapping remedies.  The key general principle is that a plaintiff who asserts that another’s estate has been unjustifiably enriched to the detriment of the plaintiff is entitled to recover the extent of his or her impoverishment, or the extent of the defendant’s enrichment, </w:t>
      </w:r>
      <w:r w:rsidRPr="00431782">
        <w:rPr>
          <w:i/>
          <w:sz w:val="22"/>
        </w:rPr>
        <w:t>whichever is the lesser</w:t>
      </w:r>
      <w:r w:rsidRPr="00431782">
        <w:rPr>
          <w:sz w:val="22"/>
        </w:rPr>
        <w:t xml:space="preserve"> </w:t>
      </w:r>
      <w:r w:rsidRPr="00431782">
        <w:rPr>
          <w:i/>
          <w:sz w:val="22"/>
        </w:rPr>
        <w:t>amount</w:t>
      </w:r>
      <w:r w:rsidRPr="00431782">
        <w:rPr>
          <w:sz w:val="22"/>
        </w:rPr>
        <w:t>. It is clear that, save in certain exceptional circumstances, a plaintiff is not entitled to recovery, even where he or she can demonstrate impoverishment, if the defendant is no longer enriched at the time of the action. Accordingly, the law of unjustified enrichment does not seek to ensure that a plaintiff receives 'the fullest compensation possible', as suggested by the High Court and its reasoning can accordingly not be sustained.</w:t>
      </w:r>
    </w:p>
    <w:p w14:paraId="5127ECA5" w14:textId="77777777" w:rsidR="00F67A6E" w:rsidRPr="00431782" w:rsidRDefault="00F67A6E" w:rsidP="00956732">
      <w:pPr>
        <w:pStyle w:val="ListParagraph"/>
        <w:spacing w:line="360" w:lineRule="auto"/>
        <w:jc w:val="both"/>
        <w:rPr>
          <w:sz w:val="22"/>
        </w:rPr>
      </w:pPr>
    </w:p>
    <w:p w14:paraId="54C6C37E" w14:textId="0198775D" w:rsidR="00ED5697" w:rsidRPr="00431782" w:rsidRDefault="00F67A6E" w:rsidP="00956732">
      <w:pPr>
        <w:pStyle w:val="ListParagraph"/>
        <w:spacing w:line="360" w:lineRule="auto"/>
        <w:jc w:val="both"/>
        <w:rPr>
          <w:sz w:val="22"/>
        </w:rPr>
      </w:pPr>
      <w:r>
        <w:rPr>
          <w:sz w:val="22"/>
        </w:rPr>
        <w:t xml:space="preserve">. . . </w:t>
      </w:r>
    </w:p>
    <w:p w14:paraId="03AE6930" w14:textId="77777777" w:rsidR="00F67A6E" w:rsidRDefault="00F67A6E" w:rsidP="00956732">
      <w:pPr>
        <w:pStyle w:val="ListParagraph"/>
        <w:spacing w:line="360" w:lineRule="auto"/>
        <w:jc w:val="both"/>
        <w:rPr>
          <w:sz w:val="22"/>
        </w:rPr>
      </w:pPr>
    </w:p>
    <w:p w14:paraId="6846AA70" w14:textId="77777777" w:rsidR="00ED5697" w:rsidRPr="00431782" w:rsidRDefault="00ED5697" w:rsidP="00956732">
      <w:pPr>
        <w:pStyle w:val="ListParagraph"/>
        <w:spacing w:line="360" w:lineRule="auto"/>
        <w:jc w:val="both"/>
        <w:rPr>
          <w:sz w:val="22"/>
        </w:rPr>
      </w:pPr>
      <w:r w:rsidRPr="00431782">
        <w:rPr>
          <w:sz w:val="22"/>
        </w:rPr>
        <w:t>[19]</w:t>
      </w:r>
      <w:r w:rsidRPr="00431782">
        <w:rPr>
          <w:sz w:val="22"/>
        </w:rPr>
        <w:tab/>
        <w:t xml:space="preserve">The question, then, is whether the appropriate date for quantifying the extent of the defendant’s unjustified enrichment is the date of demand, the date of summons or the stage of </w:t>
      </w:r>
      <w:r w:rsidRPr="003E4BF5">
        <w:rPr>
          <w:i/>
          <w:sz w:val="22"/>
        </w:rPr>
        <w:t>litis contestatio</w:t>
      </w:r>
      <w:r w:rsidRPr="00431782">
        <w:rPr>
          <w:sz w:val="22"/>
        </w:rPr>
        <w:t>.  The question is important, for as Prof de Vos noted the amount of unjustifiable enrichment shifts over time.   The shifting quantum of the claim arises because the amount of unjustifiable enrichment recoverable by a plaintiff at any time depends in large part on the extent of enrichment of the defendant.  Accordingly, if the defendant is no longer enriched, no claim will lie. Unlike in the law of delict, the focus is not on the plaintiff’s loss. It is, in the first place, on the extent of the defendant’s enrichment.</w:t>
      </w:r>
    </w:p>
    <w:p w14:paraId="7A057994" w14:textId="77777777" w:rsidR="00ED5697" w:rsidRPr="00431782" w:rsidRDefault="00ED5697" w:rsidP="00956732">
      <w:pPr>
        <w:pStyle w:val="ListParagraph"/>
        <w:spacing w:line="360" w:lineRule="auto"/>
        <w:jc w:val="both"/>
        <w:rPr>
          <w:sz w:val="22"/>
        </w:rPr>
      </w:pPr>
    </w:p>
    <w:p w14:paraId="3F161C60" w14:textId="77777777" w:rsidR="00ED5697" w:rsidRPr="00431782" w:rsidRDefault="00ED5697" w:rsidP="00956732">
      <w:pPr>
        <w:pStyle w:val="ListParagraph"/>
        <w:spacing w:line="360" w:lineRule="auto"/>
        <w:jc w:val="both"/>
        <w:rPr>
          <w:sz w:val="22"/>
        </w:rPr>
      </w:pPr>
      <w:r w:rsidRPr="00431782">
        <w:rPr>
          <w:sz w:val="22"/>
        </w:rPr>
        <w:t>[20]</w:t>
      </w:r>
      <w:r w:rsidRPr="00431782">
        <w:rPr>
          <w:sz w:val="22"/>
        </w:rPr>
        <w:tab/>
        <w:t xml:space="preserve"> In my view, the appropriate date for the determination of the quantum of damages is when the stage of </w:t>
      </w:r>
      <w:r w:rsidRPr="00F67A6E">
        <w:rPr>
          <w:i/>
          <w:sz w:val="22"/>
        </w:rPr>
        <w:t>litis contestatio</w:t>
      </w:r>
      <w:r w:rsidRPr="00431782">
        <w:rPr>
          <w:sz w:val="22"/>
        </w:rPr>
        <w:t xml:space="preserve"> is reached, rather than the date action is commenced or a demand is made. This approach is consistent with the view of Prof Sonnekus and also to some extent with the views of Prof Visser, and Profs Eiselen and Pienaar. However, I have not been able to find clear judicial authority for this approach either in Namibia or South Africa.  Yet it seems to me that the approach is both practical and principled.</w:t>
      </w:r>
    </w:p>
    <w:p w14:paraId="4E4B6138" w14:textId="77777777" w:rsidR="00ED5697" w:rsidRPr="00431782" w:rsidRDefault="00ED5697" w:rsidP="00956732">
      <w:pPr>
        <w:pStyle w:val="ListParagraph"/>
        <w:spacing w:line="360" w:lineRule="auto"/>
        <w:jc w:val="both"/>
        <w:rPr>
          <w:sz w:val="22"/>
        </w:rPr>
      </w:pPr>
    </w:p>
    <w:p w14:paraId="468D6112" w14:textId="0326671D" w:rsidR="00ED5697" w:rsidRPr="00977C38" w:rsidRDefault="00ED5697" w:rsidP="00956732">
      <w:pPr>
        <w:spacing w:line="360" w:lineRule="auto"/>
        <w:ind w:left="720"/>
        <w:jc w:val="both"/>
        <w:rPr>
          <w:rFonts w:cs="Arial"/>
          <w:szCs w:val="24"/>
        </w:rPr>
      </w:pPr>
      <w:r w:rsidRPr="00431782">
        <w:rPr>
          <w:sz w:val="22"/>
        </w:rPr>
        <w:t>[21]</w:t>
      </w:r>
      <w:r w:rsidRPr="00431782">
        <w:rPr>
          <w:sz w:val="22"/>
        </w:rPr>
        <w:tab/>
        <w:t xml:space="preserve">Adopting the approach will have the effect that the question of whether there has been enrichment (and corresponding impoverishment), will be determined once </w:t>
      </w:r>
      <w:r w:rsidRPr="00431782">
        <w:rPr>
          <w:sz w:val="22"/>
        </w:rPr>
        <w:lastRenderedPageBreak/>
        <w:t xml:space="preserve">issue has been joined between the parties.  At that stage, the defendant will have pleaded and lodged a counterclaim, if any, and the evidence in the trial should be directed at determining whether there was unjustified enrichment (and consequent impoverishment of the plaintiff) at the time pleadings closed. The content of the pleadings lodged by both the plaintiff and defendant will provide direction and content to the evidence to be led in the trial and will enable expert witnesses to prepare reports appropriately.  Were the enrichment to be calculated on the basis of the date of issue of summons (or date of demand were that to be earlier), the quantum would be calculated at a time before the defendant has pleaded (and, where appropriate, lodged a counterclaim).  Given that in an enrichment claim, the overall purpose is to determine the extent of the defendant’s unjustified enrichment, and the plaintiff’s consequential impoverishment, the facts pleaded by the defendant in a plea and any counterclaim will be of crucial importance in determining the extent of enrichment. It seems to make good sense, then, that the time when the quantum of enrichment is to be determined is the time when the pleadings close at </w:t>
      </w:r>
      <w:r w:rsidRPr="00D6514A">
        <w:rPr>
          <w:i/>
          <w:sz w:val="22"/>
        </w:rPr>
        <w:t>litis contestatio</w:t>
      </w:r>
      <w:r w:rsidRPr="00431782">
        <w:rPr>
          <w:sz w:val="22"/>
        </w:rPr>
        <w:t>.’</w:t>
      </w:r>
      <w:r w:rsidR="00C81287">
        <w:rPr>
          <w:sz w:val="22"/>
        </w:rPr>
        <w:t xml:space="preserve"> (Footnotes omitted).</w:t>
      </w:r>
    </w:p>
    <w:p w14:paraId="0C472E2E" w14:textId="77777777" w:rsidR="00AF1DBD" w:rsidRDefault="00AF1DBD" w:rsidP="003E4BF5">
      <w:pPr>
        <w:spacing w:line="480" w:lineRule="auto"/>
        <w:jc w:val="both"/>
        <w:rPr>
          <w:rFonts w:cs="Arial"/>
          <w:szCs w:val="24"/>
        </w:rPr>
      </w:pPr>
    </w:p>
    <w:p w14:paraId="32603292" w14:textId="73DAA54D" w:rsidR="00B33273" w:rsidRDefault="00431098" w:rsidP="00E351D8">
      <w:pPr>
        <w:pStyle w:val="NoSpacing"/>
        <w:numPr>
          <w:ilvl w:val="0"/>
          <w:numId w:val="8"/>
        </w:numPr>
        <w:spacing w:line="480" w:lineRule="auto"/>
        <w:ind w:left="0" w:firstLine="0"/>
        <w:jc w:val="both"/>
        <w:rPr>
          <w:rFonts w:ascii="Arial" w:hAnsi="Arial" w:cs="Arial"/>
          <w:sz w:val="24"/>
          <w:szCs w:val="24"/>
        </w:rPr>
      </w:pPr>
      <w:r w:rsidRPr="00464401">
        <w:rPr>
          <w:rFonts w:ascii="Arial" w:hAnsi="Arial" w:cs="Arial"/>
          <w:sz w:val="24"/>
          <w:szCs w:val="24"/>
        </w:rPr>
        <w:t xml:space="preserve">I had shown that the court </w:t>
      </w:r>
      <w:r w:rsidRPr="00C33243">
        <w:rPr>
          <w:rFonts w:ascii="Arial" w:hAnsi="Arial" w:cs="Arial"/>
          <w:i/>
          <w:sz w:val="24"/>
          <w:szCs w:val="24"/>
        </w:rPr>
        <w:t>a quo</w:t>
      </w:r>
      <w:r w:rsidRPr="00464401">
        <w:rPr>
          <w:rFonts w:ascii="Arial" w:hAnsi="Arial" w:cs="Arial"/>
          <w:sz w:val="24"/>
          <w:szCs w:val="24"/>
        </w:rPr>
        <w:t xml:space="preserve"> was put on notice by the defendants that </w:t>
      </w:r>
      <w:r w:rsidR="000963BF" w:rsidRPr="00464401">
        <w:rPr>
          <w:rFonts w:ascii="Arial" w:hAnsi="Arial" w:cs="Arial"/>
          <w:sz w:val="24"/>
          <w:szCs w:val="24"/>
        </w:rPr>
        <w:t xml:space="preserve">the plaintiff needed to comply with the law as laid down in </w:t>
      </w:r>
      <w:r w:rsidR="000963BF" w:rsidRPr="00B33273">
        <w:rPr>
          <w:rFonts w:ascii="Arial" w:hAnsi="Arial" w:cs="Arial"/>
          <w:i/>
          <w:sz w:val="24"/>
          <w:szCs w:val="24"/>
        </w:rPr>
        <w:t>Paschke</w:t>
      </w:r>
      <w:r w:rsidR="000963BF" w:rsidRPr="00464401">
        <w:rPr>
          <w:rFonts w:ascii="Arial" w:hAnsi="Arial" w:cs="Arial"/>
          <w:sz w:val="24"/>
          <w:szCs w:val="24"/>
        </w:rPr>
        <w:t xml:space="preserve"> – an</w:t>
      </w:r>
      <w:r w:rsidRPr="00464401">
        <w:rPr>
          <w:rFonts w:ascii="Arial" w:hAnsi="Arial" w:cs="Arial"/>
          <w:sz w:val="24"/>
          <w:szCs w:val="24"/>
        </w:rPr>
        <w:t xml:space="preserve"> event that occurred after the </w:t>
      </w:r>
      <w:r w:rsidR="000963BF" w:rsidRPr="00464401">
        <w:rPr>
          <w:rFonts w:ascii="Arial" w:hAnsi="Arial" w:cs="Arial"/>
          <w:sz w:val="24"/>
          <w:szCs w:val="24"/>
        </w:rPr>
        <w:t>pre-trial</w:t>
      </w:r>
      <w:r w:rsidRPr="00464401">
        <w:rPr>
          <w:rFonts w:ascii="Arial" w:hAnsi="Arial" w:cs="Arial"/>
          <w:sz w:val="24"/>
          <w:szCs w:val="24"/>
        </w:rPr>
        <w:t xml:space="preserve"> order. </w:t>
      </w:r>
      <w:r w:rsidR="00ED363B" w:rsidRPr="00464401">
        <w:rPr>
          <w:rFonts w:ascii="Arial" w:hAnsi="Arial" w:cs="Arial"/>
          <w:sz w:val="24"/>
          <w:szCs w:val="24"/>
        </w:rPr>
        <w:t>On a</w:t>
      </w:r>
      <w:r w:rsidR="00D13749" w:rsidRPr="00464401">
        <w:rPr>
          <w:rFonts w:ascii="Arial" w:hAnsi="Arial" w:cs="Arial"/>
          <w:sz w:val="24"/>
          <w:szCs w:val="24"/>
        </w:rPr>
        <w:t xml:space="preserve"> contextual and</w:t>
      </w:r>
      <w:r w:rsidR="00ED363B" w:rsidRPr="00464401">
        <w:rPr>
          <w:rFonts w:ascii="Arial" w:hAnsi="Arial" w:cs="Arial"/>
          <w:sz w:val="24"/>
          <w:szCs w:val="24"/>
        </w:rPr>
        <w:t xml:space="preserve"> </w:t>
      </w:r>
      <w:r w:rsidR="00777436" w:rsidRPr="00464401">
        <w:rPr>
          <w:rFonts w:ascii="Arial" w:hAnsi="Arial" w:cs="Arial"/>
          <w:sz w:val="24"/>
          <w:szCs w:val="24"/>
        </w:rPr>
        <w:t xml:space="preserve">reasonable interpretation, </w:t>
      </w:r>
      <w:r w:rsidR="009A4B19" w:rsidRPr="00464401">
        <w:rPr>
          <w:rFonts w:ascii="Arial" w:hAnsi="Arial" w:cs="Arial"/>
          <w:sz w:val="24"/>
          <w:szCs w:val="24"/>
        </w:rPr>
        <w:t xml:space="preserve">the </w:t>
      </w:r>
      <w:r w:rsidR="000963BF" w:rsidRPr="00464401">
        <w:rPr>
          <w:rFonts w:ascii="Arial" w:hAnsi="Arial" w:cs="Arial"/>
          <w:sz w:val="24"/>
          <w:szCs w:val="24"/>
        </w:rPr>
        <w:t>pre-tri</w:t>
      </w:r>
      <w:r w:rsidR="00854BBD">
        <w:rPr>
          <w:rFonts w:ascii="Arial" w:hAnsi="Arial" w:cs="Arial"/>
          <w:sz w:val="24"/>
          <w:szCs w:val="24"/>
        </w:rPr>
        <w:t>a</w:t>
      </w:r>
      <w:r w:rsidR="000963BF" w:rsidRPr="00464401">
        <w:rPr>
          <w:rFonts w:ascii="Arial" w:hAnsi="Arial" w:cs="Arial"/>
          <w:sz w:val="24"/>
          <w:szCs w:val="24"/>
        </w:rPr>
        <w:t xml:space="preserve">l </w:t>
      </w:r>
      <w:r w:rsidR="00D13749" w:rsidRPr="00464401">
        <w:rPr>
          <w:rFonts w:ascii="Arial" w:hAnsi="Arial" w:cs="Arial"/>
          <w:sz w:val="24"/>
          <w:szCs w:val="24"/>
        </w:rPr>
        <w:t xml:space="preserve">order called upon the plaintiff to prove all the constituent elements of the enrichment claim. </w:t>
      </w:r>
    </w:p>
    <w:p w14:paraId="7F99F4BE" w14:textId="77777777" w:rsidR="00B33273" w:rsidRDefault="00B33273" w:rsidP="00E351D8">
      <w:pPr>
        <w:pStyle w:val="NoSpacing"/>
        <w:spacing w:line="480" w:lineRule="auto"/>
        <w:jc w:val="both"/>
        <w:rPr>
          <w:rFonts w:ascii="Arial" w:hAnsi="Arial" w:cs="Arial"/>
          <w:sz w:val="24"/>
          <w:szCs w:val="24"/>
        </w:rPr>
      </w:pPr>
    </w:p>
    <w:p w14:paraId="5EFAE8E8" w14:textId="3F3F53FD" w:rsidR="0087404B" w:rsidRDefault="00405B5B" w:rsidP="00E351D8">
      <w:pPr>
        <w:pStyle w:val="NoSpacing"/>
        <w:numPr>
          <w:ilvl w:val="0"/>
          <w:numId w:val="8"/>
        </w:numPr>
        <w:spacing w:line="480" w:lineRule="auto"/>
        <w:ind w:left="0" w:firstLine="0"/>
        <w:jc w:val="both"/>
        <w:rPr>
          <w:rFonts w:ascii="Arial" w:hAnsi="Arial" w:cs="Arial"/>
          <w:sz w:val="24"/>
          <w:szCs w:val="24"/>
        </w:rPr>
      </w:pPr>
      <w:r w:rsidRPr="00464401">
        <w:rPr>
          <w:rFonts w:ascii="Arial" w:hAnsi="Arial" w:cs="Arial"/>
          <w:sz w:val="24"/>
          <w:szCs w:val="24"/>
        </w:rPr>
        <w:t>It is apparent from its reasoning that the</w:t>
      </w:r>
      <w:r w:rsidR="00D13749" w:rsidRPr="00464401">
        <w:rPr>
          <w:rFonts w:ascii="Arial" w:hAnsi="Arial" w:cs="Arial"/>
          <w:sz w:val="24"/>
          <w:szCs w:val="24"/>
        </w:rPr>
        <w:t xml:space="preserve"> court </w:t>
      </w:r>
      <w:r w:rsidR="00D13749" w:rsidRPr="00464401">
        <w:rPr>
          <w:rFonts w:ascii="Arial" w:hAnsi="Arial" w:cs="Arial"/>
          <w:i/>
          <w:sz w:val="24"/>
          <w:szCs w:val="24"/>
        </w:rPr>
        <w:t>a quo</w:t>
      </w:r>
      <w:r w:rsidR="00D13749" w:rsidRPr="00464401">
        <w:rPr>
          <w:rFonts w:ascii="Arial" w:hAnsi="Arial" w:cs="Arial"/>
          <w:sz w:val="24"/>
          <w:szCs w:val="24"/>
        </w:rPr>
        <w:t xml:space="preserve"> </w:t>
      </w:r>
      <w:r w:rsidRPr="00464401">
        <w:rPr>
          <w:rFonts w:ascii="Arial" w:hAnsi="Arial" w:cs="Arial"/>
          <w:sz w:val="24"/>
          <w:szCs w:val="24"/>
        </w:rPr>
        <w:t xml:space="preserve">was </w:t>
      </w:r>
      <w:r w:rsidR="00D13749" w:rsidRPr="00464401">
        <w:rPr>
          <w:rFonts w:ascii="Arial" w:hAnsi="Arial" w:cs="Arial"/>
          <w:sz w:val="24"/>
          <w:szCs w:val="24"/>
        </w:rPr>
        <w:t xml:space="preserve">blind-sided by the defendants’ alternative defence that the moneys were paid </w:t>
      </w:r>
      <w:r w:rsidR="00053F5B" w:rsidRPr="00464401">
        <w:rPr>
          <w:rFonts w:ascii="Arial" w:hAnsi="Arial" w:cs="Arial"/>
          <w:sz w:val="24"/>
          <w:szCs w:val="24"/>
        </w:rPr>
        <w:t xml:space="preserve">to </w:t>
      </w:r>
      <w:r w:rsidR="00D13749" w:rsidRPr="00464401">
        <w:rPr>
          <w:rFonts w:ascii="Arial" w:hAnsi="Arial" w:cs="Arial"/>
          <w:sz w:val="24"/>
          <w:szCs w:val="24"/>
        </w:rPr>
        <w:t xml:space="preserve">them out of the plaintiff’s sheer </w:t>
      </w:r>
      <w:r w:rsidR="00053F5B" w:rsidRPr="00464401">
        <w:rPr>
          <w:rFonts w:ascii="Arial" w:hAnsi="Arial" w:cs="Arial"/>
          <w:sz w:val="24"/>
          <w:szCs w:val="24"/>
        </w:rPr>
        <w:t>altruism.</w:t>
      </w:r>
      <w:r w:rsidRPr="00464401">
        <w:rPr>
          <w:rFonts w:ascii="Arial" w:hAnsi="Arial" w:cs="Arial"/>
          <w:sz w:val="24"/>
          <w:szCs w:val="24"/>
        </w:rPr>
        <w:t xml:space="preserve"> Proving that t</w:t>
      </w:r>
      <w:r w:rsidR="003E03B6" w:rsidRPr="00464401">
        <w:rPr>
          <w:rFonts w:ascii="Arial" w:hAnsi="Arial" w:cs="Arial"/>
          <w:sz w:val="24"/>
          <w:szCs w:val="24"/>
        </w:rPr>
        <w:t xml:space="preserve">he money was not a donation did not translate into proof that the defendants were enriched at the plaintiff’s expense in the juridical sense. </w:t>
      </w:r>
    </w:p>
    <w:p w14:paraId="075D1E27" w14:textId="77777777" w:rsidR="00F879F2" w:rsidRPr="00B007B2" w:rsidRDefault="00F879F2" w:rsidP="00E351D8">
      <w:pPr>
        <w:pStyle w:val="NoSpacing"/>
        <w:spacing w:line="480" w:lineRule="auto"/>
        <w:jc w:val="both"/>
        <w:rPr>
          <w:rFonts w:ascii="Arial" w:hAnsi="Arial" w:cs="Arial"/>
          <w:sz w:val="24"/>
          <w:szCs w:val="24"/>
        </w:rPr>
      </w:pPr>
    </w:p>
    <w:p w14:paraId="5B8F6243" w14:textId="1A0FAD14" w:rsidR="00B02DC9" w:rsidRDefault="00B02DC9" w:rsidP="00E351D8">
      <w:pPr>
        <w:pStyle w:val="NoSpacing"/>
        <w:numPr>
          <w:ilvl w:val="0"/>
          <w:numId w:val="8"/>
        </w:numPr>
        <w:spacing w:line="480" w:lineRule="auto"/>
        <w:ind w:left="0" w:firstLine="0"/>
        <w:jc w:val="both"/>
        <w:rPr>
          <w:rFonts w:ascii="Arial" w:hAnsi="Arial" w:cs="Arial"/>
          <w:sz w:val="24"/>
          <w:szCs w:val="24"/>
        </w:rPr>
      </w:pPr>
      <w:r w:rsidRPr="00464401">
        <w:rPr>
          <w:rFonts w:ascii="Arial" w:hAnsi="Arial" w:cs="Arial"/>
          <w:sz w:val="24"/>
          <w:szCs w:val="24"/>
        </w:rPr>
        <w:lastRenderedPageBreak/>
        <w:t xml:space="preserve">The evidence that </w:t>
      </w:r>
      <w:r w:rsidR="00304992" w:rsidRPr="00464401">
        <w:rPr>
          <w:rFonts w:ascii="Arial" w:hAnsi="Arial" w:cs="Arial"/>
          <w:sz w:val="24"/>
          <w:szCs w:val="24"/>
        </w:rPr>
        <w:t xml:space="preserve">Mrs </w:t>
      </w:r>
      <w:r w:rsidR="006E2D54">
        <w:rPr>
          <w:rFonts w:ascii="Arial" w:hAnsi="Arial" w:cs="Arial"/>
          <w:sz w:val="24"/>
          <w:szCs w:val="24"/>
        </w:rPr>
        <w:t>Müller</w:t>
      </w:r>
      <w:r w:rsidR="00304992" w:rsidRPr="00464401">
        <w:rPr>
          <w:rFonts w:ascii="Arial" w:hAnsi="Arial" w:cs="Arial"/>
          <w:sz w:val="24"/>
          <w:szCs w:val="24"/>
        </w:rPr>
        <w:t xml:space="preserve"> </w:t>
      </w:r>
      <w:r w:rsidR="009457D5" w:rsidRPr="00464401">
        <w:rPr>
          <w:rFonts w:ascii="Arial" w:hAnsi="Arial" w:cs="Arial"/>
          <w:sz w:val="24"/>
          <w:szCs w:val="24"/>
        </w:rPr>
        <w:t>gave at the trial is crucial in this respect – evidence which ha</w:t>
      </w:r>
      <w:r w:rsidR="00E92383">
        <w:rPr>
          <w:rFonts w:ascii="Arial" w:hAnsi="Arial" w:cs="Arial"/>
          <w:sz w:val="24"/>
          <w:szCs w:val="24"/>
        </w:rPr>
        <w:t xml:space="preserve">d not and could only have been </w:t>
      </w:r>
      <w:r w:rsidR="009457D5" w:rsidRPr="00464401">
        <w:rPr>
          <w:rFonts w:ascii="Arial" w:hAnsi="Arial" w:cs="Arial"/>
          <w:sz w:val="24"/>
          <w:szCs w:val="24"/>
        </w:rPr>
        <w:t xml:space="preserve">contradicted by expert evidence. Mrs </w:t>
      </w:r>
      <w:r w:rsidR="006E2D54">
        <w:rPr>
          <w:rFonts w:ascii="Arial" w:hAnsi="Arial" w:cs="Arial"/>
          <w:sz w:val="24"/>
          <w:szCs w:val="24"/>
        </w:rPr>
        <w:t>Müller</w:t>
      </w:r>
      <w:r w:rsidR="009457D5" w:rsidRPr="00464401">
        <w:rPr>
          <w:rFonts w:ascii="Arial" w:hAnsi="Arial" w:cs="Arial"/>
          <w:sz w:val="24"/>
          <w:szCs w:val="24"/>
        </w:rPr>
        <w:t xml:space="preserve"> was asked </w:t>
      </w:r>
      <w:r w:rsidR="004E3EAB" w:rsidRPr="00464401">
        <w:rPr>
          <w:rFonts w:ascii="Arial" w:hAnsi="Arial" w:cs="Arial"/>
          <w:sz w:val="24"/>
          <w:szCs w:val="24"/>
        </w:rPr>
        <w:t xml:space="preserve">by the court </w:t>
      </w:r>
      <w:r w:rsidR="009457D5" w:rsidRPr="00464401">
        <w:rPr>
          <w:rFonts w:ascii="Arial" w:hAnsi="Arial" w:cs="Arial"/>
          <w:sz w:val="24"/>
          <w:szCs w:val="24"/>
        </w:rPr>
        <w:t xml:space="preserve">if the construction of the buildings on the farm enhanced its value. </w:t>
      </w:r>
    </w:p>
    <w:p w14:paraId="2948D941" w14:textId="77777777" w:rsidR="00EF25D7" w:rsidRDefault="00EF25D7" w:rsidP="00E351D8">
      <w:pPr>
        <w:pStyle w:val="NoSpacing"/>
        <w:spacing w:line="480" w:lineRule="auto"/>
        <w:jc w:val="both"/>
        <w:rPr>
          <w:rFonts w:ascii="Arial" w:hAnsi="Arial" w:cs="Arial"/>
          <w:sz w:val="24"/>
          <w:szCs w:val="24"/>
        </w:rPr>
      </w:pPr>
    </w:p>
    <w:p w14:paraId="4700EE0B" w14:textId="60D3BB06" w:rsidR="004E3EAB" w:rsidRPr="00EF25D7" w:rsidRDefault="009457D5" w:rsidP="00E351D8">
      <w:pPr>
        <w:pStyle w:val="NoSpacing"/>
        <w:numPr>
          <w:ilvl w:val="0"/>
          <w:numId w:val="8"/>
        </w:numPr>
        <w:spacing w:line="480" w:lineRule="auto"/>
        <w:ind w:left="0" w:firstLine="0"/>
        <w:jc w:val="both"/>
        <w:rPr>
          <w:rFonts w:ascii="Arial" w:hAnsi="Arial" w:cs="Arial"/>
          <w:sz w:val="24"/>
          <w:szCs w:val="24"/>
        </w:rPr>
      </w:pPr>
      <w:r w:rsidRPr="00EF25D7">
        <w:rPr>
          <w:rFonts w:ascii="Arial" w:hAnsi="Arial" w:cs="Arial"/>
          <w:sz w:val="24"/>
          <w:szCs w:val="24"/>
        </w:rPr>
        <w:t xml:space="preserve">The </w:t>
      </w:r>
      <w:r w:rsidR="00B02DC9" w:rsidRPr="00EF25D7">
        <w:rPr>
          <w:rFonts w:ascii="Arial" w:hAnsi="Arial" w:cs="Arial"/>
          <w:sz w:val="24"/>
          <w:szCs w:val="24"/>
        </w:rPr>
        <w:t>exchange between the court and the witness</w:t>
      </w:r>
      <w:r w:rsidRPr="00EF25D7">
        <w:rPr>
          <w:rFonts w:ascii="Arial" w:hAnsi="Arial" w:cs="Arial"/>
          <w:sz w:val="24"/>
          <w:szCs w:val="24"/>
        </w:rPr>
        <w:t xml:space="preserve"> went thus:</w:t>
      </w:r>
    </w:p>
    <w:p w14:paraId="13674EB0" w14:textId="77777777" w:rsidR="00464401" w:rsidRPr="00464401" w:rsidRDefault="00464401" w:rsidP="00E351D8">
      <w:pPr>
        <w:pStyle w:val="NoSpacing"/>
        <w:spacing w:line="480" w:lineRule="auto"/>
        <w:ind w:left="720"/>
        <w:jc w:val="both"/>
        <w:rPr>
          <w:rFonts w:ascii="Arial" w:hAnsi="Arial" w:cs="Arial"/>
          <w:sz w:val="24"/>
          <w:szCs w:val="24"/>
        </w:rPr>
      </w:pPr>
    </w:p>
    <w:p w14:paraId="2E055488" w14:textId="66BCC91B" w:rsidR="00CE3CCB" w:rsidRDefault="004E3EAB" w:rsidP="00F06237">
      <w:pPr>
        <w:spacing w:line="360" w:lineRule="auto"/>
        <w:ind w:left="720"/>
        <w:jc w:val="both"/>
        <w:rPr>
          <w:sz w:val="22"/>
        </w:rPr>
      </w:pPr>
      <w:r w:rsidRPr="004E3EAB">
        <w:rPr>
          <w:sz w:val="22"/>
        </w:rPr>
        <w:t>‘</w:t>
      </w:r>
      <w:r w:rsidR="00CE3CCB">
        <w:rPr>
          <w:sz w:val="22"/>
        </w:rPr>
        <w:t>Court:</w:t>
      </w:r>
      <w:r w:rsidR="00CE3CCB">
        <w:rPr>
          <w:sz w:val="22"/>
        </w:rPr>
        <w:tab/>
      </w:r>
      <w:r w:rsidRPr="004E3EAB">
        <w:rPr>
          <w:sz w:val="22"/>
        </w:rPr>
        <w:t>And you think that your, the property the farm has been enhanced in v</w:t>
      </w:r>
      <w:r w:rsidR="00F707B0">
        <w:rPr>
          <w:sz w:val="22"/>
        </w:rPr>
        <w:t>alue by structure in, of about i</w:t>
      </w:r>
      <w:r w:rsidRPr="004E3EAB">
        <w:rPr>
          <w:sz w:val="22"/>
        </w:rPr>
        <w:t xml:space="preserve">n </w:t>
      </w:r>
      <w:r w:rsidR="00F707B0">
        <w:rPr>
          <w:sz w:val="22"/>
        </w:rPr>
        <w:t>ex</w:t>
      </w:r>
      <w:r w:rsidRPr="004E3EAB">
        <w:rPr>
          <w:sz w:val="22"/>
        </w:rPr>
        <w:t xml:space="preserve">cess of 1.5 million. . . .  </w:t>
      </w:r>
    </w:p>
    <w:p w14:paraId="1DB9B821" w14:textId="77777777" w:rsidR="00CE3CCB" w:rsidRDefault="00CE3CCB" w:rsidP="00F06237">
      <w:pPr>
        <w:spacing w:line="360" w:lineRule="auto"/>
        <w:ind w:left="720"/>
        <w:jc w:val="both"/>
        <w:rPr>
          <w:sz w:val="22"/>
        </w:rPr>
      </w:pPr>
    </w:p>
    <w:p w14:paraId="33FC2859" w14:textId="1D88A1F3" w:rsidR="004E3EAB" w:rsidRDefault="004E3EAB" w:rsidP="00F06237">
      <w:pPr>
        <w:spacing w:line="360" w:lineRule="auto"/>
        <w:ind w:left="720"/>
        <w:jc w:val="both"/>
        <w:rPr>
          <w:sz w:val="22"/>
        </w:rPr>
      </w:pPr>
      <w:r w:rsidRPr="004E3EAB">
        <w:rPr>
          <w:sz w:val="22"/>
        </w:rPr>
        <w:t>No Your Lordship I do not think so.</w:t>
      </w:r>
    </w:p>
    <w:p w14:paraId="510D0F76" w14:textId="77777777" w:rsidR="00CE3CCB" w:rsidRPr="004E3EAB" w:rsidRDefault="00CE3CCB" w:rsidP="00F06237">
      <w:pPr>
        <w:spacing w:line="360" w:lineRule="auto"/>
        <w:ind w:left="720"/>
        <w:jc w:val="both"/>
        <w:rPr>
          <w:sz w:val="22"/>
        </w:rPr>
      </w:pPr>
    </w:p>
    <w:p w14:paraId="2AE0D2E6" w14:textId="77777777" w:rsidR="00CE3CCB" w:rsidRDefault="00CE3CCB" w:rsidP="00F06237">
      <w:pPr>
        <w:spacing w:line="360" w:lineRule="auto"/>
        <w:ind w:left="720"/>
        <w:jc w:val="both"/>
        <w:rPr>
          <w:sz w:val="22"/>
        </w:rPr>
      </w:pPr>
      <w:r>
        <w:rPr>
          <w:sz w:val="22"/>
        </w:rPr>
        <w:t>Court:</w:t>
      </w:r>
      <w:r>
        <w:rPr>
          <w:sz w:val="22"/>
        </w:rPr>
        <w:tab/>
      </w:r>
      <w:r w:rsidR="004E3EAB" w:rsidRPr="004E3EAB">
        <w:rPr>
          <w:sz w:val="22"/>
        </w:rPr>
        <w:t xml:space="preserve">I see, and why do you would you say something like that? . . . </w:t>
      </w:r>
    </w:p>
    <w:p w14:paraId="7D171374" w14:textId="77777777" w:rsidR="00CE3CCB" w:rsidRDefault="00CE3CCB" w:rsidP="00F06237">
      <w:pPr>
        <w:spacing w:line="360" w:lineRule="auto"/>
        <w:ind w:left="720"/>
        <w:jc w:val="both"/>
        <w:rPr>
          <w:sz w:val="22"/>
        </w:rPr>
      </w:pPr>
    </w:p>
    <w:p w14:paraId="7952576D" w14:textId="21F077D2" w:rsidR="00CE3CCB" w:rsidRDefault="004E3EAB" w:rsidP="00F06237">
      <w:pPr>
        <w:spacing w:line="360" w:lineRule="auto"/>
        <w:ind w:left="720"/>
        <w:jc w:val="both"/>
        <w:rPr>
          <w:sz w:val="22"/>
        </w:rPr>
      </w:pPr>
      <w:r w:rsidRPr="004E3EAB">
        <w:rPr>
          <w:sz w:val="22"/>
        </w:rPr>
        <w:t>Your Lordship, we are on the farm it is an agriculture value and an</w:t>
      </w:r>
      <w:r w:rsidR="00F707B0">
        <w:rPr>
          <w:sz w:val="22"/>
        </w:rPr>
        <w:t xml:space="preserve"> economical value and houses do</w:t>
      </w:r>
      <w:r w:rsidRPr="004E3EAB">
        <w:rPr>
          <w:sz w:val="22"/>
        </w:rPr>
        <w:t xml:space="preserve"> not do not fall unto economical or agriculture value Your Lordship. </w:t>
      </w:r>
    </w:p>
    <w:p w14:paraId="43F6BE5C" w14:textId="77777777" w:rsidR="00CE3CCB" w:rsidRDefault="00CE3CCB" w:rsidP="00F06237">
      <w:pPr>
        <w:spacing w:line="360" w:lineRule="auto"/>
        <w:ind w:left="720"/>
        <w:jc w:val="both"/>
        <w:rPr>
          <w:sz w:val="22"/>
        </w:rPr>
      </w:pPr>
    </w:p>
    <w:p w14:paraId="4796C41F" w14:textId="77777777" w:rsidR="00CE3CCB" w:rsidRDefault="00CE3CCB" w:rsidP="00F06237">
      <w:pPr>
        <w:spacing w:line="360" w:lineRule="auto"/>
        <w:ind w:left="720"/>
        <w:jc w:val="both"/>
        <w:rPr>
          <w:sz w:val="22"/>
        </w:rPr>
      </w:pPr>
      <w:r>
        <w:rPr>
          <w:sz w:val="22"/>
        </w:rPr>
        <w:t xml:space="preserve">Court: </w:t>
      </w:r>
      <w:r w:rsidR="004E3EAB" w:rsidRPr="004E3EAB">
        <w:rPr>
          <w:sz w:val="22"/>
        </w:rPr>
        <w:t xml:space="preserve">If I have somebody come there to evaluate they, they do not want to see the houses. They want to see the infrastructure of the farm how many water holes, how many (indistinct), how many fences, how many camps. </w:t>
      </w:r>
    </w:p>
    <w:p w14:paraId="4A8A7069" w14:textId="77777777" w:rsidR="00CE3CCB" w:rsidRDefault="00CE3CCB" w:rsidP="00F06237">
      <w:pPr>
        <w:spacing w:line="360" w:lineRule="auto"/>
        <w:ind w:left="720"/>
        <w:jc w:val="both"/>
        <w:rPr>
          <w:sz w:val="22"/>
        </w:rPr>
      </w:pPr>
    </w:p>
    <w:p w14:paraId="29EC79A4" w14:textId="7DEEBB0A" w:rsidR="004E3EAB" w:rsidRPr="004E3EAB" w:rsidRDefault="004E3EAB" w:rsidP="00F06237">
      <w:pPr>
        <w:spacing w:line="360" w:lineRule="auto"/>
        <w:ind w:left="720"/>
        <w:jc w:val="both"/>
        <w:rPr>
          <w:sz w:val="22"/>
        </w:rPr>
      </w:pPr>
      <w:r w:rsidRPr="004E3EAB">
        <w:rPr>
          <w:sz w:val="22"/>
        </w:rPr>
        <w:t>That is what they are looking for Your Lordship, I agree with you if this building or even a bigger and more impressive building and even an Olympic pool if you want to (indistinct) has been built on our farm, still it would not (indistinct). But if I had the same building Your Lordship here in Windhoek yes, yes it will put a lot of value.</w:t>
      </w:r>
    </w:p>
    <w:p w14:paraId="3C0736B3" w14:textId="77777777" w:rsidR="00CE3CCB" w:rsidRDefault="00CE3CCB" w:rsidP="00F06237">
      <w:pPr>
        <w:spacing w:line="360" w:lineRule="auto"/>
        <w:ind w:left="720"/>
        <w:jc w:val="both"/>
        <w:rPr>
          <w:sz w:val="22"/>
        </w:rPr>
      </w:pPr>
    </w:p>
    <w:p w14:paraId="08A58C10" w14:textId="5EA75320" w:rsidR="00CE3CCB" w:rsidRDefault="00CE3CCB" w:rsidP="00CE3CCB">
      <w:pPr>
        <w:spacing w:line="360" w:lineRule="auto"/>
        <w:ind w:left="720"/>
        <w:jc w:val="both"/>
        <w:rPr>
          <w:sz w:val="22"/>
        </w:rPr>
      </w:pPr>
      <w:r>
        <w:rPr>
          <w:sz w:val="22"/>
        </w:rPr>
        <w:t xml:space="preserve">Court: </w:t>
      </w:r>
      <w:r w:rsidR="004E3EAB" w:rsidRPr="004E3EAB">
        <w:rPr>
          <w:sz w:val="22"/>
        </w:rPr>
        <w:t>I see</w:t>
      </w:r>
      <w:r w:rsidR="00A22E7C">
        <w:rPr>
          <w:sz w:val="22"/>
        </w:rPr>
        <w:t xml:space="preserve"> </w:t>
      </w:r>
      <w:r w:rsidR="004E3EAB" w:rsidRPr="004E3EAB">
        <w:rPr>
          <w:sz w:val="22"/>
        </w:rPr>
        <w:t>. . . But not on the farm.</w:t>
      </w:r>
      <w:r>
        <w:rPr>
          <w:sz w:val="22"/>
        </w:rPr>
        <w:t xml:space="preserve"> </w:t>
      </w:r>
      <w:r w:rsidR="004E3EAB" w:rsidRPr="004E3EAB">
        <w:rPr>
          <w:sz w:val="22"/>
        </w:rPr>
        <w:t xml:space="preserve">So when one sees adverts in the newspaper that a piece of agricultural land is for sale and lists the boreholes and it lists the camps and the type of fencing and the like, it is not it becomes irrelevant whether it has a dwelling on that piece of agricultural land or not? . . . </w:t>
      </w:r>
    </w:p>
    <w:p w14:paraId="22D1F2DE" w14:textId="77777777" w:rsidR="00CE3CCB" w:rsidRDefault="00CE3CCB" w:rsidP="00CE3CCB">
      <w:pPr>
        <w:spacing w:line="360" w:lineRule="auto"/>
        <w:ind w:left="720"/>
        <w:jc w:val="both"/>
        <w:rPr>
          <w:sz w:val="22"/>
        </w:rPr>
      </w:pPr>
    </w:p>
    <w:p w14:paraId="5ECCB9AE" w14:textId="51FAEFE5" w:rsidR="004E3EAB" w:rsidRPr="004E3EAB" w:rsidRDefault="004E3EAB" w:rsidP="00CE3CCB">
      <w:pPr>
        <w:spacing w:line="360" w:lineRule="auto"/>
        <w:ind w:left="720"/>
        <w:jc w:val="both"/>
        <w:rPr>
          <w:sz w:val="22"/>
        </w:rPr>
      </w:pPr>
      <w:r w:rsidRPr="004E3EAB">
        <w:rPr>
          <w:sz w:val="22"/>
        </w:rPr>
        <w:t>Your Lordship I maybe you are misunderstood me I do not say that the dwelling is irrelevant. But what they do (intervention).</w:t>
      </w:r>
    </w:p>
    <w:p w14:paraId="5E3D115A" w14:textId="77777777" w:rsidR="00CE3CCB" w:rsidRDefault="00CE3CCB" w:rsidP="00F06237">
      <w:pPr>
        <w:spacing w:line="360" w:lineRule="auto"/>
        <w:ind w:left="720"/>
        <w:jc w:val="both"/>
        <w:rPr>
          <w:sz w:val="22"/>
        </w:rPr>
      </w:pPr>
      <w:r>
        <w:rPr>
          <w:sz w:val="22"/>
        </w:rPr>
        <w:lastRenderedPageBreak/>
        <w:t xml:space="preserve">Court: </w:t>
      </w:r>
      <w:r w:rsidR="004E3EAB" w:rsidRPr="004E3EAB">
        <w:rPr>
          <w:sz w:val="22"/>
        </w:rPr>
        <w:t xml:space="preserve">You must have many dwellings by the way? . . . </w:t>
      </w:r>
    </w:p>
    <w:p w14:paraId="1E6ED686" w14:textId="77777777" w:rsidR="00CE3CCB" w:rsidRDefault="00CE3CCB" w:rsidP="00F06237">
      <w:pPr>
        <w:spacing w:line="360" w:lineRule="auto"/>
        <w:ind w:left="720"/>
        <w:jc w:val="both"/>
        <w:rPr>
          <w:sz w:val="22"/>
        </w:rPr>
      </w:pPr>
    </w:p>
    <w:p w14:paraId="36E61BBF" w14:textId="77777777" w:rsidR="00CE3CCB" w:rsidRDefault="004E3EAB" w:rsidP="00F06237">
      <w:pPr>
        <w:spacing w:line="360" w:lineRule="auto"/>
        <w:ind w:left="720"/>
        <w:jc w:val="both"/>
        <w:rPr>
          <w:sz w:val="22"/>
        </w:rPr>
      </w:pPr>
      <w:r w:rsidRPr="004E3EAB">
        <w:rPr>
          <w:sz w:val="22"/>
        </w:rPr>
        <w:t xml:space="preserve">We have many dwellings </w:t>
      </w:r>
    </w:p>
    <w:p w14:paraId="42690E3C" w14:textId="77777777" w:rsidR="00CE3CCB" w:rsidRDefault="00CE3CCB" w:rsidP="00F06237">
      <w:pPr>
        <w:spacing w:line="360" w:lineRule="auto"/>
        <w:ind w:left="720"/>
        <w:jc w:val="both"/>
        <w:rPr>
          <w:sz w:val="22"/>
        </w:rPr>
      </w:pPr>
    </w:p>
    <w:p w14:paraId="4085F1BD" w14:textId="096D687D" w:rsidR="00CE3CCB" w:rsidRDefault="00CE3CCB" w:rsidP="00F06237">
      <w:pPr>
        <w:spacing w:line="360" w:lineRule="auto"/>
        <w:ind w:left="720"/>
        <w:jc w:val="both"/>
        <w:rPr>
          <w:sz w:val="22"/>
        </w:rPr>
      </w:pPr>
      <w:r>
        <w:rPr>
          <w:sz w:val="22"/>
        </w:rPr>
        <w:t xml:space="preserve">Court: </w:t>
      </w:r>
      <w:r w:rsidR="00CE05B0">
        <w:rPr>
          <w:sz w:val="22"/>
        </w:rPr>
        <w:t>A</w:t>
      </w:r>
      <w:r w:rsidR="004E3EAB" w:rsidRPr="004E3EAB">
        <w:rPr>
          <w:sz w:val="22"/>
        </w:rPr>
        <w:t xml:space="preserve">nd that does not matter to, to when I want for example to sell my farm or to have and it evaluated for some reasons maybe for the bank or for something and they come to evaluate and to have a look. </w:t>
      </w:r>
    </w:p>
    <w:p w14:paraId="7229E45B" w14:textId="77777777" w:rsidR="00CE3CCB" w:rsidRDefault="00CE3CCB" w:rsidP="00F06237">
      <w:pPr>
        <w:spacing w:line="360" w:lineRule="auto"/>
        <w:ind w:left="720"/>
        <w:jc w:val="both"/>
        <w:rPr>
          <w:sz w:val="22"/>
        </w:rPr>
      </w:pPr>
    </w:p>
    <w:p w14:paraId="59AD5EA7" w14:textId="6D97C33D" w:rsidR="004E3EAB" w:rsidRDefault="004E3EAB" w:rsidP="00F06237">
      <w:pPr>
        <w:spacing w:line="360" w:lineRule="auto"/>
        <w:ind w:left="720"/>
        <w:jc w:val="both"/>
        <w:rPr>
          <w:sz w:val="22"/>
        </w:rPr>
      </w:pPr>
      <w:r w:rsidRPr="004E3EAB">
        <w:rPr>
          <w:sz w:val="22"/>
        </w:rPr>
        <w:t>They do not bother about how and how big the dwellings are Your Lordship.</w:t>
      </w:r>
    </w:p>
    <w:p w14:paraId="1D288795" w14:textId="77777777" w:rsidR="00CE3CCB" w:rsidRPr="004E3EAB" w:rsidRDefault="00CE3CCB" w:rsidP="00F06237">
      <w:pPr>
        <w:spacing w:line="360" w:lineRule="auto"/>
        <w:ind w:left="720"/>
        <w:jc w:val="both"/>
        <w:rPr>
          <w:sz w:val="22"/>
        </w:rPr>
      </w:pPr>
    </w:p>
    <w:p w14:paraId="09B20A1B" w14:textId="77777777" w:rsidR="00CE3CCB" w:rsidRDefault="00CE3CCB" w:rsidP="00F06237">
      <w:pPr>
        <w:spacing w:line="360" w:lineRule="auto"/>
        <w:ind w:left="720"/>
        <w:jc w:val="both"/>
        <w:rPr>
          <w:sz w:val="22"/>
        </w:rPr>
      </w:pPr>
      <w:r>
        <w:rPr>
          <w:sz w:val="22"/>
        </w:rPr>
        <w:t>Court:</w:t>
      </w:r>
      <w:r>
        <w:rPr>
          <w:sz w:val="22"/>
        </w:rPr>
        <w:tab/>
      </w:r>
      <w:r w:rsidR="004E3EAB" w:rsidRPr="004E3EAB">
        <w:rPr>
          <w:sz w:val="22"/>
        </w:rPr>
        <w:t xml:space="preserve">You mean it is irrelevant whether you have hunting bungalows on your farm, whether you can offer your farm for sale as a hunting operation, whether you are going to offer it as says but this is a piece of agricultural land that suitable for commercial hunting activities. You mean all that is irrelevant? . . </w:t>
      </w:r>
      <w:r w:rsidR="00FC27B0">
        <w:rPr>
          <w:sz w:val="22"/>
        </w:rPr>
        <w:t xml:space="preserve">. </w:t>
      </w:r>
    </w:p>
    <w:p w14:paraId="7253CC70" w14:textId="77777777" w:rsidR="00CE3CCB" w:rsidRDefault="00CE3CCB" w:rsidP="00F06237">
      <w:pPr>
        <w:spacing w:line="360" w:lineRule="auto"/>
        <w:ind w:left="720"/>
        <w:jc w:val="both"/>
        <w:rPr>
          <w:sz w:val="22"/>
        </w:rPr>
      </w:pPr>
    </w:p>
    <w:p w14:paraId="21D26D73" w14:textId="0E3A6C27" w:rsidR="004E3EAB" w:rsidRDefault="00FC27B0" w:rsidP="00F06237">
      <w:pPr>
        <w:spacing w:line="360" w:lineRule="auto"/>
        <w:ind w:left="720"/>
        <w:jc w:val="both"/>
        <w:rPr>
          <w:sz w:val="22"/>
        </w:rPr>
      </w:pPr>
      <w:r>
        <w:rPr>
          <w:sz w:val="22"/>
        </w:rPr>
        <w:t>Your Lordship (intervention).</w:t>
      </w:r>
    </w:p>
    <w:p w14:paraId="104A6F7D" w14:textId="77777777" w:rsidR="00FC27B0" w:rsidRPr="004E3EAB" w:rsidRDefault="00FC27B0" w:rsidP="00F06237">
      <w:pPr>
        <w:spacing w:line="360" w:lineRule="auto"/>
        <w:ind w:left="720"/>
        <w:jc w:val="both"/>
        <w:rPr>
          <w:sz w:val="22"/>
        </w:rPr>
      </w:pPr>
    </w:p>
    <w:p w14:paraId="29A339E9" w14:textId="674E5519" w:rsidR="00CE3CCB" w:rsidRDefault="00CE3CCB" w:rsidP="00F06237">
      <w:pPr>
        <w:spacing w:line="360" w:lineRule="auto"/>
        <w:ind w:left="720"/>
        <w:jc w:val="both"/>
        <w:rPr>
          <w:sz w:val="22"/>
        </w:rPr>
      </w:pPr>
      <w:r>
        <w:rPr>
          <w:sz w:val="22"/>
        </w:rPr>
        <w:t xml:space="preserve">Court: </w:t>
      </w:r>
      <w:r w:rsidR="00CE05B0">
        <w:rPr>
          <w:sz w:val="22"/>
        </w:rPr>
        <w:t>A</w:t>
      </w:r>
      <w:r w:rsidR="004E3EAB" w:rsidRPr="004E3EAB">
        <w:rPr>
          <w:sz w:val="22"/>
        </w:rPr>
        <w:t xml:space="preserve">nd, and any evaluator will only look at the agricultural value of the land. And everything else becomes irrelevant and does not impact on any evaluation? . . . </w:t>
      </w:r>
    </w:p>
    <w:p w14:paraId="47C38A47" w14:textId="77777777" w:rsidR="00CE3CCB" w:rsidRDefault="00CE3CCB" w:rsidP="00F06237">
      <w:pPr>
        <w:spacing w:line="360" w:lineRule="auto"/>
        <w:ind w:left="720"/>
        <w:jc w:val="both"/>
        <w:rPr>
          <w:sz w:val="22"/>
        </w:rPr>
      </w:pPr>
    </w:p>
    <w:p w14:paraId="26D840F8" w14:textId="75F15E82" w:rsidR="004E3EAB" w:rsidRDefault="004E3EAB" w:rsidP="00F06237">
      <w:pPr>
        <w:spacing w:line="360" w:lineRule="auto"/>
        <w:ind w:left="720"/>
        <w:jc w:val="both"/>
        <w:rPr>
          <w:sz w:val="22"/>
        </w:rPr>
      </w:pPr>
      <w:r w:rsidRPr="004E3EAB">
        <w:rPr>
          <w:sz w:val="22"/>
        </w:rPr>
        <w:t>Yes Your Lordship, because I have had an evaluator there and I wanted to show him all the buildings and I do not want to see it let us go to (indistinct). They want to see if it is for hunting if I would sell it for hunting, they want to see how much grass do I have, how much water do I have. Do I have animals on that? And I do not know also so much about the advertising but I can remember I saw once an advertising where they said there are so many kudus, there are so many whatever elephant, giraffes whatever that is important Your Lordship.</w:t>
      </w:r>
    </w:p>
    <w:p w14:paraId="339C92BF" w14:textId="77777777" w:rsidR="00CE3CCB" w:rsidRPr="004E3EAB" w:rsidRDefault="00CE3CCB" w:rsidP="00F06237">
      <w:pPr>
        <w:spacing w:line="360" w:lineRule="auto"/>
        <w:ind w:left="720"/>
        <w:jc w:val="both"/>
        <w:rPr>
          <w:sz w:val="22"/>
        </w:rPr>
      </w:pPr>
    </w:p>
    <w:p w14:paraId="27FDC213" w14:textId="77777777" w:rsidR="00CE3CCB" w:rsidRDefault="00CE3CCB" w:rsidP="00F06237">
      <w:pPr>
        <w:spacing w:line="360" w:lineRule="auto"/>
        <w:ind w:left="720"/>
        <w:jc w:val="both"/>
        <w:rPr>
          <w:sz w:val="22"/>
        </w:rPr>
      </w:pPr>
      <w:r>
        <w:rPr>
          <w:sz w:val="22"/>
        </w:rPr>
        <w:t>Court:</w:t>
      </w:r>
      <w:r>
        <w:rPr>
          <w:sz w:val="22"/>
        </w:rPr>
        <w:tab/>
      </w:r>
      <w:r w:rsidR="004E3EAB" w:rsidRPr="004E3EAB">
        <w:rPr>
          <w:sz w:val="22"/>
        </w:rPr>
        <w:t xml:space="preserve">No but you know that game has commercial value the evidence before this Court has shown that? . . . </w:t>
      </w:r>
    </w:p>
    <w:p w14:paraId="3F8414EC" w14:textId="77777777" w:rsidR="00CE3CCB" w:rsidRDefault="00CE3CCB" w:rsidP="00F06237">
      <w:pPr>
        <w:spacing w:line="360" w:lineRule="auto"/>
        <w:ind w:left="720"/>
        <w:jc w:val="both"/>
        <w:rPr>
          <w:sz w:val="22"/>
        </w:rPr>
      </w:pPr>
    </w:p>
    <w:p w14:paraId="51413EFD" w14:textId="4D0B2480" w:rsidR="004E3EAB" w:rsidRPr="004E3EAB" w:rsidRDefault="004E3EAB" w:rsidP="00F06237">
      <w:pPr>
        <w:spacing w:line="360" w:lineRule="auto"/>
        <w:ind w:left="720"/>
        <w:jc w:val="both"/>
        <w:rPr>
          <w:sz w:val="22"/>
        </w:rPr>
      </w:pPr>
      <w:r w:rsidRPr="004E3EAB">
        <w:rPr>
          <w:sz w:val="22"/>
        </w:rPr>
        <w:t>That is so.</w:t>
      </w:r>
    </w:p>
    <w:p w14:paraId="4F1A4208" w14:textId="77777777" w:rsidR="004E3EAB" w:rsidRPr="004E3EAB" w:rsidRDefault="004E3EAB" w:rsidP="00F06237">
      <w:pPr>
        <w:spacing w:line="360" w:lineRule="auto"/>
        <w:ind w:left="720"/>
        <w:jc w:val="both"/>
        <w:rPr>
          <w:sz w:val="22"/>
        </w:rPr>
      </w:pPr>
    </w:p>
    <w:p w14:paraId="0A1315C2" w14:textId="77777777" w:rsidR="00CE3CCB" w:rsidRDefault="00CE3CCB" w:rsidP="00F06237">
      <w:pPr>
        <w:spacing w:line="360" w:lineRule="auto"/>
        <w:ind w:left="720"/>
        <w:jc w:val="both"/>
        <w:rPr>
          <w:sz w:val="22"/>
        </w:rPr>
      </w:pPr>
      <w:r>
        <w:rPr>
          <w:sz w:val="22"/>
        </w:rPr>
        <w:t xml:space="preserve">Court: </w:t>
      </w:r>
      <w:r w:rsidR="004E3EAB" w:rsidRPr="004E3EAB">
        <w:rPr>
          <w:sz w:val="22"/>
        </w:rPr>
        <w:t xml:space="preserve">Is that not so? . . . </w:t>
      </w:r>
    </w:p>
    <w:p w14:paraId="598B141E" w14:textId="77777777" w:rsidR="00CE3CCB" w:rsidRDefault="00CE3CCB" w:rsidP="00F06237">
      <w:pPr>
        <w:spacing w:line="360" w:lineRule="auto"/>
        <w:ind w:left="720"/>
        <w:jc w:val="both"/>
        <w:rPr>
          <w:sz w:val="22"/>
        </w:rPr>
      </w:pPr>
    </w:p>
    <w:p w14:paraId="3D6409BE" w14:textId="1936774A" w:rsidR="004E3EAB" w:rsidRPr="004E3EAB" w:rsidRDefault="004E3EAB" w:rsidP="00F06237">
      <w:pPr>
        <w:spacing w:line="360" w:lineRule="auto"/>
        <w:ind w:left="720"/>
        <w:jc w:val="both"/>
        <w:rPr>
          <w:sz w:val="22"/>
        </w:rPr>
      </w:pPr>
      <w:r w:rsidRPr="004E3EAB">
        <w:rPr>
          <w:sz w:val="22"/>
        </w:rPr>
        <w:t>Yah.</w:t>
      </w:r>
    </w:p>
    <w:p w14:paraId="60DA6777" w14:textId="12ADC838" w:rsidR="004E3EAB" w:rsidRDefault="00CE3CCB" w:rsidP="00F06237">
      <w:pPr>
        <w:spacing w:line="360" w:lineRule="auto"/>
        <w:ind w:left="720"/>
        <w:jc w:val="both"/>
        <w:rPr>
          <w:sz w:val="22"/>
        </w:rPr>
      </w:pPr>
      <w:r>
        <w:rPr>
          <w:sz w:val="22"/>
        </w:rPr>
        <w:lastRenderedPageBreak/>
        <w:t>Court:</w:t>
      </w:r>
      <w:r>
        <w:rPr>
          <w:sz w:val="22"/>
        </w:rPr>
        <w:tab/>
      </w:r>
      <w:r w:rsidR="004E3EAB" w:rsidRPr="004E3EAB">
        <w:rPr>
          <w:sz w:val="22"/>
        </w:rPr>
        <w:t xml:space="preserve">Otherwise the animals that were purchased would not have costs such a lot of </w:t>
      </w:r>
      <w:r w:rsidR="00F11B0C">
        <w:rPr>
          <w:sz w:val="22"/>
        </w:rPr>
        <w:t>E</w:t>
      </w:r>
      <w:r w:rsidR="004E3EAB" w:rsidRPr="004E3EAB">
        <w:rPr>
          <w:sz w:val="22"/>
        </w:rPr>
        <w:t>uros. . . .  That is true they have a value the animals.</w:t>
      </w:r>
    </w:p>
    <w:p w14:paraId="123BD7B2" w14:textId="77777777" w:rsidR="00CE3CCB" w:rsidRPr="004E3EAB" w:rsidRDefault="00CE3CCB" w:rsidP="00F06237">
      <w:pPr>
        <w:spacing w:line="360" w:lineRule="auto"/>
        <w:ind w:left="720"/>
        <w:jc w:val="both"/>
        <w:rPr>
          <w:sz w:val="22"/>
        </w:rPr>
      </w:pPr>
    </w:p>
    <w:p w14:paraId="26365065" w14:textId="33D57E5B" w:rsidR="004E3EAB" w:rsidRPr="004E3EAB" w:rsidRDefault="004E3EAB" w:rsidP="00F06237">
      <w:pPr>
        <w:spacing w:line="360" w:lineRule="auto"/>
        <w:ind w:left="720"/>
        <w:jc w:val="both"/>
        <w:rPr>
          <w:sz w:val="22"/>
        </w:rPr>
      </w:pPr>
      <w:r w:rsidRPr="004E3EAB">
        <w:rPr>
          <w:sz w:val="22"/>
        </w:rPr>
        <w:t>Yes. . . . But not the (indistinct).</w:t>
      </w:r>
    </w:p>
    <w:p w14:paraId="1CCE766C" w14:textId="77777777" w:rsidR="00CE3CCB" w:rsidRDefault="00CE3CCB" w:rsidP="00F06237">
      <w:pPr>
        <w:spacing w:line="360" w:lineRule="auto"/>
        <w:ind w:left="720"/>
        <w:jc w:val="both"/>
        <w:rPr>
          <w:sz w:val="22"/>
        </w:rPr>
      </w:pPr>
    </w:p>
    <w:p w14:paraId="303FEE3A" w14:textId="77777777" w:rsidR="00CE3CCB" w:rsidRDefault="00CE3CCB" w:rsidP="00F06237">
      <w:pPr>
        <w:spacing w:line="360" w:lineRule="auto"/>
        <w:ind w:left="720"/>
        <w:jc w:val="both"/>
        <w:rPr>
          <w:sz w:val="22"/>
        </w:rPr>
      </w:pPr>
      <w:r>
        <w:rPr>
          <w:sz w:val="22"/>
        </w:rPr>
        <w:t>Court:</w:t>
      </w:r>
      <w:r>
        <w:rPr>
          <w:sz w:val="22"/>
        </w:rPr>
        <w:tab/>
      </w:r>
      <w:r w:rsidR="004E3EAB" w:rsidRPr="004E3EAB">
        <w:rPr>
          <w:sz w:val="22"/>
        </w:rPr>
        <w:t xml:space="preserve">So they are obviously being taken into account as far as the evaluation is concerned or? . . . If they  do evaluation </w:t>
      </w:r>
    </w:p>
    <w:p w14:paraId="4C07B513" w14:textId="77777777" w:rsidR="00CE3CCB" w:rsidRDefault="00CE3CCB" w:rsidP="00F06237">
      <w:pPr>
        <w:spacing w:line="360" w:lineRule="auto"/>
        <w:ind w:left="720"/>
        <w:jc w:val="both"/>
        <w:rPr>
          <w:sz w:val="22"/>
        </w:rPr>
      </w:pPr>
    </w:p>
    <w:p w14:paraId="608BE713" w14:textId="1FA3051C" w:rsidR="004E3EAB" w:rsidRDefault="004E3EAB" w:rsidP="00F06237">
      <w:pPr>
        <w:spacing w:line="360" w:lineRule="auto"/>
        <w:ind w:left="720"/>
        <w:jc w:val="both"/>
        <w:rPr>
          <w:sz w:val="22"/>
        </w:rPr>
      </w:pPr>
      <w:r w:rsidRPr="004E3EAB">
        <w:rPr>
          <w:sz w:val="22"/>
        </w:rPr>
        <w:t>Your Lordship for the agricultural land and the economical value I do not even know if they would count the animals.</w:t>
      </w:r>
    </w:p>
    <w:p w14:paraId="5EBA72B1" w14:textId="77777777" w:rsidR="00CE3CCB" w:rsidRPr="004E3EAB" w:rsidRDefault="00CE3CCB" w:rsidP="00F06237">
      <w:pPr>
        <w:spacing w:line="360" w:lineRule="auto"/>
        <w:ind w:left="720"/>
        <w:jc w:val="both"/>
        <w:rPr>
          <w:sz w:val="22"/>
        </w:rPr>
      </w:pPr>
    </w:p>
    <w:p w14:paraId="7084FB49" w14:textId="77777777" w:rsidR="00CE3CCB" w:rsidRDefault="00CE3CCB" w:rsidP="00F06237">
      <w:pPr>
        <w:spacing w:line="360" w:lineRule="auto"/>
        <w:ind w:left="720"/>
        <w:jc w:val="both"/>
        <w:rPr>
          <w:sz w:val="22"/>
        </w:rPr>
      </w:pPr>
      <w:r>
        <w:rPr>
          <w:sz w:val="22"/>
        </w:rPr>
        <w:t xml:space="preserve">Court: </w:t>
      </w:r>
      <w:r w:rsidR="004E3EAB" w:rsidRPr="004E3EAB">
        <w:rPr>
          <w:sz w:val="22"/>
        </w:rPr>
        <w:t xml:space="preserve">I see. . . . They look at the infrastructure </w:t>
      </w:r>
    </w:p>
    <w:p w14:paraId="495E42F5" w14:textId="77777777" w:rsidR="00CE3CCB" w:rsidRDefault="00CE3CCB" w:rsidP="00F06237">
      <w:pPr>
        <w:spacing w:line="360" w:lineRule="auto"/>
        <w:ind w:left="720"/>
        <w:jc w:val="both"/>
        <w:rPr>
          <w:sz w:val="22"/>
        </w:rPr>
      </w:pPr>
    </w:p>
    <w:p w14:paraId="378F1276" w14:textId="38A91382" w:rsidR="004E3EAB" w:rsidRPr="004E3EAB" w:rsidRDefault="004E3EAB" w:rsidP="00F06237">
      <w:pPr>
        <w:spacing w:line="360" w:lineRule="auto"/>
        <w:ind w:left="720"/>
        <w:jc w:val="both"/>
        <w:rPr>
          <w:sz w:val="22"/>
        </w:rPr>
      </w:pPr>
      <w:r w:rsidRPr="004E3EAB">
        <w:rPr>
          <w:sz w:val="22"/>
        </w:rPr>
        <w:t>Your Lordship and it does not matter how big and your how nice and beautiful your houses are and if you have golden taps and whatever (indistinct).</w:t>
      </w:r>
    </w:p>
    <w:p w14:paraId="403B9DF3" w14:textId="77777777" w:rsidR="00CE3CCB" w:rsidRDefault="00CE3CCB" w:rsidP="00F06237">
      <w:pPr>
        <w:spacing w:line="360" w:lineRule="auto"/>
        <w:ind w:left="720"/>
        <w:jc w:val="both"/>
        <w:rPr>
          <w:sz w:val="22"/>
        </w:rPr>
      </w:pPr>
    </w:p>
    <w:p w14:paraId="06C3FB08" w14:textId="27041823" w:rsidR="004E3EAB" w:rsidRDefault="00CE3CCB" w:rsidP="00F06237">
      <w:pPr>
        <w:spacing w:line="360" w:lineRule="auto"/>
        <w:ind w:left="720"/>
        <w:jc w:val="both"/>
        <w:rPr>
          <w:sz w:val="22"/>
        </w:rPr>
      </w:pPr>
      <w:r>
        <w:rPr>
          <w:sz w:val="22"/>
        </w:rPr>
        <w:t xml:space="preserve">Court: </w:t>
      </w:r>
      <w:r w:rsidR="004E3EAB" w:rsidRPr="004E3EAB">
        <w:rPr>
          <w:sz w:val="22"/>
        </w:rPr>
        <w:t>So your farm must be a bargain?’</w:t>
      </w:r>
    </w:p>
    <w:p w14:paraId="7EB54538" w14:textId="77777777" w:rsidR="00464401" w:rsidRPr="00464401" w:rsidRDefault="00464401" w:rsidP="00E351D8">
      <w:pPr>
        <w:spacing w:line="480" w:lineRule="auto"/>
        <w:jc w:val="both"/>
        <w:rPr>
          <w:rFonts w:cs="Arial"/>
          <w:szCs w:val="24"/>
        </w:rPr>
      </w:pPr>
    </w:p>
    <w:p w14:paraId="3ADE6B21" w14:textId="77777777" w:rsidR="00FC032F" w:rsidRDefault="004E3EAB" w:rsidP="00FC032F">
      <w:pPr>
        <w:pStyle w:val="NoSpacing"/>
        <w:numPr>
          <w:ilvl w:val="0"/>
          <w:numId w:val="8"/>
        </w:numPr>
        <w:spacing w:line="480" w:lineRule="auto"/>
        <w:ind w:left="0" w:firstLine="0"/>
        <w:jc w:val="both"/>
        <w:rPr>
          <w:rFonts w:ascii="Arial" w:hAnsi="Arial" w:cs="Arial"/>
          <w:sz w:val="24"/>
          <w:szCs w:val="24"/>
        </w:rPr>
      </w:pPr>
      <w:r w:rsidRPr="00464401">
        <w:rPr>
          <w:rFonts w:ascii="Arial" w:hAnsi="Arial" w:cs="Arial"/>
          <w:sz w:val="24"/>
          <w:szCs w:val="24"/>
        </w:rPr>
        <w:t>The issue is not so much whether M</w:t>
      </w:r>
      <w:r w:rsidR="00B007B2">
        <w:rPr>
          <w:rFonts w:ascii="Arial" w:hAnsi="Arial" w:cs="Arial"/>
          <w:sz w:val="24"/>
          <w:szCs w:val="24"/>
        </w:rPr>
        <w:t>r</w:t>
      </w:r>
      <w:r w:rsidRPr="00464401">
        <w:rPr>
          <w:rFonts w:ascii="Arial" w:hAnsi="Arial" w:cs="Arial"/>
          <w:sz w:val="24"/>
          <w:szCs w:val="24"/>
        </w:rPr>
        <w:t xml:space="preserve">s </w:t>
      </w:r>
      <w:r w:rsidR="006E2D54">
        <w:rPr>
          <w:rFonts w:ascii="Arial" w:hAnsi="Arial" w:cs="Arial"/>
          <w:sz w:val="24"/>
          <w:szCs w:val="24"/>
        </w:rPr>
        <w:t>Mü</w:t>
      </w:r>
      <w:r w:rsidR="00B35B28">
        <w:rPr>
          <w:rFonts w:ascii="Arial" w:hAnsi="Arial" w:cs="Arial"/>
          <w:sz w:val="24"/>
          <w:szCs w:val="24"/>
        </w:rPr>
        <w:t>ller</w:t>
      </w:r>
      <w:r w:rsidRPr="00464401">
        <w:rPr>
          <w:rFonts w:ascii="Arial" w:hAnsi="Arial" w:cs="Arial"/>
          <w:sz w:val="24"/>
          <w:szCs w:val="24"/>
        </w:rPr>
        <w:t xml:space="preserve"> was correct. Rather it is that given that the extent of enrichm</w:t>
      </w:r>
      <w:r w:rsidR="00EF25D7">
        <w:rPr>
          <w:rFonts w:ascii="Arial" w:hAnsi="Arial" w:cs="Arial"/>
          <w:sz w:val="24"/>
          <w:szCs w:val="24"/>
        </w:rPr>
        <w:t>ent of the defendants’ estate</w:t>
      </w:r>
      <w:r w:rsidRPr="00464401">
        <w:rPr>
          <w:rFonts w:ascii="Arial" w:hAnsi="Arial" w:cs="Arial"/>
          <w:sz w:val="24"/>
          <w:szCs w:val="24"/>
        </w:rPr>
        <w:t xml:space="preserve"> (being the lodge) from the </w:t>
      </w:r>
      <w:r w:rsidR="00EF25D7">
        <w:rPr>
          <w:rFonts w:ascii="Arial" w:hAnsi="Arial" w:cs="Arial"/>
          <w:sz w:val="24"/>
          <w:szCs w:val="24"/>
        </w:rPr>
        <w:t xml:space="preserve">improvements </w:t>
      </w:r>
      <w:r w:rsidRPr="00464401">
        <w:rPr>
          <w:rFonts w:ascii="Arial" w:hAnsi="Arial" w:cs="Arial"/>
          <w:sz w:val="24"/>
          <w:szCs w:val="24"/>
        </w:rPr>
        <w:t>is not possible without valuation, expert evidence is necessary to determine that issue. As a general proposition, in any event, M</w:t>
      </w:r>
      <w:r w:rsidR="00B007B2">
        <w:rPr>
          <w:rFonts w:ascii="Arial" w:hAnsi="Arial" w:cs="Arial"/>
          <w:sz w:val="24"/>
          <w:szCs w:val="24"/>
        </w:rPr>
        <w:t>r</w:t>
      </w:r>
      <w:r w:rsidRPr="00464401">
        <w:rPr>
          <w:rFonts w:ascii="Arial" w:hAnsi="Arial" w:cs="Arial"/>
          <w:sz w:val="24"/>
          <w:szCs w:val="24"/>
        </w:rPr>
        <w:t xml:space="preserve">s </w:t>
      </w:r>
      <w:r w:rsidR="006E2D54">
        <w:rPr>
          <w:rFonts w:ascii="Arial" w:hAnsi="Arial" w:cs="Arial"/>
          <w:sz w:val="24"/>
          <w:szCs w:val="24"/>
        </w:rPr>
        <w:t>Müller</w:t>
      </w:r>
      <w:r w:rsidRPr="00464401">
        <w:rPr>
          <w:rFonts w:ascii="Arial" w:hAnsi="Arial" w:cs="Arial"/>
          <w:sz w:val="24"/>
          <w:szCs w:val="24"/>
        </w:rPr>
        <w:t>’s assertion that a valuation of a farm is to be treated differently from real estate in a municipal area is not far-fetched.</w:t>
      </w:r>
    </w:p>
    <w:p w14:paraId="56EABE3F" w14:textId="77777777" w:rsidR="00FC032F" w:rsidRDefault="00FC032F" w:rsidP="00FC032F">
      <w:pPr>
        <w:pStyle w:val="NoSpacing"/>
        <w:spacing w:line="480" w:lineRule="auto"/>
        <w:jc w:val="both"/>
        <w:rPr>
          <w:rFonts w:ascii="Arial" w:hAnsi="Arial" w:cs="Arial"/>
          <w:sz w:val="24"/>
          <w:szCs w:val="24"/>
        </w:rPr>
      </w:pPr>
    </w:p>
    <w:p w14:paraId="4E99F3BB" w14:textId="01C0A79C" w:rsidR="008477D8" w:rsidRPr="00FC032F" w:rsidRDefault="00FC032F" w:rsidP="00FC032F">
      <w:pPr>
        <w:pStyle w:val="NoSpacing"/>
        <w:numPr>
          <w:ilvl w:val="0"/>
          <w:numId w:val="8"/>
        </w:numPr>
        <w:spacing w:line="480" w:lineRule="auto"/>
        <w:ind w:left="0" w:firstLine="0"/>
        <w:jc w:val="both"/>
        <w:rPr>
          <w:rFonts w:ascii="Arial" w:hAnsi="Arial" w:cs="Arial"/>
          <w:sz w:val="24"/>
          <w:szCs w:val="24"/>
        </w:rPr>
      </w:pPr>
      <w:r w:rsidRPr="00FC032F">
        <w:rPr>
          <w:rFonts w:ascii="Arial" w:hAnsi="Arial" w:cs="Arial"/>
          <w:sz w:val="24"/>
          <w:szCs w:val="24"/>
        </w:rPr>
        <w:t>It is not correct as suggested by the defendants that the then proposed amendment to the enrichment claims would have had a substantial effect on the originally pleaded case, in my view, even if it were allowed the averments necessary to sustain such a claim would still be lacking.</w:t>
      </w:r>
    </w:p>
    <w:p w14:paraId="68918245" w14:textId="42556BC9" w:rsidR="009457D5" w:rsidRPr="00EF25D7" w:rsidRDefault="004D54FA" w:rsidP="00E351D8">
      <w:pPr>
        <w:pStyle w:val="NoSpacing"/>
        <w:numPr>
          <w:ilvl w:val="0"/>
          <w:numId w:val="8"/>
        </w:numPr>
        <w:spacing w:line="480" w:lineRule="auto"/>
        <w:ind w:left="0" w:firstLine="0"/>
        <w:jc w:val="both"/>
        <w:rPr>
          <w:rFonts w:ascii="Arial" w:hAnsi="Arial" w:cs="Arial"/>
          <w:sz w:val="24"/>
          <w:szCs w:val="24"/>
        </w:rPr>
      </w:pPr>
      <w:r w:rsidRPr="00464401">
        <w:rPr>
          <w:rFonts w:ascii="Arial" w:hAnsi="Arial" w:cs="Arial"/>
          <w:sz w:val="24"/>
          <w:szCs w:val="24"/>
        </w:rPr>
        <w:lastRenderedPageBreak/>
        <w:t>The defect</w:t>
      </w:r>
      <w:r w:rsidR="006E49E9" w:rsidRPr="00464401">
        <w:rPr>
          <w:rFonts w:ascii="Arial" w:hAnsi="Arial" w:cs="Arial"/>
          <w:sz w:val="24"/>
          <w:szCs w:val="24"/>
        </w:rPr>
        <w:t xml:space="preserve"> in the plaintiff’s pleaded case becomes apparent when one contrasts it with what </w:t>
      </w:r>
      <w:r w:rsidR="00FB7898" w:rsidRPr="00464401">
        <w:rPr>
          <w:rFonts w:ascii="Arial" w:hAnsi="Arial" w:cs="Arial"/>
          <w:sz w:val="24"/>
          <w:szCs w:val="24"/>
        </w:rPr>
        <w:t xml:space="preserve">he </w:t>
      </w:r>
      <w:r w:rsidRPr="00464401">
        <w:rPr>
          <w:rFonts w:ascii="Arial" w:hAnsi="Arial" w:cs="Arial"/>
          <w:sz w:val="24"/>
          <w:szCs w:val="24"/>
        </w:rPr>
        <w:t>should properly</w:t>
      </w:r>
      <w:r w:rsidR="00FB7898" w:rsidRPr="00464401">
        <w:rPr>
          <w:rFonts w:ascii="Arial" w:hAnsi="Arial" w:cs="Arial"/>
          <w:sz w:val="24"/>
          <w:szCs w:val="24"/>
        </w:rPr>
        <w:t xml:space="preserve"> have pleaded. It was not enough for the plaintiff to allege the moneys that he paid to the defendants and the purpose for which payment was made – a purpose that had since become unrealised or unachievable. And that because of the money no longer being applied for his benefit, the defendants stand to benefit at his expense. </w:t>
      </w:r>
      <w:r w:rsidR="00FB7898" w:rsidRPr="00EF25D7">
        <w:rPr>
          <w:rFonts w:ascii="Arial" w:hAnsi="Arial" w:cs="Arial"/>
          <w:sz w:val="24"/>
          <w:szCs w:val="24"/>
        </w:rPr>
        <w:t xml:space="preserve">The plaintiff ought in such pleading to have cast a positive obligation on the defendants to cooperate in the valuation of the lodge’s value prior to and after the improvements made with the money he paid. Such evidence to be that of an expert as on the date of close of pleadings – the particulars of claim making clear that the difference between </w:t>
      </w:r>
      <w:r w:rsidR="00EF25D7">
        <w:rPr>
          <w:rFonts w:ascii="Arial" w:hAnsi="Arial" w:cs="Arial"/>
          <w:sz w:val="24"/>
          <w:szCs w:val="24"/>
        </w:rPr>
        <w:t xml:space="preserve">the </w:t>
      </w:r>
      <w:r w:rsidR="00FB7898" w:rsidRPr="00EF25D7">
        <w:rPr>
          <w:rFonts w:ascii="Arial" w:hAnsi="Arial" w:cs="Arial"/>
          <w:sz w:val="24"/>
          <w:szCs w:val="24"/>
        </w:rPr>
        <w:t>lodge’s value without the improvements and the lodge’s value with the improvements –</w:t>
      </w:r>
      <w:r w:rsidR="00FB7898" w:rsidRPr="00EF25D7">
        <w:rPr>
          <w:szCs w:val="24"/>
        </w:rPr>
        <w:t xml:space="preserve"> </w:t>
      </w:r>
      <w:r w:rsidR="00421DA7">
        <w:rPr>
          <w:rFonts w:ascii="Arial" w:hAnsi="Arial" w:cs="Arial"/>
          <w:sz w:val="24"/>
          <w:szCs w:val="24"/>
        </w:rPr>
        <w:t>whichever is the lesser –</w:t>
      </w:r>
      <w:r w:rsidR="00FB7898" w:rsidRPr="00EF25D7">
        <w:rPr>
          <w:rFonts w:ascii="Arial" w:hAnsi="Arial" w:cs="Arial"/>
          <w:sz w:val="24"/>
          <w:szCs w:val="24"/>
        </w:rPr>
        <w:t xml:space="preserve"> constitutes his impoverishment and the defendants’</w:t>
      </w:r>
      <w:r w:rsidR="004D166A" w:rsidRPr="00EF25D7">
        <w:rPr>
          <w:rFonts w:ascii="Arial" w:hAnsi="Arial" w:cs="Arial"/>
          <w:sz w:val="24"/>
          <w:szCs w:val="24"/>
        </w:rPr>
        <w:t xml:space="preserve"> </w:t>
      </w:r>
      <w:r w:rsidR="00FB7898" w:rsidRPr="00EF25D7">
        <w:rPr>
          <w:rFonts w:ascii="Arial" w:hAnsi="Arial" w:cs="Arial"/>
          <w:sz w:val="24"/>
          <w:szCs w:val="24"/>
        </w:rPr>
        <w:t>corresponding enrichment.</w:t>
      </w:r>
    </w:p>
    <w:p w14:paraId="693670C7" w14:textId="77777777" w:rsidR="009457D5" w:rsidRPr="00464401" w:rsidRDefault="009457D5" w:rsidP="00E351D8">
      <w:pPr>
        <w:spacing w:line="480" w:lineRule="auto"/>
        <w:jc w:val="both"/>
        <w:rPr>
          <w:rFonts w:cs="Arial"/>
          <w:szCs w:val="24"/>
        </w:rPr>
      </w:pPr>
    </w:p>
    <w:p w14:paraId="1B2F9107" w14:textId="12059FD3" w:rsidR="009A128C" w:rsidRPr="00464401" w:rsidRDefault="0087404B" w:rsidP="00E351D8">
      <w:pPr>
        <w:pStyle w:val="NoSpacing"/>
        <w:numPr>
          <w:ilvl w:val="0"/>
          <w:numId w:val="8"/>
        </w:numPr>
        <w:spacing w:line="480" w:lineRule="auto"/>
        <w:ind w:left="0" w:firstLine="0"/>
        <w:jc w:val="both"/>
        <w:rPr>
          <w:rFonts w:ascii="Arial" w:hAnsi="Arial" w:cs="Arial"/>
          <w:sz w:val="24"/>
          <w:szCs w:val="24"/>
        </w:rPr>
      </w:pPr>
      <w:r w:rsidRPr="00464401">
        <w:rPr>
          <w:rFonts w:ascii="Arial" w:hAnsi="Arial" w:cs="Arial"/>
          <w:sz w:val="24"/>
          <w:szCs w:val="24"/>
        </w:rPr>
        <w:t xml:space="preserve">The interpretation placed on the </w:t>
      </w:r>
      <w:r w:rsidR="00C66432">
        <w:rPr>
          <w:rFonts w:ascii="Arial" w:hAnsi="Arial" w:cs="Arial"/>
          <w:sz w:val="24"/>
          <w:szCs w:val="24"/>
        </w:rPr>
        <w:t>pre-tr</w:t>
      </w:r>
      <w:r w:rsidR="004D54FA" w:rsidRPr="00464401">
        <w:rPr>
          <w:rFonts w:ascii="Arial" w:hAnsi="Arial" w:cs="Arial"/>
          <w:sz w:val="24"/>
          <w:szCs w:val="24"/>
        </w:rPr>
        <w:t>i</w:t>
      </w:r>
      <w:r w:rsidR="00C66432">
        <w:rPr>
          <w:rFonts w:ascii="Arial" w:hAnsi="Arial" w:cs="Arial"/>
          <w:sz w:val="24"/>
          <w:szCs w:val="24"/>
        </w:rPr>
        <w:t>a</w:t>
      </w:r>
      <w:r w:rsidR="004D54FA" w:rsidRPr="00464401">
        <w:rPr>
          <w:rFonts w:ascii="Arial" w:hAnsi="Arial" w:cs="Arial"/>
          <w:sz w:val="24"/>
          <w:szCs w:val="24"/>
        </w:rPr>
        <w:t xml:space="preserve">l </w:t>
      </w:r>
      <w:r w:rsidRPr="00464401">
        <w:rPr>
          <w:rFonts w:ascii="Arial" w:hAnsi="Arial" w:cs="Arial"/>
          <w:sz w:val="24"/>
          <w:szCs w:val="24"/>
        </w:rPr>
        <w:t xml:space="preserve">order and Mr </w:t>
      </w:r>
      <w:r w:rsidR="00760DE5">
        <w:rPr>
          <w:rFonts w:ascii="Arial" w:hAnsi="Arial" w:cs="Arial"/>
          <w:sz w:val="24"/>
          <w:szCs w:val="24"/>
        </w:rPr>
        <w:t>Brandt</w:t>
      </w:r>
      <w:r w:rsidRPr="00464401">
        <w:rPr>
          <w:rFonts w:ascii="Arial" w:hAnsi="Arial" w:cs="Arial"/>
          <w:sz w:val="24"/>
          <w:szCs w:val="24"/>
        </w:rPr>
        <w:t xml:space="preserve">’s concession accords with the </w:t>
      </w:r>
      <w:r w:rsidRPr="00464401">
        <w:rPr>
          <w:rFonts w:ascii="Arial" w:hAnsi="Arial" w:cs="Arial"/>
          <w:i/>
          <w:sz w:val="24"/>
          <w:szCs w:val="24"/>
        </w:rPr>
        <w:t>ratio</w:t>
      </w:r>
      <w:r w:rsidRPr="00464401">
        <w:rPr>
          <w:rFonts w:ascii="Arial" w:hAnsi="Arial" w:cs="Arial"/>
          <w:sz w:val="24"/>
          <w:szCs w:val="24"/>
        </w:rPr>
        <w:t xml:space="preserve"> of this Court in </w:t>
      </w:r>
      <w:r w:rsidR="00DC29D8" w:rsidRPr="00F879F2">
        <w:rPr>
          <w:rFonts w:ascii="Arial" w:hAnsi="Arial" w:cs="Arial"/>
          <w:i/>
          <w:sz w:val="24"/>
          <w:szCs w:val="24"/>
        </w:rPr>
        <w:t>Paschke</w:t>
      </w:r>
      <w:r w:rsidRPr="00464401">
        <w:rPr>
          <w:rFonts w:ascii="Arial" w:hAnsi="Arial" w:cs="Arial"/>
          <w:sz w:val="24"/>
          <w:szCs w:val="24"/>
        </w:rPr>
        <w:t xml:space="preserve"> and the manner in which the case was litigated. The contrary view taken by the court </w:t>
      </w:r>
      <w:r w:rsidRPr="00464401">
        <w:rPr>
          <w:rFonts w:ascii="Arial" w:hAnsi="Arial" w:cs="Arial"/>
          <w:i/>
          <w:sz w:val="24"/>
          <w:szCs w:val="24"/>
        </w:rPr>
        <w:t>a quo</w:t>
      </w:r>
      <w:r w:rsidRPr="00464401">
        <w:rPr>
          <w:rFonts w:ascii="Arial" w:hAnsi="Arial" w:cs="Arial"/>
          <w:sz w:val="24"/>
          <w:szCs w:val="24"/>
        </w:rPr>
        <w:t xml:space="preserve"> and supported by Mr Mouton on behalf of the </w:t>
      </w:r>
      <w:r w:rsidR="009967A1">
        <w:rPr>
          <w:rFonts w:ascii="Arial" w:hAnsi="Arial" w:cs="Arial"/>
          <w:sz w:val="24"/>
          <w:szCs w:val="24"/>
        </w:rPr>
        <w:t>plaintiff</w:t>
      </w:r>
      <w:r w:rsidRPr="00464401">
        <w:rPr>
          <w:rFonts w:ascii="Arial" w:hAnsi="Arial" w:cs="Arial"/>
          <w:sz w:val="24"/>
          <w:szCs w:val="24"/>
        </w:rPr>
        <w:t xml:space="preserve"> on appeal</w:t>
      </w:r>
      <w:r w:rsidR="00223AA7" w:rsidRPr="00464401">
        <w:rPr>
          <w:rFonts w:ascii="Arial" w:hAnsi="Arial" w:cs="Arial"/>
          <w:sz w:val="24"/>
          <w:szCs w:val="24"/>
        </w:rPr>
        <w:t>,</w:t>
      </w:r>
      <w:r w:rsidRPr="00464401">
        <w:rPr>
          <w:rFonts w:ascii="Arial" w:hAnsi="Arial" w:cs="Arial"/>
          <w:sz w:val="24"/>
          <w:szCs w:val="24"/>
        </w:rPr>
        <w:t xml:space="preserve"> does not.</w:t>
      </w:r>
    </w:p>
    <w:p w14:paraId="04B005E6" w14:textId="77777777" w:rsidR="004D166A" w:rsidRPr="00464401" w:rsidRDefault="004D166A" w:rsidP="00E351D8">
      <w:pPr>
        <w:spacing w:line="480" w:lineRule="auto"/>
        <w:jc w:val="both"/>
        <w:rPr>
          <w:rFonts w:cs="Arial"/>
          <w:szCs w:val="24"/>
        </w:rPr>
      </w:pPr>
    </w:p>
    <w:p w14:paraId="6FDF0C10" w14:textId="2DA1D4CF" w:rsidR="004D166A" w:rsidRPr="00464401" w:rsidRDefault="004D166A" w:rsidP="00E351D8">
      <w:pPr>
        <w:pStyle w:val="NoSpacing"/>
        <w:numPr>
          <w:ilvl w:val="0"/>
          <w:numId w:val="8"/>
        </w:numPr>
        <w:spacing w:line="480" w:lineRule="auto"/>
        <w:ind w:left="0" w:firstLine="0"/>
        <w:jc w:val="both"/>
        <w:rPr>
          <w:rFonts w:ascii="Arial" w:hAnsi="Arial" w:cs="Arial"/>
          <w:sz w:val="24"/>
          <w:szCs w:val="24"/>
        </w:rPr>
      </w:pPr>
      <w:r w:rsidRPr="00464401">
        <w:rPr>
          <w:rFonts w:ascii="Arial" w:hAnsi="Arial" w:cs="Arial"/>
          <w:sz w:val="24"/>
          <w:szCs w:val="24"/>
        </w:rPr>
        <w:t xml:space="preserve">It was a misdirection therefore for </w:t>
      </w:r>
      <w:r w:rsidR="007E48F9" w:rsidRPr="00464401">
        <w:rPr>
          <w:rFonts w:ascii="Arial" w:hAnsi="Arial" w:cs="Arial"/>
          <w:sz w:val="24"/>
          <w:szCs w:val="24"/>
        </w:rPr>
        <w:t>the</w:t>
      </w:r>
      <w:r w:rsidRPr="00464401">
        <w:rPr>
          <w:rFonts w:ascii="Arial" w:hAnsi="Arial" w:cs="Arial"/>
          <w:sz w:val="24"/>
          <w:szCs w:val="24"/>
        </w:rPr>
        <w:t xml:space="preserve"> court </w:t>
      </w:r>
      <w:r w:rsidRPr="003C0EC7">
        <w:rPr>
          <w:rFonts w:ascii="Arial" w:hAnsi="Arial" w:cs="Arial"/>
          <w:i/>
          <w:sz w:val="24"/>
          <w:szCs w:val="24"/>
        </w:rPr>
        <w:t>a quo</w:t>
      </w:r>
      <w:r w:rsidRPr="00464401">
        <w:rPr>
          <w:rFonts w:ascii="Arial" w:hAnsi="Arial" w:cs="Arial"/>
          <w:sz w:val="24"/>
          <w:szCs w:val="24"/>
        </w:rPr>
        <w:t>, in the absence o</w:t>
      </w:r>
      <w:r w:rsidR="007B03B1">
        <w:rPr>
          <w:rFonts w:ascii="Arial" w:hAnsi="Arial" w:cs="Arial"/>
          <w:sz w:val="24"/>
          <w:szCs w:val="24"/>
        </w:rPr>
        <w:t>f proof of the value of the lodg</w:t>
      </w:r>
      <w:r w:rsidRPr="00464401">
        <w:rPr>
          <w:rFonts w:ascii="Arial" w:hAnsi="Arial" w:cs="Arial"/>
          <w:sz w:val="24"/>
          <w:szCs w:val="24"/>
        </w:rPr>
        <w:t>e before and after the improvements, to hold that the plaintiff had made out a case for enrichment.</w:t>
      </w:r>
    </w:p>
    <w:p w14:paraId="7DCA770D" w14:textId="77777777" w:rsidR="002C67AC" w:rsidRDefault="002C67AC" w:rsidP="00E351D8">
      <w:pPr>
        <w:spacing w:line="480" w:lineRule="auto"/>
        <w:jc w:val="both"/>
        <w:rPr>
          <w:u w:val="single"/>
        </w:rPr>
      </w:pPr>
    </w:p>
    <w:p w14:paraId="5B463C3C" w14:textId="77777777" w:rsidR="002C67AC" w:rsidRDefault="002C67AC" w:rsidP="00E351D8">
      <w:pPr>
        <w:spacing w:line="480" w:lineRule="auto"/>
        <w:jc w:val="both"/>
        <w:rPr>
          <w:u w:val="single"/>
        </w:rPr>
      </w:pPr>
    </w:p>
    <w:p w14:paraId="3081B638" w14:textId="77777777" w:rsidR="002C67AC" w:rsidRDefault="002C67AC" w:rsidP="00E351D8">
      <w:pPr>
        <w:spacing w:line="480" w:lineRule="auto"/>
        <w:jc w:val="both"/>
        <w:rPr>
          <w:u w:val="single"/>
        </w:rPr>
      </w:pPr>
    </w:p>
    <w:p w14:paraId="56E5AA27" w14:textId="25DE0CA4" w:rsidR="00D33EBC" w:rsidRPr="00E153C2" w:rsidRDefault="00D33EBC" w:rsidP="00E351D8">
      <w:pPr>
        <w:spacing w:line="480" w:lineRule="auto"/>
        <w:jc w:val="both"/>
        <w:rPr>
          <w:u w:val="single"/>
        </w:rPr>
      </w:pPr>
      <w:r w:rsidRPr="00D33EBC">
        <w:rPr>
          <w:u w:val="single"/>
        </w:rPr>
        <w:lastRenderedPageBreak/>
        <w:t>Misdirection on presumption of e</w:t>
      </w:r>
      <w:r>
        <w:rPr>
          <w:u w:val="single"/>
        </w:rPr>
        <w:t>nrichment</w:t>
      </w:r>
    </w:p>
    <w:p w14:paraId="43BD74AE" w14:textId="2FD3F0AD" w:rsidR="00D33EBC" w:rsidRPr="00464401" w:rsidRDefault="00D33EBC" w:rsidP="00E351D8">
      <w:pPr>
        <w:pStyle w:val="NoSpacing"/>
        <w:numPr>
          <w:ilvl w:val="0"/>
          <w:numId w:val="8"/>
        </w:numPr>
        <w:spacing w:line="480" w:lineRule="auto"/>
        <w:ind w:left="0" w:firstLine="0"/>
        <w:jc w:val="both"/>
        <w:rPr>
          <w:rFonts w:ascii="Arial" w:hAnsi="Arial" w:cs="Arial"/>
          <w:sz w:val="24"/>
          <w:szCs w:val="24"/>
        </w:rPr>
      </w:pPr>
      <w:r w:rsidRPr="00464401">
        <w:rPr>
          <w:rFonts w:ascii="Arial" w:hAnsi="Arial" w:cs="Arial"/>
          <w:sz w:val="24"/>
          <w:szCs w:val="24"/>
        </w:rPr>
        <w:t xml:space="preserve">The learned judge </w:t>
      </w:r>
      <w:r w:rsidRPr="00464401">
        <w:rPr>
          <w:rFonts w:ascii="Arial" w:hAnsi="Arial" w:cs="Arial"/>
          <w:i/>
          <w:sz w:val="24"/>
          <w:szCs w:val="24"/>
        </w:rPr>
        <w:t>a quo</w:t>
      </w:r>
      <w:r w:rsidRPr="00464401">
        <w:rPr>
          <w:rFonts w:ascii="Arial" w:hAnsi="Arial" w:cs="Arial"/>
          <w:sz w:val="24"/>
          <w:szCs w:val="24"/>
        </w:rPr>
        <w:t xml:space="preserve"> committed a further misdirection in holding that the presumption of enrichment applied to the fact</w:t>
      </w:r>
      <w:r w:rsidR="002A6B38" w:rsidRPr="00464401">
        <w:rPr>
          <w:rFonts w:ascii="Arial" w:hAnsi="Arial" w:cs="Arial"/>
          <w:sz w:val="24"/>
          <w:szCs w:val="24"/>
        </w:rPr>
        <w:t>s</w:t>
      </w:r>
      <w:r w:rsidRPr="00464401">
        <w:rPr>
          <w:rFonts w:ascii="Arial" w:hAnsi="Arial" w:cs="Arial"/>
          <w:sz w:val="24"/>
          <w:szCs w:val="24"/>
        </w:rPr>
        <w:t xml:space="preserve"> of this case. The learned judge relied on </w:t>
      </w:r>
      <w:r w:rsidR="0069092F" w:rsidRPr="00464401">
        <w:rPr>
          <w:rFonts w:ascii="Arial" w:hAnsi="Arial" w:cs="Arial"/>
          <w:i/>
          <w:sz w:val="24"/>
          <w:szCs w:val="24"/>
        </w:rPr>
        <w:t>African Diamond Exporters</w:t>
      </w:r>
      <w:r w:rsidR="0069092F" w:rsidRPr="00464401">
        <w:rPr>
          <w:rFonts w:ascii="Arial" w:hAnsi="Arial" w:cs="Arial"/>
          <w:sz w:val="24"/>
          <w:szCs w:val="24"/>
        </w:rPr>
        <w:t xml:space="preserve"> and </w:t>
      </w:r>
      <w:r w:rsidR="0069092F" w:rsidRPr="007B03B1">
        <w:rPr>
          <w:rFonts w:ascii="Arial" w:hAnsi="Arial" w:cs="Arial"/>
          <w:i/>
          <w:sz w:val="24"/>
          <w:szCs w:val="24"/>
        </w:rPr>
        <w:t>Kudu Granite</w:t>
      </w:r>
      <w:r w:rsidR="0069092F" w:rsidRPr="00464401">
        <w:rPr>
          <w:rFonts w:ascii="Arial" w:hAnsi="Arial" w:cs="Arial"/>
          <w:sz w:val="24"/>
          <w:szCs w:val="24"/>
        </w:rPr>
        <w:t xml:space="preserve"> for his conclusion </w:t>
      </w:r>
      <w:r w:rsidR="00C33243">
        <w:rPr>
          <w:rFonts w:ascii="Arial" w:hAnsi="Arial" w:cs="Arial"/>
          <w:sz w:val="24"/>
          <w:szCs w:val="24"/>
        </w:rPr>
        <w:t>–</w:t>
      </w:r>
      <w:r w:rsidRPr="00464401">
        <w:rPr>
          <w:rFonts w:ascii="Arial" w:hAnsi="Arial" w:cs="Arial"/>
          <w:sz w:val="24"/>
          <w:szCs w:val="24"/>
        </w:rPr>
        <w:t xml:space="preserve"> yet it is common ground between the parties that the plaintiff did not rely on the </w:t>
      </w:r>
      <w:r w:rsidRPr="00464401">
        <w:rPr>
          <w:rFonts w:ascii="Arial" w:hAnsi="Arial" w:cs="Arial"/>
          <w:i/>
          <w:sz w:val="24"/>
          <w:szCs w:val="24"/>
        </w:rPr>
        <w:t>condi</w:t>
      </w:r>
      <w:r w:rsidR="007B03B1">
        <w:rPr>
          <w:rFonts w:ascii="Arial" w:hAnsi="Arial" w:cs="Arial"/>
          <w:i/>
          <w:sz w:val="24"/>
          <w:szCs w:val="24"/>
        </w:rPr>
        <w:t>c</w:t>
      </w:r>
      <w:r w:rsidRPr="00464401">
        <w:rPr>
          <w:rFonts w:ascii="Arial" w:hAnsi="Arial" w:cs="Arial"/>
          <w:i/>
          <w:sz w:val="24"/>
          <w:szCs w:val="24"/>
        </w:rPr>
        <w:t>tio indebiti</w:t>
      </w:r>
      <w:r w:rsidRPr="00464401">
        <w:rPr>
          <w:rFonts w:ascii="Arial" w:hAnsi="Arial" w:cs="Arial"/>
          <w:sz w:val="24"/>
          <w:szCs w:val="24"/>
        </w:rPr>
        <w:t xml:space="preserve">. </w:t>
      </w:r>
      <w:r w:rsidR="00616F72">
        <w:rPr>
          <w:rFonts w:ascii="Arial" w:hAnsi="Arial" w:cs="Arial"/>
          <w:i/>
          <w:sz w:val="24"/>
          <w:szCs w:val="24"/>
        </w:rPr>
        <w:t>African Diamond</w:t>
      </w:r>
      <w:r w:rsidR="0069092F" w:rsidRPr="00464401">
        <w:rPr>
          <w:rFonts w:ascii="Arial" w:hAnsi="Arial" w:cs="Arial"/>
          <w:sz w:val="24"/>
          <w:szCs w:val="24"/>
        </w:rPr>
        <w:t xml:space="preserve"> concerned an</w:t>
      </w:r>
      <w:r w:rsidR="007B03B1">
        <w:rPr>
          <w:rFonts w:ascii="Arial" w:hAnsi="Arial" w:cs="Arial"/>
          <w:sz w:val="24"/>
          <w:szCs w:val="24"/>
        </w:rPr>
        <w:t xml:space="preserve"> action based on the </w:t>
      </w:r>
      <w:r w:rsidR="007B03B1" w:rsidRPr="007B03B1">
        <w:rPr>
          <w:rFonts w:ascii="Arial" w:hAnsi="Arial" w:cs="Arial"/>
          <w:i/>
          <w:sz w:val="24"/>
          <w:szCs w:val="24"/>
        </w:rPr>
        <w:t>condictio</w:t>
      </w:r>
      <w:r w:rsidR="0069092F" w:rsidRPr="007B03B1">
        <w:rPr>
          <w:rFonts w:ascii="Arial" w:hAnsi="Arial" w:cs="Arial"/>
          <w:i/>
          <w:sz w:val="24"/>
          <w:szCs w:val="24"/>
        </w:rPr>
        <w:t xml:space="preserve"> indebiti</w:t>
      </w:r>
      <w:r w:rsidR="0069092F" w:rsidRPr="00464401">
        <w:rPr>
          <w:rFonts w:ascii="Arial" w:hAnsi="Arial" w:cs="Arial"/>
          <w:sz w:val="24"/>
          <w:szCs w:val="24"/>
        </w:rPr>
        <w:t>.</w:t>
      </w:r>
    </w:p>
    <w:p w14:paraId="5632213C" w14:textId="77777777" w:rsidR="00D33EBC" w:rsidRPr="00464401" w:rsidRDefault="00D33EBC" w:rsidP="00E351D8">
      <w:pPr>
        <w:spacing w:line="480" w:lineRule="auto"/>
        <w:jc w:val="both"/>
        <w:rPr>
          <w:rFonts w:cs="Arial"/>
          <w:szCs w:val="24"/>
        </w:rPr>
      </w:pPr>
    </w:p>
    <w:p w14:paraId="7ED6E176" w14:textId="00114C46" w:rsidR="00D33EBC" w:rsidRDefault="00D33EBC" w:rsidP="00E351D8">
      <w:pPr>
        <w:pStyle w:val="NoSpacing"/>
        <w:numPr>
          <w:ilvl w:val="0"/>
          <w:numId w:val="8"/>
        </w:numPr>
        <w:spacing w:line="480" w:lineRule="auto"/>
        <w:ind w:left="0" w:firstLine="0"/>
        <w:jc w:val="both"/>
        <w:rPr>
          <w:rFonts w:ascii="Arial" w:hAnsi="Arial" w:cs="Arial"/>
          <w:sz w:val="24"/>
          <w:szCs w:val="24"/>
        </w:rPr>
      </w:pPr>
      <w:r w:rsidRPr="00464401">
        <w:rPr>
          <w:rFonts w:ascii="Arial" w:hAnsi="Arial" w:cs="Arial"/>
          <w:sz w:val="24"/>
          <w:szCs w:val="24"/>
        </w:rPr>
        <w:t xml:space="preserve">As </w:t>
      </w:r>
      <w:r w:rsidR="006E2D54">
        <w:rPr>
          <w:rFonts w:ascii="Arial" w:hAnsi="Arial" w:cs="Arial"/>
          <w:sz w:val="24"/>
          <w:szCs w:val="24"/>
        </w:rPr>
        <w:t>Müller</w:t>
      </w:r>
      <w:r w:rsidRPr="00464401">
        <w:rPr>
          <w:rFonts w:ascii="Arial" w:hAnsi="Arial" w:cs="Arial"/>
          <w:sz w:val="24"/>
          <w:szCs w:val="24"/>
        </w:rPr>
        <w:t xml:space="preserve"> JA put it in that case at </w:t>
      </w:r>
      <w:r w:rsidR="00616F72">
        <w:rPr>
          <w:rFonts w:ascii="Arial" w:hAnsi="Arial" w:cs="Arial"/>
          <w:sz w:val="24"/>
          <w:szCs w:val="24"/>
        </w:rPr>
        <w:t>713</w:t>
      </w:r>
      <w:r w:rsidRPr="00464401">
        <w:rPr>
          <w:rFonts w:ascii="Arial" w:hAnsi="Arial" w:cs="Arial"/>
          <w:sz w:val="24"/>
          <w:szCs w:val="24"/>
        </w:rPr>
        <w:t>H:</w:t>
      </w:r>
    </w:p>
    <w:p w14:paraId="6BDDD635" w14:textId="77777777" w:rsidR="00464401" w:rsidRDefault="00464401" w:rsidP="00E351D8">
      <w:pPr>
        <w:pStyle w:val="ListParagraph"/>
        <w:spacing w:line="480" w:lineRule="auto"/>
        <w:rPr>
          <w:rFonts w:cs="Arial"/>
          <w:szCs w:val="24"/>
        </w:rPr>
      </w:pPr>
    </w:p>
    <w:p w14:paraId="149464A8" w14:textId="1981F06B" w:rsidR="00D33EBC" w:rsidRDefault="00D33EBC" w:rsidP="0069210A">
      <w:pPr>
        <w:spacing w:line="360" w:lineRule="auto"/>
        <w:ind w:left="720"/>
        <w:jc w:val="both"/>
        <w:rPr>
          <w:sz w:val="22"/>
        </w:rPr>
      </w:pPr>
      <w:r w:rsidRPr="00E46930">
        <w:rPr>
          <w:sz w:val="22"/>
        </w:rPr>
        <w:t>‘I agree with the view stated by Prof De Vos that, where a plaintiff has proved an overpayment rec</w:t>
      </w:r>
      <w:r w:rsidR="00E46930" w:rsidRPr="00E46930">
        <w:rPr>
          <w:sz w:val="22"/>
        </w:rPr>
        <w:t xml:space="preserve">overable by the </w:t>
      </w:r>
      <w:r w:rsidR="00E46930" w:rsidRPr="00E46930">
        <w:rPr>
          <w:i/>
          <w:sz w:val="22"/>
        </w:rPr>
        <w:t>conditio</w:t>
      </w:r>
      <w:r w:rsidRPr="00E46930">
        <w:rPr>
          <w:i/>
          <w:sz w:val="22"/>
        </w:rPr>
        <w:t xml:space="preserve"> indebiti</w:t>
      </w:r>
      <w:r w:rsidRPr="00E46930">
        <w:rPr>
          <w:sz w:val="22"/>
        </w:rPr>
        <w:t>, the onus rests on the defendant to show that he was, in fact, not enriched at all or was only enriched as to part of what was received.’</w:t>
      </w:r>
    </w:p>
    <w:p w14:paraId="0135C2B6" w14:textId="77777777" w:rsidR="007B03B1" w:rsidRPr="00E46930" w:rsidRDefault="007B03B1" w:rsidP="00E351D8">
      <w:pPr>
        <w:spacing w:line="480" w:lineRule="auto"/>
        <w:ind w:left="720"/>
        <w:jc w:val="both"/>
        <w:rPr>
          <w:sz w:val="22"/>
        </w:rPr>
      </w:pPr>
    </w:p>
    <w:p w14:paraId="6859BDD4" w14:textId="73D0AD03" w:rsidR="00D33EBC" w:rsidRPr="00464401" w:rsidRDefault="00E46930" w:rsidP="00E351D8">
      <w:pPr>
        <w:pStyle w:val="NoSpacing"/>
        <w:numPr>
          <w:ilvl w:val="0"/>
          <w:numId w:val="8"/>
        </w:numPr>
        <w:spacing w:line="480" w:lineRule="auto"/>
        <w:ind w:left="0" w:firstLine="0"/>
        <w:jc w:val="both"/>
        <w:rPr>
          <w:rFonts w:ascii="Arial" w:hAnsi="Arial" w:cs="Arial"/>
          <w:sz w:val="24"/>
          <w:szCs w:val="24"/>
        </w:rPr>
      </w:pPr>
      <w:r w:rsidRPr="00464401">
        <w:rPr>
          <w:rFonts w:ascii="Arial" w:hAnsi="Arial" w:cs="Arial"/>
          <w:sz w:val="24"/>
          <w:szCs w:val="24"/>
        </w:rPr>
        <w:t xml:space="preserve">It is trite that the </w:t>
      </w:r>
      <w:r w:rsidRPr="00464401">
        <w:rPr>
          <w:rFonts w:ascii="Arial" w:hAnsi="Arial" w:cs="Arial"/>
          <w:i/>
          <w:sz w:val="24"/>
          <w:szCs w:val="24"/>
        </w:rPr>
        <w:t>condi</w:t>
      </w:r>
      <w:r w:rsidR="007B03B1">
        <w:rPr>
          <w:rFonts w:ascii="Arial" w:hAnsi="Arial" w:cs="Arial"/>
          <w:i/>
          <w:sz w:val="24"/>
          <w:szCs w:val="24"/>
        </w:rPr>
        <w:t>c</w:t>
      </w:r>
      <w:r w:rsidRPr="00464401">
        <w:rPr>
          <w:rFonts w:ascii="Arial" w:hAnsi="Arial" w:cs="Arial"/>
          <w:i/>
          <w:sz w:val="24"/>
          <w:szCs w:val="24"/>
        </w:rPr>
        <w:t>tio</w:t>
      </w:r>
      <w:r w:rsidR="00D33EBC" w:rsidRPr="00464401">
        <w:rPr>
          <w:rFonts w:ascii="Arial" w:hAnsi="Arial" w:cs="Arial"/>
          <w:i/>
          <w:sz w:val="24"/>
          <w:szCs w:val="24"/>
        </w:rPr>
        <w:t xml:space="preserve"> indebiti</w:t>
      </w:r>
      <w:r w:rsidR="00D33EBC" w:rsidRPr="00464401">
        <w:rPr>
          <w:rFonts w:ascii="Arial" w:hAnsi="Arial" w:cs="Arial"/>
          <w:sz w:val="24"/>
          <w:szCs w:val="24"/>
        </w:rPr>
        <w:t xml:space="preserve"> is available to a person that parts with money or other property due to an excusable error </w:t>
      </w:r>
      <w:r w:rsidRPr="00464401">
        <w:rPr>
          <w:rFonts w:ascii="Arial" w:hAnsi="Arial" w:cs="Arial"/>
          <w:sz w:val="24"/>
          <w:szCs w:val="24"/>
        </w:rPr>
        <w:t xml:space="preserve">and </w:t>
      </w:r>
      <w:r w:rsidR="00D33EBC" w:rsidRPr="00464401">
        <w:rPr>
          <w:rFonts w:ascii="Arial" w:hAnsi="Arial" w:cs="Arial"/>
          <w:sz w:val="24"/>
          <w:szCs w:val="24"/>
        </w:rPr>
        <w:t>in the mistaken belief that the payment or delivery was owing to the beneficiary</w:t>
      </w:r>
      <w:r w:rsidR="000C6EC5">
        <w:rPr>
          <w:rFonts w:ascii="Arial" w:hAnsi="Arial" w:cs="Arial"/>
          <w:sz w:val="24"/>
          <w:szCs w:val="24"/>
        </w:rPr>
        <w:t>.</w:t>
      </w:r>
      <w:r w:rsidR="00D33EBC" w:rsidRPr="00464401">
        <w:rPr>
          <w:rStyle w:val="FootnoteReference"/>
          <w:rFonts w:ascii="Arial" w:hAnsi="Arial" w:cs="Arial"/>
          <w:sz w:val="24"/>
          <w:szCs w:val="24"/>
        </w:rPr>
        <w:footnoteReference w:id="14"/>
      </w:r>
      <w:r w:rsidR="00D33EBC" w:rsidRPr="00464401">
        <w:rPr>
          <w:rFonts w:ascii="Arial" w:hAnsi="Arial" w:cs="Arial"/>
          <w:sz w:val="24"/>
          <w:szCs w:val="24"/>
        </w:rPr>
        <w:t xml:space="preserve"> No such case was pleaded by the plaintiff. As Mr Heathcote correctly sub</w:t>
      </w:r>
      <w:r w:rsidRPr="00464401">
        <w:rPr>
          <w:rFonts w:ascii="Arial" w:hAnsi="Arial" w:cs="Arial"/>
          <w:sz w:val="24"/>
          <w:szCs w:val="24"/>
        </w:rPr>
        <w:t>mits</w:t>
      </w:r>
      <w:r w:rsidR="00D33EBC" w:rsidRPr="00464401">
        <w:rPr>
          <w:rFonts w:ascii="Arial" w:hAnsi="Arial" w:cs="Arial"/>
          <w:sz w:val="24"/>
          <w:szCs w:val="24"/>
        </w:rPr>
        <w:t>, it is common cause that the payments were made for reasons agreed between the parties.</w:t>
      </w:r>
    </w:p>
    <w:p w14:paraId="72182CF7" w14:textId="77777777" w:rsidR="0069092F" w:rsidRPr="00464401" w:rsidRDefault="0069092F" w:rsidP="00E351D8">
      <w:pPr>
        <w:spacing w:line="480" w:lineRule="auto"/>
        <w:jc w:val="both"/>
        <w:rPr>
          <w:rFonts w:cs="Arial"/>
          <w:szCs w:val="24"/>
        </w:rPr>
      </w:pPr>
    </w:p>
    <w:p w14:paraId="4AA19958" w14:textId="77777777" w:rsidR="00896044" w:rsidRDefault="0069092F" w:rsidP="00E351D8">
      <w:pPr>
        <w:pStyle w:val="NoSpacing"/>
        <w:numPr>
          <w:ilvl w:val="0"/>
          <w:numId w:val="8"/>
        </w:numPr>
        <w:spacing w:line="480" w:lineRule="auto"/>
        <w:ind w:left="0" w:firstLine="0"/>
        <w:jc w:val="both"/>
        <w:rPr>
          <w:rFonts w:ascii="Arial" w:hAnsi="Arial" w:cs="Arial"/>
          <w:sz w:val="24"/>
          <w:szCs w:val="24"/>
        </w:rPr>
      </w:pPr>
      <w:r w:rsidRPr="00464401">
        <w:rPr>
          <w:rFonts w:ascii="Arial" w:hAnsi="Arial" w:cs="Arial"/>
          <w:i/>
          <w:sz w:val="24"/>
          <w:szCs w:val="24"/>
        </w:rPr>
        <w:t>Kudu Granite</w:t>
      </w:r>
      <w:r w:rsidRPr="00464401">
        <w:rPr>
          <w:rFonts w:ascii="Arial" w:hAnsi="Arial" w:cs="Arial"/>
          <w:sz w:val="24"/>
          <w:szCs w:val="24"/>
        </w:rPr>
        <w:t xml:space="preserve"> on the other hand concerned the </w:t>
      </w:r>
      <w:r w:rsidRPr="00464401">
        <w:rPr>
          <w:rFonts w:ascii="Arial" w:hAnsi="Arial" w:cs="Arial"/>
          <w:i/>
          <w:sz w:val="24"/>
          <w:szCs w:val="24"/>
        </w:rPr>
        <w:t>condictio ob causam finitam</w:t>
      </w:r>
      <w:r w:rsidRPr="00464401">
        <w:rPr>
          <w:rFonts w:ascii="Arial" w:hAnsi="Arial" w:cs="Arial"/>
          <w:sz w:val="24"/>
          <w:szCs w:val="24"/>
        </w:rPr>
        <w:t xml:space="preserve">, also referred to as an off-shoot of the </w:t>
      </w:r>
      <w:r w:rsidRPr="00464401">
        <w:rPr>
          <w:rFonts w:ascii="Arial" w:hAnsi="Arial" w:cs="Arial"/>
          <w:i/>
          <w:sz w:val="24"/>
          <w:szCs w:val="24"/>
        </w:rPr>
        <w:t>indebiti</w:t>
      </w:r>
      <w:r w:rsidRPr="00464401">
        <w:rPr>
          <w:rFonts w:ascii="Arial" w:hAnsi="Arial" w:cs="Arial"/>
          <w:sz w:val="24"/>
          <w:szCs w:val="24"/>
        </w:rPr>
        <w:t xml:space="preserve">. </w:t>
      </w:r>
      <w:r w:rsidR="008B2CF0" w:rsidRPr="00464401">
        <w:rPr>
          <w:rFonts w:ascii="Arial" w:hAnsi="Arial" w:cs="Arial"/>
          <w:sz w:val="24"/>
          <w:szCs w:val="24"/>
        </w:rPr>
        <w:t xml:space="preserve">In that case the agreement between the parties failed without fault on the part of either party and they found themselves in a </w:t>
      </w:r>
      <w:r w:rsidR="007E48F9" w:rsidRPr="00464401">
        <w:rPr>
          <w:rFonts w:ascii="Arial" w:hAnsi="Arial" w:cs="Arial"/>
          <w:sz w:val="24"/>
          <w:szCs w:val="24"/>
        </w:rPr>
        <w:t>situation</w:t>
      </w:r>
      <w:r w:rsidR="008B2CF0" w:rsidRPr="00464401">
        <w:rPr>
          <w:rFonts w:ascii="Arial" w:hAnsi="Arial" w:cs="Arial"/>
          <w:sz w:val="24"/>
          <w:szCs w:val="24"/>
        </w:rPr>
        <w:t xml:space="preserve"> analogous to impossibility of performance as the performance of the </w:t>
      </w:r>
      <w:r w:rsidR="007E48F9" w:rsidRPr="00464401">
        <w:rPr>
          <w:rFonts w:ascii="Arial" w:hAnsi="Arial" w:cs="Arial"/>
          <w:sz w:val="24"/>
          <w:szCs w:val="24"/>
        </w:rPr>
        <w:lastRenderedPageBreak/>
        <w:t>contract</w:t>
      </w:r>
      <w:r w:rsidR="008B2CF0" w:rsidRPr="00464401">
        <w:rPr>
          <w:rFonts w:ascii="Arial" w:hAnsi="Arial" w:cs="Arial"/>
          <w:sz w:val="24"/>
          <w:szCs w:val="24"/>
        </w:rPr>
        <w:t xml:space="preserve"> depended upon the conduct of a third party that was unable or unwilling to perform.</w:t>
      </w:r>
      <w:r w:rsidR="001E3617" w:rsidRPr="00464401">
        <w:rPr>
          <w:rFonts w:ascii="Arial" w:hAnsi="Arial" w:cs="Arial"/>
          <w:sz w:val="24"/>
          <w:szCs w:val="24"/>
        </w:rPr>
        <w:t xml:space="preserve"> </w:t>
      </w:r>
    </w:p>
    <w:p w14:paraId="615C9F62" w14:textId="77777777" w:rsidR="00896044" w:rsidRDefault="00896044" w:rsidP="00E351D8">
      <w:pPr>
        <w:pStyle w:val="NoSpacing"/>
        <w:spacing w:line="480" w:lineRule="auto"/>
        <w:jc w:val="both"/>
        <w:rPr>
          <w:rFonts w:ascii="Arial" w:hAnsi="Arial" w:cs="Arial"/>
          <w:sz w:val="24"/>
          <w:szCs w:val="24"/>
        </w:rPr>
      </w:pPr>
    </w:p>
    <w:p w14:paraId="309B0DE4" w14:textId="64C40252" w:rsidR="00101B8E" w:rsidRPr="00FE6CC0" w:rsidRDefault="001E3617" w:rsidP="00CE6DD3">
      <w:pPr>
        <w:pStyle w:val="NoSpacing"/>
        <w:numPr>
          <w:ilvl w:val="0"/>
          <w:numId w:val="8"/>
        </w:numPr>
        <w:spacing w:line="480" w:lineRule="auto"/>
        <w:ind w:left="0" w:firstLine="0"/>
        <w:jc w:val="both"/>
      </w:pPr>
      <w:r w:rsidRPr="008477D8">
        <w:rPr>
          <w:rFonts w:ascii="Arial" w:hAnsi="Arial" w:cs="Arial"/>
          <w:sz w:val="24"/>
          <w:szCs w:val="24"/>
        </w:rPr>
        <w:t xml:space="preserve">As the </w:t>
      </w:r>
      <w:r w:rsidR="00CE6F0C" w:rsidRPr="008477D8">
        <w:rPr>
          <w:rFonts w:ascii="Arial" w:hAnsi="Arial" w:cs="Arial"/>
          <w:sz w:val="24"/>
          <w:szCs w:val="24"/>
        </w:rPr>
        <w:t xml:space="preserve">Supreme Court of appeal put it at para 15 of </w:t>
      </w:r>
      <w:r w:rsidR="00CE6F0C" w:rsidRPr="008477D8">
        <w:rPr>
          <w:rFonts w:ascii="Arial" w:hAnsi="Arial" w:cs="Arial"/>
          <w:i/>
          <w:sz w:val="24"/>
          <w:szCs w:val="24"/>
        </w:rPr>
        <w:t>Kudu Granite</w:t>
      </w:r>
      <w:r w:rsidR="008477D8" w:rsidRPr="008477D8">
        <w:rPr>
          <w:rFonts w:ascii="Arial" w:hAnsi="Arial" w:cs="Arial"/>
          <w:sz w:val="24"/>
          <w:szCs w:val="24"/>
        </w:rPr>
        <w:t>:</w:t>
      </w:r>
      <w:r w:rsidR="00CE6F0C" w:rsidRPr="008477D8">
        <w:rPr>
          <w:rFonts w:ascii="Arial" w:hAnsi="Arial" w:cs="Arial"/>
          <w:sz w:val="24"/>
          <w:szCs w:val="24"/>
        </w:rPr>
        <w:t xml:space="preserve"> </w:t>
      </w:r>
    </w:p>
    <w:p w14:paraId="4106FFEF" w14:textId="77777777" w:rsidR="00FE6CC0" w:rsidRPr="00CE6F0C" w:rsidRDefault="00FE6CC0" w:rsidP="00FE6CC0">
      <w:pPr>
        <w:pStyle w:val="NoSpacing"/>
        <w:spacing w:line="480" w:lineRule="auto"/>
        <w:jc w:val="both"/>
      </w:pPr>
    </w:p>
    <w:p w14:paraId="585B2865" w14:textId="1B5F98EE" w:rsidR="00CE6F0C" w:rsidRDefault="00101B8E" w:rsidP="00101B8E">
      <w:pPr>
        <w:pStyle w:val="NoSpacing"/>
        <w:spacing w:line="360" w:lineRule="auto"/>
        <w:ind w:left="720"/>
        <w:jc w:val="both"/>
        <w:rPr>
          <w:rFonts w:ascii="Arial" w:hAnsi="Arial" w:cs="Arial"/>
        </w:rPr>
      </w:pPr>
      <w:r>
        <w:rPr>
          <w:rFonts w:ascii="Arial" w:hAnsi="Arial" w:cs="Arial"/>
        </w:rPr>
        <w:t>‘</w:t>
      </w:r>
      <w:r w:rsidR="00CE6F0C" w:rsidRPr="00CE6F0C">
        <w:rPr>
          <w:rFonts w:ascii="Arial" w:hAnsi="Arial" w:cs="Arial"/>
        </w:rPr>
        <w:t xml:space="preserve">Kudu's first contention is well-founded. There is a material difference between suing on a contract for damages following upon cancellation for breach by the other party </w:t>
      </w:r>
      <w:r w:rsidR="00FE6CC0">
        <w:rPr>
          <w:rFonts w:ascii="Arial" w:hAnsi="Arial" w:cs="Arial"/>
        </w:rPr>
        <w:t xml:space="preserve">. . . </w:t>
      </w:r>
      <w:r w:rsidR="00CE6F0C" w:rsidRPr="00CE6F0C">
        <w:rPr>
          <w:rFonts w:ascii="Arial" w:hAnsi="Arial" w:cs="Arial"/>
        </w:rPr>
        <w:t>and having to concede that a contract in which the claim had its foundation, which has not been breached by either party, is of no force and effect. T</w:t>
      </w:r>
      <w:r w:rsidR="00BB7FB4">
        <w:rPr>
          <w:rFonts w:ascii="Arial" w:hAnsi="Arial" w:cs="Arial"/>
        </w:rPr>
        <w:t xml:space="preserve">he first-mentioned scenario </w:t>
      </w:r>
      <w:r w:rsidR="00CE6F0C" w:rsidRPr="00CE6F0C">
        <w:rPr>
          <w:rFonts w:ascii="Arial" w:hAnsi="Arial" w:cs="Arial"/>
        </w:rPr>
        <w:t>gives rise to</w:t>
      </w:r>
      <w:r w:rsidR="00FE6CC0">
        <w:rPr>
          <w:rFonts w:ascii="Arial" w:hAnsi="Arial" w:cs="Arial"/>
        </w:rPr>
        <w:t xml:space="preserve"> a distinct contractual remedy: . . .</w:t>
      </w:r>
      <w:r w:rsidR="00CE6F0C" w:rsidRPr="00CE6F0C">
        <w:rPr>
          <w:rFonts w:ascii="Arial" w:hAnsi="Arial" w:cs="Arial"/>
        </w:rPr>
        <w:t xml:space="preserve"> and restitution may provide a proper measure or substitute for the innocent party's damages. The second situation has been recognised since Roman times as one in which the contra</w:t>
      </w:r>
      <w:r w:rsidR="00BB7FB4">
        <w:rPr>
          <w:rFonts w:ascii="Arial" w:hAnsi="Arial" w:cs="Arial"/>
        </w:rPr>
        <w:t xml:space="preserve">ct gives rise to no rights </w:t>
      </w:r>
      <w:r w:rsidR="00CE6F0C" w:rsidRPr="00CE6F0C">
        <w:rPr>
          <w:rFonts w:ascii="Arial" w:hAnsi="Arial" w:cs="Arial"/>
        </w:rPr>
        <w:t xml:space="preserve">of action and such remedy as exists is to be sought in unjust enrichment, an equitable remedy in which the contractual provisions are largely irrelevant. As Van den Heever J said in </w:t>
      </w:r>
      <w:r w:rsidR="00CE6F0C" w:rsidRPr="00BB7FB4">
        <w:rPr>
          <w:rFonts w:ascii="Arial" w:hAnsi="Arial" w:cs="Arial"/>
          <w:i/>
        </w:rPr>
        <w:t xml:space="preserve">Pucjlowski v Johnston's Executors </w:t>
      </w:r>
      <w:r w:rsidR="00CE6F0C" w:rsidRPr="00CE6F0C">
        <w:rPr>
          <w:rFonts w:ascii="Arial" w:hAnsi="Arial" w:cs="Arial"/>
        </w:rPr>
        <w:t>1946 WLD 1 at 6:</w:t>
      </w:r>
    </w:p>
    <w:p w14:paraId="5351E097" w14:textId="77777777" w:rsidR="00BB7FB4" w:rsidRPr="00CE6F0C" w:rsidRDefault="00BB7FB4" w:rsidP="00101B8E">
      <w:pPr>
        <w:pStyle w:val="NoSpacing"/>
        <w:spacing w:line="360" w:lineRule="auto"/>
        <w:ind w:left="720"/>
        <w:jc w:val="both"/>
        <w:rPr>
          <w:rFonts w:ascii="Arial" w:hAnsi="Arial" w:cs="Arial"/>
        </w:rPr>
      </w:pPr>
    </w:p>
    <w:p w14:paraId="3C2980DC" w14:textId="4CCCF56C" w:rsidR="00CE6F0C" w:rsidRDefault="00BB7FB4" w:rsidP="00101B8E">
      <w:pPr>
        <w:pStyle w:val="NoSpacing"/>
        <w:spacing w:line="360" w:lineRule="auto"/>
        <w:ind w:left="720"/>
        <w:jc w:val="both"/>
        <w:rPr>
          <w:rFonts w:ascii="Arial" w:hAnsi="Arial" w:cs="Arial"/>
        </w:rPr>
      </w:pPr>
      <w:r>
        <w:rPr>
          <w:rFonts w:ascii="Arial" w:hAnsi="Arial" w:cs="Arial"/>
        </w:rPr>
        <w:tab/>
        <w:t>“</w:t>
      </w:r>
      <w:r w:rsidR="00CE6F0C" w:rsidRPr="00CE6F0C">
        <w:rPr>
          <w:rFonts w:ascii="Arial" w:hAnsi="Arial" w:cs="Arial"/>
        </w:rPr>
        <w:t xml:space="preserve">The object of condiction is the recovery of property in which ownership has been transferred pursuant to a juristic act which was </w:t>
      </w:r>
      <w:r w:rsidR="00CE6F0C" w:rsidRPr="00C66777">
        <w:rPr>
          <w:rFonts w:ascii="Arial" w:hAnsi="Arial" w:cs="Arial"/>
          <w:i/>
        </w:rPr>
        <w:t>ab initio</w:t>
      </w:r>
      <w:r w:rsidR="00CE6F0C" w:rsidRPr="00CE6F0C">
        <w:rPr>
          <w:rFonts w:ascii="Arial" w:hAnsi="Arial" w:cs="Arial"/>
        </w:rPr>
        <w:t xml:space="preserve"> unenforceable or has subsequently become inoperative (</w:t>
      </w:r>
      <w:r w:rsidR="00CE6F0C" w:rsidRPr="00C66777">
        <w:rPr>
          <w:rFonts w:ascii="Arial" w:hAnsi="Arial" w:cs="Arial"/>
          <w:i/>
        </w:rPr>
        <w:t>causa non secuta; causa finit</w:t>
      </w:r>
      <w:r w:rsidRPr="00C66777">
        <w:rPr>
          <w:rFonts w:ascii="Arial" w:hAnsi="Arial" w:cs="Arial"/>
          <w:i/>
        </w:rPr>
        <w:t>a</w:t>
      </w:r>
      <w:r>
        <w:rPr>
          <w:rFonts w:ascii="Arial" w:hAnsi="Arial" w:cs="Arial"/>
        </w:rPr>
        <w:t>).”</w:t>
      </w:r>
    </w:p>
    <w:p w14:paraId="350CDDF3" w14:textId="77777777" w:rsidR="00BB7FB4" w:rsidRPr="00CE6F0C" w:rsidRDefault="00BB7FB4" w:rsidP="00101B8E">
      <w:pPr>
        <w:pStyle w:val="NoSpacing"/>
        <w:spacing w:line="360" w:lineRule="auto"/>
        <w:ind w:left="720"/>
        <w:jc w:val="both"/>
        <w:rPr>
          <w:rFonts w:ascii="Arial" w:hAnsi="Arial" w:cs="Arial"/>
        </w:rPr>
      </w:pPr>
    </w:p>
    <w:p w14:paraId="7CC2D81D" w14:textId="519D07C0" w:rsidR="000773FA" w:rsidRDefault="00CE6F0C" w:rsidP="00BB7FB4">
      <w:pPr>
        <w:pStyle w:val="NoSpacing"/>
        <w:spacing w:line="360" w:lineRule="auto"/>
        <w:ind w:left="720"/>
        <w:jc w:val="both"/>
        <w:rPr>
          <w:rFonts w:ascii="Arial" w:hAnsi="Arial" w:cs="Arial"/>
        </w:rPr>
      </w:pPr>
      <w:r w:rsidRPr="00CE6F0C">
        <w:rPr>
          <w:rFonts w:ascii="Arial" w:hAnsi="Arial" w:cs="Arial"/>
        </w:rPr>
        <w:t>The same principle applies if the contract is void due to a statutory prohibition</w:t>
      </w:r>
      <w:r w:rsidR="00FE6CC0">
        <w:rPr>
          <w:rFonts w:ascii="Arial" w:hAnsi="Arial" w:cs="Arial"/>
        </w:rPr>
        <w:t>. . .</w:t>
      </w:r>
      <w:r w:rsidR="0074729C">
        <w:rPr>
          <w:rFonts w:ascii="Arial" w:hAnsi="Arial" w:cs="Arial"/>
        </w:rPr>
        <w:t xml:space="preserve"> </w:t>
      </w:r>
      <w:r w:rsidRPr="00CE6F0C">
        <w:rPr>
          <w:rFonts w:ascii="Arial" w:hAnsi="Arial" w:cs="Arial"/>
        </w:rPr>
        <w:t xml:space="preserve">in which case the </w:t>
      </w:r>
      <w:r w:rsidRPr="00BB7FB4">
        <w:rPr>
          <w:rFonts w:ascii="Arial" w:hAnsi="Arial" w:cs="Arial"/>
          <w:i/>
        </w:rPr>
        <w:t>condictio indebiti</w:t>
      </w:r>
      <w:r w:rsidRPr="00CE6F0C">
        <w:rPr>
          <w:rFonts w:ascii="Arial" w:hAnsi="Arial" w:cs="Arial"/>
        </w:rPr>
        <w:t xml:space="preserve"> applies. There is no reason why contractual and enrichment remedies should be conflated. Caterna's case was one of a lawful agreement which afterwards failed without fault beca</w:t>
      </w:r>
      <w:r w:rsidR="00BB7FB4">
        <w:rPr>
          <w:rFonts w:ascii="Arial" w:hAnsi="Arial" w:cs="Arial"/>
        </w:rPr>
        <w:t xml:space="preserve">use its terms could not be </w:t>
      </w:r>
      <w:r w:rsidRPr="00CE6F0C">
        <w:rPr>
          <w:rFonts w:ascii="Arial" w:hAnsi="Arial" w:cs="Arial"/>
        </w:rPr>
        <w:t>implemented. The intention of the parties was frustrated. The situation in which the parties found themselves was analogous to impossibility of performance since they had made the fate of their contract dependent upon the conduct of a third party (KPMG) who was unable or unwilling to perform. In such circumstances the legal consequence is the extinction of the contractual nexus</w:t>
      </w:r>
      <w:r w:rsidR="0074729C">
        <w:rPr>
          <w:rFonts w:ascii="Arial" w:hAnsi="Arial" w:cs="Arial"/>
        </w:rPr>
        <w:t xml:space="preserve"> </w:t>
      </w:r>
      <w:r w:rsidR="00CE6DD3">
        <w:rPr>
          <w:rFonts w:ascii="Arial" w:hAnsi="Arial" w:cs="Arial"/>
        </w:rPr>
        <w:t>. . .</w:t>
      </w:r>
      <w:r w:rsidRPr="00CE6F0C">
        <w:rPr>
          <w:rFonts w:ascii="Arial" w:hAnsi="Arial" w:cs="Arial"/>
        </w:rPr>
        <w:t xml:space="preserve">The law provides a remedy for that case in the form of the </w:t>
      </w:r>
      <w:r w:rsidRPr="00C66777">
        <w:rPr>
          <w:rFonts w:ascii="Arial" w:hAnsi="Arial" w:cs="Arial"/>
          <w:i/>
        </w:rPr>
        <w:t>condictio ob causam finitam</w:t>
      </w:r>
      <w:r w:rsidRPr="00CE6F0C">
        <w:rPr>
          <w:rFonts w:ascii="Arial" w:hAnsi="Arial" w:cs="Arial"/>
        </w:rPr>
        <w:t xml:space="preserve">, an offshoot of the </w:t>
      </w:r>
      <w:r w:rsidRPr="00C66777">
        <w:rPr>
          <w:rFonts w:ascii="Arial" w:hAnsi="Arial" w:cs="Arial"/>
          <w:i/>
        </w:rPr>
        <w:t>condictio sine causa specialis</w:t>
      </w:r>
      <w:r w:rsidRPr="00CE6F0C">
        <w:rPr>
          <w:rFonts w:ascii="Arial" w:hAnsi="Arial" w:cs="Arial"/>
        </w:rPr>
        <w:t xml:space="preserve">. </w:t>
      </w:r>
    </w:p>
    <w:p w14:paraId="38866DDC" w14:textId="66582E05" w:rsidR="000773FA" w:rsidRDefault="00C66777" w:rsidP="00BB7FB4">
      <w:pPr>
        <w:pStyle w:val="NoSpacing"/>
        <w:spacing w:line="360" w:lineRule="auto"/>
        <w:ind w:left="720"/>
        <w:jc w:val="both"/>
        <w:rPr>
          <w:rFonts w:ascii="Arial" w:hAnsi="Arial" w:cs="Arial"/>
        </w:rPr>
      </w:pPr>
      <w:r>
        <w:rPr>
          <w:rFonts w:ascii="Arial" w:hAnsi="Arial" w:cs="Arial"/>
        </w:rPr>
        <w:t>. . .</w:t>
      </w:r>
    </w:p>
    <w:p w14:paraId="65B17C9D" w14:textId="02F45E70" w:rsidR="000773FA" w:rsidRDefault="000773FA" w:rsidP="00C16692">
      <w:pPr>
        <w:pStyle w:val="NoSpacing"/>
        <w:spacing w:line="360" w:lineRule="auto"/>
        <w:ind w:left="720"/>
        <w:jc w:val="both"/>
        <w:rPr>
          <w:rFonts w:ascii="Arial" w:hAnsi="Arial" w:cs="Arial"/>
        </w:rPr>
      </w:pPr>
      <w:r>
        <w:rPr>
          <w:rFonts w:ascii="Arial" w:hAnsi="Arial" w:cs="Arial"/>
        </w:rPr>
        <w:lastRenderedPageBreak/>
        <w:t>[T]</w:t>
      </w:r>
      <w:r w:rsidR="00CE6F0C" w:rsidRPr="00CE6F0C">
        <w:rPr>
          <w:rFonts w:ascii="Arial" w:hAnsi="Arial" w:cs="Arial"/>
        </w:rPr>
        <w:t xml:space="preserve">he purpose of this remedy is the recovery of property transferred under a valid </w:t>
      </w:r>
      <w:r w:rsidR="00CE6F0C" w:rsidRPr="00C66777">
        <w:rPr>
          <w:rFonts w:ascii="Arial" w:hAnsi="Arial" w:cs="Arial"/>
          <w:i/>
        </w:rPr>
        <w:t>causa</w:t>
      </w:r>
      <w:r w:rsidR="00CE6F0C" w:rsidRPr="00CE6F0C">
        <w:rPr>
          <w:rFonts w:ascii="Arial" w:hAnsi="Arial" w:cs="Arial"/>
        </w:rPr>
        <w:t xml:space="preserve"> which subsequently fell away. </w:t>
      </w:r>
    </w:p>
    <w:p w14:paraId="73D7A4DC" w14:textId="28A8817B" w:rsidR="00C16692" w:rsidRDefault="00C16692" w:rsidP="00BB7FB4">
      <w:pPr>
        <w:pStyle w:val="NoSpacing"/>
        <w:spacing w:line="360" w:lineRule="auto"/>
        <w:ind w:left="720"/>
        <w:jc w:val="both"/>
        <w:rPr>
          <w:rFonts w:ascii="Arial" w:hAnsi="Arial" w:cs="Arial"/>
        </w:rPr>
      </w:pPr>
      <w:r>
        <w:rPr>
          <w:rFonts w:ascii="Arial" w:hAnsi="Arial" w:cs="Arial"/>
        </w:rPr>
        <w:t xml:space="preserve">. . . </w:t>
      </w:r>
    </w:p>
    <w:p w14:paraId="0AA5A2DC" w14:textId="4D066BCE" w:rsidR="000773FA" w:rsidRDefault="00C16692" w:rsidP="00BB7FB4">
      <w:pPr>
        <w:pStyle w:val="NoSpacing"/>
        <w:spacing w:line="360" w:lineRule="auto"/>
        <w:ind w:left="720"/>
        <w:jc w:val="both"/>
        <w:rPr>
          <w:rFonts w:ascii="Arial" w:hAnsi="Arial" w:cs="Arial"/>
        </w:rPr>
      </w:pPr>
      <w:r>
        <w:rPr>
          <w:rFonts w:ascii="Arial" w:hAnsi="Arial" w:cs="Arial"/>
        </w:rPr>
        <w:t xml:space="preserve">. . . </w:t>
      </w:r>
      <w:r w:rsidR="00CE6F0C" w:rsidRPr="00CE6F0C">
        <w:rPr>
          <w:rFonts w:ascii="Arial" w:hAnsi="Arial" w:cs="Arial"/>
        </w:rPr>
        <w:t xml:space="preserve">It is sometimes suggested that the </w:t>
      </w:r>
      <w:r w:rsidR="00CE6F0C" w:rsidRPr="0074729C">
        <w:rPr>
          <w:rFonts w:ascii="Arial" w:hAnsi="Arial" w:cs="Arial"/>
          <w:i/>
        </w:rPr>
        <w:t>con</w:t>
      </w:r>
      <w:r w:rsidR="00BB7FB4" w:rsidRPr="0074729C">
        <w:rPr>
          <w:rFonts w:ascii="Arial" w:hAnsi="Arial" w:cs="Arial"/>
          <w:i/>
        </w:rPr>
        <w:t xml:space="preserve">dictio causa data causa non  </w:t>
      </w:r>
      <w:r w:rsidR="00CE6F0C" w:rsidRPr="0074729C">
        <w:rPr>
          <w:rFonts w:ascii="Arial" w:hAnsi="Arial" w:cs="Arial"/>
          <w:i/>
        </w:rPr>
        <w:t>se</w:t>
      </w:r>
      <w:r w:rsidR="00E81CFF" w:rsidRPr="0074729C">
        <w:rPr>
          <w:rFonts w:ascii="Arial" w:hAnsi="Arial" w:cs="Arial"/>
          <w:i/>
        </w:rPr>
        <w:t>cuta</w:t>
      </w:r>
      <w:r w:rsidR="00E81CFF">
        <w:rPr>
          <w:rFonts w:ascii="Arial" w:hAnsi="Arial" w:cs="Arial"/>
        </w:rPr>
        <w:t xml:space="preserve"> is the appropriate remedy. . . </w:t>
      </w:r>
    </w:p>
    <w:p w14:paraId="540BA1F1" w14:textId="665CD9C0" w:rsidR="000773FA" w:rsidRDefault="000773FA" w:rsidP="00BB7FB4">
      <w:pPr>
        <w:pStyle w:val="NoSpacing"/>
        <w:spacing w:line="360" w:lineRule="auto"/>
        <w:ind w:left="720"/>
        <w:jc w:val="both"/>
        <w:rPr>
          <w:rFonts w:ascii="Arial" w:hAnsi="Arial" w:cs="Arial"/>
        </w:rPr>
      </w:pPr>
    </w:p>
    <w:p w14:paraId="42C300A6" w14:textId="13854DA5" w:rsidR="000773FA" w:rsidRPr="00CE6F0C" w:rsidRDefault="00CE6F0C" w:rsidP="000773FA">
      <w:pPr>
        <w:pStyle w:val="NoSpacing"/>
        <w:spacing w:line="360" w:lineRule="auto"/>
        <w:ind w:left="720"/>
        <w:jc w:val="both"/>
        <w:rPr>
          <w:rFonts w:ascii="Arial" w:hAnsi="Arial" w:cs="Arial"/>
        </w:rPr>
      </w:pPr>
      <w:r w:rsidRPr="00CE6F0C">
        <w:rPr>
          <w:rFonts w:ascii="Arial" w:hAnsi="Arial" w:cs="Arial"/>
        </w:rPr>
        <w:t xml:space="preserve">Indeed </w:t>
      </w:r>
      <w:r w:rsidRPr="00BB7FB4">
        <w:rPr>
          <w:rFonts w:ascii="Arial" w:hAnsi="Arial" w:cs="Arial"/>
          <w:i/>
        </w:rPr>
        <w:t>in Cantiere San Rocco v Clyde Shipbuilding and Engineering</w:t>
      </w:r>
      <w:r w:rsidRPr="00CE6F0C">
        <w:rPr>
          <w:rFonts w:ascii="Arial" w:hAnsi="Arial" w:cs="Arial"/>
        </w:rPr>
        <w:t xml:space="preserve"> Co 1923 SC (HL) 105, a case of a contract frustrated by the outbreak of war which made performance legally impossible, the Judicial Committee after an exhaustive consideration found that </w:t>
      </w:r>
      <w:r w:rsidR="000773FA">
        <w:rPr>
          <w:rFonts w:ascii="Arial" w:hAnsi="Arial" w:cs="Arial"/>
        </w:rPr>
        <w:t xml:space="preserve">that was the remedy.’ </w:t>
      </w:r>
      <w:r w:rsidR="000773FA" w:rsidRPr="000773FA">
        <w:rPr>
          <w:rFonts w:ascii="Arial" w:hAnsi="Arial" w:cs="Arial"/>
          <w:sz w:val="24"/>
          <w:szCs w:val="24"/>
        </w:rPr>
        <w:t>(</w:t>
      </w:r>
      <w:r w:rsidR="00686FEF">
        <w:rPr>
          <w:rFonts w:ascii="Arial" w:hAnsi="Arial" w:cs="Arial"/>
          <w:sz w:val="24"/>
          <w:szCs w:val="24"/>
        </w:rPr>
        <w:t>Se</w:t>
      </w:r>
      <w:r w:rsidR="00C06385">
        <w:rPr>
          <w:rFonts w:ascii="Arial" w:hAnsi="Arial" w:cs="Arial"/>
          <w:sz w:val="24"/>
          <w:szCs w:val="24"/>
        </w:rPr>
        <w:t>v</w:t>
      </w:r>
      <w:r w:rsidR="00686FEF">
        <w:rPr>
          <w:rFonts w:ascii="Arial" w:hAnsi="Arial" w:cs="Arial"/>
          <w:sz w:val="24"/>
          <w:szCs w:val="24"/>
        </w:rPr>
        <w:t xml:space="preserve">eral </w:t>
      </w:r>
      <w:r w:rsidR="000773FA" w:rsidRPr="000773FA">
        <w:rPr>
          <w:rFonts w:ascii="Arial" w:hAnsi="Arial" w:cs="Arial"/>
          <w:sz w:val="24"/>
          <w:szCs w:val="24"/>
        </w:rPr>
        <w:t xml:space="preserve">cited </w:t>
      </w:r>
      <w:r w:rsidR="00686FEF">
        <w:rPr>
          <w:rFonts w:ascii="Arial" w:hAnsi="Arial" w:cs="Arial"/>
          <w:sz w:val="24"/>
          <w:szCs w:val="24"/>
        </w:rPr>
        <w:t xml:space="preserve">sources </w:t>
      </w:r>
      <w:r w:rsidR="000773FA" w:rsidRPr="000773FA">
        <w:rPr>
          <w:rFonts w:ascii="Arial" w:hAnsi="Arial" w:cs="Arial"/>
          <w:sz w:val="24"/>
          <w:szCs w:val="24"/>
        </w:rPr>
        <w:t>omitted).</w:t>
      </w:r>
    </w:p>
    <w:p w14:paraId="51EDE224" w14:textId="47B7C45E" w:rsidR="00CE6F0C" w:rsidRPr="00CE6F0C" w:rsidRDefault="00CE6F0C" w:rsidP="00BB7FB4">
      <w:pPr>
        <w:pStyle w:val="NoSpacing"/>
        <w:spacing w:line="360" w:lineRule="auto"/>
        <w:ind w:left="1440"/>
        <w:jc w:val="both"/>
        <w:rPr>
          <w:rFonts w:ascii="Arial" w:hAnsi="Arial" w:cs="Arial"/>
        </w:rPr>
      </w:pPr>
    </w:p>
    <w:p w14:paraId="2E095792" w14:textId="77777777" w:rsidR="00CE6F0C" w:rsidRDefault="00CE6F0C" w:rsidP="00E351D8">
      <w:pPr>
        <w:pStyle w:val="NoSpacing"/>
        <w:spacing w:line="480" w:lineRule="auto"/>
        <w:jc w:val="both"/>
      </w:pPr>
    </w:p>
    <w:p w14:paraId="60B1BC9F" w14:textId="656DF0B4" w:rsidR="001E3617" w:rsidRPr="001000D4" w:rsidRDefault="001E3617" w:rsidP="00E351D8">
      <w:pPr>
        <w:pStyle w:val="NoSpacing"/>
        <w:numPr>
          <w:ilvl w:val="0"/>
          <w:numId w:val="8"/>
        </w:numPr>
        <w:spacing w:line="480" w:lineRule="auto"/>
        <w:ind w:left="0" w:firstLine="0"/>
        <w:jc w:val="both"/>
        <w:rPr>
          <w:rFonts w:ascii="Arial" w:hAnsi="Arial" w:cs="Arial"/>
          <w:sz w:val="24"/>
          <w:szCs w:val="24"/>
        </w:rPr>
      </w:pPr>
      <w:r w:rsidRPr="001000D4">
        <w:rPr>
          <w:rFonts w:ascii="Arial" w:hAnsi="Arial" w:cs="Arial"/>
          <w:sz w:val="24"/>
          <w:szCs w:val="24"/>
        </w:rPr>
        <w:t xml:space="preserve">No case </w:t>
      </w:r>
      <w:r w:rsidR="000773FA">
        <w:rPr>
          <w:rFonts w:ascii="Arial" w:hAnsi="Arial" w:cs="Arial"/>
          <w:sz w:val="24"/>
          <w:szCs w:val="24"/>
        </w:rPr>
        <w:t xml:space="preserve">analogous to the facts of Kudu Granite </w:t>
      </w:r>
      <w:r w:rsidRPr="001000D4">
        <w:rPr>
          <w:rFonts w:ascii="Arial" w:hAnsi="Arial" w:cs="Arial"/>
          <w:sz w:val="24"/>
          <w:szCs w:val="24"/>
        </w:rPr>
        <w:t>was pleaded by the plaintiff.</w:t>
      </w:r>
      <w:r w:rsidR="00D75B6D" w:rsidRPr="001000D4">
        <w:rPr>
          <w:rFonts w:ascii="Arial" w:hAnsi="Arial" w:cs="Arial"/>
          <w:sz w:val="24"/>
          <w:szCs w:val="24"/>
        </w:rPr>
        <w:t xml:space="preserve"> In </w:t>
      </w:r>
      <w:r w:rsidR="000773FA">
        <w:rPr>
          <w:rFonts w:ascii="Arial" w:hAnsi="Arial" w:cs="Arial"/>
          <w:sz w:val="24"/>
          <w:szCs w:val="24"/>
        </w:rPr>
        <w:t xml:space="preserve">fact, it is an understatement that in </w:t>
      </w:r>
      <w:r w:rsidR="00D75B6D" w:rsidRPr="001000D4">
        <w:rPr>
          <w:rFonts w:ascii="Arial" w:hAnsi="Arial" w:cs="Arial"/>
          <w:sz w:val="24"/>
          <w:szCs w:val="24"/>
        </w:rPr>
        <w:t xml:space="preserve">the present case </w:t>
      </w:r>
      <w:r w:rsidR="007B03B1">
        <w:rPr>
          <w:rFonts w:ascii="Arial" w:hAnsi="Arial" w:cs="Arial"/>
          <w:sz w:val="24"/>
          <w:szCs w:val="24"/>
        </w:rPr>
        <w:t xml:space="preserve">we do not know which </w:t>
      </w:r>
      <w:r w:rsidR="0074729C">
        <w:rPr>
          <w:rFonts w:ascii="Arial" w:hAnsi="Arial" w:cs="Arial"/>
          <w:i/>
          <w:sz w:val="24"/>
          <w:szCs w:val="24"/>
        </w:rPr>
        <w:t>condictio</w:t>
      </w:r>
      <w:r w:rsidR="00D75B6D" w:rsidRPr="001000D4">
        <w:rPr>
          <w:rFonts w:ascii="Arial" w:hAnsi="Arial" w:cs="Arial"/>
          <w:sz w:val="24"/>
          <w:szCs w:val="24"/>
        </w:rPr>
        <w:t xml:space="preserve"> the plaintiff’s case was anchored on.</w:t>
      </w:r>
    </w:p>
    <w:p w14:paraId="55D463E0" w14:textId="77777777" w:rsidR="00D33EBC" w:rsidRPr="001000D4" w:rsidRDefault="00D33EBC" w:rsidP="00E351D8">
      <w:pPr>
        <w:spacing w:line="480" w:lineRule="auto"/>
        <w:jc w:val="both"/>
        <w:rPr>
          <w:rFonts w:cs="Arial"/>
          <w:szCs w:val="24"/>
        </w:rPr>
      </w:pPr>
    </w:p>
    <w:p w14:paraId="50087DDD" w14:textId="0997F525" w:rsidR="00D33EBC" w:rsidRPr="001000D4" w:rsidRDefault="00D33EBC" w:rsidP="00E351D8">
      <w:pPr>
        <w:pStyle w:val="NoSpacing"/>
        <w:numPr>
          <w:ilvl w:val="0"/>
          <w:numId w:val="8"/>
        </w:numPr>
        <w:spacing w:line="480" w:lineRule="auto"/>
        <w:ind w:left="0" w:firstLine="0"/>
        <w:jc w:val="both"/>
        <w:rPr>
          <w:rFonts w:ascii="Arial" w:hAnsi="Arial" w:cs="Arial"/>
          <w:sz w:val="24"/>
          <w:szCs w:val="24"/>
        </w:rPr>
      </w:pPr>
      <w:r w:rsidRPr="001000D4">
        <w:rPr>
          <w:rFonts w:ascii="Arial" w:hAnsi="Arial" w:cs="Arial"/>
          <w:sz w:val="24"/>
          <w:szCs w:val="24"/>
        </w:rPr>
        <w:t xml:space="preserve">The court </w:t>
      </w:r>
      <w:r w:rsidRPr="002B7154">
        <w:rPr>
          <w:rFonts w:ascii="Arial" w:hAnsi="Arial" w:cs="Arial"/>
          <w:i/>
          <w:sz w:val="24"/>
          <w:szCs w:val="24"/>
        </w:rPr>
        <w:t>a quo</w:t>
      </w:r>
      <w:r w:rsidRPr="001000D4">
        <w:rPr>
          <w:rFonts w:ascii="Arial" w:hAnsi="Arial" w:cs="Arial"/>
          <w:sz w:val="24"/>
          <w:szCs w:val="24"/>
        </w:rPr>
        <w:t xml:space="preserve"> therefore misdirected itself in holding that the presumption of enrichment applied to the fa</w:t>
      </w:r>
      <w:r w:rsidR="007B03B1">
        <w:rPr>
          <w:rFonts w:ascii="Arial" w:hAnsi="Arial" w:cs="Arial"/>
          <w:sz w:val="24"/>
          <w:szCs w:val="24"/>
        </w:rPr>
        <w:t>cts</w:t>
      </w:r>
      <w:r w:rsidRPr="001000D4">
        <w:rPr>
          <w:rFonts w:ascii="Arial" w:hAnsi="Arial" w:cs="Arial"/>
          <w:sz w:val="24"/>
          <w:szCs w:val="24"/>
        </w:rPr>
        <w:t xml:space="preserve"> before it.</w:t>
      </w:r>
      <w:r w:rsidR="00CE6F0C">
        <w:rPr>
          <w:rFonts w:ascii="Arial" w:hAnsi="Arial" w:cs="Arial"/>
          <w:sz w:val="24"/>
          <w:szCs w:val="24"/>
        </w:rPr>
        <w:t xml:space="preserve"> The appeal against </w:t>
      </w:r>
      <w:r w:rsidR="001B71F1">
        <w:rPr>
          <w:rFonts w:ascii="Arial" w:hAnsi="Arial" w:cs="Arial"/>
          <w:sz w:val="24"/>
          <w:szCs w:val="24"/>
        </w:rPr>
        <w:t xml:space="preserve">the court </w:t>
      </w:r>
      <w:r w:rsidR="001B71F1" w:rsidRPr="007758ED">
        <w:rPr>
          <w:rFonts w:ascii="Arial" w:hAnsi="Arial" w:cs="Arial"/>
          <w:i/>
          <w:sz w:val="24"/>
          <w:szCs w:val="24"/>
        </w:rPr>
        <w:t>a quo’s</w:t>
      </w:r>
      <w:r w:rsidR="001B71F1">
        <w:rPr>
          <w:rFonts w:ascii="Arial" w:hAnsi="Arial" w:cs="Arial"/>
          <w:sz w:val="24"/>
          <w:szCs w:val="24"/>
        </w:rPr>
        <w:t xml:space="preserve"> </w:t>
      </w:r>
      <w:r w:rsidR="00CE6F0C">
        <w:rPr>
          <w:rFonts w:ascii="Arial" w:hAnsi="Arial" w:cs="Arial"/>
          <w:sz w:val="24"/>
          <w:szCs w:val="24"/>
        </w:rPr>
        <w:t xml:space="preserve">order two should therefore succeed. </w:t>
      </w:r>
    </w:p>
    <w:p w14:paraId="4E515F2D" w14:textId="77777777" w:rsidR="004E3EAB" w:rsidRDefault="004E3EAB" w:rsidP="00E351D8">
      <w:pPr>
        <w:spacing w:line="480" w:lineRule="auto"/>
        <w:jc w:val="both"/>
        <w:rPr>
          <w:rFonts w:cs="Arial"/>
          <w:szCs w:val="24"/>
        </w:rPr>
      </w:pPr>
    </w:p>
    <w:p w14:paraId="439BF3B8" w14:textId="481D3F86" w:rsidR="009A128C" w:rsidRDefault="00572F8A" w:rsidP="00E351D8">
      <w:pPr>
        <w:pStyle w:val="NoSpacing"/>
        <w:numPr>
          <w:ilvl w:val="0"/>
          <w:numId w:val="8"/>
        </w:numPr>
        <w:spacing w:line="480" w:lineRule="auto"/>
        <w:ind w:left="0" w:firstLine="0"/>
        <w:jc w:val="both"/>
        <w:rPr>
          <w:rFonts w:ascii="Arial" w:hAnsi="Arial" w:cs="Arial"/>
          <w:sz w:val="24"/>
          <w:szCs w:val="24"/>
        </w:rPr>
      </w:pPr>
      <w:r w:rsidRPr="001000D4">
        <w:rPr>
          <w:rFonts w:ascii="Arial" w:hAnsi="Arial" w:cs="Arial"/>
          <w:sz w:val="24"/>
          <w:szCs w:val="24"/>
        </w:rPr>
        <w:t>In the view that I take o</w:t>
      </w:r>
      <w:r w:rsidR="00375E96" w:rsidRPr="001000D4">
        <w:rPr>
          <w:rFonts w:ascii="Arial" w:hAnsi="Arial" w:cs="Arial"/>
          <w:sz w:val="24"/>
          <w:szCs w:val="24"/>
        </w:rPr>
        <w:t xml:space="preserve">f </w:t>
      </w:r>
      <w:r w:rsidR="005978EA" w:rsidRPr="001000D4">
        <w:rPr>
          <w:rFonts w:ascii="Arial" w:hAnsi="Arial" w:cs="Arial"/>
          <w:sz w:val="24"/>
          <w:szCs w:val="24"/>
        </w:rPr>
        <w:t xml:space="preserve">the plaintiff’s </w:t>
      </w:r>
      <w:r w:rsidRPr="001000D4">
        <w:rPr>
          <w:rFonts w:ascii="Arial" w:hAnsi="Arial" w:cs="Arial"/>
          <w:sz w:val="24"/>
          <w:szCs w:val="24"/>
        </w:rPr>
        <w:t xml:space="preserve"> failure to allege and prove enrichment under claim one, it </w:t>
      </w:r>
      <w:r w:rsidR="007B03B1">
        <w:rPr>
          <w:rFonts w:ascii="Arial" w:hAnsi="Arial" w:cs="Arial"/>
          <w:sz w:val="24"/>
          <w:szCs w:val="24"/>
        </w:rPr>
        <w:t xml:space="preserve">is </w:t>
      </w:r>
      <w:r w:rsidRPr="001000D4">
        <w:rPr>
          <w:rFonts w:ascii="Arial" w:hAnsi="Arial" w:cs="Arial"/>
          <w:sz w:val="24"/>
          <w:szCs w:val="24"/>
        </w:rPr>
        <w:t xml:space="preserve">unnecessary to decide if the moneys in question amount to a gift. </w:t>
      </w:r>
    </w:p>
    <w:p w14:paraId="763C7701" w14:textId="77777777" w:rsidR="006860F6" w:rsidRPr="00CE6F0C" w:rsidRDefault="006860F6" w:rsidP="006860F6">
      <w:pPr>
        <w:pStyle w:val="NoSpacing"/>
        <w:spacing w:line="480" w:lineRule="auto"/>
        <w:jc w:val="both"/>
        <w:rPr>
          <w:rFonts w:ascii="Arial" w:hAnsi="Arial" w:cs="Arial"/>
          <w:sz w:val="24"/>
          <w:szCs w:val="24"/>
        </w:rPr>
      </w:pPr>
    </w:p>
    <w:p w14:paraId="7C0AC583" w14:textId="21BA7CFA" w:rsidR="009A128C" w:rsidRPr="001000D4" w:rsidRDefault="002B7154" w:rsidP="00E351D8">
      <w:pPr>
        <w:spacing w:line="480" w:lineRule="auto"/>
        <w:jc w:val="both"/>
        <w:rPr>
          <w:rFonts w:cs="Arial"/>
          <w:szCs w:val="24"/>
          <w:u w:val="single"/>
        </w:rPr>
      </w:pPr>
      <w:r>
        <w:rPr>
          <w:rFonts w:cs="Arial"/>
          <w:szCs w:val="24"/>
          <w:u w:val="single"/>
        </w:rPr>
        <w:t>Claim three</w:t>
      </w:r>
      <w:r w:rsidR="009A128C" w:rsidRPr="001000D4">
        <w:rPr>
          <w:rFonts w:cs="Arial"/>
          <w:szCs w:val="24"/>
          <w:u w:val="single"/>
        </w:rPr>
        <w:t xml:space="preserve"> (loan to buy game)</w:t>
      </w:r>
    </w:p>
    <w:p w14:paraId="5BC7B37A" w14:textId="77777777" w:rsidR="0004607A" w:rsidRDefault="00A27381" w:rsidP="00E351D8">
      <w:pPr>
        <w:pStyle w:val="NoSpacing"/>
        <w:numPr>
          <w:ilvl w:val="0"/>
          <w:numId w:val="8"/>
        </w:numPr>
        <w:spacing w:line="480" w:lineRule="auto"/>
        <w:ind w:left="0" w:firstLine="0"/>
        <w:jc w:val="both"/>
        <w:rPr>
          <w:rFonts w:ascii="Arial" w:hAnsi="Arial" w:cs="Arial"/>
          <w:sz w:val="24"/>
          <w:szCs w:val="24"/>
        </w:rPr>
      </w:pPr>
      <w:r w:rsidRPr="001000D4">
        <w:rPr>
          <w:rFonts w:ascii="Arial" w:hAnsi="Arial" w:cs="Arial"/>
          <w:sz w:val="24"/>
          <w:szCs w:val="24"/>
        </w:rPr>
        <w:t>It is common cause that the claim in relation to the money advanced for the purchase of game was not part of the enrichment claim but a loan</w:t>
      </w:r>
      <w:r w:rsidR="00C74FC3" w:rsidRPr="001000D4">
        <w:rPr>
          <w:rFonts w:ascii="Arial" w:hAnsi="Arial" w:cs="Arial"/>
          <w:sz w:val="24"/>
          <w:szCs w:val="24"/>
        </w:rPr>
        <w:t xml:space="preserve"> </w:t>
      </w:r>
      <w:r w:rsidR="00C74FC3" w:rsidRPr="001000D4">
        <w:rPr>
          <w:rFonts w:ascii="Arial" w:hAnsi="Arial" w:cs="Arial"/>
          <w:i/>
          <w:sz w:val="24"/>
          <w:szCs w:val="24"/>
        </w:rPr>
        <w:t>simpliciter</w:t>
      </w:r>
      <w:r w:rsidRPr="001000D4">
        <w:rPr>
          <w:rFonts w:ascii="Arial" w:hAnsi="Arial" w:cs="Arial"/>
          <w:sz w:val="24"/>
          <w:szCs w:val="24"/>
        </w:rPr>
        <w:t xml:space="preserve">. </w:t>
      </w:r>
      <w:r w:rsidR="00C74FC3" w:rsidRPr="001000D4">
        <w:rPr>
          <w:rFonts w:ascii="Arial" w:hAnsi="Arial" w:cs="Arial"/>
          <w:sz w:val="24"/>
          <w:szCs w:val="24"/>
        </w:rPr>
        <w:t>The basis of o</w:t>
      </w:r>
      <w:r w:rsidR="009A128C" w:rsidRPr="001000D4">
        <w:rPr>
          <w:rFonts w:ascii="Arial" w:hAnsi="Arial" w:cs="Arial"/>
          <w:sz w:val="24"/>
          <w:szCs w:val="24"/>
        </w:rPr>
        <w:t xml:space="preserve">pposition to this claim </w:t>
      </w:r>
      <w:r w:rsidR="00C74FC3" w:rsidRPr="001000D4">
        <w:rPr>
          <w:rFonts w:ascii="Arial" w:hAnsi="Arial" w:cs="Arial"/>
          <w:sz w:val="24"/>
          <w:szCs w:val="24"/>
        </w:rPr>
        <w:t xml:space="preserve">is rather confusing and seems to have evolved over </w:t>
      </w:r>
      <w:r w:rsidR="00C74FC3" w:rsidRPr="001000D4">
        <w:rPr>
          <w:rFonts w:ascii="Arial" w:hAnsi="Arial" w:cs="Arial"/>
          <w:sz w:val="24"/>
          <w:szCs w:val="24"/>
        </w:rPr>
        <w:lastRenderedPageBreak/>
        <w:t xml:space="preserve">time. </w:t>
      </w:r>
      <w:r w:rsidR="009A128C" w:rsidRPr="001000D4">
        <w:rPr>
          <w:rFonts w:ascii="Arial" w:hAnsi="Arial" w:cs="Arial"/>
          <w:sz w:val="24"/>
          <w:szCs w:val="24"/>
        </w:rPr>
        <w:t xml:space="preserve">It is said, in the </w:t>
      </w:r>
      <w:r w:rsidR="00DC29D8" w:rsidRPr="001000D4">
        <w:rPr>
          <w:rFonts w:ascii="Arial" w:hAnsi="Arial" w:cs="Arial"/>
          <w:sz w:val="24"/>
          <w:szCs w:val="24"/>
        </w:rPr>
        <w:t>first</w:t>
      </w:r>
      <w:r w:rsidR="009A128C" w:rsidRPr="001000D4">
        <w:rPr>
          <w:rFonts w:ascii="Arial" w:hAnsi="Arial" w:cs="Arial"/>
          <w:sz w:val="24"/>
          <w:szCs w:val="24"/>
        </w:rPr>
        <w:t xml:space="preserve"> place, that the agreement between the parties was that the loan was to be repaid with income to be earned from hunters that </w:t>
      </w:r>
      <w:r w:rsidR="00C74FC3" w:rsidRPr="001000D4">
        <w:rPr>
          <w:rFonts w:ascii="Arial" w:hAnsi="Arial" w:cs="Arial"/>
          <w:sz w:val="24"/>
          <w:szCs w:val="24"/>
        </w:rPr>
        <w:t>the plaintiff</w:t>
      </w:r>
      <w:r w:rsidR="009A128C" w:rsidRPr="001000D4">
        <w:rPr>
          <w:rFonts w:ascii="Arial" w:hAnsi="Arial" w:cs="Arial"/>
          <w:sz w:val="24"/>
          <w:szCs w:val="24"/>
        </w:rPr>
        <w:t xml:space="preserve"> would bring to the farm but that he failed to do so and therefore waived the right to repayment of the loan.</w:t>
      </w:r>
    </w:p>
    <w:p w14:paraId="3A18116D" w14:textId="173D34DA" w:rsidR="0004607A" w:rsidRDefault="009A128C" w:rsidP="00E351D8">
      <w:pPr>
        <w:pStyle w:val="NoSpacing"/>
        <w:spacing w:line="480" w:lineRule="auto"/>
        <w:jc w:val="both"/>
        <w:rPr>
          <w:rFonts w:ascii="Arial" w:hAnsi="Arial" w:cs="Arial"/>
          <w:sz w:val="24"/>
          <w:szCs w:val="24"/>
        </w:rPr>
      </w:pPr>
      <w:r w:rsidRPr="001000D4">
        <w:rPr>
          <w:rFonts w:ascii="Arial" w:hAnsi="Arial" w:cs="Arial"/>
          <w:sz w:val="24"/>
          <w:szCs w:val="24"/>
        </w:rPr>
        <w:t xml:space="preserve"> </w:t>
      </w:r>
    </w:p>
    <w:p w14:paraId="3F075626" w14:textId="6D9B4659" w:rsidR="00C77C81" w:rsidRDefault="009A128C" w:rsidP="00E351D8">
      <w:pPr>
        <w:pStyle w:val="NoSpacing"/>
        <w:numPr>
          <w:ilvl w:val="0"/>
          <w:numId w:val="8"/>
        </w:numPr>
        <w:spacing w:line="480" w:lineRule="auto"/>
        <w:ind w:left="0" w:firstLine="0"/>
        <w:jc w:val="both"/>
        <w:rPr>
          <w:rFonts w:ascii="Arial" w:hAnsi="Arial" w:cs="Arial"/>
          <w:sz w:val="24"/>
          <w:szCs w:val="24"/>
        </w:rPr>
      </w:pPr>
      <w:r w:rsidRPr="001000D4">
        <w:rPr>
          <w:rFonts w:ascii="Arial" w:hAnsi="Arial" w:cs="Arial"/>
          <w:sz w:val="24"/>
          <w:szCs w:val="24"/>
        </w:rPr>
        <w:t xml:space="preserve">On the other hand </w:t>
      </w:r>
      <w:r w:rsidR="00C74FC3" w:rsidRPr="001000D4">
        <w:rPr>
          <w:rFonts w:ascii="Arial" w:hAnsi="Arial" w:cs="Arial"/>
          <w:sz w:val="24"/>
          <w:szCs w:val="24"/>
        </w:rPr>
        <w:t xml:space="preserve">it was suggested </w:t>
      </w:r>
      <w:r w:rsidRPr="001000D4">
        <w:rPr>
          <w:rFonts w:ascii="Arial" w:hAnsi="Arial" w:cs="Arial"/>
          <w:sz w:val="24"/>
          <w:szCs w:val="24"/>
        </w:rPr>
        <w:t xml:space="preserve">that </w:t>
      </w:r>
      <w:r w:rsidR="00C74FC3" w:rsidRPr="001000D4">
        <w:rPr>
          <w:rFonts w:ascii="Arial" w:hAnsi="Arial" w:cs="Arial"/>
          <w:sz w:val="24"/>
          <w:szCs w:val="24"/>
        </w:rPr>
        <w:t xml:space="preserve">the plaintiff </w:t>
      </w:r>
      <w:r w:rsidRPr="001000D4">
        <w:rPr>
          <w:rFonts w:ascii="Arial" w:hAnsi="Arial" w:cs="Arial"/>
          <w:sz w:val="24"/>
          <w:szCs w:val="24"/>
        </w:rPr>
        <w:t>relieved the defendants from the obligation to repay the loan on condition that he and his partner obtain</w:t>
      </w:r>
      <w:r w:rsidR="0004607A">
        <w:rPr>
          <w:rFonts w:ascii="Arial" w:hAnsi="Arial" w:cs="Arial"/>
          <w:sz w:val="24"/>
          <w:szCs w:val="24"/>
        </w:rPr>
        <w:t xml:space="preserve"> permanent residence in Namibia – </w:t>
      </w:r>
      <w:r w:rsidR="00216A06">
        <w:rPr>
          <w:rFonts w:ascii="Arial" w:hAnsi="Arial" w:cs="Arial"/>
          <w:sz w:val="24"/>
          <w:szCs w:val="24"/>
        </w:rPr>
        <w:t>w</w:t>
      </w:r>
      <w:r w:rsidR="0004607A">
        <w:rPr>
          <w:rFonts w:ascii="Arial" w:hAnsi="Arial" w:cs="Arial"/>
          <w:sz w:val="24"/>
          <w:szCs w:val="24"/>
        </w:rPr>
        <w:t>hich they failed to do in any event.</w:t>
      </w:r>
    </w:p>
    <w:p w14:paraId="6855AE99" w14:textId="77777777" w:rsidR="0004607A" w:rsidRPr="002B7154" w:rsidRDefault="0004607A" w:rsidP="00E351D8">
      <w:pPr>
        <w:pStyle w:val="NoSpacing"/>
        <w:spacing w:line="480" w:lineRule="auto"/>
        <w:jc w:val="both"/>
        <w:rPr>
          <w:rFonts w:ascii="Arial" w:hAnsi="Arial" w:cs="Arial"/>
          <w:sz w:val="24"/>
          <w:szCs w:val="24"/>
        </w:rPr>
      </w:pPr>
    </w:p>
    <w:p w14:paraId="1780D63C" w14:textId="7EA47982" w:rsidR="00C77C81" w:rsidRDefault="00C77C81" w:rsidP="00E351D8">
      <w:pPr>
        <w:pStyle w:val="NoSpacing"/>
        <w:numPr>
          <w:ilvl w:val="0"/>
          <w:numId w:val="8"/>
        </w:numPr>
        <w:spacing w:line="480" w:lineRule="auto"/>
        <w:ind w:left="0" w:firstLine="0"/>
        <w:jc w:val="both"/>
        <w:rPr>
          <w:rFonts w:ascii="Arial" w:hAnsi="Arial" w:cs="Arial"/>
          <w:sz w:val="24"/>
          <w:szCs w:val="24"/>
        </w:rPr>
      </w:pPr>
      <w:r w:rsidRPr="001000D4">
        <w:rPr>
          <w:rFonts w:ascii="Arial" w:hAnsi="Arial" w:cs="Arial"/>
          <w:sz w:val="24"/>
          <w:szCs w:val="24"/>
        </w:rPr>
        <w:t xml:space="preserve">The </w:t>
      </w:r>
      <w:r w:rsidR="00C74FC3" w:rsidRPr="001000D4">
        <w:rPr>
          <w:rFonts w:ascii="Arial" w:hAnsi="Arial" w:cs="Arial"/>
          <w:sz w:val="24"/>
          <w:szCs w:val="24"/>
        </w:rPr>
        <w:t xml:space="preserve">confusion is accentuated by the fact </w:t>
      </w:r>
      <w:r w:rsidR="002B7154">
        <w:rPr>
          <w:rFonts w:ascii="Arial" w:hAnsi="Arial" w:cs="Arial"/>
          <w:sz w:val="24"/>
          <w:szCs w:val="24"/>
        </w:rPr>
        <w:t xml:space="preserve">that </w:t>
      </w:r>
      <w:r w:rsidR="00C74FC3" w:rsidRPr="001000D4">
        <w:rPr>
          <w:rFonts w:ascii="Arial" w:hAnsi="Arial" w:cs="Arial"/>
          <w:sz w:val="24"/>
          <w:szCs w:val="24"/>
        </w:rPr>
        <w:t xml:space="preserve">the defences referred to stand in </w:t>
      </w:r>
      <w:r w:rsidRPr="001000D4">
        <w:rPr>
          <w:rFonts w:ascii="Arial" w:hAnsi="Arial" w:cs="Arial"/>
          <w:sz w:val="24"/>
          <w:szCs w:val="24"/>
        </w:rPr>
        <w:t xml:space="preserve">sharp contrast to the contemporaneous correspondence between the parties in which Mr </w:t>
      </w:r>
      <w:r w:rsidR="00760DE5">
        <w:rPr>
          <w:rFonts w:ascii="Arial" w:hAnsi="Arial" w:cs="Arial"/>
          <w:sz w:val="24"/>
          <w:szCs w:val="24"/>
        </w:rPr>
        <w:t>Brandt</w:t>
      </w:r>
      <w:r w:rsidR="009A26AB">
        <w:rPr>
          <w:rFonts w:ascii="Arial" w:hAnsi="Arial" w:cs="Arial"/>
          <w:sz w:val="24"/>
          <w:szCs w:val="24"/>
        </w:rPr>
        <w:t>,</w:t>
      </w:r>
      <w:r w:rsidRPr="001000D4">
        <w:rPr>
          <w:rFonts w:ascii="Arial" w:hAnsi="Arial" w:cs="Arial"/>
          <w:sz w:val="24"/>
          <w:szCs w:val="24"/>
        </w:rPr>
        <w:t xml:space="preserve"> on behalf of the defendants</w:t>
      </w:r>
      <w:r w:rsidR="009A26AB">
        <w:rPr>
          <w:rFonts w:ascii="Arial" w:hAnsi="Arial" w:cs="Arial"/>
          <w:sz w:val="24"/>
          <w:szCs w:val="24"/>
        </w:rPr>
        <w:t>,</w:t>
      </w:r>
      <w:r w:rsidRPr="001000D4">
        <w:rPr>
          <w:rFonts w:ascii="Arial" w:hAnsi="Arial" w:cs="Arial"/>
          <w:sz w:val="24"/>
          <w:szCs w:val="24"/>
        </w:rPr>
        <w:t xml:space="preserve"> on 24 November 2004 admitted liability for the debt and in fact made an offer to repay.</w:t>
      </w:r>
    </w:p>
    <w:p w14:paraId="20A18761" w14:textId="77777777" w:rsidR="004229B6" w:rsidRPr="006860F6" w:rsidRDefault="004229B6" w:rsidP="004229B6">
      <w:pPr>
        <w:pStyle w:val="NoSpacing"/>
        <w:spacing w:line="480" w:lineRule="auto"/>
        <w:jc w:val="both"/>
        <w:rPr>
          <w:rFonts w:ascii="Arial" w:hAnsi="Arial" w:cs="Arial"/>
          <w:sz w:val="24"/>
          <w:szCs w:val="24"/>
        </w:rPr>
      </w:pPr>
    </w:p>
    <w:p w14:paraId="68222E0E" w14:textId="345C8958" w:rsidR="00C77C81" w:rsidRPr="001000D4" w:rsidRDefault="006640E1" w:rsidP="00E351D8">
      <w:pPr>
        <w:pStyle w:val="NoSpacing"/>
        <w:numPr>
          <w:ilvl w:val="0"/>
          <w:numId w:val="8"/>
        </w:numPr>
        <w:spacing w:line="480" w:lineRule="auto"/>
        <w:ind w:left="0" w:firstLine="0"/>
        <w:jc w:val="both"/>
        <w:rPr>
          <w:rFonts w:ascii="Arial" w:hAnsi="Arial" w:cs="Arial"/>
          <w:sz w:val="24"/>
          <w:szCs w:val="24"/>
        </w:rPr>
      </w:pPr>
      <w:r w:rsidRPr="001000D4">
        <w:rPr>
          <w:rFonts w:ascii="Arial" w:hAnsi="Arial" w:cs="Arial"/>
          <w:sz w:val="24"/>
          <w:szCs w:val="24"/>
        </w:rPr>
        <w:t>In his letter of 24 November 2004</w:t>
      </w:r>
      <w:r w:rsidR="00F43E37" w:rsidRPr="001000D4">
        <w:rPr>
          <w:rFonts w:ascii="Arial" w:hAnsi="Arial" w:cs="Arial"/>
          <w:sz w:val="24"/>
          <w:szCs w:val="24"/>
        </w:rPr>
        <w:t>,</w:t>
      </w:r>
      <w:r w:rsidRPr="001000D4">
        <w:rPr>
          <w:rFonts w:ascii="Arial" w:hAnsi="Arial" w:cs="Arial"/>
          <w:sz w:val="24"/>
          <w:szCs w:val="24"/>
        </w:rPr>
        <w:t xml:space="preserve"> Mr </w:t>
      </w:r>
      <w:r w:rsidR="00760DE5">
        <w:rPr>
          <w:rFonts w:ascii="Arial" w:hAnsi="Arial" w:cs="Arial"/>
          <w:sz w:val="24"/>
          <w:szCs w:val="24"/>
        </w:rPr>
        <w:t>Brandt</w:t>
      </w:r>
      <w:r w:rsidRPr="001000D4">
        <w:rPr>
          <w:rFonts w:ascii="Arial" w:hAnsi="Arial" w:cs="Arial"/>
          <w:sz w:val="24"/>
          <w:szCs w:val="24"/>
        </w:rPr>
        <w:t xml:space="preserve"> informed the plaintiff that he had written instructions to convey the defendants’ position on a host of issues. In para 7 of the written instructions, the following is stated by the defendants:</w:t>
      </w:r>
    </w:p>
    <w:p w14:paraId="4BBBF143" w14:textId="77777777" w:rsidR="00A05CC1" w:rsidRPr="001000D4" w:rsidRDefault="00A05CC1" w:rsidP="00E351D8">
      <w:pPr>
        <w:spacing w:line="480" w:lineRule="auto"/>
        <w:jc w:val="both"/>
        <w:rPr>
          <w:rFonts w:cs="Arial"/>
          <w:szCs w:val="24"/>
        </w:rPr>
      </w:pPr>
    </w:p>
    <w:p w14:paraId="5F4BB568" w14:textId="6801AA91" w:rsidR="0087243A" w:rsidRPr="00C6495B" w:rsidRDefault="00A05CC1" w:rsidP="00C6495B">
      <w:pPr>
        <w:spacing w:line="360" w:lineRule="auto"/>
        <w:ind w:left="720"/>
        <w:jc w:val="both"/>
        <w:rPr>
          <w:sz w:val="22"/>
        </w:rPr>
      </w:pPr>
      <w:r w:rsidRPr="00A05CC1">
        <w:rPr>
          <w:sz w:val="22"/>
        </w:rPr>
        <w:t xml:space="preserve">‘7) Animals (black wildebeest): - these animals are fully repayable upon agreement. According to agreement these animals were also to be repaid by means of hunting guests and then these debts were also to be waived as soon as Mr Lauer received the temporary residence. Since Mr Lauer will probably no longer procure any hunters and the temporary residence is still undecided, Mr </w:t>
      </w:r>
      <w:r w:rsidR="006E2D54">
        <w:rPr>
          <w:sz w:val="22"/>
        </w:rPr>
        <w:t>Müller</w:t>
      </w:r>
      <w:r w:rsidRPr="00A05CC1">
        <w:rPr>
          <w:sz w:val="22"/>
        </w:rPr>
        <w:t xml:space="preserve"> is prepared to repay these animals to Mr Lauer. Under the above circumstances Mr </w:t>
      </w:r>
      <w:r w:rsidR="006E2D54">
        <w:rPr>
          <w:sz w:val="22"/>
        </w:rPr>
        <w:t>Müller</w:t>
      </w:r>
      <w:r w:rsidRPr="00A05CC1">
        <w:rPr>
          <w:sz w:val="22"/>
        </w:rPr>
        <w:t xml:space="preserve"> will undertake to repay these animals without interest at N$ 2000 per month as from January 2011 into Mr Lauer’s existing Bank Windhoek account. Should there be more income in different months, Mr </w:t>
      </w:r>
      <w:r w:rsidR="006E2D54">
        <w:rPr>
          <w:sz w:val="22"/>
        </w:rPr>
        <w:t>Müller</w:t>
      </w:r>
      <w:r w:rsidRPr="00A05CC1">
        <w:rPr>
          <w:sz w:val="22"/>
        </w:rPr>
        <w:t xml:space="preserve"> would pay more in such months. Otherwise N$ 2000 per month.’</w:t>
      </w:r>
    </w:p>
    <w:p w14:paraId="4070D6BF" w14:textId="026C156E" w:rsidR="00974B3A" w:rsidRPr="001000D4" w:rsidRDefault="00974B3A" w:rsidP="00E351D8">
      <w:pPr>
        <w:pStyle w:val="NoSpacing"/>
        <w:numPr>
          <w:ilvl w:val="0"/>
          <w:numId w:val="8"/>
        </w:numPr>
        <w:spacing w:line="480" w:lineRule="auto"/>
        <w:ind w:left="0" w:firstLine="0"/>
        <w:jc w:val="both"/>
        <w:rPr>
          <w:rFonts w:ascii="Arial" w:hAnsi="Arial" w:cs="Arial"/>
          <w:sz w:val="24"/>
          <w:szCs w:val="24"/>
        </w:rPr>
      </w:pPr>
      <w:r w:rsidRPr="001000D4">
        <w:rPr>
          <w:rFonts w:ascii="Arial" w:hAnsi="Arial" w:cs="Arial"/>
          <w:sz w:val="24"/>
          <w:szCs w:val="24"/>
        </w:rPr>
        <w:lastRenderedPageBreak/>
        <w:t xml:space="preserve">The learned judge </w:t>
      </w:r>
      <w:r w:rsidRPr="002B7154">
        <w:rPr>
          <w:rFonts w:ascii="Arial" w:hAnsi="Arial" w:cs="Arial"/>
          <w:i/>
          <w:sz w:val="24"/>
          <w:szCs w:val="24"/>
        </w:rPr>
        <w:t>a quo</w:t>
      </w:r>
      <w:r w:rsidRPr="001000D4">
        <w:rPr>
          <w:rFonts w:ascii="Arial" w:hAnsi="Arial" w:cs="Arial"/>
          <w:sz w:val="24"/>
          <w:szCs w:val="24"/>
        </w:rPr>
        <w:t xml:space="preserve"> reject</w:t>
      </w:r>
      <w:r w:rsidR="00AF1F20" w:rsidRPr="001000D4">
        <w:rPr>
          <w:rFonts w:ascii="Arial" w:hAnsi="Arial" w:cs="Arial"/>
          <w:sz w:val="24"/>
          <w:szCs w:val="24"/>
        </w:rPr>
        <w:t>ed</w:t>
      </w:r>
      <w:r w:rsidRPr="001000D4">
        <w:rPr>
          <w:rFonts w:ascii="Arial" w:hAnsi="Arial" w:cs="Arial"/>
          <w:sz w:val="24"/>
          <w:szCs w:val="24"/>
        </w:rPr>
        <w:t xml:space="preserve"> the defence to claim</w:t>
      </w:r>
      <w:r w:rsidR="00AF0A3B">
        <w:rPr>
          <w:rFonts w:ascii="Arial" w:hAnsi="Arial" w:cs="Arial"/>
          <w:sz w:val="24"/>
          <w:szCs w:val="24"/>
        </w:rPr>
        <w:t xml:space="preserve"> three</w:t>
      </w:r>
      <w:r w:rsidR="00AF1F20" w:rsidRPr="001000D4">
        <w:rPr>
          <w:rFonts w:ascii="Arial" w:hAnsi="Arial" w:cs="Arial"/>
          <w:sz w:val="24"/>
          <w:szCs w:val="24"/>
        </w:rPr>
        <w:t xml:space="preserve"> and was satisfied that </w:t>
      </w:r>
      <w:r w:rsidR="00F66A6F" w:rsidRPr="001000D4">
        <w:rPr>
          <w:rFonts w:ascii="Arial" w:hAnsi="Arial" w:cs="Arial"/>
          <w:sz w:val="24"/>
          <w:szCs w:val="24"/>
        </w:rPr>
        <w:t>the plaintiff had proved the c</w:t>
      </w:r>
      <w:r w:rsidR="009A26AB">
        <w:rPr>
          <w:rFonts w:ascii="Arial" w:hAnsi="Arial" w:cs="Arial"/>
          <w:sz w:val="24"/>
          <w:szCs w:val="24"/>
        </w:rPr>
        <w:t>laim</w:t>
      </w:r>
      <w:r w:rsidR="00F66A6F" w:rsidRPr="001000D4">
        <w:rPr>
          <w:rFonts w:ascii="Arial" w:hAnsi="Arial" w:cs="Arial"/>
          <w:sz w:val="24"/>
          <w:szCs w:val="24"/>
        </w:rPr>
        <w:t xml:space="preserve"> on the terms alleged in his particulars of claim</w:t>
      </w:r>
      <w:r w:rsidRPr="001000D4">
        <w:rPr>
          <w:rFonts w:ascii="Arial" w:hAnsi="Arial" w:cs="Arial"/>
          <w:sz w:val="24"/>
          <w:szCs w:val="24"/>
        </w:rPr>
        <w:t xml:space="preserve">. </w:t>
      </w:r>
      <w:r w:rsidR="00F66A6F" w:rsidRPr="001000D4">
        <w:rPr>
          <w:rFonts w:ascii="Arial" w:hAnsi="Arial" w:cs="Arial"/>
          <w:sz w:val="24"/>
          <w:szCs w:val="24"/>
        </w:rPr>
        <w:t xml:space="preserve">The learned judge relied amongst others on the following considerations. </w:t>
      </w:r>
      <w:r w:rsidRPr="001000D4">
        <w:rPr>
          <w:rFonts w:ascii="Arial" w:hAnsi="Arial" w:cs="Arial"/>
          <w:sz w:val="24"/>
          <w:szCs w:val="24"/>
        </w:rPr>
        <w:t>The first is that the reliance by the defendants on email correspondence between the parties allegedly proving that the plaintiff considered the payment a donation, is not supported by the very terms of that correspondence. Secondly, that the defendant</w:t>
      </w:r>
      <w:r w:rsidR="009A26AB">
        <w:rPr>
          <w:rFonts w:ascii="Arial" w:hAnsi="Arial" w:cs="Arial"/>
          <w:sz w:val="24"/>
          <w:szCs w:val="24"/>
        </w:rPr>
        <w:t>s</w:t>
      </w:r>
      <w:r w:rsidRPr="001000D4">
        <w:rPr>
          <w:rFonts w:ascii="Arial" w:hAnsi="Arial" w:cs="Arial"/>
          <w:sz w:val="24"/>
          <w:szCs w:val="24"/>
        </w:rPr>
        <w:t xml:space="preserve"> in effect admitted that the debt was repayable and making </w:t>
      </w:r>
      <w:r w:rsidR="00C51873" w:rsidRPr="001000D4">
        <w:rPr>
          <w:rFonts w:ascii="Arial" w:hAnsi="Arial" w:cs="Arial"/>
          <w:sz w:val="24"/>
          <w:szCs w:val="24"/>
        </w:rPr>
        <w:t>an offer for repayment terms. In my view, proof of acceptance of liability by the defendants is dispositive coming as it did subsequent to the correspondence which allegedly absolved the defendants.</w:t>
      </w:r>
    </w:p>
    <w:p w14:paraId="784FBE18" w14:textId="77777777" w:rsidR="00C51873" w:rsidRPr="001000D4" w:rsidRDefault="00C51873" w:rsidP="00E351D8">
      <w:pPr>
        <w:spacing w:line="480" w:lineRule="auto"/>
        <w:jc w:val="both"/>
        <w:rPr>
          <w:rFonts w:cs="Arial"/>
          <w:szCs w:val="24"/>
        </w:rPr>
      </w:pPr>
    </w:p>
    <w:p w14:paraId="66EB3DCE" w14:textId="467BA76C" w:rsidR="00572F8A" w:rsidRPr="001000D4" w:rsidRDefault="00F66A6F" w:rsidP="00E351D8">
      <w:pPr>
        <w:pStyle w:val="NoSpacing"/>
        <w:numPr>
          <w:ilvl w:val="0"/>
          <w:numId w:val="8"/>
        </w:numPr>
        <w:spacing w:line="480" w:lineRule="auto"/>
        <w:ind w:left="0" w:firstLine="0"/>
        <w:jc w:val="both"/>
        <w:rPr>
          <w:rFonts w:ascii="Arial" w:hAnsi="Arial" w:cs="Arial"/>
          <w:sz w:val="24"/>
          <w:szCs w:val="24"/>
        </w:rPr>
      </w:pPr>
      <w:r w:rsidRPr="001000D4">
        <w:rPr>
          <w:rFonts w:ascii="Arial" w:hAnsi="Arial" w:cs="Arial"/>
          <w:sz w:val="24"/>
          <w:szCs w:val="24"/>
        </w:rPr>
        <w:t>As Mr Mouton on behalf of the plaintiff correctly pointed out, it was established during the</w:t>
      </w:r>
      <w:r w:rsidR="00980459">
        <w:rPr>
          <w:rFonts w:ascii="Arial" w:hAnsi="Arial" w:cs="Arial"/>
          <w:sz w:val="24"/>
          <w:szCs w:val="24"/>
        </w:rPr>
        <w:t xml:space="preserve"> trial that in addition to the four</w:t>
      </w:r>
      <w:r w:rsidRPr="001000D4">
        <w:rPr>
          <w:rFonts w:ascii="Arial" w:hAnsi="Arial" w:cs="Arial"/>
          <w:sz w:val="24"/>
          <w:szCs w:val="24"/>
        </w:rPr>
        <w:t xml:space="preserve"> hunters </w:t>
      </w:r>
      <w:r w:rsidR="00C926AA" w:rsidRPr="001000D4">
        <w:rPr>
          <w:rFonts w:ascii="Arial" w:hAnsi="Arial" w:cs="Arial"/>
          <w:sz w:val="24"/>
          <w:szCs w:val="24"/>
        </w:rPr>
        <w:t xml:space="preserve">brought by the plaintiff in June 2010 and </w:t>
      </w:r>
      <w:r w:rsidRPr="001000D4">
        <w:rPr>
          <w:rFonts w:ascii="Arial" w:hAnsi="Arial" w:cs="Arial"/>
          <w:sz w:val="24"/>
          <w:szCs w:val="24"/>
        </w:rPr>
        <w:t>f</w:t>
      </w:r>
      <w:r w:rsidR="0048416E">
        <w:rPr>
          <w:rFonts w:ascii="Arial" w:hAnsi="Arial" w:cs="Arial"/>
          <w:sz w:val="24"/>
          <w:szCs w:val="24"/>
        </w:rPr>
        <w:t>rom whom a total income of €</w:t>
      </w:r>
      <w:r w:rsidR="00F00CD5" w:rsidRPr="001000D4">
        <w:rPr>
          <w:rFonts w:ascii="Arial" w:hAnsi="Arial" w:cs="Arial"/>
          <w:sz w:val="24"/>
          <w:szCs w:val="24"/>
        </w:rPr>
        <w:t>17</w:t>
      </w:r>
      <w:r w:rsidR="00C85E43">
        <w:rPr>
          <w:rFonts w:ascii="Arial" w:hAnsi="Arial" w:cs="Arial"/>
          <w:sz w:val="24"/>
          <w:szCs w:val="24"/>
        </w:rPr>
        <w:t xml:space="preserve"> </w:t>
      </w:r>
      <w:r w:rsidR="00F00CD5" w:rsidRPr="001000D4">
        <w:rPr>
          <w:rFonts w:ascii="Arial" w:hAnsi="Arial" w:cs="Arial"/>
          <w:sz w:val="24"/>
          <w:szCs w:val="24"/>
        </w:rPr>
        <w:t xml:space="preserve">260 </w:t>
      </w:r>
      <w:r w:rsidR="00C926AA" w:rsidRPr="001000D4">
        <w:rPr>
          <w:rFonts w:ascii="Arial" w:hAnsi="Arial" w:cs="Arial"/>
          <w:sz w:val="24"/>
          <w:szCs w:val="24"/>
        </w:rPr>
        <w:t>was realised, the p</w:t>
      </w:r>
      <w:r w:rsidR="002B7154">
        <w:rPr>
          <w:rFonts w:ascii="Arial" w:hAnsi="Arial" w:cs="Arial"/>
          <w:sz w:val="24"/>
          <w:szCs w:val="24"/>
        </w:rPr>
        <w:t>laintiff also paid €</w:t>
      </w:r>
      <w:r w:rsidR="00C926AA" w:rsidRPr="001000D4">
        <w:rPr>
          <w:rFonts w:ascii="Arial" w:hAnsi="Arial" w:cs="Arial"/>
          <w:sz w:val="24"/>
          <w:szCs w:val="24"/>
        </w:rPr>
        <w:t>3750 for the accommodation of the hunters. The total amount realised from the plaintiff’s exertions the</w:t>
      </w:r>
      <w:r w:rsidR="001000D4">
        <w:rPr>
          <w:rFonts w:ascii="Arial" w:hAnsi="Arial" w:cs="Arial"/>
          <w:sz w:val="24"/>
          <w:szCs w:val="24"/>
        </w:rPr>
        <w:t xml:space="preserve">refore </w:t>
      </w:r>
      <w:r w:rsidR="009A26AB">
        <w:rPr>
          <w:rFonts w:ascii="Arial" w:hAnsi="Arial" w:cs="Arial"/>
          <w:sz w:val="24"/>
          <w:szCs w:val="24"/>
        </w:rPr>
        <w:t xml:space="preserve">almost equalled </w:t>
      </w:r>
      <w:r w:rsidR="001000D4">
        <w:rPr>
          <w:rFonts w:ascii="Arial" w:hAnsi="Arial" w:cs="Arial"/>
          <w:sz w:val="24"/>
          <w:szCs w:val="24"/>
        </w:rPr>
        <w:t>the loan amount.</w:t>
      </w:r>
    </w:p>
    <w:p w14:paraId="733A69AF" w14:textId="77777777" w:rsidR="00F00CD5" w:rsidRPr="001000D4" w:rsidRDefault="00F00CD5" w:rsidP="00E351D8">
      <w:pPr>
        <w:spacing w:line="480" w:lineRule="auto"/>
        <w:jc w:val="both"/>
        <w:rPr>
          <w:rFonts w:cs="Arial"/>
          <w:szCs w:val="24"/>
        </w:rPr>
      </w:pPr>
    </w:p>
    <w:p w14:paraId="22F54467" w14:textId="7EA66AD2" w:rsidR="00F00CD5" w:rsidRPr="001000D4" w:rsidRDefault="00C85E43" w:rsidP="00E351D8">
      <w:pPr>
        <w:pStyle w:val="NoSpacing"/>
        <w:numPr>
          <w:ilvl w:val="0"/>
          <w:numId w:val="8"/>
        </w:numPr>
        <w:spacing w:line="480" w:lineRule="auto"/>
        <w:ind w:left="0" w:firstLine="0"/>
        <w:jc w:val="both"/>
        <w:rPr>
          <w:rFonts w:ascii="Arial" w:hAnsi="Arial" w:cs="Arial"/>
          <w:sz w:val="24"/>
          <w:szCs w:val="24"/>
          <w:u w:val="single"/>
        </w:rPr>
      </w:pPr>
      <w:r>
        <w:rPr>
          <w:rFonts w:ascii="Arial" w:hAnsi="Arial" w:cs="Arial"/>
          <w:sz w:val="24"/>
          <w:szCs w:val="24"/>
        </w:rPr>
        <w:t xml:space="preserve">In my view, the defendants </w:t>
      </w:r>
      <w:r w:rsidR="00F00CD5" w:rsidRPr="001000D4">
        <w:rPr>
          <w:rFonts w:ascii="Arial" w:hAnsi="Arial" w:cs="Arial"/>
          <w:sz w:val="24"/>
          <w:szCs w:val="24"/>
        </w:rPr>
        <w:t>ha</w:t>
      </w:r>
      <w:r w:rsidR="009A26AB">
        <w:rPr>
          <w:rFonts w:ascii="Arial" w:hAnsi="Arial" w:cs="Arial"/>
          <w:sz w:val="24"/>
          <w:szCs w:val="24"/>
        </w:rPr>
        <w:t>ve</w:t>
      </w:r>
      <w:r w:rsidR="00F00CD5" w:rsidRPr="001000D4">
        <w:rPr>
          <w:rFonts w:ascii="Arial" w:hAnsi="Arial" w:cs="Arial"/>
          <w:sz w:val="24"/>
          <w:szCs w:val="24"/>
        </w:rPr>
        <w:t xml:space="preserve"> no </w:t>
      </w:r>
      <w:r w:rsidR="00F00CD5" w:rsidRPr="007417EA">
        <w:rPr>
          <w:rFonts w:ascii="Arial" w:hAnsi="Arial" w:cs="Arial"/>
          <w:i/>
          <w:sz w:val="24"/>
          <w:szCs w:val="24"/>
        </w:rPr>
        <w:t>bon</w:t>
      </w:r>
      <w:r w:rsidR="00C06385">
        <w:rPr>
          <w:rFonts w:ascii="Arial" w:hAnsi="Arial" w:cs="Arial"/>
          <w:i/>
          <w:sz w:val="24"/>
          <w:szCs w:val="24"/>
        </w:rPr>
        <w:t>a</w:t>
      </w:r>
      <w:r w:rsidR="00F00CD5" w:rsidRPr="007417EA">
        <w:rPr>
          <w:rFonts w:ascii="Arial" w:hAnsi="Arial" w:cs="Arial"/>
          <w:i/>
          <w:sz w:val="24"/>
          <w:szCs w:val="24"/>
        </w:rPr>
        <w:t xml:space="preserve"> fide</w:t>
      </w:r>
      <w:r w:rsidR="00F00CD5" w:rsidRPr="001000D4">
        <w:rPr>
          <w:rFonts w:ascii="Arial" w:hAnsi="Arial" w:cs="Arial"/>
          <w:sz w:val="24"/>
          <w:szCs w:val="24"/>
        </w:rPr>
        <w:t xml:space="preserve"> defence to the plaintiff’s claim for the repayment of the loan advanced for the purchase of animals to restock the farm. By their own admission the amount was fully repayable. It became due and payable when the plaintiff complied with his obligation to bring the hunters to the farm.</w:t>
      </w:r>
    </w:p>
    <w:p w14:paraId="376A6C28" w14:textId="77777777" w:rsidR="007758ED" w:rsidRPr="001000D4" w:rsidRDefault="007758ED" w:rsidP="00E351D8">
      <w:pPr>
        <w:spacing w:line="480" w:lineRule="auto"/>
        <w:jc w:val="both"/>
        <w:rPr>
          <w:rFonts w:cs="Arial"/>
          <w:szCs w:val="24"/>
          <w:u w:val="single"/>
        </w:rPr>
      </w:pPr>
    </w:p>
    <w:p w14:paraId="767B528F" w14:textId="4C5E1939" w:rsidR="0087243A" w:rsidRDefault="005046BE" w:rsidP="00E351D8">
      <w:pPr>
        <w:spacing w:line="480" w:lineRule="auto"/>
        <w:jc w:val="both"/>
        <w:rPr>
          <w:rFonts w:cs="Arial"/>
          <w:szCs w:val="24"/>
          <w:u w:val="single"/>
        </w:rPr>
      </w:pPr>
      <w:r>
        <w:rPr>
          <w:rFonts w:cs="Arial"/>
          <w:szCs w:val="24"/>
          <w:u w:val="single"/>
        </w:rPr>
        <w:t>Judgment in foreign currency</w:t>
      </w:r>
      <w:r w:rsidR="009A26AB">
        <w:rPr>
          <w:rFonts w:cs="Arial"/>
          <w:szCs w:val="24"/>
          <w:u w:val="single"/>
        </w:rPr>
        <w:t xml:space="preserve"> and interest</w:t>
      </w:r>
    </w:p>
    <w:p w14:paraId="335A7506" w14:textId="3048285E" w:rsidR="00431782" w:rsidRPr="001000D4" w:rsidRDefault="00431782" w:rsidP="00E351D8">
      <w:pPr>
        <w:pStyle w:val="ListParagraph"/>
        <w:spacing w:line="480" w:lineRule="auto"/>
        <w:ind w:left="0"/>
        <w:jc w:val="both"/>
        <w:rPr>
          <w:rFonts w:cs="Arial"/>
          <w:i/>
          <w:szCs w:val="24"/>
        </w:rPr>
      </w:pPr>
      <w:r w:rsidRPr="001000D4">
        <w:rPr>
          <w:rFonts w:cs="Arial"/>
          <w:i/>
          <w:szCs w:val="24"/>
        </w:rPr>
        <w:t>Foreign currency</w:t>
      </w:r>
    </w:p>
    <w:p w14:paraId="7E16D68B" w14:textId="5179504A" w:rsidR="001D3608" w:rsidRDefault="00D52A93" w:rsidP="00E351D8">
      <w:pPr>
        <w:pStyle w:val="NoSpacing"/>
        <w:numPr>
          <w:ilvl w:val="0"/>
          <w:numId w:val="8"/>
        </w:numPr>
        <w:spacing w:line="480" w:lineRule="auto"/>
        <w:ind w:left="0" w:firstLine="0"/>
        <w:jc w:val="both"/>
        <w:rPr>
          <w:rFonts w:ascii="Arial" w:hAnsi="Arial" w:cs="Arial"/>
          <w:sz w:val="24"/>
          <w:szCs w:val="24"/>
        </w:rPr>
      </w:pPr>
      <w:r w:rsidRPr="001B68CE">
        <w:rPr>
          <w:rFonts w:ascii="Arial" w:hAnsi="Arial" w:cs="Arial"/>
          <w:sz w:val="24"/>
          <w:szCs w:val="24"/>
        </w:rPr>
        <w:lastRenderedPageBreak/>
        <w:t>The High Court ordered payment of the loan in Euro</w:t>
      </w:r>
      <w:r w:rsidR="00AC6CAE" w:rsidRPr="001B68CE">
        <w:rPr>
          <w:rFonts w:ascii="Arial" w:hAnsi="Arial" w:cs="Arial"/>
          <w:sz w:val="24"/>
          <w:szCs w:val="24"/>
        </w:rPr>
        <w:t>s</w:t>
      </w:r>
      <w:r w:rsidRPr="001B68CE">
        <w:rPr>
          <w:rFonts w:ascii="Arial" w:hAnsi="Arial" w:cs="Arial"/>
          <w:sz w:val="24"/>
          <w:szCs w:val="24"/>
        </w:rPr>
        <w:t xml:space="preserve"> being the currency in which </w:t>
      </w:r>
      <w:r w:rsidR="00DC29D8" w:rsidRPr="001B68CE">
        <w:rPr>
          <w:rFonts w:ascii="Arial" w:hAnsi="Arial" w:cs="Arial"/>
          <w:sz w:val="24"/>
          <w:szCs w:val="24"/>
        </w:rPr>
        <w:t>the</w:t>
      </w:r>
      <w:r w:rsidRPr="001B68CE">
        <w:rPr>
          <w:rFonts w:ascii="Arial" w:hAnsi="Arial" w:cs="Arial"/>
          <w:sz w:val="24"/>
          <w:szCs w:val="24"/>
        </w:rPr>
        <w:t xml:space="preserve"> loan was advanced. </w:t>
      </w:r>
      <w:r w:rsidR="00907616" w:rsidRPr="001B68CE">
        <w:rPr>
          <w:rFonts w:ascii="Arial" w:hAnsi="Arial" w:cs="Arial"/>
          <w:sz w:val="24"/>
          <w:szCs w:val="24"/>
        </w:rPr>
        <w:t>Although the issue was not raised in the grounds of appeal at least as far as the loan for the animals is concerned, in their heads of argument and in oral argument t</w:t>
      </w:r>
      <w:r w:rsidRPr="001B68CE">
        <w:rPr>
          <w:rFonts w:ascii="Arial" w:hAnsi="Arial" w:cs="Arial"/>
          <w:sz w:val="24"/>
          <w:szCs w:val="24"/>
        </w:rPr>
        <w:t>he defendants impugn that order and ask this court to set</w:t>
      </w:r>
      <w:r w:rsidR="00C85E43">
        <w:rPr>
          <w:rFonts w:ascii="Arial" w:hAnsi="Arial" w:cs="Arial"/>
          <w:sz w:val="24"/>
          <w:szCs w:val="24"/>
        </w:rPr>
        <w:t xml:space="preserve"> it</w:t>
      </w:r>
      <w:r w:rsidRPr="001B68CE">
        <w:rPr>
          <w:rFonts w:ascii="Arial" w:hAnsi="Arial" w:cs="Arial"/>
          <w:sz w:val="24"/>
          <w:szCs w:val="24"/>
        </w:rPr>
        <w:t xml:space="preserve"> aside and to </w:t>
      </w:r>
      <w:r w:rsidR="00907616" w:rsidRPr="001B68CE">
        <w:rPr>
          <w:rFonts w:ascii="Arial" w:hAnsi="Arial" w:cs="Arial"/>
          <w:sz w:val="24"/>
          <w:szCs w:val="24"/>
        </w:rPr>
        <w:t xml:space="preserve">order </w:t>
      </w:r>
      <w:r w:rsidRPr="001B68CE">
        <w:rPr>
          <w:rFonts w:ascii="Arial" w:hAnsi="Arial" w:cs="Arial"/>
          <w:sz w:val="24"/>
          <w:szCs w:val="24"/>
        </w:rPr>
        <w:t>payment in Namibia</w:t>
      </w:r>
      <w:r w:rsidR="00AC6CAE" w:rsidRPr="001B68CE">
        <w:rPr>
          <w:rFonts w:ascii="Arial" w:hAnsi="Arial" w:cs="Arial"/>
          <w:sz w:val="24"/>
          <w:szCs w:val="24"/>
        </w:rPr>
        <w:t>n</w:t>
      </w:r>
      <w:r w:rsidR="00C85E43">
        <w:rPr>
          <w:rFonts w:ascii="Arial" w:hAnsi="Arial" w:cs="Arial"/>
          <w:sz w:val="24"/>
          <w:szCs w:val="24"/>
        </w:rPr>
        <w:t xml:space="preserve"> D</w:t>
      </w:r>
      <w:r w:rsidRPr="001B68CE">
        <w:rPr>
          <w:rFonts w:ascii="Arial" w:hAnsi="Arial" w:cs="Arial"/>
          <w:sz w:val="24"/>
          <w:szCs w:val="24"/>
        </w:rPr>
        <w:t>ollars.</w:t>
      </w:r>
      <w:r w:rsidR="006F6DA6" w:rsidRPr="001B68CE">
        <w:rPr>
          <w:rFonts w:ascii="Arial" w:hAnsi="Arial" w:cs="Arial"/>
          <w:sz w:val="24"/>
          <w:szCs w:val="24"/>
        </w:rPr>
        <w:t xml:space="preserve"> They provide no principled objection to an order sounding in foreign currency. I am not surprised because our courts have made such orders in the past</w:t>
      </w:r>
      <w:r w:rsidR="00466311" w:rsidRPr="001B68CE">
        <w:rPr>
          <w:rFonts w:ascii="Arial" w:hAnsi="Arial" w:cs="Arial"/>
          <w:sz w:val="24"/>
          <w:szCs w:val="24"/>
        </w:rPr>
        <w:t xml:space="preserve">: </w:t>
      </w:r>
      <w:r w:rsidR="00466311" w:rsidRPr="001B68CE">
        <w:rPr>
          <w:rFonts w:ascii="Arial" w:hAnsi="Arial" w:cs="Arial"/>
          <w:i/>
          <w:sz w:val="24"/>
          <w:szCs w:val="24"/>
        </w:rPr>
        <w:t>Ferrari v Ruch</w:t>
      </w:r>
      <w:r w:rsidR="00C16202">
        <w:rPr>
          <w:rFonts w:ascii="Arial" w:hAnsi="Arial" w:cs="Arial"/>
          <w:i/>
          <w:sz w:val="24"/>
          <w:szCs w:val="24"/>
        </w:rPr>
        <w:t>:</w:t>
      </w:r>
      <w:r w:rsidR="00692FF0" w:rsidRPr="007758ED">
        <w:rPr>
          <w:rStyle w:val="FootnoteReference"/>
          <w:rFonts w:ascii="Arial" w:hAnsi="Arial" w:cs="Arial"/>
          <w:sz w:val="24"/>
          <w:szCs w:val="24"/>
        </w:rPr>
        <w:footnoteReference w:id="15"/>
      </w:r>
    </w:p>
    <w:p w14:paraId="23DD403B" w14:textId="77777777" w:rsidR="001B68CE" w:rsidRPr="001B68CE" w:rsidRDefault="001B68CE" w:rsidP="00041A1D">
      <w:pPr>
        <w:pStyle w:val="NoSpacing"/>
        <w:spacing w:line="360" w:lineRule="auto"/>
        <w:jc w:val="both"/>
        <w:rPr>
          <w:rFonts w:ascii="Arial" w:hAnsi="Arial" w:cs="Arial"/>
          <w:sz w:val="24"/>
          <w:szCs w:val="24"/>
        </w:rPr>
      </w:pPr>
    </w:p>
    <w:p w14:paraId="0262885E" w14:textId="7585B9BD" w:rsidR="001D3608" w:rsidRPr="001000D4" w:rsidRDefault="001D3608" w:rsidP="00041A1D">
      <w:pPr>
        <w:pStyle w:val="NoSpacing"/>
        <w:spacing w:line="360" w:lineRule="auto"/>
        <w:ind w:left="720"/>
        <w:jc w:val="both"/>
        <w:rPr>
          <w:rFonts w:ascii="Arial" w:hAnsi="Arial" w:cs="Arial"/>
          <w:sz w:val="24"/>
          <w:szCs w:val="24"/>
        </w:rPr>
      </w:pPr>
      <w:r>
        <w:rPr>
          <w:rFonts w:ascii="Arial" w:hAnsi="Arial" w:cs="Arial"/>
          <w:sz w:val="24"/>
          <w:szCs w:val="24"/>
        </w:rPr>
        <w:t>‘</w:t>
      </w:r>
      <w:r w:rsidRPr="001D3608">
        <w:rPr>
          <w:rFonts w:ascii="Arial" w:hAnsi="Arial" w:cs="Arial"/>
        </w:rPr>
        <w:t>What the plaintiff is entitled to is repayment of the original loans of 185 790 Swi</w:t>
      </w:r>
      <w:r w:rsidR="003F6CDA">
        <w:rPr>
          <w:rFonts w:ascii="Arial" w:hAnsi="Arial" w:cs="Arial"/>
        </w:rPr>
        <w:t xml:space="preserve">ss francs and 142 790 Swiss </w:t>
      </w:r>
      <w:r w:rsidRPr="001D3608">
        <w:rPr>
          <w:rFonts w:ascii="Arial" w:hAnsi="Arial" w:cs="Arial"/>
        </w:rPr>
        <w:t>francs made in November 1981, which must be satisfied in Namibia by payment of its equivalent in Namibian currency at the rate of conversion applicable at the time of payment. (</w:t>
      </w:r>
      <w:r w:rsidRPr="003F6CDA">
        <w:rPr>
          <w:rFonts w:ascii="Arial" w:hAnsi="Arial" w:cs="Arial"/>
          <w:i/>
        </w:rPr>
        <w:t>Barclays Bank of Swaziland Ltd v Mnyeketi</w:t>
      </w:r>
      <w:r w:rsidRPr="001D3608">
        <w:rPr>
          <w:rFonts w:ascii="Arial" w:hAnsi="Arial" w:cs="Arial"/>
        </w:rPr>
        <w:t xml:space="preserve"> 1992 (3) SA 425 (W).)</w:t>
      </w:r>
      <w:r w:rsidR="00495A6C">
        <w:rPr>
          <w:rFonts w:ascii="Arial" w:hAnsi="Arial" w:cs="Arial"/>
        </w:rPr>
        <w:t xml:space="preserve">. . . </w:t>
      </w:r>
      <w:r w:rsidRPr="001D3608">
        <w:rPr>
          <w:rFonts w:ascii="Arial" w:hAnsi="Arial" w:cs="Arial"/>
        </w:rPr>
        <w:t>.’</w:t>
      </w:r>
    </w:p>
    <w:p w14:paraId="17E0443E" w14:textId="77777777" w:rsidR="004229B6" w:rsidRDefault="004229B6" w:rsidP="00E351D8">
      <w:pPr>
        <w:pStyle w:val="ListParagraph"/>
        <w:spacing w:line="480" w:lineRule="auto"/>
        <w:ind w:left="0"/>
        <w:jc w:val="both"/>
        <w:rPr>
          <w:rFonts w:cs="Arial"/>
          <w:i/>
          <w:szCs w:val="24"/>
        </w:rPr>
      </w:pPr>
    </w:p>
    <w:p w14:paraId="570D5420" w14:textId="77777777" w:rsidR="00D52A93" w:rsidRPr="001000D4" w:rsidRDefault="00D52A93" w:rsidP="00E351D8">
      <w:pPr>
        <w:pStyle w:val="ListParagraph"/>
        <w:spacing w:line="480" w:lineRule="auto"/>
        <w:ind w:left="0"/>
        <w:jc w:val="both"/>
        <w:rPr>
          <w:rFonts w:cs="Arial"/>
          <w:i/>
          <w:szCs w:val="24"/>
        </w:rPr>
      </w:pPr>
      <w:r w:rsidRPr="001000D4">
        <w:rPr>
          <w:rFonts w:cs="Arial"/>
          <w:i/>
          <w:szCs w:val="24"/>
        </w:rPr>
        <w:t>Interest</w:t>
      </w:r>
    </w:p>
    <w:p w14:paraId="1146B120" w14:textId="2023A797" w:rsidR="00080630" w:rsidRDefault="00080630" w:rsidP="00E351D8">
      <w:pPr>
        <w:pStyle w:val="NoSpacing"/>
        <w:numPr>
          <w:ilvl w:val="0"/>
          <w:numId w:val="8"/>
        </w:numPr>
        <w:spacing w:line="480" w:lineRule="auto"/>
        <w:ind w:left="0" w:firstLine="0"/>
        <w:jc w:val="both"/>
        <w:rPr>
          <w:rFonts w:ascii="Arial" w:hAnsi="Arial" w:cs="Arial"/>
          <w:sz w:val="24"/>
          <w:szCs w:val="24"/>
        </w:rPr>
      </w:pPr>
      <w:r w:rsidRPr="001000D4">
        <w:rPr>
          <w:rFonts w:ascii="Arial" w:hAnsi="Arial" w:cs="Arial"/>
          <w:sz w:val="24"/>
          <w:szCs w:val="24"/>
        </w:rPr>
        <w:t xml:space="preserve">The grounds of appeal and the heads of argument devote a lot of time to the alleged </w:t>
      </w:r>
      <w:r w:rsidR="007E48F9" w:rsidRPr="001000D4">
        <w:rPr>
          <w:rFonts w:ascii="Arial" w:hAnsi="Arial" w:cs="Arial"/>
          <w:sz w:val="24"/>
          <w:szCs w:val="24"/>
        </w:rPr>
        <w:t>impropriety</w:t>
      </w:r>
      <w:r w:rsidRPr="001000D4">
        <w:rPr>
          <w:rFonts w:ascii="Arial" w:hAnsi="Arial" w:cs="Arial"/>
          <w:sz w:val="24"/>
          <w:szCs w:val="24"/>
        </w:rPr>
        <w:t xml:space="preserve"> of the court </w:t>
      </w:r>
      <w:r w:rsidRPr="003C0EC7">
        <w:rPr>
          <w:rFonts w:ascii="Arial" w:hAnsi="Arial" w:cs="Arial"/>
          <w:i/>
          <w:sz w:val="24"/>
          <w:szCs w:val="24"/>
        </w:rPr>
        <w:t>a quo</w:t>
      </w:r>
      <w:r w:rsidRPr="001000D4">
        <w:rPr>
          <w:rFonts w:ascii="Arial" w:hAnsi="Arial" w:cs="Arial"/>
          <w:sz w:val="24"/>
          <w:szCs w:val="24"/>
        </w:rPr>
        <w:t xml:space="preserve">’s order on interest in respect of </w:t>
      </w:r>
      <w:r w:rsidR="001701ED" w:rsidRPr="001000D4">
        <w:rPr>
          <w:rFonts w:ascii="Arial" w:hAnsi="Arial" w:cs="Arial"/>
          <w:sz w:val="24"/>
          <w:szCs w:val="24"/>
        </w:rPr>
        <w:t xml:space="preserve">the enrichment claims which that court found proved. That issue falls away with the defendants’ success </w:t>
      </w:r>
      <w:r w:rsidR="00042B93">
        <w:rPr>
          <w:rFonts w:ascii="Arial" w:hAnsi="Arial" w:cs="Arial"/>
          <w:sz w:val="24"/>
          <w:szCs w:val="24"/>
        </w:rPr>
        <w:t xml:space="preserve">on appeal </w:t>
      </w:r>
      <w:r w:rsidR="001701ED" w:rsidRPr="001000D4">
        <w:rPr>
          <w:rFonts w:ascii="Arial" w:hAnsi="Arial" w:cs="Arial"/>
          <w:sz w:val="24"/>
          <w:szCs w:val="24"/>
        </w:rPr>
        <w:t>against the order allowing the enrichment claims.</w:t>
      </w:r>
    </w:p>
    <w:p w14:paraId="50FA817D" w14:textId="77777777" w:rsidR="009A26AB" w:rsidRPr="001000D4" w:rsidRDefault="009A26AB" w:rsidP="00E351D8">
      <w:pPr>
        <w:pStyle w:val="NoSpacing"/>
        <w:spacing w:line="480" w:lineRule="auto"/>
        <w:jc w:val="both"/>
        <w:rPr>
          <w:rFonts w:ascii="Arial" w:hAnsi="Arial" w:cs="Arial"/>
          <w:sz w:val="24"/>
          <w:szCs w:val="24"/>
        </w:rPr>
      </w:pPr>
    </w:p>
    <w:p w14:paraId="315FEF49" w14:textId="306202D7" w:rsidR="00D52A93" w:rsidRPr="009A26AB" w:rsidRDefault="00D52A93" w:rsidP="00E351D8">
      <w:pPr>
        <w:pStyle w:val="NoSpacing"/>
        <w:numPr>
          <w:ilvl w:val="0"/>
          <w:numId w:val="8"/>
        </w:numPr>
        <w:spacing w:line="480" w:lineRule="auto"/>
        <w:ind w:left="0" w:firstLine="0"/>
        <w:jc w:val="both"/>
        <w:rPr>
          <w:rFonts w:ascii="Arial" w:hAnsi="Arial" w:cs="Arial"/>
          <w:sz w:val="24"/>
          <w:szCs w:val="24"/>
        </w:rPr>
      </w:pPr>
      <w:r w:rsidRPr="009A26AB">
        <w:rPr>
          <w:rFonts w:ascii="Arial" w:hAnsi="Arial" w:cs="Arial"/>
          <w:sz w:val="24"/>
          <w:szCs w:val="24"/>
        </w:rPr>
        <w:t xml:space="preserve">The claim amount for the animals arose under a loan agreement and is unrelated to the enrichment claim. </w:t>
      </w:r>
      <w:r w:rsidR="00907616" w:rsidRPr="009A26AB">
        <w:rPr>
          <w:rFonts w:ascii="Arial" w:hAnsi="Arial" w:cs="Arial"/>
          <w:sz w:val="24"/>
          <w:szCs w:val="24"/>
        </w:rPr>
        <w:t xml:space="preserve">The court </w:t>
      </w:r>
      <w:r w:rsidR="00907616" w:rsidRPr="003C0EC7">
        <w:rPr>
          <w:rFonts w:ascii="Arial" w:hAnsi="Arial" w:cs="Arial"/>
          <w:i/>
          <w:sz w:val="24"/>
          <w:szCs w:val="24"/>
        </w:rPr>
        <w:t>a quo</w:t>
      </w:r>
      <w:r w:rsidR="00907616" w:rsidRPr="009A26AB">
        <w:rPr>
          <w:rFonts w:ascii="Arial" w:hAnsi="Arial" w:cs="Arial"/>
          <w:sz w:val="24"/>
          <w:szCs w:val="24"/>
        </w:rPr>
        <w:t xml:space="preserve"> had ordered interest to run from 30 April 2009. There is no appeal against that order and therefore nothing further needs to be said. </w:t>
      </w:r>
    </w:p>
    <w:p w14:paraId="5A8C650C" w14:textId="77777777" w:rsidR="00D52A93" w:rsidRPr="001000D4" w:rsidRDefault="00D52A93" w:rsidP="00E351D8">
      <w:pPr>
        <w:pStyle w:val="NoSpacing"/>
        <w:spacing w:line="480" w:lineRule="auto"/>
        <w:jc w:val="both"/>
        <w:rPr>
          <w:rFonts w:ascii="Arial" w:hAnsi="Arial" w:cs="Arial"/>
        </w:rPr>
      </w:pPr>
    </w:p>
    <w:p w14:paraId="20986835" w14:textId="01DB605B" w:rsidR="0037559F" w:rsidRPr="001000D4" w:rsidRDefault="0037559F" w:rsidP="00E351D8">
      <w:pPr>
        <w:pStyle w:val="NoSpacing"/>
        <w:spacing w:line="480" w:lineRule="auto"/>
        <w:jc w:val="both"/>
        <w:rPr>
          <w:rFonts w:ascii="Arial" w:hAnsi="Arial" w:cs="Arial"/>
          <w:sz w:val="24"/>
          <w:szCs w:val="24"/>
          <w:u w:val="single"/>
        </w:rPr>
      </w:pPr>
      <w:r w:rsidRPr="001000D4">
        <w:rPr>
          <w:rFonts w:ascii="Arial" w:hAnsi="Arial" w:cs="Arial"/>
          <w:sz w:val="24"/>
          <w:szCs w:val="24"/>
          <w:u w:val="single"/>
        </w:rPr>
        <w:lastRenderedPageBreak/>
        <w:t xml:space="preserve">The </w:t>
      </w:r>
      <w:r w:rsidR="007E48F9" w:rsidRPr="001000D4">
        <w:rPr>
          <w:rFonts w:ascii="Arial" w:hAnsi="Arial" w:cs="Arial"/>
          <w:sz w:val="24"/>
          <w:szCs w:val="24"/>
          <w:u w:val="single"/>
        </w:rPr>
        <w:t>alternative</w:t>
      </w:r>
      <w:r w:rsidR="00FD56A9" w:rsidRPr="001000D4">
        <w:rPr>
          <w:rFonts w:ascii="Arial" w:hAnsi="Arial" w:cs="Arial"/>
          <w:sz w:val="24"/>
          <w:szCs w:val="24"/>
          <w:u w:val="single"/>
        </w:rPr>
        <w:t xml:space="preserve"> claim based on misrepresentation</w:t>
      </w:r>
    </w:p>
    <w:p w14:paraId="42D8D2F4" w14:textId="4FAB80C4" w:rsidR="00B52EB3" w:rsidRPr="001000D4" w:rsidRDefault="00FD56A9" w:rsidP="00E351D8">
      <w:pPr>
        <w:pStyle w:val="NoSpacing"/>
        <w:numPr>
          <w:ilvl w:val="0"/>
          <w:numId w:val="8"/>
        </w:numPr>
        <w:spacing w:line="480" w:lineRule="auto"/>
        <w:ind w:left="0" w:firstLine="0"/>
        <w:jc w:val="both"/>
        <w:rPr>
          <w:rFonts w:ascii="Arial" w:hAnsi="Arial" w:cs="Arial"/>
          <w:sz w:val="24"/>
          <w:szCs w:val="24"/>
        </w:rPr>
      </w:pPr>
      <w:r w:rsidRPr="001000D4">
        <w:rPr>
          <w:rFonts w:ascii="Arial" w:hAnsi="Arial" w:cs="Arial"/>
          <w:sz w:val="24"/>
          <w:szCs w:val="24"/>
        </w:rPr>
        <w:t>The High Court expressed no view o</w:t>
      </w:r>
      <w:r w:rsidR="00042B93">
        <w:rPr>
          <w:rFonts w:ascii="Arial" w:hAnsi="Arial" w:cs="Arial"/>
          <w:sz w:val="24"/>
          <w:szCs w:val="24"/>
        </w:rPr>
        <w:t>n</w:t>
      </w:r>
      <w:r w:rsidRPr="001000D4">
        <w:rPr>
          <w:rFonts w:ascii="Arial" w:hAnsi="Arial" w:cs="Arial"/>
          <w:sz w:val="24"/>
          <w:szCs w:val="24"/>
        </w:rPr>
        <w:t xml:space="preserve"> this claim </w:t>
      </w:r>
      <w:r w:rsidR="00D710A8">
        <w:rPr>
          <w:rFonts w:ascii="Arial" w:hAnsi="Arial" w:cs="Arial"/>
          <w:sz w:val="24"/>
          <w:szCs w:val="24"/>
        </w:rPr>
        <w:t>–</w:t>
      </w:r>
      <w:r w:rsidR="00042B93">
        <w:rPr>
          <w:rFonts w:ascii="Arial" w:hAnsi="Arial" w:cs="Arial"/>
          <w:sz w:val="24"/>
          <w:szCs w:val="24"/>
        </w:rPr>
        <w:t xml:space="preserve"> </w:t>
      </w:r>
      <w:r w:rsidRPr="001000D4">
        <w:rPr>
          <w:rFonts w:ascii="Arial" w:hAnsi="Arial" w:cs="Arial"/>
          <w:sz w:val="24"/>
          <w:szCs w:val="24"/>
        </w:rPr>
        <w:t>presumably because it found in favour of the plaintiff on th</w:t>
      </w:r>
      <w:r w:rsidR="003D0EAB">
        <w:rPr>
          <w:rFonts w:ascii="Arial" w:hAnsi="Arial" w:cs="Arial"/>
          <w:sz w:val="24"/>
          <w:szCs w:val="24"/>
        </w:rPr>
        <w:t>e</w:t>
      </w:r>
      <w:r w:rsidRPr="001000D4">
        <w:rPr>
          <w:rFonts w:ascii="Arial" w:hAnsi="Arial" w:cs="Arial"/>
          <w:sz w:val="24"/>
          <w:szCs w:val="24"/>
        </w:rPr>
        <w:t xml:space="preserve"> main claim. The alleged misrepresentation claim need not detain us. Two obstacles faced the plaintiff. Had he as a diligent </w:t>
      </w:r>
      <w:r w:rsidRPr="006032E1">
        <w:rPr>
          <w:rFonts w:ascii="Arial" w:hAnsi="Arial" w:cs="Arial"/>
          <w:i/>
          <w:sz w:val="24"/>
          <w:szCs w:val="24"/>
        </w:rPr>
        <w:t>paterfamilias</w:t>
      </w:r>
      <w:r w:rsidRPr="001000D4">
        <w:rPr>
          <w:rFonts w:ascii="Arial" w:hAnsi="Arial" w:cs="Arial"/>
          <w:sz w:val="24"/>
          <w:szCs w:val="24"/>
        </w:rPr>
        <w:t xml:space="preserve"> made even the most cursory inquiry he would have realised that the scheme he envisioned was only possible if he comp</w:t>
      </w:r>
      <w:r w:rsidR="00CC2501">
        <w:rPr>
          <w:rFonts w:ascii="Arial" w:hAnsi="Arial" w:cs="Arial"/>
          <w:sz w:val="24"/>
          <w:szCs w:val="24"/>
        </w:rPr>
        <w:t>lied with the ACLRA and the SAL</w:t>
      </w:r>
      <w:r w:rsidRPr="001000D4">
        <w:rPr>
          <w:rFonts w:ascii="Arial" w:hAnsi="Arial" w:cs="Arial"/>
          <w:sz w:val="24"/>
          <w:szCs w:val="24"/>
        </w:rPr>
        <w:t xml:space="preserve">A. That is the law of this land. It lies ill in his mouth that as a foreigner he was not aware and that </w:t>
      </w:r>
      <w:r w:rsidR="000625BB">
        <w:rPr>
          <w:rFonts w:ascii="Arial" w:hAnsi="Arial" w:cs="Arial"/>
          <w:sz w:val="24"/>
          <w:szCs w:val="24"/>
        </w:rPr>
        <w:t>had he known the true facts he w</w:t>
      </w:r>
      <w:r w:rsidRPr="001000D4">
        <w:rPr>
          <w:rFonts w:ascii="Arial" w:hAnsi="Arial" w:cs="Arial"/>
          <w:sz w:val="24"/>
          <w:szCs w:val="24"/>
        </w:rPr>
        <w:t>ould not have entered into the ill-f</w:t>
      </w:r>
      <w:r w:rsidR="001000D4" w:rsidRPr="001000D4">
        <w:rPr>
          <w:rFonts w:ascii="Arial" w:hAnsi="Arial" w:cs="Arial"/>
          <w:sz w:val="24"/>
          <w:szCs w:val="24"/>
        </w:rPr>
        <w:t>ated transaction.</w:t>
      </w:r>
      <w:r w:rsidR="005323DB">
        <w:rPr>
          <w:rFonts w:ascii="Arial" w:hAnsi="Arial" w:cs="Arial"/>
          <w:sz w:val="24"/>
          <w:szCs w:val="24"/>
        </w:rPr>
        <w:t xml:space="preserve"> He should have, at the very least, sought and obtained legal advice if he did not genuinely know. He had the opportunity and the means to do so. </w:t>
      </w:r>
    </w:p>
    <w:p w14:paraId="0C134705" w14:textId="77777777" w:rsidR="00B52EB3" w:rsidRPr="001000D4" w:rsidRDefault="00B52EB3" w:rsidP="00E351D8">
      <w:pPr>
        <w:pStyle w:val="NoSpacing"/>
        <w:spacing w:line="480" w:lineRule="auto"/>
        <w:jc w:val="both"/>
        <w:rPr>
          <w:rFonts w:ascii="Arial" w:hAnsi="Arial" w:cs="Arial"/>
          <w:sz w:val="24"/>
          <w:szCs w:val="24"/>
        </w:rPr>
      </w:pPr>
    </w:p>
    <w:p w14:paraId="4C0582AF" w14:textId="35536E24" w:rsidR="00FD56A9" w:rsidRPr="001000D4" w:rsidRDefault="00FD56A9" w:rsidP="00E351D8">
      <w:pPr>
        <w:pStyle w:val="NoSpacing"/>
        <w:numPr>
          <w:ilvl w:val="0"/>
          <w:numId w:val="8"/>
        </w:numPr>
        <w:spacing w:line="480" w:lineRule="auto"/>
        <w:ind w:left="0" w:firstLine="0"/>
        <w:jc w:val="both"/>
        <w:rPr>
          <w:rFonts w:ascii="Arial" w:hAnsi="Arial" w:cs="Arial"/>
          <w:sz w:val="24"/>
          <w:szCs w:val="24"/>
        </w:rPr>
      </w:pPr>
      <w:r w:rsidRPr="001000D4">
        <w:rPr>
          <w:rFonts w:ascii="Arial" w:hAnsi="Arial" w:cs="Arial"/>
          <w:sz w:val="24"/>
          <w:szCs w:val="24"/>
        </w:rPr>
        <w:t xml:space="preserve">The allegation about the permanent residence is even more suspect. </w:t>
      </w:r>
      <w:r w:rsidR="00B52EB3" w:rsidRPr="001000D4">
        <w:rPr>
          <w:rFonts w:ascii="Arial" w:hAnsi="Arial" w:cs="Arial"/>
          <w:sz w:val="24"/>
          <w:szCs w:val="24"/>
        </w:rPr>
        <w:t>That the plaintiff could have been misled by a supposed promise by the defendants of permanent residence for himself and his wife defies all reason. Including what to me is a scandalous allegation that  a senior member of the government was to play a part in securin</w:t>
      </w:r>
      <w:r w:rsidR="001000D4">
        <w:rPr>
          <w:rFonts w:ascii="Arial" w:hAnsi="Arial" w:cs="Arial"/>
          <w:sz w:val="24"/>
          <w:szCs w:val="24"/>
        </w:rPr>
        <w:t>g permanent residence for them.</w:t>
      </w:r>
    </w:p>
    <w:p w14:paraId="2E4772D5" w14:textId="77777777" w:rsidR="001000D4" w:rsidRPr="001000D4" w:rsidRDefault="001000D4" w:rsidP="00E351D8">
      <w:pPr>
        <w:pStyle w:val="NoSpacing"/>
        <w:spacing w:line="480" w:lineRule="auto"/>
        <w:jc w:val="both"/>
        <w:rPr>
          <w:rFonts w:ascii="Arial" w:hAnsi="Arial" w:cs="Arial"/>
          <w:sz w:val="24"/>
          <w:szCs w:val="24"/>
        </w:rPr>
      </w:pPr>
    </w:p>
    <w:p w14:paraId="11A6AE68" w14:textId="1D3937E4" w:rsidR="004229B6" w:rsidRDefault="00B52EB3" w:rsidP="004229B6">
      <w:pPr>
        <w:pStyle w:val="NoSpacing"/>
        <w:numPr>
          <w:ilvl w:val="0"/>
          <w:numId w:val="8"/>
        </w:numPr>
        <w:spacing w:line="480" w:lineRule="auto"/>
        <w:ind w:left="0" w:firstLine="0"/>
        <w:jc w:val="both"/>
        <w:rPr>
          <w:rFonts w:ascii="Arial" w:hAnsi="Arial" w:cs="Arial"/>
          <w:sz w:val="24"/>
          <w:szCs w:val="24"/>
        </w:rPr>
      </w:pPr>
      <w:r w:rsidRPr="001000D4">
        <w:rPr>
          <w:rFonts w:ascii="Arial" w:hAnsi="Arial" w:cs="Arial"/>
          <w:sz w:val="24"/>
          <w:szCs w:val="24"/>
        </w:rPr>
        <w:t xml:space="preserve">Permanent residence is strictly regulated under the ICA and is granted to persons who meet the requirements of s </w:t>
      </w:r>
      <w:r w:rsidR="000625BB">
        <w:rPr>
          <w:rFonts w:ascii="Arial" w:hAnsi="Arial" w:cs="Arial"/>
          <w:sz w:val="24"/>
          <w:szCs w:val="24"/>
        </w:rPr>
        <w:t xml:space="preserve">26 </w:t>
      </w:r>
      <w:r w:rsidRPr="001000D4">
        <w:rPr>
          <w:rFonts w:ascii="Arial" w:hAnsi="Arial" w:cs="Arial"/>
          <w:sz w:val="24"/>
          <w:szCs w:val="24"/>
        </w:rPr>
        <w:t>of the ICA. Persons such as the defendants have no competence to play the role of immigration officer or the Immigration Selection Board to promise perm</w:t>
      </w:r>
      <w:r w:rsidR="001000D4">
        <w:rPr>
          <w:rFonts w:ascii="Arial" w:hAnsi="Arial" w:cs="Arial"/>
          <w:sz w:val="24"/>
          <w:szCs w:val="24"/>
        </w:rPr>
        <w:t>anent residence to a foreigner.</w:t>
      </w:r>
    </w:p>
    <w:p w14:paraId="286A0900" w14:textId="77777777" w:rsidR="00DA466A" w:rsidRPr="00663AEB" w:rsidRDefault="00DA466A" w:rsidP="00DA466A">
      <w:pPr>
        <w:pStyle w:val="NoSpacing"/>
        <w:spacing w:line="480" w:lineRule="auto"/>
        <w:jc w:val="both"/>
        <w:rPr>
          <w:rFonts w:ascii="Arial" w:hAnsi="Arial" w:cs="Arial"/>
          <w:sz w:val="24"/>
          <w:szCs w:val="24"/>
        </w:rPr>
      </w:pPr>
    </w:p>
    <w:p w14:paraId="099D1AE9" w14:textId="3D61E968" w:rsidR="009244D0" w:rsidRPr="00042B93" w:rsidRDefault="009244D0" w:rsidP="00E351D8">
      <w:pPr>
        <w:pStyle w:val="NoSpacing"/>
        <w:numPr>
          <w:ilvl w:val="0"/>
          <w:numId w:val="8"/>
        </w:numPr>
        <w:spacing w:line="480" w:lineRule="auto"/>
        <w:ind w:left="0" w:firstLine="0"/>
        <w:jc w:val="both"/>
        <w:rPr>
          <w:rFonts w:ascii="Arial" w:hAnsi="Arial" w:cs="Arial"/>
          <w:sz w:val="24"/>
          <w:szCs w:val="24"/>
        </w:rPr>
      </w:pPr>
      <w:r w:rsidRPr="00042B93">
        <w:rPr>
          <w:rFonts w:ascii="Arial" w:hAnsi="Arial" w:cs="Arial"/>
          <w:sz w:val="24"/>
          <w:szCs w:val="24"/>
        </w:rPr>
        <w:t xml:space="preserve">Although the court </w:t>
      </w:r>
      <w:r w:rsidRPr="003C0EC7">
        <w:rPr>
          <w:rFonts w:ascii="Arial" w:hAnsi="Arial" w:cs="Arial"/>
          <w:i/>
          <w:sz w:val="24"/>
          <w:szCs w:val="24"/>
        </w:rPr>
        <w:t>a quo</w:t>
      </w:r>
      <w:r w:rsidRPr="00042B93">
        <w:rPr>
          <w:rFonts w:ascii="Arial" w:hAnsi="Arial" w:cs="Arial"/>
          <w:sz w:val="24"/>
          <w:szCs w:val="24"/>
        </w:rPr>
        <w:t xml:space="preserve"> did not deal with the alternative claim, I </w:t>
      </w:r>
      <w:r w:rsidR="007E48F9" w:rsidRPr="00042B93">
        <w:rPr>
          <w:rFonts w:ascii="Arial" w:hAnsi="Arial" w:cs="Arial"/>
          <w:sz w:val="24"/>
          <w:szCs w:val="24"/>
        </w:rPr>
        <w:t>am satisfied</w:t>
      </w:r>
      <w:r w:rsidRPr="00042B93">
        <w:rPr>
          <w:rFonts w:ascii="Arial" w:hAnsi="Arial" w:cs="Arial"/>
          <w:sz w:val="24"/>
          <w:szCs w:val="24"/>
        </w:rPr>
        <w:t xml:space="preserve"> that any reliance by the plaintiff on alleged misrepresentations concerning the </w:t>
      </w:r>
      <w:r w:rsidR="00A4368A">
        <w:rPr>
          <w:rFonts w:ascii="Arial" w:hAnsi="Arial" w:cs="Arial"/>
          <w:sz w:val="24"/>
          <w:szCs w:val="24"/>
        </w:rPr>
        <w:lastRenderedPageBreak/>
        <w:t>ACLRA, SAL</w:t>
      </w:r>
      <w:r w:rsidRPr="00042B93">
        <w:rPr>
          <w:rFonts w:ascii="Arial" w:hAnsi="Arial" w:cs="Arial"/>
          <w:sz w:val="24"/>
          <w:szCs w:val="24"/>
        </w:rPr>
        <w:t xml:space="preserve">A and the ICA was not reasonable. As we said in </w:t>
      </w:r>
      <w:r w:rsidRPr="000625BB">
        <w:rPr>
          <w:rFonts w:ascii="Arial" w:hAnsi="Arial" w:cs="Arial"/>
          <w:i/>
          <w:sz w:val="24"/>
          <w:szCs w:val="24"/>
        </w:rPr>
        <w:t>Denker v A</w:t>
      </w:r>
      <w:r w:rsidR="002C023E">
        <w:rPr>
          <w:rFonts w:ascii="Arial" w:hAnsi="Arial" w:cs="Arial"/>
          <w:i/>
          <w:sz w:val="24"/>
          <w:szCs w:val="24"/>
        </w:rPr>
        <w:t>meib Rhino Sanctuary (Pty) Ltd &amp; o</w:t>
      </w:r>
      <w:r w:rsidRPr="000625BB">
        <w:rPr>
          <w:rFonts w:ascii="Arial" w:hAnsi="Arial" w:cs="Arial"/>
          <w:i/>
          <w:sz w:val="24"/>
          <w:szCs w:val="24"/>
        </w:rPr>
        <w:t>thers</w:t>
      </w:r>
      <w:r w:rsidRPr="00042B93">
        <w:rPr>
          <w:rFonts w:ascii="Arial" w:hAnsi="Arial" w:cs="Arial"/>
          <w:sz w:val="24"/>
          <w:szCs w:val="24"/>
        </w:rPr>
        <w:t>:</w:t>
      </w:r>
      <w:r w:rsidRPr="00042B93">
        <w:rPr>
          <w:rStyle w:val="FootnoteReference"/>
          <w:rFonts w:ascii="Arial" w:hAnsi="Arial" w:cs="Arial"/>
          <w:sz w:val="24"/>
          <w:szCs w:val="24"/>
        </w:rPr>
        <w:footnoteReference w:id="16"/>
      </w:r>
    </w:p>
    <w:p w14:paraId="76A9DD62" w14:textId="77777777" w:rsidR="009244D0" w:rsidRPr="00042B93" w:rsidRDefault="009244D0" w:rsidP="00E351D8">
      <w:pPr>
        <w:spacing w:line="480" w:lineRule="auto"/>
        <w:jc w:val="both"/>
        <w:rPr>
          <w:rFonts w:cs="Arial"/>
          <w:szCs w:val="24"/>
        </w:rPr>
      </w:pPr>
    </w:p>
    <w:p w14:paraId="5086C601" w14:textId="5437986F" w:rsidR="007B18C0" w:rsidRPr="001000D4" w:rsidRDefault="009244D0" w:rsidP="00024868">
      <w:pPr>
        <w:spacing w:line="360" w:lineRule="auto"/>
        <w:ind w:left="720"/>
        <w:jc w:val="both"/>
        <w:rPr>
          <w:rFonts w:cs="Arial"/>
          <w:sz w:val="22"/>
        </w:rPr>
      </w:pPr>
      <w:r w:rsidRPr="001000D4">
        <w:rPr>
          <w:rFonts w:cs="Arial"/>
          <w:sz w:val="22"/>
        </w:rPr>
        <w:t>‘</w:t>
      </w:r>
      <w:r w:rsidR="007B18C0" w:rsidRPr="001000D4">
        <w:rPr>
          <w:rFonts w:cs="Arial"/>
          <w:sz w:val="22"/>
        </w:rPr>
        <w:t>[53]  As regards Viljoen’s al</w:t>
      </w:r>
      <w:r w:rsidR="00344789">
        <w:rPr>
          <w:rFonts w:cs="Arial"/>
          <w:sz w:val="22"/>
        </w:rPr>
        <w:t>leged misrepresentation as plead</w:t>
      </w:r>
      <w:r w:rsidR="007B18C0" w:rsidRPr="001000D4">
        <w:rPr>
          <w:rFonts w:cs="Arial"/>
          <w:sz w:val="22"/>
        </w:rPr>
        <w:t xml:space="preserve">ed, it is common cause that it relates, not to fact, but to law. There is scant Namibian authority to provide guidance if a misrepresentation of the law by one party can be prayed in aid by the other contracting party. </w:t>
      </w:r>
      <w:r w:rsidR="00344789">
        <w:rPr>
          <w:rFonts w:cs="Arial"/>
          <w:sz w:val="22"/>
        </w:rPr>
        <w:t xml:space="preserve">Both parties . . . </w:t>
      </w:r>
      <w:r w:rsidR="007E48F9" w:rsidRPr="001000D4">
        <w:rPr>
          <w:rFonts w:cs="Arial"/>
          <w:sz w:val="22"/>
        </w:rPr>
        <w:t xml:space="preserve">proceed from what appears </w:t>
      </w:r>
      <w:r w:rsidR="007E48F9">
        <w:rPr>
          <w:rFonts w:cs="Arial"/>
          <w:sz w:val="22"/>
        </w:rPr>
        <w:t>to me</w:t>
      </w:r>
      <w:r w:rsidR="007E48F9" w:rsidRPr="001000D4">
        <w:rPr>
          <w:rFonts w:cs="Arial"/>
          <w:sz w:val="22"/>
        </w:rPr>
        <w:t xml:space="preserve"> to be the correct premise that the innocent party’s belief must be reasona</w:t>
      </w:r>
      <w:r w:rsidR="007E48F9">
        <w:rPr>
          <w:rFonts w:cs="Arial"/>
          <w:sz w:val="22"/>
        </w:rPr>
        <w:t>b</w:t>
      </w:r>
      <w:r w:rsidR="007E48F9" w:rsidRPr="001000D4">
        <w:rPr>
          <w:rFonts w:cs="Arial"/>
          <w:sz w:val="22"/>
        </w:rPr>
        <w:t xml:space="preserve">le. </w:t>
      </w:r>
      <w:r w:rsidR="007B18C0" w:rsidRPr="001000D4">
        <w:rPr>
          <w:rFonts w:cs="Arial"/>
          <w:sz w:val="22"/>
        </w:rPr>
        <w:t xml:space="preserve">As </w:t>
      </w:r>
      <w:r w:rsidR="00663AEB">
        <w:rPr>
          <w:rFonts w:cs="Arial"/>
          <w:sz w:val="22"/>
        </w:rPr>
        <w:t>has</w:t>
      </w:r>
      <w:r w:rsidR="007B18C0" w:rsidRPr="001000D4">
        <w:rPr>
          <w:rFonts w:cs="Arial"/>
          <w:sz w:val="22"/>
        </w:rPr>
        <w:t xml:space="preserve"> famously </w:t>
      </w:r>
      <w:r w:rsidR="00663AEB">
        <w:rPr>
          <w:rFonts w:cs="Arial"/>
          <w:sz w:val="22"/>
        </w:rPr>
        <w:t xml:space="preserve">been </w:t>
      </w:r>
      <w:r w:rsidR="007B18C0" w:rsidRPr="001000D4">
        <w:rPr>
          <w:rFonts w:cs="Arial"/>
          <w:sz w:val="22"/>
        </w:rPr>
        <w:t>put in South Africa if the party alleging a misrepresentation of the law –</w:t>
      </w:r>
      <w:r w:rsidR="001000D4" w:rsidRPr="001000D4">
        <w:rPr>
          <w:rFonts w:cs="Arial"/>
          <w:sz w:val="22"/>
        </w:rPr>
        <w:t xml:space="preserve"> </w:t>
      </w:r>
      <w:r w:rsidR="00663AEB">
        <w:rPr>
          <w:rFonts w:cs="Arial"/>
          <w:sz w:val="22"/>
        </w:rPr>
        <w:t>“</w:t>
      </w:r>
      <w:r w:rsidR="007B18C0" w:rsidRPr="001000D4">
        <w:rPr>
          <w:rFonts w:cs="Arial"/>
          <w:sz w:val="22"/>
        </w:rPr>
        <w:t>is so slack that he does not in the Court’s view deserve the protection of the law, he should, as a matter of policy, not receive it</w:t>
      </w:r>
      <w:r w:rsidR="00663AEB">
        <w:rPr>
          <w:rFonts w:cs="Arial"/>
          <w:sz w:val="22"/>
        </w:rPr>
        <w:t>”.</w:t>
      </w:r>
    </w:p>
    <w:p w14:paraId="2830D551" w14:textId="77777777" w:rsidR="007B18C0" w:rsidRDefault="007B18C0" w:rsidP="00E351D8">
      <w:pPr>
        <w:spacing w:line="480" w:lineRule="auto"/>
        <w:jc w:val="both"/>
        <w:rPr>
          <w:rFonts w:cs="Arial"/>
          <w:szCs w:val="24"/>
        </w:rPr>
      </w:pPr>
    </w:p>
    <w:p w14:paraId="74745AAA" w14:textId="61981232" w:rsidR="007B18C0" w:rsidRPr="001000D4" w:rsidRDefault="007B18C0" w:rsidP="00E351D8">
      <w:pPr>
        <w:pStyle w:val="NoSpacing"/>
        <w:numPr>
          <w:ilvl w:val="0"/>
          <w:numId w:val="8"/>
        </w:numPr>
        <w:spacing w:line="480" w:lineRule="auto"/>
        <w:ind w:left="0" w:firstLine="0"/>
        <w:jc w:val="both"/>
        <w:rPr>
          <w:rFonts w:ascii="Arial" w:hAnsi="Arial" w:cs="Arial"/>
          <w:sz w:val="24"/>
          <w:szCs w:val="24"/>
        </w:rPr>
      </w:pPr>
      <w:r w:rsidRPr="001000D4">
        <w:rPr>
          <w:rFonts w:ascii="Arial" w:hAnsi="Arial" w:cs="Arial"/>
          <w:sz w:val="24"/>
          <w:szCs w:val="24"/>
        </w:rPr>
        <w:t>The plaintiff was so slack as not to deserve the protection of the law</w:t>
      </w:r>
      <w:r w:rsidR="005C7ED7" w:rsidRPr="001000D4">
        <w:rPr>
          <w:rFonts w:ascii="Arial" w:hAnsi="Arial" w:cs="Arial"/>
          <w:sz w:val="24"/>
          <w:szCs w:val="24"/>
        </w:rPr>
        <w:t xml:space="preserve"> for the alleged damages suffered at the hands of the defendants</w:t>
      </w:r>
      <w:r w:rsidRPr="001000D4">
        <w:rPr>
          <w:rFonts w:ascii="Arial" w:hAnsi="Arial" w:cs="Arial"/>
          <w:sz w:val="24"/>
          <w:szCs w:val="24"/>
        </w:rPr>
        <w:t xml:space="preserve">. </w:t>
      </w:r>
    </w:p>
    <w:p w14:paraId="039FB2BB" w14:textId="77777777" w:rsidR="0037559F" w:rsidRPr="001000D4" w:rsidRDefault="0037559F" w:rsidP="00E351D8">
      <w:pPr>
        <w:spacing w:line="480" w:lineRule="auto"/>
        <w:jc w:val="both"/>
        <w:rPr>
          <w:rFonts w:cs="Arial"/>
          <w:szCs w:val="24"/>
          <w:u w:val="single"/>
        </w:rPr>
      </w:pPr>
    </w:p>
    <w:p w14:paraId="28BFC9AB" w14:textId="08620DBD" w:rsidR="005046BE" w:rsidRPr="001000D4" w:rsidRDefault="00C51873" w:rsidP="00E351D8">
      <w:pPr>
        <w:spacing w:line="480" w:lineRule="auto"/>
        <w:jc w:val="both"/>
        <w:rPr>
          <w:rFonts w:cs="Arial"/>
          <w:szCs w:val="24"/>
          <w:u w:val="single"/>
        </w:rPr>
      </w:pPr>
      <w:r w:rsidRPr="001000D4">
        <w:rPr>
          <w:rFonts w:cs="Arial"/>
          <w:szCs w:val="24"/>
          <w:u w:val="single"/>
        </w:rPr>
        <w:t>The cross-appeal</w:t>
      </w:r>
    </w:p>
    <w:p w14:paraId="50F17073" w14:textId="3B4B8E0A" w:rsidR="005003D9" w:rsidRDefault="003C0EC7" w:rsidP="00E32C81">
      <w:pPr>
        <w:pStyle w:val="NoSpacing"/>
        <w:numPr>
          <w:ilvl w:val="0"/>
          <w:numId w:val="8"/>
        </w:numPr>
        <w:spacing w:line="480" w:lineRule="auto"/>
        <w:ind w:left="0" w:firstLine="0"/>
        <w:jc w:val="both"/>
        <w:rPr>
          <w:rFonts w:ascii="Arial" w:hAnsi="Arial" w:cs="Arial"/>
          <w:sz w:val="24"/>
          <w:szCs w:val="24"/>
        </w:rPr>
      </w:pPr>
      <w:r>
        <w:rPr>
          <w:rFonts w:ascii="Arial" w:hAnsi="Arial" w:cs="Arial"/>
          <w:sz w:val="24"/>
          <w:szCs w:val="24"/>
        </w:rPr>
        <w:t>Where –</w:t>
      </w:r>
      <w:r w:rsidR="00C51873" w:rsidRPr="001000D4">
        <w:rPr>
          <w:rFonts w:ascii="Arial" w:hAnsi="Arial" w:cs="Arial"/>
          <w:sz w:val="24"/>
          <w:szCs w:val="24"/>
        </w:rPr>
        <w:t xml:space="preserve"> as the </w:t>
      </w:r>
      <w:r w:rsidR="009967A1">
        <w:rPr>
          <w:rFonts w:ascii="Arial" w:hAnsi="Arial" w:cs="Arial"/>
          <w:sz w:val="24"/>
          <w:szCs w:val="24"/>
        </w:rPr>
        <w:t>plaintiff</w:t>
      </w:r>
      <w:r w:rsidR="00C51873" w:rsidRPr="001000D4">
        <w:rPr>
          <w:rFonts w:ascii="Arial" w:hAnsi="Arial" w:cs="Arial"/>
          <w:sz w:val="24"/>
          <w:szCs w:val="24"/>
        </w:rPr>
        <w:t xml:space="preserve"> (</w:t>
      </w:r>
      <w:bookmarkStart w:id="0" w:name="_GoBack"/>
      <w:bookmarkEnd w:id="0"/>
      <w:r w:rsidR="00C51873" w:rsidRPr="004D2F9F">
        <w:rPr>
          <w:rFonts w:ascii="Arial" w:hAnsi="Arial" w:cs="Arial"/>
          <w:i/>
          <w:sz w:val="24"/>
          <w:szCs w:val="24"/>
        </w:rPr>
        <w:t>a quo</w:t>
      </w:r>
      <w:r w:rsidR="00C51873" w:rsidRPr="001000D4">
        <w:rPr>
          <w:rFonts w:ascii="Arial" w:hAnsi="Arial" w:cs="Arial"/>
          <w:sz w:val="24"/>
          <w:szCs w:val="24"/>
        </w:rPr>
        <w:t xml:space="preserve">) seeks to do – a party </w:t>
      </w:r>
      <w:r w:rsidR="00292E41" w:rsidRPr="001000D4">
        <w:rPr>
          <w:rFonts w:ascii="Arial" w:hAnsi="Arial" w:cs="Arial"/>
          <w:sz w:val="24"/>
          <w:szCs w:val="24"/>
        </w:rPr>
        <w:t xml:space="preserve">seeks </w:t>
      </w:r>
      <w:r w:rsidR="00AB61E5">
        <w:rPr>
          <w:rFonts w:ascii="Arial" w:hAnsi="Arial" w:cs="Arial"/>
          <w:sz w:val="24"/>
          <w:szCs w:val="24"/>
        </w:rPr>
        <w:t xml:space="preserve">to </w:t>
      </w:r>
      <w:r w:rsidR="00292E41" w:rsidRPr="001000D4">
        <w:rPr>
          <w:rFonts w:ascii="Arial" w:hAnsi="Arial" w:cs="Arial"/>
          <w:sz w:val="24"/>
          <w:szCs w:val="24"/>
        </w:rPr>
        <w:t xml:space="preserve">challenge only a costs order, s 18 </w:t>
      </w:r>
      <w:r w:rsidR="00AB61E5">
        <w:rPr>
          <w:rFonts w:ascii="Arial" w:hAnsi="Arial" w:cs="Arial"/>
          <w:sz w:val="24"/>
          <w:szCs w:val="24"/>
        </w:rPr>
        <w:t xml:space="preserve">of </w:t>
      </w:r>
      <w:r w:rsidR="007E48F9">
        <w:rPr>
          <w:rFonts w:ascii="Arial" w:hAnsi="Arial" w:cs="Arial"/>
          <w:sz w:val="24"/>
          <w:szCs w:val="24"/>
        </w:rPr>
        <w:t>the</w:t>
      </w:r>
      <w:r w:rsidR="00AB61E5">
        <w:rPr>
          <w:rFonts w:ascii="Arial" w:hAnsi="Arial" w:cs="Arial"/>
          <w:sz w:val="24"/>
          <w:szCs w:val="24"/>
        </w:rPr>
        <w:t xml:space="preserve"> High Court Act </w:t>
      </w:r>
      <w:r w:rsidR="00292E41" w:rsidRPr="001000D4">
        <w:rPr>
          <w:rFonts w:ascii="Arial" w:hAnsi="Arial" w:cs="Arial"/>
          <w:sz w:val="24"/>
          <w:szCs w:val="24"/>
        </w:rPr>
        <w:t xml:space="preserve">requires that it obtains leave of the court </w:t>
      </w:r>
      <w:r w:rsidR="00292E41" w:rsidRPr="003C0EC7">
        <w:rPr>
          <w:rFonts w:ascii="Arial" w:hAnsi="Arial" w:cs="Arial"/>
          <w:i/>
          <w:sz w:val="24"/>
          <w:szCs w:val="24"/>
        </w:rPr>
        <w:t>a quo</w:t>
      </w:r>
      <w:r w:rsidR="00292E41" w:rsidRPr="001000D4">
        <w:rPr>
          <w:rFonts w:ascii="Arial" w:hAnsi="Arial" w:cs="Arial"/>
          <w:sz w:val="24"/>
          <w:szCs w:val="24"/>
        </w:rPr>
        <w:t xml:space="preserve"> and if refused that of this Court. The cross-appeal is opposed by the </w:t>
      </w:r>
      <w:r w:rsidR="00AB61E5">
        <w:rPr>
          <w:rFonts w:ascii="Arial" w:hAnsi="Arial" w:cs="Arial"/>
          <w:sz w:val="24"/>
          <w:szCs w:val="24"/>
        </w:rPr>
        <w:t>defendants</w:t>
      </w:r>
      <w:r w:rsidR="00292E41" w:rsidRPr="001000D4">
        <w:rPr>
          <w:rFonts w:ascii="Arial" w:hAnsi="Arial" w:cs="Arial"/>
          <w:sz w:val="24"/>
          <w:szCs w:val="24"/>
        </w:rPr>
        <w:t xml:space="preserve"> on the basis that if the main appeal fails, the cross-appeal concerns the question of costs only decided against the </w:t>
      </w:r>
      <w:r w:rsidR="00AB61E5">
        <w:rPr>
          <w:rFonts w:ascii="Arial" w:hAnsi="Arial" w:cs="Arial"/>
          <w:sz w:val="24"/>
          <w:szCs w:val="24"/>
        </w:rPr>
        <w:t>defendants</w:t>
      </w:r>
      <w:r w:rsidR="00956A07" w:rsidRPr="001000D4">
        <w:rPr>
          <w:rFonts w:ascii="Arial" w:hAnsi="Arial" w:cs="Arial"/>
          <w:sz w:val="24"/>
          <w:szCs w:val="24"/>
        </w:rPr>
        <w:t xml:space="preserve"> and is thus caught by </w:t>
      </w:r>
    </w:p>
    <w:p w14:paraId="49C8A3B8" w14:textId="012FABDF" w:rsidR="00956A07" w:rsidRDefault="00956A07" w:rsidP="00E32C81">
      <w:pPr>
        <w:pStyle w:val="NoSpacing"/>
        <w:spacing w:line="480" w:lineRule="auto"/>
        <w:jc w:val="both"/>
        <w:rPr>
          <w:rFonts w:ascii="Arial" w:hAnsi="Arial" w:cs="Arial"/>
          <w:sz w:val="24"/>
          <w:szCs w:val="24"/>
        </w:rPr>
      </w:pPr>
      <w:r w:rsidRPr="001000D4">
        <w:rPr>
          <w:rFonts w:ascii="Arial" w:hAnsi="Arial" w:cs="Arial"/>
          <w:sz w:val="24"/>
          <w:szCs w:val="24"/>
        </w:rPr>
        <w:t>s 18</w:t>
      </w:r>
      <w:r w:rsidR="004229B6">
        <w:rPr>
          <w:rFonts w:ascii="Arial" w:hAnsi="Arial" w:cs="Arial"/>
          <w:sz w:val="24"/>
          <w:szCs w:val="24"/>
        </w:rPr>
        <w:t>.</w:t>
      </w:r>
    </w:p>
    <w:p w14:paraId="1A721288" w14:textId="77777777" w:rsidR="00755943" w:rsidRPr="00B32849" w:rsidRDefault="00755943" w:rsidP="00755943">
      <w:pPr>
        <w:pStyle w:val="NoSpacing"/>
        <w:spacing w:line="480" w:lineRule="auto"/>
        <w:jc w:val="both"/>
        <w:rPr>
          <w:rFonts w:ascii="Arial" w:hAnsi="Arial" w:cs="Arial"/>
          <w:sz w:val="24"/>
          <w:szCs w:val="24"/>
        </w:rPr>
      </w:pPr>
    </w:p>
    <w:p w14:paraId="29481CEF" w14:textId="1BFF4064" w:rsidR="00014CE1" w:rsidRPr="005547E2" w:rsidRDefault="00956A07" w:rsidP="00E351D8">
      <w:pPr>
        <w:pStyle w:val="NoSpacing"/>
        <w:numPr>
          <w:ilvl w:val="0"/>
          <w:numId w:val="8"/>
        </w:numPr>
        <w:spacing w:line="480" w:lineRule="auto"/>
        <w:ind w:left="0" w:firstLine="0"/>
        <w:jc w:val="both"/>
        <w:rPr>
          <w:rFonts w:ascii="Arial" w:hAnsi="Arial" w:cs="Arial"/>
          <w:sz w:val="24"/>
          <w:szCs w:val="24"/>
        </w:rPr>
      </w:pPr>
      <w:r w:rsidRPr="001000D4">
        <w:rPr>
          <w:rFonts w:ascii="Arial" w:hAnsi="Arial" w:cs="Arial"/>
          <w:sz w:val="24"/>
          <w:szCs w:val="24"/>
        </w:rPr>
        <w:t xml:space="preserve">The outcome of the appeal in which </w:t>
      </w:r>
      <w:r w:rsidR="006E2D54">
        <w:rPr>
          <w:rFonts w:ascii="Arial" w:hAnsi="Arial" w:cs="Arial"/>
          <w:sz w:val="24"/>
          <w:szCs w:val="24"/>
        </w:rPr>
        <w:t>Müller</w:t>
      </w:r>
      <w:r w:rsidRPr="001000D4">
        <w:rPr>
          <w:rFonts w:ascii="Arial" w:hAnsi="Arial" w:cs="Arial"/>
          <w:sz w:val="24"/>
          <w:szCs w:val="24"/>
        </w:rPr>
        <w:t xml:space="preserve"> succeeds in part </w:t>
      </w:r>
      <w:r w:rsidR="00572F8A" w:rsidRPr="001000D4">
        <w:rPr>
          <w:rFonts w:ascii="Arial" w:hAnsi="Arial" w:cs="Arial"/>
          <w:sz w:val="24"/>
          <w:szCs w:val="24"/>
        </w:rPr>
        <w:t>and Lauer fails in part required</w:t>
      </w:r>
      <w:r w:rsidRPr="001000D4">
        <w:rPr>
          <w:rFonts w:ascii="Arial" w:hAnsi="Arial" w:cs="Arial"/>
          <w:sz w:val="24"/>
          <w:szCs w:val="24"/>
        </w:rPr>
        <w:t xml:space="preserve"> revisiting the parties’ respective costs liability. The cross-appeal therefore bec</w:t>
      </w:r>
      <w:r w:rsidR="00572F8A" w:rsidRPr="001000D4">
        <w:rPr>
          <w:rFonts w:ascii="Arial" w:hAnsi="Arial" w:cs="Arial"/>
          <w:sz w:val="24"/>
          <w:szCs w:val="24"/>
        </w:rPr>
        <w:t>ame</w:t>
      </w:r>
      <w:r w:rsidRPr="001000D4">
        <w:rPr>
          <w:rFonts w:ascii="Arial" w:hAnsi="Arial" w:cs="Arial"/>
          <w:sz w:val="24"/>
          <w:szCs w:val="24"/>
        </w:rPr>
        <w:t xml:space="preserve"> moot in any event.</w:t>
      </w:r>
    </w:p>
    <w:p w14:paraId="16651042" w14:textId="5D5608CE" w:rsidR="001000D4" w:rsidRPr="001000D4" w:rsidRDefault="00422BC7" w:rsidP="00E351D8">
      <w:pPr>
        <w:spacing w:line="480" w:lineRule="auto"/>
        <w:jc w:val="both"/>
        <w:rPr>
          <w:rFonts w:cs="Arial"/>
          <w:szCs w:val="24"/>
          <w:u w:val="single"/>
        </w:rPr>
      </w:pPr>
      <w:r>
        <w:rPr>
          <w:rFonts w:cs="Arial"/>
          <w:szCs w:val="24"/>
          <w:u w:val="single"/>
        </w:rPr>
        <w:lastRenderedPageBreak/>
        <w:t>O</w:t>
      </w:r>
      <w:r w:rsidR="001000D4" w:rsidRPr="001000D4">
        <w:rPr>
          <w:rFonts w:cs="Arial"/>
          <w:szCs w:val="24"/>
          <w:u w:val="single"/>
        </w:rPr>
        <w:t>rder</w:t>
      </w:r>
    </w:p>
    <w:p w14:paraId="38A0319F" w14:textId="70AB5419" w:rsidR="005046BE" w:rsidRDefault="001000D4" w:rsidP="00E351D8">
      <w:pPr>
        <w:pStyle w:val="ListParagraph"/>
        <w:numPr>
          <w:ilvl w:val="0"/>
          <w:numId w:val="9"/>
        </w:numPr>
        <w:spacing w:line="480" w:lineRule="auto"/>
        <w:jc w:val="both"/>
        <w:rPr>
          <w:rFonts w:cs="Arial"/>
          <w:szCs w:val="24"/>
        </w:rPr>
      </w:pPr>
      <w:r>
        <w:rPr>
          <w:rFonts w:cs="Arial"/>
          <w:szCs w:val="24"/>
        </w:rPr>
        <w:t xml:space="preserve">The appeal </w:t>
      </w:r>
      <w:r w:rsidR="007E48F9">
        <w:rPr>
          <w:rFonts w:cs="Arial"/>
          <w:szCs w:val="24"/>
        </w:rPr>
        <w:t>succeeds</w:t>
      </w:r>
      <w:r>
        <w:rPr>
          <w:rFonts w:cs="Arial"/>
          <w:szCs w:val="24"/>
        </w:rPr>
        <w:t xml:space="preserve"> in part. The judgment and order of the High Court are set aside and replaced by the following:</w:t>
      </w:r>
    </w:p>
    <w:p w14:paraId="6CF40DD9" w14:textId="77777777" w:rsidR="00B32849" w:rsidRDefault="00B32849" w:rsidP="00E351D8">
      <w:pPr>
        <w:pStyle w:val="ListParagraph"/>
        <w:spacing w:line="480" w:lineRule="auto"/>
        <w:jc w:val="both"/>
        <w:rPr>
          <w:rFonts w:cs="Arial"/>
          <w:szCs w:val="24"/>
        </w:rPr>
      </w:pPr>
    </w:p>
    <w:p w14:paraId="7AC9C5EC" w14:textId="0F96E79E" w:rsidR="001000D4" w:rsidRDefault="002C5437" w:rsidP="00E351D8">
      <w:pPr>
        <w:pStyle w:val="ListParagraph"/>
        <w:spacing w:line="480" w:lineRule="auto"/>
        <w:ind w:left="1440"/>
        <w:jc w:val="both"/>
        <w:rPr>
          <w:rFonts w:cs="Arial"/>
          <w:szCs w:val="24"/>
        </w:rPr>
      </w:pPr>
      <w:r>
        <w:rPr>
          <w:rFonts w:cs="Arial"/>
          <w:szCs w:val="24"/>
        </w:rPr>
        <w:t>‘The plaintiff’s</w:t>
      </w:r>
      <w:r w:rsidR="001000D4">
        <w:rPr>
          <w:rFonts w:cs="Arial"/>
          <w:szCs w:val="24"/>
        </w:rPr>
        <w:t xml:space="preserve"> claim </w:t>
      </w:r>
      <w:r>
        <w:rPr>
          <w:rFonts w:cs="Arial"/>
          <w:szCs w:val="24"/>
        </w:rPr>
        <w:t xml:space="preserve">on claim </w:t>
      </w:r>
      <w:r w:rsidR="00E739E6">
        <w:rPr>
          <w:rFonts w:cs="Arial"/>
          <w:szCs w:val="24"/>
        </w:rPr>
        <w:t>one</w:t>
      </w:r>
      <w:r>
        <w:rPr>
          <w:rFonts w:cs="Arial"/>
          <w:szCs w:val="24"/>
        </w:rPr>
        <w:t xml:space="preserve"> is </w:t>
      </w:r>
      <w:r w:rsidR="001000D4">
        <w:rPr>
          <w:rFonts w:cs="Arial"/>
          <w:szCs w:val="24"/>
        </w:rPr>
        <w:t xml:space="preserve">dismissed, with costs, including costs of instructed counsel where </w:t>
      </w:r>
      <w:r w:rsidR="00AB61E5">
        <w:rPr>
          <w:rFonts w:cs="Arial"/>
          <w:szCs w:val="24"/>
        </w:rPr>
        <w:t>engaged.</w:t>
      </w:r>
      <w:r w:rsidR="001000D4">
        <w:rPr>
          <w:rFonts w:cs="Arial"/>
          <w:szCs w:val="24"/>
        </w:rPr>
        <w:t>’</w:t>
      </w:r>
    </w:p>
    <w:p w14:paraId="176F2327" w14:textId="77777777" w:rsidR="001000D4" w:rsidRDefault="001000D4" w:rsidP="00E351D8">
      <w:pPr>
        <w:spacing w:line="480" w:lineRule="auto"/>
        <w:jc w:val="both"/>
        <w:rPr>
          <w:rFonts w:cs="Arial"/>
          <w:szCs w:val="24"/>
        </w:rPr>
      </w:pPr>
    </w:p>
    <w:p w14:paraId="6472CD98" w14:textId="793E62A7" w:rsidR="001000D4" w:rsidRPr="001000D4" w:rsidRDefault="001000D4" w:rsidP="00E351D8">
      <w:pPr>
        <w:pStyle w:val="ListParagraph"/>
        <w:numPr>
          <w:ilvl w:val="0"/>
          <w:numId w:val="9"/>
        </w:numPr>
        <w:spacing w:line="480" w:lineRule="auto"/>
        <w:jc w:val="both"/>
        <w:rPr>
          <w:rFonts w:cs="Arial"/>
          <w:szCs w:val="24"/>
        </w:rPr>
      </w:pPr>
      <w:r>
        <w:rPr>
          <w:rFonts w:cs="Arial"/>
          <w:szCs w:val="24"/>
        </w:rPr>
        <w:t xml:space="preserve">The appeal against the High Court’s order in respect of claim </w:t>
      </w:r>
      <w:r w:rsidR="00E739E6">
        <w:rPr>
          <w:rFonts w:cs="Arial"/>
          <w:szCs w:val="24"/>
        </w:rPr>
        <w:t>three</w:t>
      </w:r>
      <w:r>
        <w:rPr>
          <w:rFonts w:cs="Arial"/>
          <w:szCs w:val="24"/>
        </w:rPr>
        <w:t xml:space="preserve"> (loan for purchase of animals) is dismissed, with costs, consequent upon the employment of </w:t>
      </w:r>
      <w:r w:rsidR="00AB61E5">
        <w:rPr>
          <w:rFonts w:cs="Arial"/>
          <w:szCs w:val="24"/>
        </w:rPr>
        <w:t xml:space="preserve">one </w:t>
      </w:r>
      <w:r w:rsidR="00A25B04">
        <w:rPr>
          <w:rFonts w:cs="Arial"/>
          <w:szCs w:val="24"/>
        </w:rPr>
        <w:t>instructing and</w:t>
      </w:r>
      <w:r w:rsidR="00AB61E5">
        <w:rPr>
          <w:rFonts w:cs="Arial"/>
          <w:szCs w:val="24"/>
        </w:rPr>
        <w:t xml:space="preserve"> one</w:t>
      </w:r>
      <w:r w:rsidR="00A25B04">
        <w:rPr>
          <w:rFonts w:cs="Arial"/>
          <w:szCs w:val="24"/>
        </w:rPr>
        <w:t xml:space="preserve"> instructed counsel.</w:t>
      </w:r>
    </w:p>
    <w:p w14:paraId="0997207F" w14:textId="77777777" w:rsidR="00ED7AB7" w:rsidRDefault="00ED7AB7" w:rsidP="00E351D8">
      <w:pPr>
        <w:spacing w:line="480" w:lineRule="auto"/>
        <w:jc w:val="both"/>
        <w:rPr>
          <w:rFonts w:cs="Arial"/>
          <w:b/>
          <w:szCs w:val="24"/>
        </w:rPr>
      </w:pPr>
    </w:p>
    <w:p w14:paraId="05C65938" w14:textId="77777777" w:rsidR="00ED7AB7" w:rsidRDefault="00ED7AB7" w:rsidP="00E351D8">
      <w:pPr>
        <w:spacing w:line="480" w:lineRule="auto"/>
        <w:jc w:val="both"/>
        <w:rPr>
          <w:rFonts w:cs="Arial"/>
          <w:b/>
          <w:szCs w:val="24"/>
        </w:rPr>
      </w:pPr>
    </w:p>
    <w:p w14:paraId="3374ACD9" w14:textId="77777777" w:rsidR="005547E2" w:rsidRDefault="005547E2" w:rsidP="00E351D8">
      <w:pPr>
        <w:spacing w:line="480" w:lineRule="auto"/>
        <w:jc w:val="both"/>
        <w:rPr>
          <w:rFonts w:cs="Arial"/>
          <w:b/>
          <w:szCs w:val="24"/>
        </w:rPr>
      </w:pPr>
    </w:p>
    <w:p w14:paraId="741B3AD9" w14:textId="77777777" w:rsidR="000E1B6E" w:rsidRPr="000E1B6E" w:rsidRDefault="000E1B6E" w:rsidP="00E351D8">
      <w:pPr>
        <w:spacing w:line="480" w:lineRule="auto"/>
        <w:jc w:val="both"/>
        <w:rPr>
          <w:rFonts w:cs="Arial"/>
          <w:szCs w:val="24"/>
        </w:rPr>
      </w:pPr>
      <w:r w:rsidRPr="000E1B6E">
        <w:rPr>
          <w:rFonts w:cs="Arial"/>
          <w:b/>
          <w:szCs w:val="24"/>
        </w:rPr>
        <w:t>__________________</w:t>
      </w:r>
    </w:p>
    <w:p w14:paraId="53AD7D42" w14:textId="77777777" w:rsidR="000E1B6E" w:rsidRPr="000E1B6E" w:rsidRDefault="000E1B6E" w:rsidP="00E351D8">
      <w:pPr>
        <w:spacing w:line="480" w:lineRule="auto"/>
        <w:jc w:val="both"/>
        <w:rPr>
          <w:rFonts w:cs="Arial"/>
          <w:b/>
          <w:szCs w:val="24"/>
        </w:rPr>
      </w:pPr>
      <w:r w:rsidRPr="000E1B6E">
        <w:rPr>
          <w:rFonts w:cs="Arial"/>
          <w:b/>
          <w:szCs w:val="24"/>
        </w:rPr>
        <w:t>DAMASEB DCJ</w:t>
      </w:r>
    </w:p>
    <w:p w14:paraId="0146B9EF" w14:textId="77777777" w:rsidR="00C06499" w:rsidRPr="000E1B6E" w:rsidRDefault="00C06499" w:rsidP="00E351D8">
      <w:pPr>
        <w:spacing w:line="480" w:lineRule="auto"/>
        <w:jc w:val="both"/>
        <w:rPr>
          <w:rFonts w:cs="Arial"/>
          <w:b/>
          <w:szCs w:val="24"/>
        </w:rPr>
      </w:pPr>
    </w:p>
    <w:p w14:paraId="219C2551" w14:textId="77777777" w:rsidR="000E1B6E" w:rsidRDefault="000E1B6E" w:rsidP="00E351D8">
      <w:pPr>
        <w:spacing w:line="480" w:lineRule="auto"/>
        <w:jc w:val="both"/>
        <w:rPr>
          <w:rFonts w:cs="Arial"/>
          <w:b/>
          <w:szCs w:val="24"/>
        </w:rPr>
      </w:pPr>
    </w:p>
    <w:p w14:paraId="20F35E48" w14:textId="77777777" w:rsidR="005547E2" w:rsidRPr="000E1B6E" w:rsidRDefault="005547E2" w:rsidP="00E351D8">
      <w:pPr>
        <w:spacing w:line="480" w:lineRule="auto"/>
        <w:jc w:val="both"/>
        <w:rPr>
          <w:rFonts w:cs="Arial"/>
          <w:b/>
          <w:szCs w:val="24"/>
        </w:rPr>
      </w:pPr>
    </w:p>
    <w:p w14:paraId="7E5053E3" w14:textId="77777777" w:rsidR="000E1B6E" w:rsidRPr="000E1B6E" w:rsidRDefault="000E1B6E" w:rsidP="00E351D8">
      <w:pPr>
        <w:spacing w:line="480" w:lineRule="auto"/>
        <w:jc w:val="both"/>
        <w:rPr>
          <w:rFonts w:cs="Arial"/>
          <w:b/>
          <w:szCs w:val="24"/>
        </w:rPr>
      </w:pPr>
      <w:r w:rsidRPr="000E1B6E">
        <w:rPr>
          <w:rFonts w:cs="Arial"/>
          <w:b/>
          <w:szCs w:val="24"/>
        </w:rPr>
        <w:t>__________________</w:t>
      </w:r>
    </w:p>
    <w:p w14:paraId="6AAF25E5" w14:textId="77777777" w:rsidR="000E1B6E" w:rsidRPr="000E1B6E" w:rsidRDefault="000E1B6E" w:rsidP="00E351D8">
      <w:pPr>
        <w:spacing w:line="480" w:lineRule="auto"/>
        <w:jc w:val="both"/>
        <w:rPr>
          <w:rFonts w:cs="Arial"/>
          <w:b/>
          <w:szCs w:val="24"/>
        </w:rPr>
      </w:pPr>
      <w:r w:rsidRPr="000E1B6E">
        <w:rPr>
          <w:rFonts w:cs="Arial"/>
          <w:b/>
          <w:szCs w:val="24"/>
        </w:rPr>
        <w:t>SHIVUTE CJ</w:t>
      </w:r>
    </w:p>
    <w:p w14:paraId="1157C5F7" w14:textId="77777777" w:rsidR="00C06499" w:rsidRDefault="00C06499" w:rsidP="00E351D8">
      <w:pPr>
        <w:spacing w:line="480" w:lineRule="auto"/>
        <w:jc w:val="both"/>
        <w:rPr>
          <w:rFonts w:cs="Arial"/>
          <w:b/>
          <w:szCs w:val="24"/>
        </w:rPr>
      </w:pPr>
    </w:p>
    <w:p w14:paraId="3C2D8C15" w14:textId="77777777" w:rsidR="005547E2" w:rsidRDefault="005547E2" w:rsidP="00E351D8">
      <w:pPr>
        <w:spacing w:line="480" w:lineRule="auto"/>
        <w:jc w:val="both"/>
        <w:rPr>
          <w:rFonts w:cs="Arial"/>
          <w:b/>
          <w:szCs w:val="24"/>
        </w:rPr>
      </w:pPr>
    </w:p>
    <w:p w14:paraId="3A63C7C3" w14:textId="77777777" w:rsidR="005547E2" w:rsidRPr="000E1B6E" w:rsidRDefault="005547E2" w:rsidP="00E351D8">
      <w:pPr>
        <w:spacing w:line="480" w:lineRule="auto"/>
        <w:jc w:val="both"/>
        <w:rPr>
          <w:rFonts w:cs="Arial"/>
          <w:b/>
          <w:szCs w:val="24"/>
        </w:rPr>
      </w:pPr>
    </w:p>
    <w:p w14:paraId="25528542" w14:textId="77777777" w:rsidR="000E1B6E" w:rsidRPr="000E1B6E" w:rsidRDefault="000E1B6E" w:rsidP="00E351D8">
      <w:pPr>
        <w:spacing w:line="480" w:lineRule="auto"/>
        <w:jc w:val="both"/>
        <w:rPr>
          <w:rFonts w:cs="Arial"/>
          <w:b/>
          <w:szCs w:val="24"/>
        </w:rPr>
      </w:pPr>
      <w:r w:rsidRPr="000E1B6E">
        <w:rPr>
          <w:rFonts w:cs="Arial"/>
          <w:b/>
          <w:szCs w:val="24"/>
        </w:rPr>
        <w:t>__________________</w:t>
      </w:r>
    </w:p>
    <w:p w14:paraId="11959090" w14:textId="2D9109F9" w:rsidR="00A25B04" w:rsidRDefault="000E1B6E" w:rsidP="00E351D8">
      <w:pPr>
        <w:spacing w:line="480" w:lineRule="auto"/>
        <w:jc w:val="both"/>
        <w:rPr>
          <w:rFonts w:cs="Arial"/>
          <w:b/>
          <w:szCs w:val="24"/>
        </w:rPr>
      </w:pPr>
      <w:r w:rsidRPr="000E1B6E">
        <w:rPr>
          <w:rFonts w:cs="Arial"/>
          <w:b/>
          <w:szCs w:val="24"/>
        </w:rPr>
        <w:t>HOFF JA</w:t>
      </w:r>
    </w:p>
    <w:p w14:paraId="096D2B94" w14:textId="77777777" w:rsidR="005547E2" w:rsidRDefault="005547E2" w:rsidP="00E351D8">
      <w:pPr>
        <w:spacing w:line="480" w:lineRule="auto"/>
        <w:jc w:val="both"/>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382"/>
      </w:tblGrid>
      <w:tr w:rsidR="000E1B6E" w:rsidRPr="000E1B6E" w14:paraId="6AE9E1BC" w14:textId="77777777" w:rsidTr="00A25B04">
        <w:tc>
          <w:tcPr>
            <w:tcW w:w="4405" w:type="dxa"/>
          </w:tcPr>
          <w:p w14:paraId="49C5D092" w14:textId="798C2C8A" w:rsidR="000E1B6E" w:rsidRPr="000E1B6E" w:rsidRDefault="000E1B6E" w:rsidP="00E351D8">
            <w:pPr>
              <w:spacing w:line="480" w:lineRule="auto"/>
              <w:ind w:left="-108" w:right="-146"/>
              <w:rPr>
                <w:rFonts w:ascii="Arial" w:hAnsi="Arial" w:cs="Arial"/>
                <w:sz w:val="24"/>
                <w:szCs w:val="24"/>
              </w:rPr>
            </w:pPr>
            <w:r w:rsidRPr="000E1B6E">
              <w:rPr>
                <w:rFonts w:ascii="Arial" w:hAnsi="Arial" w:cs="Arial"/>
                <w:sz w:val="24"/>
                <w:szCs w:val="24"/>
              </w:rPr>
              <w:t>APPEARANCES</w:t>
            </w:r>
          </w:p>
          <w:p w14:paraId="44DF5990" w14:textId="77777777" w:rsidR="000E1B6E" w:rsidRPr="000E1B6E" w:rsidRDefault="000E1B6E" w:rsidP="00E351D8">
            <w:pPr>
              <w:spacing w:line="480" w:lineRule="auto"/>
              <w:ind w:left="-108" w:right="-146"/>
              <w:rPr>
                <w:rFonts w:ascii="Arial" w:hAnsi="Arial" w:cs="Arial"/>
                <w:sz w:val="24"/>
                <w:szCs w:val="24"/>
              </w:rPr>
            </w:pPr>
          </w:p>
          <w:p w14:paraId="477BD210" w14:textId="77777777" w:rsidR="000E1B6E" w:rsidRPr="000E1B6E" w:rsidRDefault="000E1B6E" w:rsidP="00E351D8">
            <w:pPr>
              <w:spacing w:line="480" w:lineRule="auto"/>
              <w:ind w:left="-108" w:right="-146"/>
              <w:rPr>
                <w:rFonts w:ascii="Arial" w:hAnsi="Arial" w:cs="Arial"/>
                <w:sz w:val="24"/>
                <w:szCs w:val="24"/>
              </w:rPr>
            </w:pPr>
          </w:p>
        </w:tc>
        <w:tc>
          <w:tcPr>
            <w:tcW w:w="4382" w:type="dxa"/>
          </w:tcPr>
          <w:p w14:paraId="7436871A" w14:textId="77777777" w:rsidR="000E1B6E" w:rsidRPr="000E1B6E" w:rsidRDefault="000E1B6E" w:rsidP="00E351D8">
            <w:pPr>
              <w:autoSpaceDE w:val="0"/>
              <w:autoSpaceDN w:val="0"/>
              <w:adjustRightInd w:val="0"/>
              <w:spacing w:line="480" w:lineRule="auto"/>
              <w:jc w:val="both"/>
              <w:rPr>
                <w:rFonts w:ascii="Arial" w:eastAsia="Times New Roman" w:hAnsi="Arial" w:cs="Arial"/>
                <w:sz w:val="24"/>
                <w:szCs w:val="24"/>
                <w:lang w:val="en-GB"/>
              </w:rPr>
            </w:pPr>
          </w:p>
        </w:tc>
      </w:tr>
      <w:tr w:rsidR="000E1B6E" w:rsidRPr="000E1B6E" w14:paraId="4143265D" w14:textId="77777777" w:rsidTr="00A25B04">
        <w:tc>
          <w:tcPr>
            <w:tcW w:w="4405" w:type="dxa"/>
          </w:tcPr>
          <w:p w14:paraId="2985DBB7" w14:textId="695BA4EA" w:rsidR="000E1B6E" w:rsidRPr="000E1B6E" w:rsidRDefault="000E1B6E" w:rsidP="00E351D8">
            <w:pPr>
              <w:autoSpaceDE w:val="0"/>
              <w:autoSpaceDN w:val="0"/>
              <w:adjustRightInd w:val="0"/>
              <w:spacing w:line="480" w:lineRule="auto"/>
              <w:ind w:left="-108"/>
              <w:jc w:val="both"/>
              <w:rPr>
                <w:rFonts w:ascii="Arial" w:eastAsia="Times New Roman" w:hAnsi="Arial" w:cs="Arial"/>
                <w:sz w:val="24"/>
                <w:szCs w:val="24"/>
                <w:lang w:val="en-GB"/>
              </w:rPr>
            </w:pPr>
            <w:r w:rsidRPr="000E1B6E">
              <w:rPr>
                <w:rFonts w:ascii="Arial" w:eastAsia="Times New Roman" w:hAnsi="Arial" w:cs="Arial"/>
                <w:sz w:val="24"/>
                <w:szCs w:val="24"/>
                <w:lang w:val="en-GB"/>
              </w:rPr>
              <w:t>APPELLANT</w:t>
            </w:r>
            <w:r w:rsidR="00E739E6">
              <w:rPr>
                <w:rFonts w:ascii="Arial" w:eastAsia="Times New Roman" w:hAnsi="Arial" w:cs="Arial"/>
                <w:sz w:val="24"/>
                <w:szCs w:val="24"/>
                <w:lang w:val="en-GB"/>
              </w:rPr>
              <w:t>S</w:t>
            </w:r>
            <w:r w:rsidRPr="000E1B6E">
              <w:rPr>
                <w:rFonts w:ascii="Arial" w:eastAsia="Times New Roman" w:hAnsi="Arial" w:cs="Arial"/>
                <w:sz w:val="24"/>
                <w:szCs w:val="24"/>
                <w:lang w:val="en-GB"/>
              </w:rPr>
              <w:t>:</w:t>
            </w:r>
          </w:p>
        </w:tc>
        <w:tc>
          <w:tcPr>
            <w:tcW w:w="4382" w:type="dxa"/>
          </w:tcPr>
          <w:p w14:paraId="0F4ABD0C" w14:textId="77777777" w:rsidR="000E1B6E" w:rsidRPr="000E1B6E" w:rsidRDefault="000E1B6E" w:rsidP="00E351D8">
            <w:pPr>
              <w:spacing w:line="480" w:lineRule="auto"/>
              <w:rPr>
                <w:rFonts w:ascii="Arial" w:hAnsi="Arial" w:cs="Arial"/>
                <w:sz w:val="24"/>
                <w:szCs w:val="24"/>
              </w:rPr>
            </w:pPr>
          </w:p>
        </w:tc>
      </w:tr>
      <w:tr w:rsidR="000E1B6E" w:rsidRPr="000E1B6E" w14:paraId="57EFE116" w14:textId="77777777" w:rsidTr="00A25B04">
        <w:tc>
          <w:tcPr>
            <w:tcW w:w="4405" w:type="dxa"/>
          </w:tcPr>
          <w:p w14:paraId="48238FAE" w14:textId="77777777" w:rsidR="000E1B6E" w:rsidRPr="000E1B6E" w:rsidRDefault="000E1B6E" w:rsidP="00E351D8">
            <w:pPr>
              <w:autoSpaceDE w:val="0"/>
              <w:autoSpaceDN w:val="0"/>
              <w:adjustRightInd w:val="0"/>
              <w:spacing w:line="480" w:lineRule="auto"/>
              <w:ind w:left="-108"/>
              <w:jc w:val="both"/>
              <w:rPr>
                <w:rFonts w:ascii="Arial" w:eastAsia="Times New Roman" w:hAnsi="Arial" w:cs="Arial"/>
                <w:sz w:val="24"/>
                <w:szCs w:val="24"/>
                <w:lang w:val="en-GB"/>
              </w:rPr>
            </w:pPr>
          </w:p>
        </w:tc>
        <w:tc>
          <w:tcPr>
            <w:tcW w:w="4382" w:type="dxa"/>
          </w:tcPr>
          <w:p w14:paraId="08F0C339" w14:textId="45DAF787" w:rsidR="00FC27B0" w:rsidRDefault="00FC27B0" w:rsidP="00E351D8">
            <w:pPr>
              <w:spacing w:line="480" w:lineRule="auto"/>
              <w:rPr>
                <w:rFonts w:ascii="Arial" w:hAnsi="Arial" w:cs="Arial"/>
                <w:sz w:val="24"/>
                <w:szCs w:val="24"/>
              </w:rPr>
            </w:pPr>
            <w:r w:rsidRPr="00FC27B0">
              <w:rPr>
                <w:rFonts w:ascii="Arial" w:hAnsi="Arial" w:cs="Arial"/>
                <w:sz w:val="24"/>
                <w:szCs w:val="24"/>
              </w:rPr>
              <w:t>R Heathcote</w:t>
            </w:r>
          </w:p>
          <w:p w14:paraId="174BF482" w14:textId="77777777" w:rsidR="000E1B6E" w:rsidRPr="000E1B6E" w:rsidRDefault="000E1B6E" w:rsidP="00E351D8">
            <w:pPr>
              <w:spacing w:line="480" w:lineRule="auto"/>
              <w:rPr>
                <w:rFonts w:ascii="Arial" w:hAnsi="Arial" w:cs="Arial"/>
                <w:sz w:val="24"/>
                <w:szCs w:val="24"/>
              </w:rPr>
            </w:pPr>
            <w:r w:rsidRPr="000E1B6E">
              <w:rPr>
                <w:rFonts w:ascii="Arial" w:hAnsi="Arial" w:cs="Arial"/>
                <w:sz w:val="24"/>
                <w:szCs w:val="24"/>
              </w:rPr>
              <w:t>Instructed by Francois Erasmus and Partners</w:t>
            </w:r>
          </w:p>
        </w:tc>
      </w:tr>
      <w:tr w:rsidR="000E1B6E" w:rsidRPr="000E1B6E" w14:paraId="7E11200B" w14:textId="77777777" w:rsidTr="00A25B04">
        <w:tc>
          <w:tcPr>
            <w:tcW w:w="4405" w:type="dxa"/>
          </w:tcPr>
          <w:p w14:paraId="289AFC3C" w14:textId="77777777" w:rsidR="000E1B6E" w:rsidRPr="000E1B6E" w:rsidRDefault="000E1B6E" w:rsidP="00E351D8">
            <w:pPr>
              <w:autoSpaceDE w:val="0"/>
              <w:autoSpaceDN w:val="0"/>
              <w:adjustRightInd w:val="0"/>
              <w:spacing w:line="480" w:lineRule="auto"/>
              <w:ind w:left="-108"/>
              <w:jc w:val="both"/>
              <w:rPr>
                <w:rFonts w:ascii="Arial" w:eastAsia="Times New Roman" w:hAnsi="Arial" w:cs="Arial"/>
                <w:sz w:val="24"/>
                <w:szCs w:val="24"/>
                <w:lang w:val="en-GB"/>
              </w:rPr>
            </w:pPr>
          </w:p>
        </w:tc>
        <w:tc>
          <w:tcPr>
            <w:tcW w:w="4382" w:type="dxa"/>
          </w:tcPr>
          <w:p w14:paraId="5CCB4B35" w14:textId="77777777" w:rsidR="000E1B6E" w:rsidRPr="000E1B6E" w:rsidRDefault="000E1B6E" w:rsidP="00E351D8">
            <w:pPr>
              <w:spacing w:line="480" w:lineRule="auto"/>
              <w:rPr>
                <w:rFonts w:ascii="Arial" w:hAnsi="Arial" w:cs="Arial"/>
                <w:sz w:val="24"/>
                <w:szCs w:val="24"/>
              </w:rPr>
            </w:pPr>
          </w:p>
        </w:tc>
      </w:tr>
      <w:tr w:rsidR="000E1B6E" w:rsidRPr="000E1B6E" w14:paraId="5487D96D" w14:textId="77777777" w:rsidTr="00A25B04">
        <w:tc>
          <w:tcPr>
            <w:tcW w:w="4405" w:type="dxa"/>
          </w:tcPr>
          <w:p w14:paraId="7207467F" w14:textId="7FFA1606" w:rsidR="000E1B6E" w:rsidRPr="000E1B6E" w:rsidRDefault="000E1B6E" w:rsidP="00E351D8">
            <w:pPr>
              <w:autoSpaceDE w:val="0"/>
              <w:autoSpaceDN w:val="0"/>
              <w:adjustRightInd w:val="0"/>
              <w:spacing w:line="480" w:lineRule="auto"/>
              <w:ind w:left="-108"/>
              <w:jc w:val="both"/>
              <w:rPr>
                <w:rFonts w:ascii="Arial" w:eastAsia="Times New Roman" w:hAnsi="Arial" w:cs="Arial"/>
                <w:sz w:val="24"/>
                <w:szCs w:val="24"/>
                <w:lang w:val="en-GB"/>
              </w:rPr>
            </w:pPr>
            <w:r w:rsidRPr="000E1B6E">
              <w:rPr>
                <w:rFonts w:ascii="Arial" w:eastAsia="Times New Roman" w:hAnsi="Arial" w:cs="Arial"/>
                <w:sz w:val="24"/>
                <w:szCs w:val="24"/>
                <w:lang w:val="en-GB"/>
              </w:rPr>
              <w:t>RESPONDE</w:t>
            </w:r>
            <w:r w:rsidR="009967A1">
              <w:rPr>
                <w:rFonts w:ascii="Arial" w:eastAsia="Times New Roman" w:hAnsi="Arial" w:cs="Arial"/>
                <w:sz w:val="24"/>
                <w:szCs w:val="24"/>
                <w:lang w:val="en-GB"/>
              </w:rPr>
              <w:t>NT</w:t>
            </w:r>
            <w:r w:rsidRPr="000E1B6E">
              <w:rPr>
                <w:rFonts w:ascii="Arial" w:eastAsia="Times New Roman" w:hAnsi="Arial" w:cs="Arial"/>
                <w:sz w:val="24"/>
                <w:szCs w:val="24"/>
                <w:lang w:val="en-GB"/>
              </w:rPr>
              <w:t>:</w:t>
            </w:r>
          </w:p>
        </w:tc>
        <w:tc>
          <w:tcPr>
            <w:tcW w:w="4382" w:type="dxa"/>
          </w:tcPr>
          <w:p w14:paraId="1C2863C2" w14:textId="77777777" w:rsidR="000E1B6E" w:rsidRPr="000E1B6E" w:rsidRDefault="000E1B6E" w:rsidP="00E351D8">
            <w:pPr>
              <w:spacing w:line="480" w:lineRule="auto"/>
              <w:rPr>
                <w:rFonts w:ascii="Arial" w:hAnsi="Arial" w:cs="Arial"/>
                <w:sz w:val="24"/>
                <w:szCs w:val="24"/>
              </w:rPr>
            </w:pPr>
          </w:p>
        </w:tc>
      </w:tr>
      <w:tr w:rsidR="000E1B6E" w:rsidRPr="000E1B6E" w14:paraId="1AD5997F" w14:textId="77777777" w:rsidTr="00A25B04">
        <w:tc>
          <w:tcPr>
            <w:tcW w:w="4405" w:type="dxa"/>
          </w:tcPr>
          <w:p w14:paraId="7AACFD2A" w14:textId="77777777" w:rsidR="000E1B6E" w:rsidRPr="000E1B6E" w:rsidRDefault="000E1B6E" w:rsidP="00E351D8">
            <w:pPr>
              <w:autoSpaceDE w:val="0"/>
              <w:autoSpaceDN w:val="0"/>
              <w:adjustRightInd w:val="0"/>
              <w:spacing w:line="480" w:lineRule="auto"/>
              <w:ind w:left="-108"/>
              <w:jc w:val="both"/>
              <w:rPr>
                <w:rFonts w:ascii="Arial" w:eastAsia="Times New Roman" w:hAnsi="Arial" w:cs="Arial"/>
                <w:sz w:val="24"/>
                <w:szCs w:val="24"/>
                <w:lang w:val="en-GB"/>
              </w:rPr>
            </w:pPr>
          </w:p>
        </w:tc>
        <w:tc>
          <w:tcPr>
            <w:tcW w:w="4382" w:type="dxa"/>
          </w:tcPr>
          <w:p w14:paraId="68EB1B4D" w14:textId="282751A6" w:rsidR="00FC27B0" w:rsidRDefault="00FC27B0" w:rsidP="00E351D8">
            <w:pPr>
              <w:spacing w:line="480" w:lineRule="auto"/>
              <w:rPr>
                <w:rFonts w:ascii="Arial" w:hAnsi="Arial" w:cs="Arial"/>
                <w:sz w:val="24"/>
                <w:szCs w:val="24"/>
              </w:rPr>
            </w:pPr>
            <w:r w:rsidRPr="00FC27B0">
              <w:rPr>
                <w:rFonts w:ascii="Arial" w:hAnsi="Arial" w:cs="Arial"/>
                <w:sz w:val="24"/>
                <w:szCs w:val="24"/>
              </w:rPr>
              <w:t>CJ Mouton</w:t>
            </w:r>
          </w:p>
          <w:p w14:paraId="59793AE7" w14:textId="77777777" w:rsidR="000E1B6E" w:rsidRPr="000E1B6E" w:rsidRDefault="000E1B6E" w:rsidP="00E351D8">
            <w:pPr>
              <w:spacing w:line="480" w:lineRule="auto"/>
              <w:rPr>
                <w:rFonts w:ascii="Arial" w:hAnsi="Arial" w:cs="Arial"/>
                <w:sz w:val="24"/>
                <w:szCs w:val="24"/>
              </w:rPr>
            </w:pPr>
            <w:r w:rsidRPr="000E1B6E">
              <w:rPr>
                <w:rFonts w:ascii="Arial" w:hAnsi="Arial" w:cs="Arial"/>
                <w:sz w:val="24"/>
                <w:szCs w:val="24"/>
              </w:rPr>
              <w:t>Instructed by Theunissen, Louw and Partners</w:t>
            </w:r>
          </w:p>
        </w:tc>
      </w:tr>
    </w:tbl>
    <w:p w14:paraId="0F6E4DFE" w14:textId="77777777" w:rsidR="000E1B6E" w:rsidRPr="000E1B6E" w:rsidRDefault="000E1B6E" w:rsidP="00E351D8">
      <w:pPr>
        <w:spacing w:line="480" w:lineRule="auto"/>
        <w:jc w:val="both"/>
        <w:rPr>
          <w:rFonts w:asciiTheme="minorHAnsi" w:hAnsiTheme="minorHAnsi"/>
          <w:sz w:val="22"/>
        </w:rPr>
      </w:pPr>
    </w:p>
    <w:p w14:paraId="15B2CD3C" w14:textId="77777777" w:rsidR="008913E8" w:rsidRPr="000E1B6E" w:rsidRDefault="008913E8" w:rsidP="00E351D8">
      <w:pPr>
        <w:spacing w:line="480" w:lineRule="auto"/>
      </w:pPr>
    </w:p>
    <w:sectPr w:rsidR="008913E8" w:rsidRPr="000E1B6E" w:rsidSect="008913E8">
      <w:headerReference w:type="default" r:id="rId9"/>
      <w:pgSz w:w="11906" w:h="16838"/>
      <w:pgMar w:top="170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D03CA" w14:textId="77777777" w:rsidR="00E9300E" w:rsidRDefault="00E9300E">
      <w:r>
        <w:separator/>
      </w:r>
    </w:p>
  </w:endnote>
  <w:endnote w:type="continuationSeparator" w:id="0">
    <w:p w14:paraId="7FA86C5A" w14:textId="77777777" w:rsidR="00E9300E" w:rsidRDefault="00E9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33CB2" w14:textId="77777777" w:rsidR="00E9300E" w:rsidRDefault="00E9300E">
      <w:r>
        <w:separator/>
      </w:r>
    </w:p>
  </w:footnote>
  <w:footnote w:type="continuationSeparator" w:id="0">
    <w:p w14:paraId="65BCC3FD" w14:textId="77777777" w:rsidR="00E9300E" w:rsidRDefault="00E9300E">
      <w:r>
        <w:continuationSeparator/>
      </w:r>
    </w:p>
  </w:footnote>
  <w:footnote w:id="1">
    <w:p w14:paraId="78B7BE7A" w14:textId="2413167F" w:rsidR="00CE6DD3" w:rsidRPr="00CC5BF8" w:rsidRDefault="00CE6DD3" w:rsidP="00CC5BF8">
      <w:pPr>
        <w:pStyle w:val="FootnoteText"/>
        <w:jc w:val="both"/>
        <w:rPr>
          <w:lang w:val="en-US"/>
        </w:rPr>
      </w:pPr>
      <w:r>
        <w:rPr>
          <w:rStyle w:val="FootnoteReference"/>
        </w:rPr>
        <w:footnoteRef/>
      </w:r>
      <w:r>
        <w:t xml:space="preserve"> In terms of s 58 of the Agricultural (Commercial) Land Reform Act 6 of 1995 (ACLRA), </w:t>
      </w:r>
      <w:r>
        <w:rPr>
          <w:lang w:val="en-US"/>
        </w:rPr>
        <w:t>except with the prior written consent of the Minister of Land, a foreign national is not competent to acquire agricultural land in Namibia.</w:t>
      </w:r>
    </w:p>
  </w:footnote>
  <w:footnote w:id="2">
    <w:p w14:paraId="16D4CB16" w14:textId="68ABCE3C" w:rsidR="00CE6DD3" w:rsidRPr="003D2FE2" w:rsidRDefault="00CE6DD3">
      <w:pPr>
        <w:pStyle w:val="FootnoteText"/>
        <w:rPr>
          <w:lang w:val="en-US"/>
        </w:rPr>
      </w:pPr>
      <w:r>
        <w:rPr>
          <w:rStyle w:val="FootnoteReference"/>
        </w:rPr>
        <w:footnoteRef/>
      </w:r>
      <w:r>
        <w:t xml:space="preserve"> </w:t>
      </w:r>
      <w:r>
        <w:rPr>
          <w:lang w:val="en-US"/>
        </w:rPr>
        <w:t>In terms of s 3 (a) of the SALA, there cannot be subdivision of agricultural land unless the Minister of Agriculture consents in writing thereto.</w:t>
      </w:r>
    </w:p>
  </w:footnote>
  <w:footnote w:id="3">
    <w:p w14:paraId="0423945F" w14:textId="529D90CE" w:rsidR="00CE6DD3" w:rsidRPr="00C03D8D" w:rsidRDefault="00CE6DD3">
      <w:pPr>
        <w:pStyle w:val="FootnoteText"/>
        <w:rPr>
          <w:lang w:val="en-US"/>
        </w:rPr>
      </w:pPr>
      <w:r>
        <w:rPr>
          <w:rStyle w:val="FootnoteReference"/>
        </w:rPr>
        <w:footnoteRef/>
      </w:r>
      <w:r>
        <w:t xml:space="preserve"> </w:t>
      </w:r>
      <w:r>
        <w:rPr>
          <w:lang w:val="en-US"/>
        </w:rPr>
        <w:t>Sections 25 and 26.</w:t>
      </w:r>
    </w:p>
  </w:footnote>
  <w:footnote w:id="4">
    <w:p w14:paraId="19B5B826" w14:textId="7197464E" w:rsidR="00CE6DD3" w:rsidRPr="001327DD" w:rsidRDefault="00CE6DD3">
      <w:pPr>
        <w:pStyle w:val="FootnoteText"/>
        <w:rPr>
          <w:lang w:val="en-US"/>
        </w:rPr>
      </w:pPr>
      <w:r>
        <w:rPr>
          <w:rStyle w:val="FootnoteReference"/>
        </w:rPr>
        <w:footnoteRef/>
      </w:r>
      <w:r>
        <w:t xml:space="preserve"> </w:t>
      </w:r>
      <w:r w:rsidRPr="00B24631">
        <w:rPr>
          <w:i/>
        </w:rPr>
        <w:t>Paschke v Frans</w:t>
      </w:r>
      <w:r w:rsidRPr="00B24631">
        <w:t xml:space="preserve"> 2015 (3) NR 668 (SC)</w:t>
      </w:r>
      <w:r>
        <w:rPr>
          <w:lang w:val="en-US"/>
        </w:rPr>
        <w:t xml:space="preserve"> paras 14-21.</w:t>
      </w:r>
    </w:p>
  </w:footnote>
  <w:footnote w:id="5">
    <w:p w14:paraId="1ED43341" w14:textId="7BAE3194" w:rsidR="00CE6DD3" w:rsidRPr="00512A1D" w:rsidRDefault="00CE6DD3" w:rsidP="00512A1D">
      <w:pPr>
        <w:pStyle w:val="FootnoteText"/>
      </w:pPr>
      <w:r>
        <w:rPr>
          <w:rStyle w:val="FootnoteReference"/>
        </w:rPr>
        <w:footnoteRef/>
      </w:r>
      <w:r>
        <w:t xml:space="preserve"> </w:t>
      </w:r>
      <w:r w:rsidRPr="00512A1D">
        <w:rPr>
          <w:i/>
        </w:rPr>
        <w:t>African Diamond Exporters (Pty) Ltd v Barclays Bank International Ltd</w:t>
      </w:r>
      <w:r>
        <w:t xml:space="preserve"> 1978 (3) SA 699 (A).</w:t>
      </w:r>
    </w:p>
  </w:footnote>
  <w:footnote w:id="6">
    <w:p w14:paraId="03A2F94A" w14:textId="61D2762F" w:rsidR="00CE6DD3" w:rsidRPr="00512A1D" w:rsidRDefault="00CE6DD3">
      <w:pPr>
        <w:pStyle w:val="FootnoteText"/>
        <w:rPr>
          <w:lang w:val="en-US"/>
        </w:rPr>
      </w:pPr>
      <w:r>
        <w:rPr>
          <w:rStyle w:val="FootnoteReference"/>
        </w:rPr>
        <w:footnoteRef/>
      </w:r>
      <w:r>
        <w:t xml:space="preserve"> </w:t>
      </w:r>
      <w:r w:rsidRPr="0042043C">
        <w:rPr>
          <w:i/>
        </w:rPr>
        <w:t>Kudu Granite Operations (Pty) Ltd v Caterna Ltd</w:t>
      </w:r>
      <w:r w:rsidRPr="00512A1D">
        <w:t xml:space="preserve"> 2003 (5) SA 193 (SCA)</w:t>
      </w:r>
      <w:r>
        <w:t>.</w:t>
      </w:r>
    </w:p>
  </w:footnote>
  <w:footnote w:id="7">
    <w:p w14:paraId="5FB6B3D8" w14:textId="645F6F1B" w:rsidR="00CE6DD3" w:rsidRPr="00211D80" w:rsidRDefault="00CE6DD3">
      <w:pPr>
        <w:pStyle w:val="FootnoteText"/>
        <w:rPr>
          <w:lang w:val="en-US"/>
        </w:rPr>
      </w:pPr>
      <w:r>
        <w:rPr>
          <w:rStyle w:val="FootnoteReference"/>
        </w:rPr>
        <w:footnoteRef/>
      </w:r>
      <w:r>
        <w:t xml:space="preserve"> </w:t>
      </w:r>
      <w:r>
        <w:rPr>
          <w:lang w:val="en-US"/>
        </w:rPr>
        <w:t>In terms of High Court Rule 26.</w:t>
      </w:r>
    </w:p>
  </w:footnote>
  <w:footnote w:id="8">
    <w:p w14:paraId="65F962CE" w14:textId="3B8DCD3F" w:rsidR="00CE6DD3" w:rsidRPr="00A70516" w:rsidRDefault="00CE6DD3">
      <w:pPr>
        <w:pStyle w:val="FootnoteText"/>
        <w:rPr>
          <w:lang w:val="en-US"/>
        </w:rPr>
      </w:pPr>
      <w:r>
        <w:rPr>
          <w:rStyle w:val="FootnoteReference"/>
        </w:rPr>
        <w:footnoteRef/>
      </w:r>
      <w:r>
        <w:t xml:space="preserve"> </w:t>
      </w:r>
      <w:r w:rsidRPr="00A71ED9">
        <w:rPr>
          <w:i/>
          <w:lang w:val="en-US"/>
        </w:rPr>
        <w:t>Di Savino v Nedbank Namibia Ltd</w:t>
      </w:r>
      <w:r w:rsidRPr="00CC7CAD">
        <w:rPr>
          <w:lang w:val="en-US"/>
        </w:rPr>
        <w:t xml:space="preserve"> 2012 (2) NR 507 (SC)</w:t>
      </w:r>
      <w:r>
        <w:rPr>
          <w:lang w:val="en-US"/>
        </w:rPr>
        <w:t>.</w:t>
      </w:r>
    </w:p>
  </w:footnote>
  <w:footnote w:id="9">
    <w:p w14:paraId="45F4C9FF" w14:textId="2AA74FC5" w:rsidR="00CE6DD3" w:rsidRPr="00022432" w:rsidRDefault="00CE6DD3">
      <w:pPr>
        <w:pStyle w:val="FootnoteText"/>
        <w:rPr>
          <w:lang w:val="en-US"/>
        </w:rPr>
      </w:pPr>
      <w:r>
        <w:rPr>
          <w:rStyle w:val="FootnoteReference"/>
        </w:rPr>
        <w:footnoteRef/>
      </w:r>
      <w:r>
        <w:t xml:space="preserve"> WA Joubert and JA Faris </w:t>
      </w:r>
      <w:r w:rsidRPr="00CD4604">
        <w:rPr>
          <w:i/>
        </w:rPr>
        <w:t>The Law of South Africa</w:t>
      </w:r>
      <w:r>
        <w:t xml:space="preserve"> vol 17, 3 ed para 207 and JC Sonnekus </w:t>
      </w:r>
      <w:r w:rsidRPr="00C93406">
        <w:rPr>
          <w:i/>
        </w:rPr>
        <w:t>Unjustified Enrichment in South African Law</w:t>
      </w:r>
      <w:r>
        <w:rPr>
          <w:i/>
        </w:rPr>
        <w:t xml:space="preserve"> </w:t>
      </w:r>
      <w:r>
        <w:t>1 ed</w:t>
      </w:r>
      <w:r>
        <w:rPr>
          <w:lang w:val="en-US"/>
        </w:rPr>
        <w:t xml:space="preserve">, para 209. </w:t>
      </w:r>
    </w:p>
  </w:footnote>
  <w:footnote w:id="10">
    <w:p w14:paraId="171CB377" w14:textId="30B34DEB" w:rsidR="00CE6DD3" w:rsidRPr="00530E09" w:rsidRDefault="00CE6DD3">
      <w:pPr>
        <w:pStyle w:val="FootnoteText"/>
        <w:rPr>
          <w:lang w:val="en-US"/>
        </w:rPr>
      </w:pPr>
      <w:r>
        <w:rPr>
          <w:rStyle w:val="FootnoteReference"/>
        </w:rPr>
        <w:footnoteRef/>
      </w:r>
      <w:r>
        <w:rPr>
          <w:lang w:val="en-US"/>
        </w:rPr>
        <w:t xml:space="preserve"> LAWSA, at</w:t>
      </w:r>
      <w:r>
        <w:t xml:space="preserve"> 16. </w:t>
      </w:r>
    </w:p>
  </w:footnote>
  <w:footnote w:id="11">
    <w:p w14:paraId="6D350CF4" w14:textId="00FEDF0A" w:rsidR="00CE6DD3" w:rsidRPr="00530E09" w:rsidRDefault="00CE6DD3">
      <w:pPr>
        <w:pStyle w:val="FootnoteText"/>
        <w:rPr>
          <w:lang w:val="en-US"/>
        </w:rPr>
      </w:pPr>
      <w:r>
        <w:rPr>
          <w:rStyle w:val="FootnoteReference"/>
        </w:rPr>
        <w:footnoteRef/>
      </w:r>
      <w:r>
        <w:t xml:space="preserve"> </w:t>
      </w:r>
      <w:r w:rsidRPr="00791DBC">
        <w:rPr>
          <w:i/>
        </w:rPr>
        <w:t>Mc</w:t>
      </w:r>
      <w:r>
        <w:rPr>
          <w:i/>
        </w:rPr>
        <w:t>C</w:t>
      </w:r>
      <w:r w:rsidRPr="00791DBC">
        <w:rPr>
          <w:i/>
        </w:rPr>
        <w:t>arthy Retail Ltd v Shortdistance Carriers</w:t>
      </w:r>
      <w:r w:rsidRPr="00C93406">
        <w:t xml:space="preserve"> CC 2001 (3) SA 482 (SCA)</w:t>
      </w:r>
      <w:r>
        <w:t xml:space="preserve">; </w:t>
      </w:r>
      <w:r w:rsidRPr="00791DBC">
        <w:rPr>
          <w:i/>
        </w:rPr>
        <w:t>First National Bank of Southern Africa Ltd v Perry No &amp; others</w:t>
      </w:r>
      <w:r w:rsidRPr="00570CA5">
        <w:t xml:space="preserve"> 2001 (3) SA 960 (SCA)</w:t>
      </w:r>
      <w:r>
        <w:t xml:space="preserve">; </w:t>
      </w:r>
      <w:r>
        <w:rPr>
          <w:i/>
        </w:rPr>
        <w:t>Afrisure CC &amp;</w:t>
      </w:r>
      <w:r w:rsidRPr="00570CA5">
        <w:rPr>
          <w:i/>
        </w:rPr>
        <w:t xml:space="preserve"> </w:t>
      </w:r>
      <w:r>
        <w:rPr>
          <w:i/>
        </w:rPr>
        <w:t>a</w:t>
      </w:r>
      <w:r w:rsidRPr="00570CA5">
        <w:rPr>
          <w:i/>
        </w:rPr>
        <w:t xml:space="preserve">nother v Watson NO </w:t>
      </w:r>
      <w:r>
        <w:rPr>
          <w:i/>
        </w:rPr>
        <w:t>&amp; a</w:t>
      </w:r>
      <w:r w:rsidRPr="00570CA5">
        <w:rPr>
          <w:i/>
        </w:rPr>
        <w:t>nother</w:t>
      </w:r>
      <w:r>
        <w:t xml:space="preserve"> </w:t>
      </w:r>
      <w:r w:rsidRPr="00570CA5">
        <w:t>2009 (2) SA 127 (SCA)</w:t>
      </w:r>
      <w:r>
        <w:t>.</w:t>
      </w:r>
    </w:p>
  </w:footnote>
  <w:footnote w:id="12">
    <w:p w14:paraId="5A66CF46" w14:textId="62F514CA" w:rsidR="00CE6DD3" w:rsidRPr="00694F27" w:rsidRDefault="00CE6DD3">
      <w:pPr>
        <w:pStyle w:val="FootnoteText"/>
        <w:rPr>
          <w:lang w:val="en-US"/>
        </w:rPr>
      </w:pPr>
      <w:r>
        <w:rPr>
          <w:rStyle w:val="FootnoteReference"/>
        </w:rPr>
        <w:footnoteRef/>
      </w:r>
      <w:r>
        <w:t xml:space="preserve"> </w:t>
      </w:r>
      <w:r>
        <w:rPr>
          <w:lang w:val="en-US"/>
        </w:rPr>
        <w:t>LAWSA, at 123.</w:t>
      </w:r>
    </w:p>
  </w:footnote>
  <w:footnote w:id="13">
    <w:p w14:paraId="6A274A45" w14:textId="794AEF6C" w:rsidR="00CE6DD3" w:rsidRPr="00A60616" w:rsidRDefault="00CE6DD3">
      <w:pPr>
        <w:pStyle w:val="FootnoteText"/>
        <w:rPr>
          <w:lang w:val="en-US"/>
        </w:rPr>
      </w:pPr>
      <w:r>
        <w:rPr>
          <w:rStyle w:val="FootnoteReference"/>
        </w:rPr>
        <w:footnoteRef/>
      </w:r>
      <w:r>
        <w:t xml:space="preserve"> </w:t>
      </w:r>
      <w:r w:rsidRPr="00A60616">
        <w:rPr>
          <w:i/>
          <w:lang w:val="en-US"/>
        </w:rPr>
        <w:t>Unjustified Enrichment</w:t>
      </w:r>
      <w:r>
        <w:rPr>
          <w:lang w:val="en-US"/>
        </w:rPr>
        <w:t xml:space="preserve"> </w:t>
      </w:r>
      <w:r>
        <w:rPr>
          <w:i/>
          <w:lang w:val="en-US"/>
        </w:rPr>
        <w:t>in South African Law</w:t>
      </w:r>
      <w:r>
        <w:rPr>
          <w:lang w:val="en-US"/>
        </w:rPr>
        <w:t xml:space="preserve"> at 103 para 2.1.3.</w:t>
      </w:r>
    </w:p>
  </w:footnote>
  <w:footnote w:id="14">
    <w:p w14:paraId="70D159EE" w14:textId="56F3BAE6" w:rsidR="00CE6DD3" w:rsidRDefault="00CE6DD3" w:rsidP="00D33EBC">
      <w:pPr>
        <w:pStyle w:val="FootnoteText"/>
      </w:pPr>
      <w:r>
        <w:rPr>
          <w:rStyle w:val="FootnoteReference"/>
        </w:rPr>
        <w:footnoteRef/>
      </w:r>
      <w:r>
        <w:t xml:space="preserve"> </w:t>
      </w:r>
      <w:r w:rsidRPr="005177FD">
        <w:rPr>
          <w:i/>
        </w:rPr>
        <w:t xml:space="preserve">Willis Faber Enthoven </w:t>
      </w:r>
      <w:r>
        <w:rPr>
          <w:i/>
        </w:rPr>
        <w:t xml:space="preserve"> (Pty) Ltd </w:t>
      </w:r>
      <w:r w:rsidRPr="005177FD">
        <w:rPr>
          <w:i/>
        </w:rPr>
        <w:t>v Receiver of Revenue &amp; another</w:t>
      </w:r>
      <w:r w:rsidRPr="00C33243">
        <w:t xml:space="preserve"> 1992</w:t>
      </w:r>
      <w:r>
        <w:t xml:space="preserve"> (</w:t>
      </w:r>
      <w:r w:rsidRPr="00C33243">
        <w:t>4</w:t>
      </w:r>
      <w:r>
        <w:t>)</w:t>
      </w:r>
      <w:r w:rsidRPr="00C33243">
        <w:t xml:space="preserve"> SA </w:t>
      </w:r>
      <w:r>
        <w:t>202</w:t>
      </w:r>
      <w:r w:rsidRPr="00C33243">
        <w:t xml:space="preserve"> (A) </w:t>
      </w:r>
      <w:r>
        <w:t>at 22-23.</w:t>
      </w:r>
    </w:p>
  </w:footnote>
  <w:footnote w:id="15">
    <w:p w14:paraId="27C911B5" w14:textId="60E677C4" w:rsidR="00CE6DD3" w:rsidRPr="00DD3452" w:rsidRDefault="00CE6DD3">
      <w:pPr>
        <w:pStyle w:val="FootnoteText"/>
        <w:rPr>
          <w:lang w:val="en-US"/>
        </w:rPr>
      </w:pPr>
      <w:r w:rsidRPr="00DD3452">
        <w:rPr>
          <w:rStyle w:val="FootnoteReference"/>
        </w:rPr>
        <w:footnoteRef/>
      </w:r>
      <w:r w:rsidRPr="00DD3452">
        <w:t xml:space="preserve"> </w:t>
      </w:r>
      <w:r w:rsidRPr="00DD3452">
        <w:rPr>
          <w:rFonts w:cs="Arial"/>
          <w:i/>
        </w:rPr>
        <w:t>Ferrari v Ruch</w:t>
      </w:r>
      <w:r w:rsidRPr="00DD3452">
        <w:rPr>
          <w:lang w:val="en-US"/>
        </w:rPr>
        <w:t xml:space="preserve"> 1994 NR 287 (SC) </w:t>
      </w:r>
      <w:r>
        <w:rPr>
          <w:lang w:val="en-US"/>
        </w:rPr>
        <w:t xml:space="preserve">at </w:t>
      </w:r>
      <w:r w:rsidR="00A058FE">
        <w:rPr>
          <w:lang w:val="en-US"/>
        </w:rPr>
        <w:t>301-302</w:t>
      </w:r>
      <w:r w:rsidRPr="00DD3452">
        <w:rPr>
          <w:lang w:val="en-US"/>
        </w:rPr>
        <w:t>.</w:t>
      </w:r>
    </w:p>
  </w:footnote>
  <w:footnote w:id="16">
    <w:p w14:paraId="56A20FAB" w14:textId="36B1B35D" w:rsidR="00CE6DD3" w:rsidRPr="009244D0" w:rsidRDefault="00CE6DD3">
      <w:pPr>
        <w:pStyle w:val="FootnoteText"/>
        <w:rPr>
          <w:lang w:val="en-US"/>
        </w:rPr>
      </w:pPr>
      <w:r>
        <w:rPr>
          <w:rStyle w:val="FootnoteReference"/>
        </w:rPr>
        <w:footnoteRef/>
      </w:r>
      <w:r>
        <w:t xml:space="preserve"> </w:t>
      </w:r>
      <w:r w:rsidRPr="002C023E">
        <w:rPr>
          <w:i/>
        </w:rPr>
        <w:t>Denker v Ame</w:t>
      </w:r>
      <w:r>
        <w:rPr>
          <w:i/>
        </w:rPr>
        <w:t>ib Rhino Sanctuary (Pty) Ltd &amp;</w:t>
      </w:r>
      <w:r w:rsidRPr="002C023E">
        <w:rPr>
          <w:i/>
        </w:rPr>
        <w:t xml:space="preserve"> </w:t>
      </w:r>
      <w:r>
        <w:rPr>
          <w:i/>
        </w:rPr>
        <w:t>o</w:t>
      </w:r>
      <w:r w:rsidRPr="002C023E">
        <w:rPr>
          <w:i/>
        </w:rPr>
        <w:t>thers</w:t>
      </w:r>
      <w:r w:rsidRPr="002C023E">
        <w:rPr>
          <w:lang w:val="en-US"/>
        </w:rPr>
        <w:t xml:space="preserve"> </w:t>
      </w:r>
      <w:r w:rsidR="00041513">
        <w:rPr>
          <w:lang w:val="en-US"/>
        </w:rPr>
        <w:t xml:space="preserve">2017 (4) NR 1173 </w:t>
      </w:r>
      <w:r>
        <w:rPr>
          <w:lang w:val="en-US"/>
        </w:rPr>
        <w:t>para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22635"/>
      <w:docPartObj>
        <w:docPartGallery w:val="Page Numbers (Top of Page)"/>
        <w:docPartUnique/>
      </w:docPartObj>
    </w:sdtPr>
    <w:sdtEndPr>
      <w:rPr>
        <w:noProof/>
      </w:rPr>
    </w:sdtEndPr>
    <w:sdtContent>
      <w:p w14:paraId="3A696DDD" w14:textId="77777777" w:rsidR="00CE6DD3" w:rsidRDefault="00CE6DD3">
        <w:pPr>
          <w:pStyle w:val="Header"/>
          <w:jc w:val="right"/>
        </w:pPr>
        <w:r w:rsidRPr="006D2634">
          <w:rPr>
            <w:rFonts w:ascii="Arial" w:hAnsi="Arial" w:cs="Arial"/>
            <w:sz w:val="24"/>
            <w:szCs w:val="24"/>
          </w:rPr>
          <w:fldChar w:fldCharType="begin"/>
        </w:r>
        <w:r w:rsidRPr="006D2634">
          <w:rPr>
            <w:rFonts w:ascii="Arial" w:hAnsi="Arial" w:cs="Arial"/>
            <w:sz w:val="24"/>
            <w:szCs w:val="24"/>
          </w:rPr>
          <w:instrText xml:space="preserve"> PAGE   \* MERGEFORMAT </w:instrText>
        </w:r>
        <w:r w:rsidRPr="006D2634">
          <w:rPr>
            <w:rFonts w:ascii="Arial" w:hAnsi="Arial" w:cs="Arial"/>
            <w:sz w:val="24"/>
            <w:szCs w:val="24"/>
          </w:rPr>
          <w:fldChar w:fldCharType="separate"/>
        </w:r>
        <w:r w:rsidR="00B30F2F">
          <w:rPr>
            <w:rFonts w:ascii="Arial" w:hAnsi="Arial" w:cs="Arial"/>
            <w:noProof/>
            <w:sz w:val="24"/>
            <w:szCs w:val="24"/>
          </w:rPr>
          <w:t>39</w:t>
        </w:r>
        <w:r w:rsidRPr="006D2634">
          <w:rPr>
            <w:rFonts w:ascii="Arial" w:hAnsi="Arial" w:cs="Arial"/>
            <w:noProof/>
            <w:sz w:val="24"/>
            <w:szCs w:val="24"/>
          </w:rPr>
          <w:fldChar w:fldCharType="end"/>
        </w:r>
      </w:p>
    </w:sdtContent>
  </w:sdt>
  <w:p w14:paraId="79A88DAD" w14:textId="77777777" w:rsidR="00CE6DD3" w:rsidRDefault="00CE6D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B3801"/>
    <w:multiLevelType w:val="hybridMultilevel"/>
    <w:tmpl w:val="ED78BE44"/>
    <w:lvl w:ilvl="0" w:tplc="6BB0DC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926115"/>
    <w:multiLevelType w:val="hybridMultilevel"/>
    <w:tmpl w:val="302A3A1C"/>
    <w:lvl w:ilvl="0" w:tplc="1C090011">
      <w:start w:val="1"/>
      <w:numFmt w:val="decimal"/>
      <w:lvlText w:val="%1)"/>
      <w:lvlJc w:val="left"/>
      <w:pPr>
        <w:ind w:left="7920" w:hanging="360"/>
      </w:pPr>
      <w:rPr>
        <w:rFonts w:hint="default"/>
      </w:rPr>
    </w:lvl>
    <w:lvl w:ilvl="1" w:tplc="1C090019">
      <w:start w:val="1"/>
      <w:numFmt w:val="lowerLetter"/>
      <w:lvlText w:val="%2."/>
      <w:lvlJc w:val="left"/>
      <w:pPr>
        <w:ind w:left="8640" w:hanging="360"/>
      </w:pPr>
    </w:lvl>
    <w:lvl w:ilvl="2" w:tplc="1C09001B" w:tentative="1">
      <w:start w:val="1"/>
      <w:numFmt w:val="lowerRoman"/>
      <w:lvlText w:val="%3."/>
      <w:lvlJc w:val="right"/>
      <w:pPr>
        <w:ind w:left="9360" w:hanging="180"/>
      </w:pPr>
    </w:lvl>
    <w:lvl w:ilvl="3" w:tplc="1C09000F" w:tentative="1">
      <w:start w:val="1"/>
      <w:numFmt w:val="decimal"/>
      <w:lvlText w:val="%4."/>
      <w:lvlJc w:val="left"/>
      <w:pPr>
        <w:ind w:left="10080" w:hanging="360"/>
      </w:pPr>
    </w:lvl>
    <w:lvl w:ilvl="4" w:tplc="1C090019" w:tentative="1">
      <w:start w:val="1"/>
      <w:numFmt w:val="lowerLetter"/>
      <w:lvlText w:val="%5."/>
      <w:lvlJc w:val="left"/>
      <w:pPr>
        <w:ind w:left="10800" w:hanging="360"/>
      </w:pPr>
    </w:lvl>
    <w:lvl w:ilvl="5" w:tplc="1C09001B" w:tentative="1">
      <w:start w:val="1"/>
      <w:numFmt w:val="lowerRoman"/>
      <w:lvlText w:val="%6."/>
      <w:lvlJc w:val="right"/>
      <w:pPr>
        <w:ind w:left="11520" w:hanging="180"/>
      </w:pPr>
    </w:lvl>
    <w:lvl w:ilvl="6" w:tplc="1C09000F" w:tentative="1">
      <w:start w:val="1"/>
      <w:numFmt w:val="decimal"/>
      <w:lvlText w:val="%7."/>
      <w:lvlJc w:val="left"/>
      <w:pPr>
        <w:ind w:left="12240" w:hanging="360"/>
      </w:pPr>
    </w:lvl>
    <w:lvl w:ilvl="7" w:tplc="1C090019" w:tentative="1">
      <w:start w:val="1"/>
      <w:numFmt w:val="lowerLetter"/>
      <w:lvlText w:val="%8."/>
      <w:lvlJc w:val="left"/>
      <w:pPr>
        <w:ind w:left="12960" w:hanging="360"/>
      </w:pPr>
    </w:lvl>
    <w:lvl w:ilvl="8" w:tplc="1C09001B" w:tentative="1">
      <w:start w:val="1"/>
      <w:numFmt w:val="lowerRoman"/>
      <w:lvlText w:val="%9."/>
      <w:lvlJc w:val="right"/>
      <w:pPr>
        <w:ind w:left="13680" w:hanging="180"/>
      </w:pPr>
    </w:lvl>
  </w:abstractNum>
  <w:abstractNum w:abstractNumId="2">
    <w:nsid w:val="28A5024D"/>
    <w:multiLevelType w:val="hybridMultilevel"/>
    <w:tmpl w:val="7A7AFA06"/>
    <w:lvl w:ilvl="0" w:tplc="56F6B7B8">
      <w:start w:val="1"/>
      <w:numFmt w:val="decimal"/>
      <w:lvlText w:val="[%1]"/>
      <w:lvlJc w:val="left"/>
      <w:pPr>
        <w:ind w:left="644" w:hanging="360"/>
      </w:pPr>
      <w:rPr>
        <w:rFonts w:ascii="Arial" w:hAnsi="Arial" w:cs="Arial" w:hint="default"/>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2581D3E"/>
    <w:multiLevelType w:val="hybridMultilevel"/>
    <w:tmpl w:val="CB586E90"/>
    <w:lvl w:ilvl="0" w:tplc="C08651C8">
      <w:start w:val="1"/>
      <w:numFmt w:val="decimal"/>
      <w:lvlText w:val="[%1]"/>
      <w:lvlJc w:val="left"/>
      <w:pPr>
        <w:ind w:left="502"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F2D1154"/>
    <w:multiLevelType w:val="hybridMultilevel"/>
    <w:tmpl w:val="ED78BE44"/>
    <w:lvl w:ilvl="0" w:tplc="6BB0DC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9305F6"/>
    <w:multiLevelType w:val="hybridMultilevel"/>
    <w:tmpl w:val="392EEEBC"/>
    <w:lvl w:ilvl="0" w:tplc="A41441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56F1BFD"/>
    <w:multiLevelType w:val="hybridMultilevel"/>
    <w:tmpl w:val="FCB2D8E4"/>
    <w:lvl w:ilvl="0" w:tplc="F7F074F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E5133E"/>
    <w:multiLevelType w:val="hybridMultilevel"/>
    <w:tmpl w:val="F8E4E6FA"/>
    <w:lvl w:ilvl="0" w:tplc="E58A91A6">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8">
    <w:nsid w:val="6FB82756"/>
    <w:multiLevelType w:val="hybridMultilevel"/>
    <w:tmpl w:val="79DC850A"/>
    <w:lvl w:ilvl="0" w:tplc="36B08644">
      <w:start w:val="1"/>
      <w:numFmt w:val="lowerLetter"/>
      <w:lvlText w:val="(%1)"/>
      <w:lvlJc w:val="left"/>
      <w:pPr>
        <w:ind w:left="862" w:hanging="36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77584909"/>
    <w:multiLevelType w:val="hybridMultilevel"/>
    <w:tmpl w:val="9BCC67D6"/>
    <w:lvl w:ilvl="0" w:tplc="D35CFAAE">
      <w:start w:val="1"/>
      <w:numFmt w:val="lowerLetter"/>
      <w:lvlText w:val="(%1)"/>
      <w:lvlJc w:val="left"/>
      <w:pPr>
        <w:ind w:left="862" w:hanging="360"/>
      </w:pPr>
      <w:rPr>
        <w:rFonts w:hint="default"/>
      </w:r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num w:numId="1">
    <w:abstractNumId w:val="3"/>
  </w:num>
  <w:num w:numId="2">
    <w:abstractNumId w:val="8"/>
  </w:num>
  <w:num w:numId="3">
    <w:abstractNumId w:val="9"/>
  </w:num>
  <w:num w:numId="4">
    <w:abstractNumId w:val="1"/>
  </w:num>
  <w:num w:numId="5">
    <w:abstractNumId w:val="7"/>
  </w:num>
  <w:num w:numId="6">
    <w:abstractNumId w:val="0"/>
  </w:num>
  <w:num w:numId="7">
    <w:abstractNumId w:val="6"/>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6E"/>
    <w:rsid w:val="0000041D"/>
    <w:rsid w:val="00001C5F"/>
    <w:rsid w:val="000040B6"/>
    <w:rsid w:val="000078A3"/>
    <w:rsid w:val="00014CE1"/>
    <w:rsid w:val="00016753"/>
    <w:rsid w:val="00020EB2"/>
    <w:rsid w:val="00022432"/>
    <w:rsid w:val="00024868"/>
    <w:rsid w:val="00032178"/>
    <w:rsid w:val="00041513"/>
    <w:rsid w:val="00041A1D"/>
    <w:rsid w:val="00042B93"/>
    <w:rsid w:val="00042C29"/>
    <w:rsid w:val="00044FD6"/>
    <w:rsid w:val="0004607A"/>
    <w:rsid w:val="00051E52"/>
    <w:rsid w:val="0005218C"/>
    <w:rsid w:val="00053F5B"/>
    <w:rsid w:val="000625BB"/>
    <w:rsid w:val="000626DF"/>
    <w:rsid w:val="000773FA"/>
    <w:rsid w:val="00077CE7"/>
    <w:rsid w:val="00080630"/>
    <w:rsid w:val="00085F1B"/>
    <w:rsid w:val="000874D7"/>
    <w:rsid w:val="00093AAE"/>
    <w:rsid w:val="000962B7"/>
    <w:rsid w:val="000963BF"/>
    <w:rsid w:val="0009644A"/>
    <w:rsid w:val="000B39BA"/>
    <w:rsid w:val="000B476E"/>
    <w:rsid w:val="000B4F51"/>
    <w:rsid w:val="000B6ACB"/>
    <w:rsid w:val="000C01EF"/>
    <w:rsid w:val="000C5633"/>
    <w:rsid w:val="000C6EC5"/>
    <w:rsid w:val="000C79EE"/>
    <w:rsid w:val="000D2612"/>
    <w:rsid w:val="000D7A86"/>
    <w:rsid w:val="000E1B6E"/>
    <w:rsid w:val="000E3178"/>
    <w:rsid w:val="000F491F"/>
    <w:rsid w:val="001000D4"/>
    <w:rsid w:val="00101B8E"/>
    <w:rsid w:val="001053B1"/>
    <w:rsid w:val="00114CD7"/>
    <w:rsid w:val="00122584"/>
    <w:rsid w:val="001317EC"/>
    <w:rsid w:val="001327DD"/>
    <w:rsid w:val="001348B8"/>
    <w:rsid w:val="00141EB6"/>
    <w:rsid w:val="001479DE"/>
    <w:rsid w:val="00151225"/>
    <w:rsid w:val="001577B3"/>
    <w:rsid w:val="00157CE4"/>
    <w:rsid w:val="001701ED"/>
    <w:rsid w:val="00172555"/>
    <w:rsid w:val="00172A60"/>
    <w:rsid w:val="00173037"/>
    <w:rsid w:val="001770B0"/>
    <w:rsid w:val="00186AD0"/>
    <w:rsid w:val="0019335E"/>
    <w:rsid w:val="001969AD"/>
    <w:rsid w:val="001A3606"/>
    <w:rsid w:val="001A5651"/>
    <w:rsid w:val="001B2423"/>
    <w:rsid w:val="001B323D"/>
    <w:rsid w:val="001B68CE"/>
    <w:rsid w:val="001B71F1"/>
    <w:rsid w:val="001C23EB"/>
    <w:rsid w:val="001C2504"/>
    <w:rsid w:val="001D1E64"/>
    <w:rsid w:val="001D3608"/>
    <w:rsid w:val="001E3617"/>
    <w:rsid w:val="002027E6"/>
    <w:rsid w:val="00205788"/>
    <w:rsid w:val="002062F7"/>
    <w:rsid w:val="0021084D"/>
    <w:rsid w:val="00211D80"/>
    <w:rsid w:val="0021605F"/>
    <w:rsid w:val="00216A06"/>
    <w:rsid w:val="00222097"/>
    <w:rsid w:val="00222B17"/>
    <w:rsid w:val="00223AA7"/>
    <w:rsid w:val="00231FE8"/>
    <w:rsid w:val="002343BA"/>
    <w:rsid w:val="00236402"/>
    <w:rsid w:val="002370DE"/>
    <w:rsid w:val="002403B5"/>
    <w:rsid w:val="0024629B"/>
    <w:rsid w:val="0024717A"/>
    <w:rsid w:val="00251076"/>
    <w:rsid w:val="00251610"/>
    <w:rsid w:val="00252B8B"/>
    <w:rsid w:val="002538AE"/>
    <w:rsid w:val="00256003"/>
    <w:rsid w:val="00257276"/>
    <w:rsid w:val="00261F90"/>
    <w:rsid w:val="00264251"/>
    <w:rsid w:val="002711FC"/>
    <w:rsid w:val="00274F02"/>
    <w:rsid w:val="00276ED0"/>
    <w:rsid w:val="00277480"/>
    <w:rsid w:val="002833BA"/>
    <w:rsid w:val="002860F4"/>
    <w:rsid w:val="002861BB"/>
    <w:rsid w:val="00292E41"/>
    <w:rsid w:val="002952AB"/>
    <w:rsid w:val="002A0FED"/>
    <w:rsid w:val="002A430A"/>
    <w:rsid w:val="002A6B38"/>
    <w:rsid w:val="002B1704"/>
    <w:rsid w:val="002B7154"/>
    <w:rsid w:val="002C023E"/>
    <w:rsid w:val="002C0A3F"/>
    <w:rsid w:val="002C3C62"/>
    <w:rsid w:val="002C5437"/>
    <w:rsid w:val="002C67AC"/>
    <w:rsid w:val="002C747D"/>
    <w:rsid w:val="002C7DE2"/>
    <w:rsid w:val="002D7C06"/>
    <w:rsid w:val="002E5B00"/>
    <w:rsid w:val="002E6436"/>
    <w:rsid w:val="002E733C"/>
    <w:rsid w:val="002F293C"/>
    <w:rsid w:val="002F29CF"/>
    <w:rsid w:val="002F5242"/>
    <w:rsid w:val="00304992"/>
    <w:rsid w:val="00311EF3"/>
    <w:rsid w:val="00312085"/>
    <w:rsid w:val="00312EF7"/>
    <w:rsid w:val="003156C3"/>
    <w:rsid w:val="0032024B"/>
    <w:rsid w:val="00324906"/>
    <w:rsid w:val="00325405"/>
    <w:rsid w:val="0032546B"/>
    <w:rsid w:val="00335283"/>
    <w:rsid w:val="00340046"/>
    <w:rsid w:val="0034343D"/>
    <w:rsid w:val="00344789"/>
    <w:rsid w:val="00350267"/>
    <w:rsid w:val="00350362"/>
    <w:rsid w:val="0035392B"/>
    <w:rsid w:val="003616BF"/>
    <w:rsid w:val="00370453"/>
    <w:rsid w:val="0037559F"/>
    <w:rsid w:val="00375E96"/>
    <w:rsid w:val="003766E2"/>
    <w:rsid w:val="00383408"/>
    <w:rsid w:val="003837BD"/>
    <w:rsid w:val="00387D44"/>
    <w:rsid w:val="0039146D"/>
    <w:rsid w:val="00393F3E"/>
    <w:rsid w:val="00397AB8"/>
    <w:rsid w:val="003B1327"/>
    <w:rsid w:val="003B53C8"/>
    <w:rsid w:val="003C0EC7"/>
    <w:rsid w:val="003D0EAB"/>
    <w:rsid w:val="003D2FE2"/>
    <w:rsid w:val="003D517C"/>
    <w:rsid w:val="003E03B6"/>
    <w:rsid w:val="003E2F9B"/>
    <w:rsid w:val="003E4BF5"/>
    <w:rsid w:val="003F164B"/>
    <w:rsid w:val="003F5DA7"/>
    <w:rsid w:val="003F6C74"/>
    <w:rsid w:val="003F6CDA"/>
    <w:rsid w:val="003F7FBF"/>
    <w:rsid w:val="004009EB"/>
    <w:rsid w:val="00405B5B"/>
    <w:rsid w:val="00406D89"/>
    <w:rsid w:val="0042043C"/>
    <w:rsid w:val="004208C0"/>
    <w:rsid w:val="00421C9B"/>
    <w:rsid w:val="00421DA7"/>
    <w:rsid w:val="00422746"/>
    <w:rsid w:val="004229B6"/>
    <w:rsid w:val="00422BC7"/>
    <w:rsid w:val="00427FAA"/>
    <w:rsid w:val="00431098"/>
    <w:rsid w:val="00431782"/>
    <w:rsid w:val="00436C4D"/>
    <w:rsid w:val="0043776F"/>
    <w:rsid w:val="00437782"/>
    <w:rsid w:val="00440567"/>
    <w:rsid w:val="004419AC"/>
    <w:rsid w:val="004501EC"/>
    <w:rsid w:val="0045191F"/>
    <w:rsid w:val="00456F97"/>
    <w:rsid w:val="00460D84"/>
    <w:rsid w:val="00464401"/>
    <w:rsid w:val="00466311"/>
    <w:rsid w:val="0047035D"/>
    <w:rsid w:val="00471D33"/>
    <w:rsid w:val="00473FC1"/>
    <w:rsid w:val="0048416E"/>
    <w:rsid w:val="00484600"/>
    <w:rsid w:val="004908F6"/>
    <w:rsid w:val="00490FC1"/>
    <w:rsid w:val="0049363F"/>
    <w:rsid w:val="00495A6C"/>
    <w:rsid w:val="00497D62"/>
    <w:rsid w:val="004A24B7"/>
    <w:rsid w:val="004A6099"/>
    <w:rsid w:val="004B4807"/>
    <w:rsid w:val="004B66C7"/>
    <w:rsid w:val="004B7AB5"/>
    <w:rsid w:val="004C04A0"/>
    <w:rsid w:val="004C345D"/>
    <w:rsid w:val="004D166A"/>
    <w:rsid w:val="004D2F9F"/>
    <w:rsid w:val="004D46F1"/>
    <w:rsid w:val="004D54FA"/>
    <w:rsid w:val="004D70EE"/>
    <w:rsid w:val="004D7E1B"/>
    <w:rsid w:val="004E0F7F"/>
    <w:rsid w:val="004E36FD"/>
    <w:rsid w:val="004E3EAB"/>
    <w:rsid w:val="004E737D"/>
    <w:rsid w:val="004F1F46"/>
    <w:rsid w:val="004F4DE1"/>
    <w:rsid w:val="005003D9"/>
    <w:rsid w:val="00501934"/>
    <w:rsid w:val="005046BE"/>
    <w:rsid w:val="0051043D"/>
    <w:rsid w:val="005111EB"/>
    <w:rsid w:val="00512A1D"/>
    <w:rsid w:val="005139CC"/>
    <w:rsid w:val="00513FEB"/>
    <w:rsid w:val="005177FD"/>
    <w:rsid w:val="00520D26"/>
    <w:rsid w:val="00521755"/>
    <w:rsid w:val="00522E8B"/>
    <w:rsid w:val="00524E4A"/>
    <w:rsid w:val="00526AE9"/>
    <w:rsid w:val="0052756C"/>
    <w:rsid w:val="00530E09"/>
    <w:rsid w:val="005323DB"/>
    <w:rsid w:val="005348EB"/>
    <w:rsid w:val="00537C54"/>
    <w:rsid w:val="00541AE1"/>
    <w:rsid w:val="005428AA"/>
    <w:rsid w:val="0055472E"/>
    <w:rsid w:val="005547E2"/>
    <w:rsid w:val="00556392"/>
    <w:rsid w:val="005646C5"/>
    <w:rsid w:val="00570CA5"/>
    <w:rsid w:val="00572F8A"/>
    <w:rsid w:val="00573A44"/>
    <w:rsid w:val="00576FD9"/>
    <w:rsid w:val="0057752B"/>
    <w:rsid w:val="00580D0D"/>
    <w:rsid w:val="00581BEE"/>
    <w:rsid w:val="00583762"/>
    <w:rsid w:val="00585C9D"/>
    <w:rsid w:val="005873DC"/>
    <w:rsid w:val="00596F06"/>
    <w:rsid w:val="005978EA"/>
    <w:rsid w:val="005A54DD"/>
    <w:rsid w:val="005A6840"/>
    <w:rsid w:val="005B246B"/>
    <w:rsid w:val="005B2735"/>
    <w:rsid w:val="005C2843"/>
    <w:rsid w:val="005C3F01"/>
    <w:rsid w:val="005C7ED7"/>
    <w:rsid w:val="005D5414"/>
    <w:rsid w:val="005E05C9"/>
    <w:rsid w:val="005F79BD"/>
    <w:rsid w:val="006032E1"/>
    <w:rsid w:val="0060389C"/>
    <w:rsid w:val="006117E5"/>
    <w:rsid w:val="00613A98"/>
    <w:rsid w:val="00615486"/>
    <w:rsid w:val="00616F72"/>
    <w:rsid w:val="00617856"/>
    <w:rsid w:val="00622469"/>
    <w:rsid w:val="00625D21"/>
    <w:rsid w:val="006301C1"/>
    <w:rsid w:val="00633CB7"/>
    <w:rsid w:val="00634C82"/>
    <w:rsid w:val="00636AAE"/>
    <w:rsid w:val="00641791"/>
    <w:rsid w:val="00644DC8"/>
    <w:rsid w:val="00645CBF"/>
    <w:rsid w:val="006465D2"/>
    <w:rsid w:val="006534C6"/>
    <w:rsid w:val="00663AEB"/>
    <w:rsid w:val="006640E1"/>
    <w:rsid w:val="00666DB3"/>
    <w:rsid w:val="006675C3"/>
    <w:rsid w:val="0067346D"/>
    <w:rsid w:val="006828D5"/>
    <w:rsid w:val="006860F6"/>
    <w:rsid w:val="00686FEF"/>
    <w:rsid w:val="0069092F"/>
    <w:rsid w:val="0069210A"/>
    <w:rsid w:val="00692FF0"/>
    <w:rsid w:val="00693030"/>
    <w:rsid w:val="00694F27"/>
    <w:rsid w:val="006958EB"/>
    <w:rsid w:val="00696328"/>
    <w:rsid w:val="006966C9"/>
    <w:rsid w:val="006A570D"/>
    <w:rsid w:val="006B0A29"/>
    <w:rsid w:val="006B7A66"/>
    <w:rsid w:val="006C23EC"/>
    <w:rsid w:val="006C2F64"/>
    <w:rsid w:val="006C2F81"/>
    <w:rsid w:val="006C6D6E"/>
    <w:rsid w:val="006E2D54"/>
    <w:rsid w:val="006E49E9"/>
    <w:rsid w:val="006F2732"/>
    <w:rsid w:val="006F2F48"/>
    <w:rsid w:val="006F6DA6"/>
    <w:rsid w:val="006F7861"/>
    <w:rsid w:val="00701277"/>
    <w:rsid w:val="00710431"/>
    <w:rsid w:val="00711623"/>
    <w:rsid w:val="007166A2"/>
    <w:rsid w:val="00717D32"/>
    <w:rsid w:val="00721F52"/>
    <w:rsid w:val="007233EE"/>
    <w:rsid w:val="00724E36"/>
    <w:rsid w:val="0072510F"/>
    <w:rsid w:val="00741298"/>
    <w:rsid w:val="007417EA"/>
    <w:rsid w:val="007420A6"/>
    <w:rsid w:val="00743422"/>
    <w:rsid w:val="0074729C"/>
    <w:rsid w:val="0075375B"/>
    <w:rsid w:val="00753A52"/>
    <w:rsid w:val="00755943"/>
    <w:rsid w:val="0075633B"/>
    <w:rsid w:val="00760DE5"/>
    <w:rsid w:val="00763A5D"/>
    <w:rsid w:val="00763F05"/>
    <w:rsid w:val="0076415E"/>
    <w:rsid w:val="00766A28"/>
    <w:rsid w:val="00771C1B"/>
    <w:rsid w:val="007744E1"/>
    <w:rsid w:val="007758ED"/>
    <w:rsid w:val="00776DFA"/>
    <w:rsid w:val="00777436"/>
    <w:rsid w:val="00780D5E"/>
    <w:rsid w:val="007827FA"/>
    <w:rsid w:val="00791DBC"/>
    <w:rsid w:val="00794CBD"/>
    <w:rsid w:val="0079718E"/>
    <w:rsid w:val="007A3D20"/>
    <w:rsid w:val="007A4B28"/>
    <w:rsid w:val="007A4D9A"/>
    <w:rsid w:val="007B03B1"/>
    <w:rsid w:val="007B18C0"/>
    <w:rsid w:val="007C1CB4"/>
    <w:rsid w:val="007D1BEA"/>
    <w:rsid w:val="007E48F9"/>
    <w:rsid w:val="007E5850"/>
    <w:rsid w:val="007F4F24"/>
    <w:rsid w:val="008079D5"/>
    <w:rsid w:val="00811F95"/>
    <w:rsid w:val="00815B00"/>
    <w:rsid w:val="00815BAB"/>
    <w:rsid w:val="0081762E"/>
    <w:rsid w:val="008213AF"/>
    <w:rsid w:val="0082241B"/>
    <w:rsid w:val="00822B5D"/>
    <w:rsid w:val="00826A10"/>
    <w:rsid w:val="008305FE"/>
    <w:rsid w:val="00833F2B"/>
    <w:rsid w:val="00837B91"/>
    <w:rsid w:val="00837B9F"/>
    <w:rsid w:val="00841C3A"/>
    <w:rsid w:val="0084293E"/>
    <w:rsid w:val="00842A48"/>
    <w:rsid w:val="008476ED"/>
    <w:rsid w:val="008477D8"/>
    <w:rsid w:val="00854BBD"/>
    <w:rsid w:val="00855909"/>
    <w:rsid w:val="0087243A"/>
    <w:rsid w:val="0087404B"/>
    <w:rsid w:val="00874C1F"/>
    <w:rsid w:val="0087680A"/>
    <w:rsid w:val="0088380B"/>
    <w:rsid w:val="00887829"/>
    <w:rsid w:val="008913E8"/>
    <w:rsid w:val="008918AB"/>
    <w:rsid w:val="0089278E"/>
    <w:rsid w:val="00894910"/>
    <w:rsid w:val="00894EF4"/>
    <w:rsid w:val="00896044"/>
    <w:rsid w:val="008B2CF0"/>
    <w:rsid w:val="008C2792"/>
    <w:rsid w:val="008C48C6"/>
    <w:rsid w:val="008D6368"/>
    <w:rsid w:val="008F36A3"/>
    <w:rsid w:val="008F740F"/>
    <w:rsid w:val="00901AB0"/>
    <w:rsid w:val="00907616"/>
    <w:rsid w:val="00913AA7"/>
    <w:rsid w:val="0091433C"/>
    <w:rsid w:val="00920A7E"/>
    <w:rsid w:val="009244D0"/>
    <w:rsid w:val="009267CC"/>
    <w:rsid w:val="00930E0F"/>
    <w:rsid w:val="009334FA"/>
    <w:rsid w:val="00936035"/>
    <w:rsid w:val="009403FB"/>
    <w:rsid w:val="00943C9E"/>
    <w:rsid w:val="00943CD3"/>
    <w:rsid w:val="009457D5"/>
    <w:rsid w:val="009545C2"/>
    <w:rsid w:val="00956732"/>
    <w:rsid w:val="00956A07"/>
    <w:rsid w:val="009607F3"/>
    <w:rsid w:val="009609E4"/>
    <w:rsid w:val="009612EA"/>
    <w:rsid w:val="00962F0B"/>
    <w:rsid w:val="00966551"/>
    <w:rsid w:val="00966C64"/>
    <w:rsid w:val="00970840"/>
    <w:rsid w:val="00971BD3"/>
    <w:rsid w:val="0097222A"/>
    <w:rsid w:val="009734E7"/>
    <w:rsid w:val="009734F1"/>
    <w:rsid w:val="00974B3A"/>
    <w:rsid w:val="009770E9"/>
    <w:rsid w:val="00977A44"/>
    <w:rsid w:val="00977C38"/>
    <w:rsid w:val="00980459"/>
    <w:rsid w:val="00980E98"/>
    <w:rsid w:val="00994D28"/>
    <w:rsid w:val="009967A1"/>
    <w:rsid w:val="009A0C4B"/>
    <w:rsid w:val="009A0CAD"/>
    <w:rsid w:val="009A128C"/>
    <w:rsid w:val="009A26AB"/>
    <w:rsid w:val="009A4B19"/>
    <w:rsid w:val="009B5193"/>
    <w:rsid w:val="009B5C7C"/>
    <w:rsid w:val="009B7BBB"/>
    <w:rsid w:val="009C1E67"/>
    <w:rsid w:val="009C71E1"/>
    <w:rsid w:val="009D7F7E"/>
    <w:rsid w:val="009E1E20"/>
    <w:rsid w:val="009E5125"/>
    <w:rsid w:val="009E7150"/>
    <w:rsid w:val="009F23FC"/>
    <w:rsid w:val="009F5A11"/>
    <w:rsid w:val="009F6EB8"/>
    <w:rsid w:val="00A01DB9"/>
    <w:rsid w:val="00A058FE"/>
    <w:rsid w:val="00A05CC1"/>
    <w:rsid w:val="00A07196"/>
    <w:rsid w:val="00A1479C"/>
    <w:rsid w:val="00A1557B"/>
    <w:rsid w:val="00A22E7C"/>
    <w:rsid w:val="00A25B04"/>
    <w:rsid w:val="00A27039"/>
    <w:rsid w:val="00A27381"/>
    <w:rsid w:val="00A30384"/>
    <w:rsid w:val="00A314A7"/>
    <w:rsid w:val="00A33A92"/>
    <w:rsid w:val="00A42854"/>
    <w:rsid w:val="00A4368A"/>
    <w:rsid w:val="00A5302E"/>
    <w:rsid w:val="00A53BBC"/>
    <w:rsid w:val="00A5593D"/>
    <w:rsid w:val="00A57244"/>
    <w:rsid w:val="00A60616"/>
    <w:rsid w:val="00A60715"/>
    <w:rsid w:val="00A653A4"/>
    <w:rsid w:val="00A70516"/>
    <w:rsid w:val="00A71ED9"/>
    <w:rsid w:val="00A71F13"/>
    <w:rsid w:val="00A7629F"/>
    <w:rsid w:val="00A7753C"/>
    <w:rsid w:val="00A83574"/>
    <w:rsid w:val="00A91127"/>
    <w:rsid w:val="00AA04CF"/>
    <w:rsid w:val="00AA46D1"/>
    <w:rsid w:val="00AA6B17"/>
    <w:rsid w:val="00AA728F"/>
    <w:rsid w:val="00AB3F42"/>
    <w:rsid w:val="00AB455F"/>
    <w:rsid w:val="00AB61E5"/>
    <w:rsid w:val="00AC2C0A"/>
    <w:rsid w:val="00AC6CAE"/>
    <w:rsid w:val="00AD05D1"/>
    <w:rsid w:val="00AE75E3"/>
    <w:rsid w:val="00AF040A"/>
    <w:rsid w:val="00AF0A3B"/>
    <w:rsid w:val="00AF0A91"/>
    <w:rsid w:val="00AF1DBD"/>
    <w:rsid w:val="00AF1F20"/>
    <w:rsid w:val="00AF5E21"/>
    <w:rsid w:val="00B007B2"/>
    <w:rsid w:val="00B01B02"/>
    <w:rsid w:val="00B02DC9"/>
    <w:rsid w:val="00B05E1A"/>
    <w:rsid w:val="00B11B34"/>
    <w:rsid w:val="00B136A1"/>
    <w:rsid w:val="00B13E27"/>
    <w:rsid w:val="00B14007"/>
    <w:rsid w:val="00B1527C"/>
    <w:rsid w:val="00B2188B"/>
    <w:rsid w:val="00B24631"/>
    <w:rsid w:val="00B30F2F"/>
    <w:rsid w:val="00B317E2"/>
    <w:rsid w:val="00B32729"/>
    <w:rsid w:val="00B32849"/>
    <w:rsid w:val="00B33273"/>
    <w:rsid w:val="00B35769"/>
    <w:rsid w:val="00B35B28"/>
    <w:rsid w:val="00B4597B"/>
    <w:rsid w:val="00B52EB3"/>
    <w:rsid w:val="00B63C01"/>
    <w:rsid w:val="00B64E12"/>
    <w:rsid w:val="00B665F0"/>
    <w:rsid w:val="00B82B40"/>
    <w:rsid w:val="00B94ADA"/>
    <w:rsid w:val="00B967CB"/>
    <w:rsid w:val="00B96ADE"/>
    <w:rsid w:val="00B97083"/>
    <w:rsid w:val="00BA103B"/>
    <w:rsid w:val="00BB7FB4"/>
    <w:rsid w:val="00BC2CB8"/>
    <w:rsid w:val="00BC3945"/>
    <w:rsid w:val="00BC65AB"/>
    <w:rsid w:val="00BD1659"/>
    <w:rsid w:val="00BD2D20"/>
    <w:rsid w:val="00BD3258"/>
    <w:rsid w:val="00BD5A3F"/>
    <w:rsid w:val="00BD71F1"/>
    <w:rsid w:val="00BE0E68"/>
    <w:rsid w:val="00BE1359"/>
    <w:rsid w:val="00BE616D"/>
    <w:rsid w:val="00BF146A"/>
    <w:rsid w:val="00C00388"/>
    <w:rsid w:val="00C03D8D"/>
    <w:rsid w:val="00C06385"/>
    <w:rsid w:val="00C06499"/>
    <w:rsid w:val="00C119A5"/>
    <w:rsid w:val="00C16202"/>
    <w:rsid w:val="00C16692"/>
    <w:rsid w:val="00C262F7"/>
    <w:rsid w:val="00C30667"/>
    <w:rsid w:val="00C31214"/>
    <w:rsid w:val="00C33243"/>
    <w:rsid w:val="00C33595"/>
    <w:rsid w:val="00C36EB9"/>
    <w:rsid w:val="00C50CCE"/>
    <w:rsid w:val="00C51873"/>
    <w:rsid w:val="00C57F3C"/>
    <w:rsid w:val="00C6495B"/>
    <w:rsid w:val="00C65422"/>
    <w:rsid w:val="00C65D6E"/>
    <w:rsid w:val="00C66432"/>
    <w:rsid w:val="00C66777"/>
    <w:rsid w:val="00C7116D"/>
    <w:rsid w:val="00C731DD"/>
    <w:rsid w:val="00C74555"/>
    <w:rsid w:val="00C74D54"/>
    <w:rsid w:val="00C74FC3"/>
    <w:rsid w:val="00C762DD"/>
    <w:rsid w:val="00C77C81"/>
    <w:rsid w:val="00C81287"/>
    <w:rsid w:val="00C854D4"/>
    <w:rsid w:val="00C85E43"/>
    <w:rsid w:val="00C926AA"/>
    <w:rsid w:val="00C93406"/>
    <w:rsid w:val="00CA4BC5"/>
    <w:rsid w:val="00CB4178"/>
    <w:rsid w:val="00CB47F2"/>
    <w:rsid w:val="00CB695F"/>
    <w:rsid w:val="00CC2270"/>
    <w:rsid w:val="00CC2501"/>
    <w:rsid w:val="00CC484D"/>
    <w:rsid w:val="00CC5BF8"/>
    <w:rsid w:val="00CC7157"/>
    <w:rsid w:val="00CC7CAD"/>
    <w:rsid w:val="00CD299A"/>
    <w:rsid w:val="00CD4604"/>
    <w:rsid w:val="00CE05B0"/>
    <w:rsid w:val="00CE3CCB"/>
    <w:rsid w:val="00CE4C70"/>
    <w:rsid w:val="00CE5E4B"/>
    <w:rsid w:val="00CE6DD3"/>
    <w:rsid w:val="00CE6F0C"/>
    <w:rsid w:val="00CF070D"/>
    <w:rsid w:val="00CF5142"/>
    <w:rsid w:val="00D03E14"/>
    <w:rsid w:val="00D043D9"/>
    <w:rsid w:val="00D11EA1"/>
    <w:rsid w:val="00D13749"/>
    <w:rsid w:val="00D15B34"/>
    <w:rsid w:val="00D21182"/>
    <w:rsid w:val="00D26D0B"/>
    <w:rsid w:val="00D33EBC"/>
    <w:rsid w:val="00D3604D"/>
    <w:rsid w:val="00D37CFE"/>
    <w:rsid w:val="00D45E1E"/>
    <w:rsid w:val="00D52A93"/>
    <w:rsid w:val="00D571F2"/>
    <w:rsid w:val="00D605FD"/>
    <w:rsid w:val="00D628F7"/>
    <w:rsid w:val="00D6514A"/>
    <w:rsid w:val="00D6664D"/>
    <w:rsid w:val="00D710A8"/>
    <w:rsid w:val="00D71C7C"/>
    <w:rsid w:val="00D75B6D"/>
    <w:rsid w:val="00D84380"/>
    <w:rsid w:val="00D861A8"/>
    <w:rsid w:val="00DA0020"/>
    <w:rsid w:val="00DA0F74"/>
    <w:rsid w:val="00DA466A"/>
    <w:rsid w:val="00DB2C4C"/>
    <w:rsid w:val="00DB3CA0"/>
    <w:rsid w:val="00DC108C"/>
    <w:rsid w:val="00DC18DC"/>
    <w:rsid w:val="00DC2301"/>
    <w:rsid w:val="00DC29D8"/>
    <w:rsid w:val="00DC5890"/>
    <w:rsid w:val="00DD2922"/>
    <w:rsid w:val="00DD3452"/>
    <w:rsid w:val="00DD3B97"/>
    <w:rsid w:val="00DD5771"/>
    <w:rsid w:val="00DE4326"/>
    <w:rsid w:val="00DE606C"/>
    <w:rsid w:val="00DE7D88"/>
    <w:rsid w:val="00DF60EF"/>
    <w:rsid w:val="00E04BD6"/>
    <w:rsid w:val="00E06E65"/>
    <w:rsid w:val="00E127A9"/>
    <w:rsid w:val="00E153C2"/>
    <w:rsid w:val="00E20BE2"/>
    <w:rsid w:val="00E22AC9"/>
    <w:rsid w:val="00E27E4F"/>
    <w:rsid w:val="00E32C81"/>
    <w:rsid w:val="00E351D8"/>
    <w:rsid w:val="00E367A3"/>
    <w:rsid w:val="00E46930"/>
    <w:rsid w:val="00E47C83"/>
    <w:rsid w:val="00E5061E"/>
    <w:rsid w:val="00E51777"/>
    <w:rsid w:val="00E558F8"/>
    <w:rsid w:val="00E61F8E"/>
    <w:rsid w:val="00E63743"/>
    <w:rsid w:val="00E707E8"/>
    <w:rsid w:val="00E720F5"/>
    <w:rsid w:val="00E739E6"/>
    <w:rsid w:val="00E807BB"/>
    <w:rsid w:val="00E81643"/>
    <w:rsid w:val="00E81CFF"/>
    <w:rsid w:val="00E8744A"/>
    <w:rsid w:val="00E90231"/>
    <w:rsid w:val="00E9047F"/>
    <w:rsid w:val="00E92383"/>
    <w:rsid w:val="00E9300E"/>
    <w:rsid w:val="00E934D7"/>
    <w:rsid w:val="00E93FE9"/>
    <w:rsid w:val="00E94505"/>
    <w:rsid w:val="00E94DC0"/>
    <w:rsid w:val="00E95471"/>
    <w:rsid w:val="00EA109D"/>
    <w:rsid w:val="00EA7DC0"/>
    <w:rsid w:val="00EB6B1D"/>
    <w:rsid w:val="00EC0F55"/>
    <w:rsid w:val="00ED363B"/>
    <w:rsid w:val="00ED5697"/>
    <w:rsid w:val="00ED7AB7"/>
    <w:rsid w:val="00EE15C1"/>
    <w:rsid w:val="00EF25D7"/>
    <w:rsid w:val="00F00CD5"/>
    <w:rsid w:val="00F00EC1"/>
    <w:rsid w:val="00F0129E"/>
    <w:rsid w:val="00F03402"/>
    <w:rsid w:val="00F03796"/>
    <w:rsid w:val="00F05673"/>
    <w:rsid w:val="00F06237"/>
    <w:rsid w:val="00F1039E"/>
    <w:rsid w:val="00F10E99"/>
    <w:rsid w:val="00F11B0C"/>
    <w:rsid w:val="00F13501"/>
    <w:rsid w:val="00F177F3"/>
    <w:rsid w:val="00F3124E"/>
    <w:rsid w:val="00F35FEE"/>
    <w:rsid w:val="00F43E37"/>
    <w:rsid w:val="00F46886"/>
    <w:rsid w:val="00F540D0"/>
    <w:rsid w:val="00F664D3"/>
    <w:rsid w:val="00F66A6F"/>
    <w:rsid w:val="00F67A6E"/>
    <w:rsid w:val="00F707B0"/>
    <w:rsid w:val="00F7245A"/>
    <w:rsid w:val="00F804AB"/>
    <w:rsid w:val="00F81C88"/>
    <w:rsid w:val="00F84B39"/>
    <w:rsid w:val="00F86126"/>
    <w:rsid w:val="00F879F2"/>
    <w:rsid w:val="00F94562"/>
    <w:rsid w:val="00FB10FB"/>
    <w:rsid w:val="00FB27F2"/>
    <w:rsid w:val="00FB69F9"/>
    <w:rsid w:val="00FB7898"/>
    <w:rsid w:val="00FC032F"/>
    <w:rsid w:val="00FC1CF5"/>
    <w:rsid w:val="00FC27B0"/>
    <w:rsid w:val="00FC6CB5"/>
    <w:rsid w:val="00FD14D1"/>
    <w:rsid w:val="00FD56A9"/>
    <w:rsid w:val="00FE1A6C"/>
    <w:rsid w:val="00FE1F5D"/>
    <w:rsid w:val="00FE2EE3"/>
    <w:rsid w:val="00FE6CC0"/>
    <w:rsid w:val="00FF4EC5"/>
    <w:rsid w:val="00FF5B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8D23"/>
  <w15:chartTrackingRefBased/>
  <w15:docId w15:val="{C0EFD365-6545-44CE-93F1-4BD77004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1B6E"/>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1B6E"/>
    <w:pPr>
      <w:tabs>
        <w:tab w:val="center" w:pos="4513"/>
        <w:tab w:val="right" w:pos="9026"/>
      </w:tabs>
    </w:pPr>
    <w:rPr>
      <w:rFonts w:asciiTheme="minorHAnsi" w:hAnsiTheme="minorHAnsi"/>
      <w:sz w:val="22"/>
    </w:rPr>
  </w:style>
  <w:style w:type="character" w:customStyle="1" w:styleId="HeaderChar">
    <w:name w:val="Header Char"/>
    <w:basedOn w:val="DefaultParagraphFont"/>
    <w:link w:val="Header"/>
    <w:uiPriority w:val="99"/>
    <w:rsid w:val="000E1B6E"/>
    <w:rPr>
      <w:rFonts w:asciiTheme="minorHAnsi" w:hAnsiTheme="minorHAnsi"/>
      <w:sz w:val="22"/>
    </w:rPr>
  </w:style>
  <w:style w:type="table" w:customStyle="1" w:styleId="TableGrid1">
    <w:name w:val="Table Grid1"/>
    <w:basedOn w:val="TableNormal"/>
    <w:next w:val="TableGrid"/>
    <w:uiPriority w:val="39"/>
    <w:rsid w:val="000E1B6E"/>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5890"/>
    <w:pPr>
      <w:ind w:left="720"/>
      <w:contextualSpacing/>
    </w:pPr>
  </w:style>
  <w:style w:type="paragraph" w:styleId="FootnoteText">
    <w:name w:val="footnote text"/>
    <w:basedOn w:val="Normal"/>
    <w:link w:val="FootnoteTextChar"/>
    <w:uiPriority w:val="99"/>
    <w:unhideWhenUsed/>
    <w:rsid w:val="00B24631"/>
    <w:rPr>
      <w:sz w:val="20"/>
      <w:szCs w:val="20"/>
    </w:rPr>
  </w:style>
  <w:style w:type="character" w:customStyle="1" w:styleId="FootnoteTextChar">
    <w:name w:val="Footnote Text Char"/>
    <w:basedOn w:val="DefaultParagraphFont"/>
    <w:link w:val="FootnoteText"/>
    <w:uiPriority w:val="99"/>
    <w:rsid w:val="00B24631"/>
    <w:rPr>
      <w:sz w:val="20"/>
      <w:szCs w:val="20"/>
    </w:rPr>
  </w:style>
  <w:style w:type="character" w:styleId="FootnoteReference">
    <w:name w:val="footnote reference"/>
    <w:basedOn w:val="DefaultParagraphFont"/>
    <w:uiPriority w:val="99"/>
    <w:unhideWhenUsed/>
    <w:rsid w:val="00B24631"/>
    <w:rPr>
      <w:vertAlign w:val="superscript"/>
    </w:rPr>
  </w:style>
  <w:style w:type="paragraph" w:styleId="BalloonText">
    <w:name w:val="Balloon Text"/>
    <w:basedOn w:val="Normal"/>
    <w:link w:val="BalloonTextChar"/>
    <w:uiPriority w:val="99"/>
    <w:semiHidden/>
    <w:unhideWhenUsed/>
    <w:rsid w:val="007166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6A2"/>
    <w:rPr>
      <w:rFonts w:ascii="Segoe UI" w:hAnsi="Segoe UI" w:cs="Segoe UI"/>
      <w:sz w:val="18"/>
      <w:szCs w:val="18"/>
    </w:rPr>
  </w:style>
  <w:style w:type="character" w:customStyle="1" w:styleId="apple-converted-space">
    <w:name w:val="apple-converted-space"/>
    <w:basedOn w:val="DefaultParagraphFont"/>
    <w:rsid w:val="00D71C7C"/>
  </w:style>
  <w:style w:type="paragraph" w:styleId="NoSpacing">
    <w:name w:val="No Spacing"/>
    <w:uiPriority w:val="1"/>
    <w:qFormat/>
    <w:rsid w:val="00E934D7"/>
    <w:rPr>
      <w:rFonts w:asciiTheme="minorHAnsi" w:hAnsiTheme="minorHAnsi"/>
      <w:sz w:val="22"/>
    </w:rPr>
  </w:style>
  <w:style w:type="paragraph" w:styleId="Footer">
    <w:name w:val="footer"/>
    <w:basedOn w:val="Normal"/>
    <w:link w:val="FooterChar"/>
    <w:uiPriority w:val="99"/>
    <w:unhideWhenUsed/>
    <w:rsid w:val="00B35B28"/>
    <w:pPr>
      <w:tabs>
        <w:tab w:val="center" w:pos="4680"/>
        <w:tab w:val="right" w:pos="9360"/>
      </w:tabs>
    </w:pPr>
  </w:style>
  <w:style w:type="character" w:customStyle="1" w:styleId="FooterChar">
    <w:name w:val="Footer Char"/>
    <w:basedOn w:val="DefaultParagraphFont"/>
    <w:link w:val="Footer"/>
    <w:uiPriority w:val="99"/>
    <w:rsid w:val="00B3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605553">
      <w:bodyDiv w:val="1"/>
      <w:marLeft w:val="0"/>
      <w:marRight w:val="0"/>
      <w:marTop w:val="0"/>
      <w:marBottom w:val="0"/>
      <w:divBdr>
        <w:top w:val="none" w:sz="0" w:space="0" w:color="auto"/>
        <w:left w:val="none" w:sz="0" w:space="0" w:color="auto"/>
        <w:bottom w:val="none" w:sz="0" w:space="0" w:color="auto"/>
        <w:right w:val="none" w:sz="0" w:space="0" w:color="auto"/>
      </w:divBdr>
      <w:divsChild>
        <w:div w:id="414517143">
          <w:marLeft w:val="0"/>
          <w:marRight w:val="0"/>
          <w:marTop w:val="0"/>
          <w:marBottom w:val="0"/>
          <w:divBdr>
            <w:top w:val="none" w:sz="0" w:space="0" w:color="auto"/>
            <w:left w:val="none" w:sz="0" w:space="0" w:color="auto"/>
            <w:bottom w:val="none" w:sz="0" w:space="0" w:color="auto"/>
            <w:right w:val="none" w:sz="0" w:space="0" w:color="auto"/>
          </w:divBdr>
        </w:div>
        <w:div w:id="1167012615">
          <w:marLeft w:val="0"/>
          <w:marRight w:val="0"/>
          <w:marTop w:val="0"/>
          <w:marBottom w:val="0"/>
          <w:divBdr>
            <w:top w:val="none" w:sz="0" w:space="0" w:color="auto"/>
            <w:left w:val="none" w:sz="0" w:space="0" w:color="auto"/>
            <w:bottom w:val="none" w:sz="0" w:space="0" w:color="auto"/>
            <w:right w:val="none" w:sz="0" w:space="0" w:color="auto"/>
          </w:divBdr>
        </w:div>
      </w:divsChild>
    </w:div>
    <w:div w:id="202867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2024-06-13T18:30:00+00:00</Judgment_x0020_Date>
    <Year xmlns="63bdd487-88aa-4c54-b893-ddaa81ed2e7c">2024</Year>
  </documentManagement>
</p:properties>
</file>

<file path=customXml/itemProps1.xml><?xml version="1.0" encoding="utf-8"?>
<ds:datastoreItem xmlns:ds="http://schemas.openxmlformats.org/officeDocument/2006/customXml" ds:itemID="{5E72D3A5-8E13-434E-9986-57AA08301277}"/>
</file>

<file path=customXml/itemProps2.xml><?xml version="1.0" encoding="utf-8"?>
<ds:datastoreItem xmlns:ds="http://schemas.openxmlformats.org/officeDocument/2006/customXml" ds:itemID="{7AE64B11-C725-4A53-B40F-D286E167FA7C}"/>
</file>

<file path=customXml/itemProps3.xml><?xml version="1.0" encoding="utf-8"?>
<ds:datastoreItem xmlns:ds="http://schemas.openxmlformats.org/officeDocument/2006/customXml" ds:itemID="{F836C9A4-0ED0-43EE-96C7-236E9535852F}"/>
</file>

<file path=customXml/itemProps4.xml><?xml version="1.0" encoding="utf-8"?>
<ds:datastoreItem xmlns:ds="http://schemas.openxmlformats.org/officeDocument/2006/customXml" ds:itemID="{6E6E3027-E9B0-4B43-B3D1-76E729E9DA6A}"/>
</file>

<file path=docProps/app.xml><?xml version="1.0" encoding="utf-8"?>
<Properties xmlns="http://schemas.openxmlformats.org/officeDocument/2006/extended-properties" xmlns:vt="http://schemas.openxmlformats.org/officeDocument/2006/docPropsVTypes">
  <Template>Normal</Template>
  <TotalTime>2</TotalTime>
  <Pages>41</Pages>
  <Words>8957</Words>
  <Characters>51057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Muller and another v Lauer (SA 2-2022) [2024] NASC (14 June 2024)</dc:title>
  <dc:subject/>
  <dc:creator>Iyaloo Haimbodi</dc:creator>
  <cp:keywords/>
  <dc:description/>
  <cp:lastModifiedBy>Helvi Hilifilwa</cp:lastModifiedBy>
  <cp:revision>2</cp:revision>
  <cp:lastPrinted>2024-06-12T10:48:00Z</cp:lastPrinted>
  <dcterms:created xsi:type="dcterms:W3CDTF">2024-06-17T06:50:00Z</dcterms:created>
  <dcterms:modified xsi:type="dcterms:W3CDTF">2024-06-17T06:50:00Z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