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F9" w:rsidRPr="006A55DD" w:rsidRDefault="003226F9" w:rsidP="003226F9">
      <w:pPr>
        <w:spacing w:after="0" w:line="360" w:lineRule="auto"/>
        <w:jc w:val="center"/>
        <w:rPr>
          <w:b/>
          <w:sz w:val="24"/>
          <w:szCs w:val="24"/>
        </w:rPr>
      </w:pPr>
      <w:r w:rsidRPr="00A41CEE">
        <w:rPr>
          <w:b/>
          <w:noProof/>
          <w:sz w:val="24"/>
          <w:szCs w:val="24"/>
          <w:lang w:eastAsia="en-ZA"/>
        </w:rPr>
        <w:drawing>
          <wp:inline distT="0" distB="0" distL="0" distR="0" wp14:anchorId="08286012" wp14:editId="0FFA512F">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3226F9" w:rsidRPr="008C69A1" w:rsidRDefault="00C85F39" w:rsidP="003226F9">
      <w:pPr>
        <w:pStyle w:val="NoSpacing"/>
        <w:jc w:val="right"/>
        <w:rPr>
          <w:rFonts w:ascii="Arial" w:hAnsi="Arial" w:cs="Arial"/>
          <w:b/>
          <w:sz w:val="24"/>
          <w:szCs w:val="24"/>
        </w:rPr>
      </w:pPr>
      <w:r w:rsidRPr="008C69A1">
        <w:rPr>
          <w:rFonts w:ascii="Arial" w:hAnsi="Arial" w:cs="Arial"/>
          <w:b/>
          <w:sz w:val="24"/>
          <w:szCs w:val="24"/>
        </w:rPr>
        <w:t>REPORTABLE</w:t>
      </w:r>
    </w:p>
    <w:p w:rsidR="003226F9" w:rsidRDefault="003226F9" w:rsidP="003226F9">
      <w:pPr>
        <w:pStyle w:val="NoSpacing"/>
        <w:jc w:val="right"/>
        <w:rPr>
          <w:rFonts w:ascii="Arial" w:hAnsi="Arial" w:cs="Arial"/>
          <w:sz w:val="24"/>
          <w:szCs w:val="24"/>
        </w:rPr>
      </w:pPr>
    </w:p>
    <w:p w:rsidR="006F5981" w:rsidRPr="006F5981" w:rsidRDefault="00CC3265" w:rsidP="00D05E1A">
      <w:pPr>
        <w:pStyle w:val="NoSpacing"/>
        <w:jc w:val="right"/>
        <w:rPr>
          <w:rFonts w:ascii="Arial" w:hAnsi="Arial" w:cs="Arial"/>
          <w:sz w:val="24"/>
          <w:szCs w:val="24"/>
        </w:rPr>
      </w:pPr>
      <w:r>
        <w:rPr>
          <w:rFonts w:ascii="Arial" w:hAnsi="Arial" w:cs="Arial"/>
          <w:sz w:val="24"/>
          <w:szCs w:val="24"/>
        </w:rPr>
        <w:t>CASE NO: SA 138/2023</w:t>
      </w:r>
    </w:p>
    <w:p w:rsidR="003226F9" w:rsidRPr="00970591" w:rsidRDefault="003226F9" w:rsidP="003226F9">
      <w:pPr>
        <w:pStyle w:val="NoSpacing"/>
        <w:rPr>
          <w:rFonts w:ascii="Arial" w:hAnsi="Arial" w:cs="Arial"/>
          <w:b/>
          <w:sz w:val="24"/>
          <w:szCs w:val="24"/>
        </w:rPr>
      </w:pPr>
      <w:r w:rsidRPr="00970591">
        <w:rPr>
          <w:rFonts w:ascii="Arial" w:hAnsi="Arial" w:cs="Arial"/>
          <w:b/>
          <w:sz w:val="24"/>
          <w:szCs w:val="24"/>
        </w:rPr>
        <w:t>IN THE SUPREME COURT OF NAMIBIA</w:t>
      </w:r>
    </w:p>
    <w:p w:rsidR="003226F9" w:rsidRDefault="003226F9" w:rsidP="003226F9">
      <w:pPr>
        <w:pStyle w:val="NoSpacing"/>
        <w:rPr>
          <w:rFonts w:ascii="Arial" w:hAnsi="Arial" w:cs="Arial"/>
          <w:sz w:val="24"/>
          <w:szCs w:val="24"/>
        </w:rPr>
      </w:pPr>
    </w:p>
    <w:p w:rsidR="006F5981" w:rsidRDefault="006F5981" w:rsidP="003226F9">
      <w:pPr>
        <w:pStyle w:val="NoSpacing"/>
        <w:rPr>
          <w:rFonts w:ascii="Arial" w:hAnsi="Arial" w:cs="Arial"/>
          <w:sz w:val="24"/>
          <w:szCs w:val="24"/>
        </w:rPr>
      </w:pPr>
    </w:p>
    <w:p w:rsidR="003226F9" w:rsidRDefault="00920F33" w:rsidP="003226F9">
      <w:pPr>
        <w:pStyle w:val="NoSpacing"/>
        <w:rPr>
          <w:rFonts w:ascii="Arial" w:hAnsi="Arial" w:cs="Arial"/>
          <w:sz w:val="24"/>
          <w:szCs w:val="24"/>
        </w:rPr>
      </w:pPr>
      <w:r>
        <w:rPr>
          <w:rFonts w:ascii="Arial" w:hAnsi="Arial" w:cs="Arial"/>
          <w:sz w:val="24"/>
          <w:szCs w:val="24"/>
        </w:rPr>
        <w:t>In the application</w:t>
      </w:r>
      <w:r w:rsidR="003226F9">
        <w:rPr>
          <w:rFonts w:ascii="Arial" w:hAnsi="Arial" w:cs="Arial"/>
          <w:sz w:val="24"/>
          <w:szCs w:val="24"/>
        </w:rPr>
        <w:t xml:space="preserve"> between:</w:t>
      </w:r>
    </w:p>
    <w:p w:rsidR="003226F9" w:rsidRDefault="003226F9" w:rsidP="003226F9">
      <w:pPr>
        <w:pStyle w:val="NoSpacing"/>
        <w:rPr>
          <w:rFonts w:ascii="Arial" w:hAnsi="Arial" w:cs="Arial"/>
          <w:sz w:val="24"/>
          <w:szCs w:val="24"/>
        </w:rPr>
      </w:pPr>
    </w:p>
    <w:p w:rsidR="003226F9" w:rsidRDefault="003226F9" w:rsidP="003226F9">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446"/>
      </w:tblGrid>
      <w:tr w:rsidR="003226F9" w:rsidRPr="002F2B3F" w:rsidTr="009717C8">
        <w:tc>
          <w:tcPr>
            <w:tcW w:w="5665" w:type="dxa"/>
          </w:tcPr>
          <w:p w:rsidR="00573BE5" w:rsidRDefault="00573BE5" w:rsidP="00573BE5">
            <w:pPr>
              <w:pStyle w:val="NoSpacing"/>
              <w:ind w:left="-108"/>
              <w:rPr>
                <w:rFonts w:ascii="Arial" w:hAnsi="Arial" w:cs="Arial"/>
                <w:b/>
                <w:sz w:val="24"/>
                <w:szCs w:val="24"/>
              </w:rPr>
            </w:pPr>
            <w:r>
              <w:rPr>
                <w:rFonts w:ascii="Arial" w:hAnsi="Arial" w:cs="Arial"/>
                <w:b/>
                <w:sz w:val="24"/>
                <w:szCs w:val="24"/>
              </w:rPr>
              <w:t>TEMPTATIONS FASHION CC</w:t>
            </w:r>
          </w:p>
          <w:p w:rsidR="00573BE5" w:rsidRDefault="00573BE5" w:rsidP="00573BE5">
            <w:pPr>
              <w:pStyle w:val="NoSpacing"/>
              <w:ind w:left="-108"/>
              <w:rPr>
                <w:rFonts w:ascii="Arial" w:hAnsi="Arial" w:cs="Arial"/>
                <w:b/>
                <w:sz w:val="24"/>
                <w:szCs w:val="24"/>
              </w:rPr>
            </w:pPr>
            <w:r>
              <w:rPr>
                <w:rFonts w:ascii="Arial" w:hAnsi="Arial" w:cs="Arial"/>
                <w:b/>
                <w:sz w:val="24"/>
                <w:szCs w:val="24"/>
              </w:rPr>
              <w:t>OLIVIA NDAHAFA KANYEMBA-USIKU</w:t>
            </w:r>
          </w:p>
          <w:p w:rsidR="00CC3265" w:rsidRPr="002F2B3F" w:rsidRDefault="00CC3265" w:rsidP="006F5981">
            <w:pPr>
              <w:pStyle w:val="NoSpacing"/>
              <w:ind w:left="-108"/>
              <w:rPr>
                <w:rFonts w:ascii="Arial" w:hAnsi="Arial" w:cs="Arial"/>
                <w:b/>
                <w:sz w:val="24"/>
                <w:szCs w:val="24"/>
              </w:rPr>
            </w:pPr>
          </w:p>
        </w:tc>
        <w:tc>
          <w:tcPr>
            <w:tcW w:w="3446" w:type="dxa"/>
          </w:tcPr>
          <w:p w:rsidR="003226F9" w:rsidRDefault="00CC3265" w:rsidP="00CC3265">
            <w:pPr>
              <w:pStyle w:val="NoSpacing"/>
              <w:jc w:val="right"/>
              <w:rPr>
                <w:rFonts w:ascii="Arial" w:hAnsi="Arial" w:cs="Arial"/>
                <w:b/>
                <w:sz w:val="24"/>
                <w:szCs w:val="24"/>
              </w:rPr>
            </w:pPr>
            <w:r>
              <w:rPr>
                <w:rFonts w:ascii="Arial" w:hAnsi="Arial" w:cs="Arial"/>
                <w:b/>
                <w:sz w:val="24"/>
                <w:szCs w:val="24"/>
              </w:rPr>
              <w:t xml:space="preserve">First </w:t>
            </w:r>
            <w:r w:rsidR="003226F9" w:rsidRPr="002F2B3F">
              <w:rPr>
                <w:rFonts w:ascii="Arial" w:hAnsi="Arial" w:cs="Arial"/>
                <w:b/>
                <w:sz w:val="24"/>
                <w:szCs w:val="24"/>
              </w:rPr>
              <w:t>App</w:t>
            </w:r>
            <w:r>
              <w:rPr>
                <w:rFonts w:ascii="Arial" w:hAnsi="Arial" w:cs="Arial"/>
                <w:b/>
                <w:sz w:val="24"/>
                <w:szCs w:val="24"/>
              </w:rPr>
              <w:t>licant</w:t>
            </w:r>
          </w:p>
          <w:p w:rsidR="00CC3265" w:rsidRPr="002F2B3F" w:rsidRDefault="00CC3265" w:rsidP="00CC3265">
            <w:pPr>
              <w:pStyle w:val="NoSpacing"/>
              <w:jc w:val="right"/>
              <w:rPr>
                <w:rFonts w:ascii="Arial" w:hAnsi="Arial" w:cs="Arial"/>
                <w:b/>
                <w:sz w:val="24"/>
                <w:szCs w:val="24"/>
              </w:rPr>
            </w:pPr>
            <w:r>
              <w:rPr>
                <w:rFonts w:ascii="Arial" w:hAnsi="Arial" w:cs="Arial"/>
                <w:b/>
                <w:sz w:val="24"/>
                <w:szCs w:val="24"/>
              </w:rPr>
              <w:t>Second Applicant</w:t>
            </w:r>
          </w:p>
        </w:tc>
      </w:tr>
      <w:tr w:rsidR="003226F9" w:rsidTr="009717C8">
        <w:tc>
          <w:tcPr>
            <w:tcW w:w="5665" w:type="dxa"/>
          </w:tcPr>
          <w:p w:rsidR="003226F9" w:rsidRDefault="003226F9" w:rsidP="006F5981">
            <w:pPr>
              <w:pStyle w:val="NoSpacing"/>
              <w:ind w:left="-108"/>
              <w:rPr>
                <w:rFonts w:ascii="Arial" w:hAnsi="Arial" w:cs="Arial"/>
                <w:sz w:val="24"/>
                <w:szCs w:val="24"/>
              </w:rPr>
            </w:pPr>
          </w:p>
        </w:tc>
        <w:tc>
          <w:tcPr>
            <w:tcW w:w="3446" w:type="dxa"/>
          </w:tcPr>
          <w:p w:rsidR="003226F9" w:rsidRDefault="003226F9" w:rsidP="006F5981">
            <w:pPr>
              <w:pStyle w:val="NoSpacing"/>
              <w:jc w:val="right"/>
              <w:rPr>
                <w:rFonts w:ascii="Arial" w:hAnsi="Arial" w:cs="Arial"/>
                <w:sz w:val="24"/>
                <w:szCs w:val="24"/>
              </w:rPr>
            </w:pPr>
          </w:p>
        </w:tc>
      </w:tr>
      <w:tr w:rsidR="003226F9" w:rsidTr="009717C8">
        <w:tc>
          <w:tcPr>
            <w:tcW w:w="5665" w:type="dxa"/>
          </w:tcPr>
          <w:p w:rsidR="003226F9" w:rsidRDefault="00D95571" w:rsidP="006F5981">
            <w:pPr>
              <w:pStyle w:val="NoSpacing"/>
              <w:ind w:left="-108"/>
              <w:rPr>
                <w:rFonts w:ascii="Arial" w:hAnsi="Arial" w:cs="Arial"/>
                <w:sz w:val="24"/>
                <w:szCs w:val="24"/>
              </w:rPr>
            </w:pPr>
            <w:r>
              <w:rPr>
                <w:rFonts w:ascii="Arial" w:hAnsi="Arial" w:cs="Arial"/>
                <w:sz w:val="24"/>
                <w:szCs w:val="24"/>
              </w:rPr>
              <w:t>a</w:t>
            </w:r>
            <w:r w:rsidR="003226F9">
              <w:rPr>
                <w:rFonts w:ascii="Arial" w:hAnsi="Arial" w:cs="Arial"/>
                <w:sz w:val="24"/>
                <w:szCs w:val="24"/>
              </w:rPr>
              <w:t>nd</w:t>
            </w:r>
          </w:p>
        </w:tc>
        <w:tc>
          <w:tcPr>
            <w:tcW w:w="3446" w:type="dxa"/>
          </w:tcPr>
          <w:p w:rsidR="003226F9" w:rsidRDefault="003226F9" w:rsidP="006F5981">
            <w:pPr>
              <w:pStyle w:val="NoSpacing"/>
              <w:rPr>
                <w:rFonts w:ascii="Arial" w:hAnsi="Arial" w:cs="Arial"/>
                <w:sz w:val="24"/>
                <w:szCs w:val="24"/>
              </w:rPr>
            </w:pPr>
          </w:p>
        </w:tc>
      </w:tr>
      <w:tr w:rsidR="003226F9" w:rsidTr="009717C8">
        <w:tc>
          <w:tcPr>
            <w:tcW w:w="5665" w:type="dxa"/>
          </w:tcPr>
          <w:p w:rsidR="003226F9" w:rsidRDefault="003226F9" w:rsidP="006F5981">
            <w:pPr>
              <w:pStyle w:val="NoSpacing"/>
              <w:ind w:left="-108"/>
              <w:rPr>
                <w:rFonts w:ascii="Arial" w:hAnsi="Arial" w:cs="Arial"/>
                <w:sz w:val="24"/>
                <w:szCs w:val="24"/>
              </w:rPr>
            </w:pPr>
          </w:p>
        </w:tc>
        <w:tc>
          <w:tcPr>
            <w:tcW w:w="3446" w:type="dxa"/>
          </w:tcPr>
          <w:p w:rsidR="003226F9" w:rsidRDefault="003226F9" w:rsidP="006F5981">
            <w:pPr>
              <w:pStyle w:val="NoSpacing"/>
              <w:rPr>
                <w:rFonts w:ascii="Arial" w:hAnsi="Arial" w:cs="Arial"/>
                <w:sz w:val="24"/>
                <w:szCs w:val="24"/>
              </w:rPr>
            </w:pPr>
          </w:p>
        </w:tc>
      </w:tr>
      <w:tr w:rsidR="003226F9" w:rsidRPr="002F2B3F" w:rsidTr="009717C8">
        <w:tc>
          <w:tcPr>
            <w:tcW w:w="5665" w:type="dxa"/>
          </w:tcPr>
          <w:p w:rsidR="00CC3265" w:rsidRDefault="00CC3265" w:rsidP="00573BE5">
            <w:pPr>
              <w:pStyle w:val="NoSpacing"/>
              <w:rPr>
                <w:rFonts w:ascii="Arial" w:hAnsi="Arial" w:cs="Arial"/>
                <w:b/>
                <w:sz w:val="24"/>
                <w:szCs w:val="24"/>
              </w:rPr>
            </w:pPr>
          </w:p>
          <w:p w:rsidR="00573BE5" w:rsidRDefault="00573BE5" w:rsidP="00573BE5">
            <w:pPr>
              <w:pStyle w:val="NoSpacing"/>
              <w:ind w:left="-108"/>
              <w:rPr>
                <w:rFonts w:ascii="Arial" w:hAnsi="Arial" w:cs="Arial"/>
                <w:b/>
                <w:sz w:val="24"/>
                <w:szCs w:val="24"/>
              </w:rPr>
            </w:pPr>
            <w:r>
              <w:rPr>
                <w:rFonts w:ascii="Arial" w:hAnsi="Arial" w:cs="Arial"/>
                <w:b/>
                <w:sz w:val="24"/>
                <w:szCs w:val="24"/>
              </w:rPr>
              <w:t>J HENNING PROPERTIES (PTY) LTD</w:t>
            </w:r>
          </w:p>
          <w:p w:rsidR="006C2D68" w:rsidRDefault="00573BE5" w:rsidP="00573BE5">
            <w:pPr>
              <w:pStyle w:val="NoSpacing"/>
              <w:ind w:left="-108"/>
              <w:rPr>
                <w:rFonts w:ascii="Arial" w:hAnsi="Arial" w:cs="Arial"/>
                <w:b/>
                <w:sz w:val="24"/>
                <w:szCs w:val="24"/>
              </w:rPr>
            </w:pPr>
            <w:r>
              <w:rPr>
                <w:rFonts w:ascii="Arial" w:hAnsi="Arial" w:cs="Arial"/>
                <w:b/>
                <w:sz w:val="24"/>
                <w:szCs w:val="24"/>
              </w:rPr>
              <w:t>DR. ERASTUS SHIKONGO SHAPUMBA</w:t>
            </w:r>
          </w:p>
          <w:p w:rsidR="006C2D68" w:rsidRDefault="006C2D68" w:rsidP="00CC3265">
            <w:pPr>
              <w:pStyle w:val="NoSpacing"/>
              <w:ind w:left="-108"/>
              <w:rPr>
                <w:rFonts w:ascii="Arial" w:hAnsi="Arial" w:cs="Arial"/>
                <w:sz w:val="24"/>
                <w:szCs w:val="24"/>
              </w:rPr>
            </w:pPr>
          </w:p>
          <w:p w:rsidR="006C2D68" w:rsidRDefault="006C2D68" w:rsidP="00CC3265">
            <w:pPr>
              <w:pStyle w:val="NoSpacing"/>
              <w:ind w:left="-108"/>
              <w:rPr>
                <w:rFonts w:ascii="Arial" w:hAnsi="Arial" w:cs="Arial"/>
                <w:sz w:val="24"/>
                <w:szCs w:val="24"/>
              </w:rPr>
            </w:pPr>
          </w:p>
          <w:p w:rsidR="006C2D68" w:rsidRDefault="006C2D68" w:rsidP="00CC3265">
            <w:pPr>
              <w:pStyle w:val="NoSpacing"/>
              <w:ind w:left="-108"/>
              <w:rPr>
                <w:rFonts w:ascii="Arial" w:hAnsi="Arial" w:cs="Arial"/>
                <w:sz w:val="24"/>
                <w:szCs w:val="24"/>
              </w:rPr>
            </w:pPr>
            <w:r w:rsidRPr="006C2D68">
              <w:rPr>
                <w:rFonts w:ascii="Arial" w:hAnsi="Arial" w:cs="Arial"/>
                <w:sz w:val="24"/>
                <w:szCs w:val="24"/>
              </w:rPr>
              <w:t>In re: The appeal between:</w:t>
            </w:r>
          </w:p>
          <w:p w:rsidR="006C2D68" w:rsidRPr="006C2D68" w:rsidRDefault="006C2D68" w:rsidP="00CC3265">
            <w:pPr>
              <w:pStyle w:val="NoSpacing"/>
              <w:ind w:left="-108"/>
              <w:rPr>
                <w:rFonts w:ascii="Arial" w:hAnsi="Arial" w:cs="Arial"/>
                <w:sz w:val="24"/>
                <w:szCs w:val="24"/>
              </w:rPr>
            </w:pPr>
          </w:p>
          <w:p w:rsidR="00573BE5" w:rsidRDefault="00573BE5" w:rsidP="00573BE5">
            <w:pPr>
              <w:pStyle w:val="NoSpacing"/>
              <w:ind w:left="-108"/>
              <w:rPr>
                <w:rFonts w:ascii="Arial" w:hAnsi="Arial" w:cs="Arial"/>
                <w:b/>
                <w:sz w:val="24"/>
                <w:szCs w:val="24"/>
              </w:rPr>
            </w:pPr>
            <w:r>
              <w:rPr>
                <w:rFonts w:ascii="Arial" w:hAnsi="Arial" w:cs="Arial"/>
                <w:b/>
                <w:sz w:val="24"/>
                <w:szCs w:val="24"/>
              </w:rPr>
              <w:t>J HENNING PROPERTIES (PTY) LTD</w:t>
            </w:r>
          </w:p>
          <w:p w:rsidR="00573BE5" w:rsidRDefault="00573BE5" w:rsidP="00573BE5">
            <w:pPr>
              <w:pStyle w:val="NoSpacing"/>
              <w:ind w:left="-108"/>
              <w:rPr>
                <w:rFonts w:ascii="Arial" w:hAnsi="Arial" w:cs="Arial"/>
                <w:b/>
                <w:sz w:val="24"/>
                <w:szCs w:val="24"/>
              </w:rPr>
            </w:pPr>
            <w:r>
              <w:rPr>
                <w:rFonts w:ascii="Arial" w:hAnsi="Arial" w:cs="Arial"/>
                <w:b/>
                <w:sz w:val="24"/>
                <w:szCs w:val="24"/>
              </w:rPr>
              <w:t>DR. ERASTUS SHIKONGO SHAPUMBA</w:t>
            </w:r>
          </w:p>
          <w:p w:rsidR="006C2D68" w:rsidRDefault="006C2D68" w:rsidP="00573BE5">
            <w:pPr>
              <w:pStyle w:val="NoSpacing"/>
              <w:rPr>
                <w:rFonts w:ascii="Arial" w:hAnsi="Arial" w:cs="Arial"/>
                <w:b/>
                <w:sz w:val="24"/>
                <w:szCs w:val="24"/>
              </w:rPr>
            </w:pPr>
          </w:p>
          <w:p w:rsidR="006C2D68" w:rsidRPr="00573BE5" w:rsidRDefault="00573BE5" w:rsidP="00573BE5">
            <w:pPr>
              <w:pStyle w:val="NoSpacing"/>
              <w:ind w:left="-108"/>
              <w:rPr>
                <w:rFonts w:ascii="Arial" w:hAnsi="Arial" w:cs="Arial"/>
                <w:sz w:val="24"/>
                <w:szCs w:val="24"/>
              </w:rPr>
            </w:pPr>
            <w:r>
              <w:rPr>
                <w:rFonts w:ascii="Arial" w:hAnsi="Arial" w:cs="Arial"/>
                <w:sz w:val="24"/>
                <w:szCs w:val="24"/>
              </w:rPr>
              <w:t>and</w:t>
            </w:r>
          </w:p>
          <w:p w:rsidR="006C2D68" w:rsidRDefault="006C2D68" w:rsidP="00CC3265">
            <w:pPr>
              <w:pStyle w:val="NoSpacing"/>
              <w:ind w:left="-108"/>
              <w:rPr>
                <w:rFonts w:ascii="Arial" w:hAnsi="Arial" w:cs="Arial"/>
                <w:b/>
                <w:sz w:val="24"/>
                <w:szCs w:val="24"/>
              </w:rPr>
            </w:pPr>
          </w:p>
          <w:p w:rsidR="00573BE5" w:rsidRDefault="00573BE5" w:rsidP="00573BE5">
            <w:pPr>
              <w:pStyle w:val="NoSpacing"/>
              <w:ind w:left="-108"/>
              <w:rPr>
                <w:rFonts w:ascii="Arial" w:hAnsi="Arial" w:cs="Arial"/>
                <w:b/>
                <w:sz w:val="24"/>
                <w:szCs w:val="24"/>
              </w:rPr>
            </w:pPr>
            <w:r>
              <w:rPr>
                <w:rFonts w:ascii="Arial" w:hAnsi="Arial" w:cs="Arial"/>
                <w:b/>
                <w:sz w:val="24"/>
                <w:szCs w:val="24"/>
              </w:rPr>
              <w:t>TEMPTATIONS FASHION CC</w:t>
            </w:r>
          </w:p>
          <w:p w:rsidR="00573BE5" w:rsidRDefault="00573BE5" w:rsidP="00573BE5">
            <w:pPr>
              <w:pStyle w:val="NoSpacing"/>
              <w:ind w:left="-108"/>
              <w:rPr>
                <w:rFonts w:ascii="Arial" w:hAnsi="Arial" w:cs="Arial"/>
                <w:b/>
                <w:sz w:val="24"/>
                <w:szCs w:val="24"/>
              </w:rPr>
            </w:pPr>
            <w:r>
              <w:rPr>
                <w:rFonts w:ascii="Arial" w:hAnsi="Arial" w:cs="Arial"/>
                <w:b/>
                <w:sz w:val="24"/>
                <w:szCs w:val="24"/>
              </w:rPr>
              <w:t xml:space="preserve">OLIVIA NDAHAFA </w:t>
            </w:r>
            <w:r w:rsidR="002942DF">
              <w:rPr>
                <w:rFonts w:ascii="Arial" w:hAnsi="Arial" w:cs="Arial"/>
                <w:b/>
                <w:sz w:val="24"/>
                <w:szCs w:val="24"/>
              </w:rPr>
              <w:t>KANYEMBA-USIKU</w:t>
            </w:r>
          </w:p>
          <w:p w:rsidR="006C2D68" w:rsidRPr="002F2B3F" w:rsidRDefault="006C2D68" w:rsidP="00573BE5">
            <w:pPr>
              <w:pStyle w:val="NoSpacing"/>
              <w:ind w:left="-108"/>
              <w:rPr>
                <w:rFonts w:ascii="Arial" w:hAnsi="Arial" w:cs="Arial"/>
                <w:b/>
                <w:sz w:val="24"/>
                <w:szCs w:val="24"/>
              </w:rPr>
            </w:pPr>
          </w:p>
        </w:tc>
        <w:tc>
          <w:tcPr>
            <w:tcW w:w="3446" w:type="dxa"/>
          </w:tcPr>
          <w:p w:rsidR="003226F9" w:rsidRDefault="003226F9" w:rsidP="00573BE5">
            <w:pPr>
              <w:pStyle w:val="NoSpacing"/>
              <w:rPr>
                <w:rFonts w:ascii="Arial" w:hAnsi="Arial" w:cs="Arial"/>
                <w:b/>
                <w:sz w:val="24"/>
                <w:szCs w:val="24"/>
              </w:rPr>
            </w:pPr>
          </w:p>
          <w:p w:rsidR="003226F9" w:rsidRDefault="003226F9" w:rsidP="006F5981">
            <w:pPr>
              <w:pStyle w:val="NoSpacing"/>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p w:rsidR="00CC3265" w:rsidRDefault="00CC3265" w:rsidP="006F5981">
            <w:pPr>
              <w:pStyle w:val="NoSpacing"/>
              <w:jc w:val="right"/>
              <w:rPr>
                <w:rFonts w:ascii="Arial" w:hAnsi="Arial" w:cs="Arial"/>
                <w:b/>
                <w:sz w:val="24"/>
                <w:szCs w:val="24"/>
              </w:rPr>
            </w:pPr>
            <w:r>
              <w:rPr>
                <w:rFonts w:ascii="Arial" w:hAnsi="Arial" w:cs="Arial"/>
                <w:b/>
                <w:sz w:val="24"/>
                <w:szCs w:val="24"/>
              </w:rPr>
              <w:t>Second Respondent</w:t>
            </w:r>
          </w:p>
          <w:p w:rsidR="006C2D68" w:rsidRDefault="006C2D68" w:rsidP="006F5981">
            <w:pPr>
              <w:pStyle w:val="NoSpacing"/>
              <w:jc w:val="right"/>
              <w:rPr>
                <w:rFonts w:ascii="Arial" w:hAnsi="Arial" w:cs="Arial"/>
                <w:b/>
                <w:sz w:val="24"/>
                <w:szCs w:val="24"/>
              </w:rPr>
            </w:pPr>
          </w:p>
          <w:p w:rsidR="006C2D68" w:rsidRDefault="006C2D68" w:rsidP="006F5981">
            <w:pPr>
              <w:pStyle w:val="NoSpacing"/>
              <w:jc w:val="right"/>
              <w:rPr>
                <w:rFonts w:ascii="Arial" w:hAnsi="Arial" w:cs="Arial"/>
                <w:b/>
                <w:sz w:val="24"/>
                <w:szCs w:val="24"/>
              </w:rPr>
            </w:pPr>
          </w:p>
          <w:p w:rsidR="006C2D68" w:rsidRDefault="006C2D68" w:rsidP="00573BE5">
            <w:pPr>
              <w:pStyle w:val="NoSpacing"/>
              <w:rPr>
                <w:rFonts w:ascii="Arial" w:hAnsi="Arial" w:cs="Arial"/>
                <w:b/>
                <w:sz w:val="24"/>
                <w:szCs w:val="24"/>
              </w:rPr>
            </w:pPr>
          </w:p>
          <w:p w:rsidR="002942DF" w:rsidRDefault="002942DF" w:rsidP="006F5981">
            <w:pPr>
              <w:pStyle w:val="NoSpacing"/>
              <w:jc w:val="right"/>
              <w:rPr>
                <w:rFonts w:ascii="Arial" w:hAnsi="Arial" w:cs="Arial"/>
                <w:b/>
                <w:sz w:val="24"/>
                <w:szCs w:val="24"/>
              </w:rPr>
            </w:pPr>
          </w:p>
          <w:p w:rsidR="006C2D68" w:rsidRDefault="006C2D68" w:rsidP="006F5981">
            <w:pPr>
              <w:pStyle w:val="NoSpacing"/>
              <w:jc w:val="right"/>
              <w:rPr>
                <w:rFonts w:ascii="Arial" w:hAnsi="Arial" w:cs="Arial"/>
                <w:b/>
                <w:sz w:val="24"/>
                <w:szCs w:val="24"/>
              </w:rPr>
            </w:pPr>
            <w:r>
              <w:rPr>
                <w:rFonts w:ascii="Arial" w:hAnsi="Arial" w:cs="Arial"/>
                <w:b/>
                <w:sz w:val="24"/>
                <w:szCs w:val="24"/>
              </w:rPr>
              <w:t>First Appellant</w:t>
            </w:r>
          </w:p>
          <w:p w:rsidR="006C2D68" w:rsidRDefault="006C2D68" w:rsidP="006F5981">
            <w:pPr>
              <w:pStyle w:val="NoSpacing"/>
              <w:jc w:val="right"/>
              <w:rPr>
                <w:rFonts w:ascii="Arial" w:hAnsi="Arial" w:cs="Arial"/>
                <w:b/>
                <w:sz w:val="24"/>
                <w:szCs w:val="24"/>
              </w:rPr>
            </w:pPr>
            <w:r>
              <w:rPr>
                <w:rFonts w:ascii="Arial" w:hAnsi="Arial" w:cs="Arial"/>
                <w:b/>
                <w:sz w:val="24"/>
                <w:szCs w:val="24"/>
              </w:rPr>
              <w:t>Second Appellant</w:t>
            </w:r>
          </w:p>
          <w:p w:rsidR="006C2D68" w:rsidRDefault="006C2D68" w:rsidP="006F5981">
            <w:pPr>
              <w:pStyle w:val="NoSpacing"/>
              <w:jc w:val="right"/>
              <w:rPr>
                <w:rFonts w:ascii="Arial" w:hAnsi="Arial" w:cs="Arial"/>
                <w:b/>
                <w:sz w:val="24"/>
                <w:szCs w:val="24"/>
              </w:rPr>
            </w:pPr>
          </w:p>
          <w:p w:rsidR="006C2D68" w:rsidRDefault="006C2D68" w:rsidP="006F5981">
            <w:pPr>
              <w:pStyle w:val="NoSpacing"/>
              <w:jc w:val="right"/>
              <w:rPr>
                <w:rFonts w:ascii="Arial" w:hAnsi="Arial" w:cs="Arial"/>
                <w:b/>
                <w:sz w:val="24"/>
                <w:szCs w:val="24"/>
              </w:rPr>
            </w:pPr>
          </w:p>
          <w:p w:rsidR="006C2D68" w:rsidRDefault="006C2D68" w:rsidP="00573BE5">
            <w:pPr>
              <w:pStyle w:val="NoSpacing"/>
              <w:rPr>
                <w:rFonts w:ascii="Arial" w:hAnsi="Arial" w:cs="Arial"/>
                <w:b/>
                <w:sz w:val="24"/>
                <w:szCs w:val="24"/>
              </w:rPr>
            </w:pPr>
          </w:p>
          <w:p w:rsidR="006C2D68" w:rsidRDefault="006C2D68" w:rsidP="006F5981">
            <w:pPr>
              <w:pStyle w:val="NoSpacing"/>
              <w:jc w:val="right"/>
              <w:rPr>
                <w:rFonts w:ascii="Arial" w:hAnsi="Arial" w:cs="Arial"/>
                <w:b/>
                <w:sz w:val="24"/>
                <w:szCs w:val="24"/>
              </w:rPr>
            </w:pPr>
            <w:r>
              <w:rPr>
                <w:rFonts w:ascii="Arial" w:hAnsi="Arial" w:cs="Arial"/>
                <w:b/>
                <w:sz w:val="24"/>
                <w:szCs w:val="24"/>
              </w:rPr>
              <w:t>First Respondent</w:t>
            </w:r>
          </w:p>
          <w:p w:rsidR="006C2D68" w:rsidRPr="002F2B3F" w:rsidRDefault="006C2D68" w:rsidP="006F5981">
            <w:pPr>
              <w:pStyle w:val="NoSpacing"/>
              <w:jc w:val="right"/>
              <w:rPr>
                <w:rFonts w:ascii="Arial" w:hAnsi="Arial" w:cs="Arial"/>
                <w:b/>
                <w:sz w:val="24"/>
                <w:szCs w:val="24"/>
              </w:rPr>
            </w:pPr>
            <w:r>
              <w:rPr>
                <w:rFonts w:ascii="Arial" w:hAnsi="Arial" w:cs="Arial"/>
                <w:b/>
                <w:sz w:val="24"/>
                <w:szCs w:val="24"/>
              </w:rPr>
              <w:t>Second Respondent</w:t>
            </w:r>
          </w:p>
        </w:tc>
      </w:tr>
      <w:tr w:rsidR="009717C8" w:rsidRPr="002F2B3F" w:rsidTr="009717C8">
        <w:tc>
          <w:tcPr>
            <w:tcW w:w="5665" w:type="dxa"/>
          </w:tcPr>
          <w:p w:rsidR="009717C8" w:rsidRDefault="009717C8" w:rsidP="00CC3265">
            <w:pPr>
              <w:pStyle w:val="NoSpacing"/>
              <w:ind w:left="-108"/>
              <w:rPr>
                <w:rFonts w:ascii="Arial" w:hAnsi="Arial" w:cs="Arial"/>
                <w:b/>
                <w:sz w:val="24"/>
                <w:szCs w:val="24"/>
              </w:rPr>
            </w:pPr>
          </w:p>
        </w:tc>
        <w:tc>
          <w:tcPr>
            <w:tcW w:w="3446" w:type="dxa"/>
          </w:tcPr>
          <w:p w:rsidR="009717C8" w:rsidRDefault="009717C8" w:rsidP="006F5981">
            <w:pPr>
              <w:pStyle w:val="NoSpacing"/>
              <w:jc w:val="right"/>
              <w:rPr>
                <w:rFonts w:ascii="Arial" w:hAnsi="Arial" w:cs="Arial"/>
                <w:b/>
                <w:sz w:val="24"/>
                <w:szCs w:val="24"/>
              </w:rPr>
            </w:pPr>
          </w:p>
        </w:tc>
      </w:tr>
    </w:tbl>
    <w:p w:rsidR="00F435F9" w:rsidRPr="00991107" w:rsidRDefault="00F435F9" w:rsidP="003226F9">
      <w:pPr>
        <w:pStyle w:val="NoSpacing"/>
        <w:rPr>
          <w:rFonts w:ascii="Arial" w:hAnsi="Arial" w:cs="Arial"/>
          <w:sz w:val="24"/>
          <w:szCs w:val="24"/>
        </w:rPr>
      </w:pPr>
    </w:p>
    <w:p w:rsidR="003226F9" w:rsidRPr="00991107" w:rsidRDefault="003226F9" w:rsidP="003226F9">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6C2D68">
        <w:rPr>
          <w:rFonts w:ascii="Arial" w:hAnsi="Arial" w:cs="Arial"/>
          <w:sz w:val="24"/>
          <w:szCs w:val="24"/>
        </w:rPr>
        <w:t>MAINGA JA</w:t>
      </w:r>
    </w:p>
    <w:p w:rsidR="003226F9" w:rsidRPr="00466830" w:rsidRDefault="003226F9" w:rsidP="003226F9">
      <w:pPr>
        <w:pStyle w:val="NoSpacing"/>
        <w:rPr>
          <w:rFonts w:ascii="Arial" w:hAnsi="Arial" w:cs="Arial"/>
          <w:b/>
          <w:sz w:val="24"/>
          <w:szCs w:val="24"/>
        </w:rPr>
      </w:pPr>
    </w:p>
    <w:p w:rsidR="003226F9" w:rsidRPr="00466830" w:rsidRDefault="003226F9" w:rsidP="003226F9">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6C2D68">
        <w:rPr>
          <w:rFonts w:ascii="Arial" w:hAnsi="Arial" w:cs="Arial"/>
          <w:b/>
          <w:sz w:val="24"/>
          <w:szCs w:val="24"/>
        </w:rPr>
        <w:t>IN CHAMBERS</w:t>
      </w:r>
    </w:p>
    <w:p w:rsidR="003226F9" w:rsidRPr="00466830" w:rsidRDefault="003226F9" w:rsidP="003226F9">
      <w:pPr>
        <w:pStyle w:val="NoSpacing"/>
        <w:rPr>
          <w:rFonts w:ascii="Arial" w:hAnsi="Arial" w:cs="Arial"/>
          <w:b/>
          <w:sz w:val="24"/>
          <w:szCs w:val="24"/>
        </w:rPr>
      </w:pPr>
    </w:p>
    <w:p w:rsidR="00F435F9" w:rsidRDefault="003226F9" w:rsidP="006C2D68">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C73A94">
        <w:rPr>
          <w:rFonts w:ascii="Arial" w:hAnsi="Arial" w:cs="Arial"/>
          <w:b/>
          <w:sz w:val="24"/>
          <w:szCs w:val="24"/>
        </w:rPr>
        <w:t>1 March</w:t>
      </w:r>
      <w:r w:rsidR="006C2D68">
        <w:rPr>
          <w:rFonts w:ascii="Arial" w:hAnsi="Arial" w:cs="Arial"/>
          <w:b/>
          <w:sz w:val="24"/>
          <w:szCs w:val="24"/>
        </w:rPr>
        <w:t xml:space="preserve"> 2024</w:t>
      </w:r>
    </w:p>
    <w:p w:rsidR="005B5313" w:rsidRDefault="005B5313" w:rsidP="006C2D68">
      <w:pPr>
        <w:pStyle w:val="NoSpacing"/>
        <w:rPr>
          <w:rFonts w:ascii="Arial" w:hAnsi="Arial" w:cs="Arial"/>
          <w:b/>
          <w:sz w:val="24"/>
          <w:szCs w:val="24"/>
        </w:rPr>
      </w:pPr>
    </w:p>
    <w:p w:rsidR="005B5313" w:rsidRDefault="005B5313" w:rsidP="006C2D68">
      <w:pPr>
        <w:pStyle w:val="NoSpacing"/>
        <w:rPr>
          <w:rFonts w:ascii="Arial" w:hAnsi="Arial" w:cs="Arial"/>
          <w:b/>
          <w:sz w:val="24"/>
          <w:szCs w:val="24"/>
        </w:rPr>
      </w:pPr>
    </w:p>
    <w:p w:rsidR="005B5313" w:rsidRDefault="005B5313" w:rsidP="006C2D68">
      <w:pPr>
        <w:pStyle w:val="NoSpacing"/>
        <w:rPr>
          <w:rFonts w:ascii="Arial" w:hAnsi="Arial" w:cs="Arial"/>
          <w:b/>
          <w:sz w:val="24"/>
          <w:szCs w:val="24"/>
        </w:rPr>
      </w:pPr>
    </w:p>
    <w:p w:rsidR="006C2D68" w:rsidRPr="006C2D68" w:rsidRDefault="006C2D68" w:rsidP="006C2D68">
      <w:pPr>
        <w:pStyle w:val="NoSpacing"/>
        <w:rPr>
          <w:rFonts w:ascii="Arial" w:hAnsi="Arial" w:cs="Arial"/>
          <w:b/>
          <w:sz w:val="24"/>
          <w:szCs w:val="24"/>
        </w:rPr>
      </w:pPr>
    </w:p>
    <w:p w:rsidR="003226F9" w:rsidRPr="00991107" w:rsidRDefault="003226F9" w:rsidP="003226F9">
      <w:pPr>
        <w:pStyle w:val="NoSpacing"/>
        <w:rPr>
          <w:rFonts w:ascii="Arial" w:hAnsi="Arial" w:cs="Arial"/>
          <w:sz w:val="24"/>
          <w:szCs w:val="24"/>
        </w:rPr>
      </w:pPr>
      <w:r>
        <w:rPr>
          <w:rFonts w:ascii="Arial" w:hAnsi="Arial" w:cs="Arial"/>
          <w:sz w:val="24"/>
          <w:szCs w:val="24"/>
        </w:rPr>
        <w:lastRenderedPageBreak/>
        <w:t>____________________________________________________________________</w:t>
      </w:r>
    </w:p>
    <w:p w:rsidR="003226F9" w:rsidRPr="00991107" w:rsidRDefault="003226F9" w:rsidP="003226F9">
      <w:pPr>
        <w:pStyle w:val="NoSpacing"/>
        <w:rPr>
          <w:rFonts w:ascii="Arial" w:hAnsi="Arial" w:cs="Arial"/>
          <w:sz w:val="24"/>
          <w:szCs w:val="24"/>
        </w:rPr>
      </w:pPr>
    </w:p>
    <w:p w:rsidR="003226F9" w:rsidRPr="00970591" w:rsidRDefault="003226F9" w:rsidP="003226F9">
      <w:pPr>
        <w:pStyle w:val="NoSpacing"/>
        <w:jc w:val="center"/>
        <w:rPr>
          <w:rFonts w:ascii="Arial" w:hAnsi="Arial" w:cs="Arial"/>
          <w:b/>
          <w:sz w:val="24"/>
          <w:szCs w:val="24"/>
        </w:rPr>
      </w:pPr>
      <w:r w:rsidRPr="00970591">
        <w:rPr>
          <w:rFonts w:ascii="Arial" w:hAnsi="Arial" w:cs="Arial"/>
          <w:b/>
          <w:sz w:val="24"/>
          <w:szCs w:val="24"/>
        </w:rPr>
        <w:t>JUDGMENT</w:t>
      </w:r>
      <w:r w:rsidR="00920F33">
        <w:rPr>
          <w:rFonts w:ascii="Arial" w:hAnsi="Arial" w:cs="Arial"/>
          <w:b/>
          <w:sz w:val="24"/>
          <w:szCs w:val="24"/>
        </w:rPr>
        <w:t xml:space="preserve"> PURSUANT TO AN </w:t>
      </w:r>
      <w:r w:rsidR="006C2D68">
        <w:rPr>
          <w:rFonts w:ascii="Arial" w:hAnsi="Arial" w:cs="Arial"/>
          <w:b/>
          <w:sz w:val="24"/>
          <w:szCs w:val="24"/>
        </w:rPr>
        <w:t>APPLICATION</w:t>
      </w:r>
      <w:r w:rsidR="00920F33">
        <w:rPr>
          <w:rFonts w:ascii="Arial" w:hAnsi="Arial" w:cs="Arial"/>
          <w:b/>
          <w:sz w:val="24"/>
          <w:szCs w:val="24"/>
        </w:rPr>
        <w:t xml:space="preserve"> IN TERMS OF S 14(7)</w:t>
      </w:r>
    </w:p>
    <w:p w:rsidR="003226F9" w:rsidRPr="00991107" w:rsidRDefault="003226F9" w:rsidP="003226F9">
      <w:pPr>
        <w:pStyle w:val="NoSpacing"/>
        <w:rPr>
          <w:rFonts w:ascii="Arial" w:hAnsi="Arial" w:cs="Arial"/>
          <w:sz w:val="24"/>
          <w:szCs w:val="24"/>
        </w:rPr>
      </w:pPr>
      <w:r>
        <w:rPr>
          <w:rFonts w:ascii="Arial" w:hAnsi="Arial" w:cs="Arial"/>
          <w:sz w:val="24"/>
          <w:szCs w:val="24"/>
        </w:rPr>
        <w:t>____________________________________________________________________</w:t>
      </w:r>
    </w:p>
    <w:p w:rsidR="003226F9" w:rsidRPr="00991107" w:rsidRDefault="003226F9" w:rsidP="003226F9">
      <w:pPr>
        <w:pStyle w:val="NoSpacing"/>
        <w:rPr>
          <w:rFonts w:ascii="Arial" w:hAnsi="Arial" w:cs="Arial"/>
          <w:sz w:val="24"/>
          <w:szCs w:val="24"/>
        </w:rPr>
      </w:pPr>
    </w:p>
    <w:p w:rsidR="003F5BFB" w:rsidRDefault="00CC3265" w:rsidP="003226F9">
      <w:pPr>
        <w:pStyle w:val="NoSpacing"/>
        <w:spacing w:line="480" w:lineRule="auto"/>
        <w:jc w:val="both"/>
        <w:rPr>
          <w:rFonts w:ascii="Arial" w:hAnsi="Arial" w:cs="Arial"/>
          <w:sz w:val="24"/>
          <w:szCs w:val="24"/>
        </w:rPr>
      </w:pPr>
      <w:r>
        <w:rPr>
          <w:rFonts w:ascii="Arial" w:hAnsi="Arial" w:cs="Arial"/>
          <w:sz w:val="24"/>
          <w:szCs w:val="24"/>
        </w:rPr>
        <w:t>MAINGA</w:t>
      </w:r>
      <w:r w:rsidR="003226F9">
        <w:rPr>
          <w:rFonts w:ascii="Arial" w:hAnsi="Arial" w:cs="Arial"/>
          <w:sz w:val="24"/>
          <w:szCs w:val="24"/>
        </w:rPr>
        <w:t xml:space="preserve"> JA</w:t>
      </w:r>
      <w:r w:rsidR="006A4C50">
        <w:rPr>
          <w:rFonts w:ascii="Arial" w:hAnsi="Arial" w:cs="Arial"/>
          <w:sz w:val="24"/>
          <w:szCs w:val="24"/>
        </w:rPr>
        <w:t>:</w:t>
      </w:r>
    </w:p>
    <w:p w:rsidR="006C2D68" w:rsidRPr="006C2D68" w:rsidRDefault="006C2D68" w:rsidP="003226F9">
      <w:pPr>
        <w:pStyle w:val="NoSpacing"/>
        <w:spacing w:line="480" w:lineRule="auto"/>
        <w:jc w:val="both"/>
        <w:rPr>
          <w:rFonts w:ascii="Arial" w:hAnsi="Arial" w:cs="Arial"/>
          <w:sz w:val="24"/>
          <w:szCs w:val="24"/>
          <w:u w:val="single"/>
        </w:rPr>
      </w:pPr>
      <w:r w:rsidRPr="006C2D68">
        <w:rPr>
          <w:rFonts w:ascii="Arial" w:hAnsi="Arial" w:cs="Arial"/>
          <w:sz w:val="24"/>
          <w:szCs w:val="24"/>
          <w:u w:val="single"/>
        </w:rPr>
        <w:t>Introduction</w:t>
      </w:r>
    </w:p>
    <w:p w:rsidR="0077311C" w:rsidRDefault="00596E87" w:rsidP="0077311C">
      <w:pPr>
        <w:pStyle w:val="NoSpacing"/>
        <w:numPr>
          <w:ilvl w:val="0"/>
          <w:numId w:val="1"/>
        </w:numPr>
        <w:spacing w:line="480" w:lineRule="auto"/>
        <w:ind w:left="0" w:firstLine="0"/>
        <w:jc w:val="both"/>
        <w:rPr>
          <w:rFonts w:ascii="Arial" w:hAnsi="Arial" w:cs="Arial"/>
          <w:sz w:val="24"/>
          <w:szCs w:val="24"/>
        </w:rPr>
      </w:pPr>
      <w:r w:rsidRPr="004A233D">
        <w:rPr>
          <w:rFonts w:ascii="Arial" w:hAnsi="Arial" w:cs="Arial"/>
          <w:sz w:val="24"/>
          <w:szCs w:val="24"/>
        </w:rPr>
        <w:t>This is an application</w:t>
      </w:r>
      <w:r w:rsidR="004A233D" w:rsidRPr="004A233D">
        <w:rPr>
          <w:rFonts w:ascii="Arial" w:hAnsi="Arial" w:cs="Arial"/>
          <w:sz w:val="24"/>
          <w:szCs w:val="24"/>
        </w:rPr>
        <w:t xml:space="preserve"> </w:t>
      </w:r>
      <w:r w:rsidR="00D8320E">
        <w:rPr>
          <w:rFonts w:ascii="Arial" w:hAnsi="Arial" w:cs="Arial"/>
          <w:sz w:val="24"/>
          <w:szCs w:val="24"/>
        </w:rPr>
        <w:t xml:space="preserve">for the </w:t>
      </w:r>
      <w:r w:rsidR="004A233D" w:rsidRPr="004A233D">
        <w:rPr>
          <w:rFonts w:ascii="Arial" w:hAnsi="Arial" w:cs="Arial"/>
          <w:sz w:val="24"/>
          <w:szCs w:val="24"/>
        </w:rPr>
        <w:t xml:space="preserve">summary dismissal of an appeal instituted by </w:t>
      </w:r>
      <w:r w:rsidR="00E00741">
        <w:rPr>
          <w:rFonts w:ascii="Arial" w:hAnsi="Arial" w:cs="Arial"/>
          <w:sz w:val="24"/>
          <w:szCs w:val="24"/>
        </w:rPr>
        <w:t>respondent</w:t>
      </w:r>
      <w:r w:rsidR="0077311C">
        <w:rPr>
          <w:rFonts w:ascii="Arial" w:hAnsi="Arial" w:cs="Arial"/>
          <w:sz w:val="24"/>
          <w:szCs w:val="24"/>
        </w:rPr>
        <w:t>s</w:t>
      </w:r>
      <w:r w:rsidR="004A233D" w:rsidRPr="004A233D">
        <w:rPr>
          <w:rFonts w:ascii="Arial" w:hAnsi="Arial" w:cs="Arial"/>
          <w:sz w:val="24"/>
          <w:szCs w:val="24"/>
        </w:rPr>
        <w:t xml:space="preserve"> (</w:t>
      </w:r>
      <w:r w:rsidR="00E00741">
        <w:rPr>
          <w:rFonts w:ascii="Arial" w:hAnsi="Arial" w:cs="Arial"/>
          <w:sz w:val="24"/>
          <w:szCs w:val="24"/>
        </w:rPr>
        <w:t>appellants</w:t>
      </w:r>
      <w:r w:rsidR="004A233D" w:rsidRPr="004A233D">
        <w:rPr>
          <w:rFonts w:ascii="Arial" w:hAnsi="Arial" w:cs="Arial"/>
          <w:sz w:val="24"/>
          <w:szCs w:val="24"/>
        </w:rPr>
        <w:t xml:space="preserve"> in the appeal). The application is brought by </w:t>
      </w:r>
      <w:r w:rsidR="00920F33">
        <w:rPr>
          <w:rFonts w:ascii="Arial" w:hAnsi="Arial" w:cs="Arial"/>
          <w:sz w:val="24"/>
          <w:szCs w:val="24"/>
        </w:rPr>
        <w:t>applicants (the respondents in the appeal)</w:t>
      </w:r>
      <w:r w:rsidR="004A233D" w:rsidRPr="004A233D">
        <w:rPr>
          <w:rFonts w:ascii="Arial" w:hAnsi="Arial" w:cs="Arial"/>
          <w:sz w:val="24"/>
          <w:szCs w:val="24"/>
        </w:rPr>
        <w:t xml:space="preserve"> </w:t>
      </w:r>
      <w:r w:rsidRPr="004A233D">
        <w:rPr>
          <w:rFonts w:ascii="Arial" w:hAnsi="Arial" w:cs="Arial"/>
          <w:sz w:val="24"/>
          <w:szCs w:val="24"/>
        </w:rPr>
        <w:t>in terms of s 14(7) of the Supreme Court Act 15 of 1990</w:t>
      </w:r>
      <w:r w:rsidR="004A233D" w:rsidRPr="004A233D">
        <w:rPr>
          <w:rFonts w:ascii="Arial" w:hAnsi="Arial" w:cs="Arial"/>
          <w:sz w:val="24"/>
          <w:szCs w:val="24"/>
        </w:rPr>
        <w:t xml:space="preserve"> read with rule 6</w:t>
      </w:r>
      <w:r w:rsidR="004A233D">
        <w:rPr>
          <w:rFonts w:ascii="Arial" w:hAnsi="Arial" w:cs="Arial"/>
          <w:sz w:val="24"/>
          <w:szCs w:val="24"/>
        </w:rPr>
        <w:t xml:space="preserve"> of the Rules</w:t>
      </w:r>
      <w:r w:rsidR="009322C4">
        <w:rPr>
          <w:rFonts w:ascii="Arial" w:hAnsi="Arial" w:cs="Arial"/>
          <w:sz w:val="24"/>
          <w:szCs w:val="24"/>
        </w:rPr>
        <w:t xml:space="preserve"> of this Court</w:t>
      </w:r>
      <w:r w:rsidR="004A233D">
        <w:rPr>
          <w:rFonts w:ascii="Arial" w:hAnsi="Arial" w:cs="Arial"/>
          <w:sz w:val="24"/>
          <w:szCs w:val="24"/>
        </w:rPr>
        <w:t xml:space="preserve">. </w:t>
      </w:r>
    </w:p>
    <w:p w:rsidR="0077311C" w:rsidRPr="0077311C" w:rsidRDefault="0077311C" w:rsidP="0077311C">
      <w:pPr>
        <w:pStyle w:val="NoSpacing"/>
        <w:spacing w:line="480" w:lineRule="auto"/>
        <w:jc w:val="both"/>
        <w:rPr>
          <w:rFonts w:ascii="Arial" w:hAnsi="Arial" w:cs="Arial"/>
          <w:sz w:val="24"/>
          <w:szCs w:val="24"/>
        </w:rPr>
      </w:pPr>
    </w:p>
    <w:p w:rsidR="00920F33" w:rsidRDefault="00920F33" w:rsidP="004A23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 of s 14(7) –</w:t>
      </w:r>
    </w:p>
    <w:p w:rsidR="006500E3" w:rsidRDefault="006500E3" w:rsidP="006500E3">
      <w:pPr>
        <w:pStyle w:val="ListParagraph"/>
        <w:spacing w:after="0" w:line="480" w:lineRule="auto"/>
        <w:jc w:val="both"/>
        <w:rPr>
          <w:rFonts w:ascii="Arial" w:hAnsi="Arial" w:cs="Arial"/>
          <w:sz w:val="24"/>
          <w:szCs w:val="24"/>
        </w:rPr>
      </w:pPr>
    </w:p>
    <w:p w:rsidR="00920F33" w:rsidRDefault="00920F33" w:rsidP="00920F33">
      <w:pPr>
        <w:pStyle w:val="NoSpacing"/>
        <w:spacing w:line="480" w:lineRule="auto"/>
        <w:ind w:left="720"/>
        <w:jc w:val="both"/>
        <w:rPr>
          <w:rFonts w:ascii="Arial" w:hAnsi="Arial" w:cs="Arial"/>
        </w:rPr>
      </w:pPr>
      <w:r>
        <w:rPr>
          <w:rFonts w:ascii="Arial" w:hAnsi="Arial" w:cs="Arial"/>
          <w:sz w:val="24"/>
          <w:szCs w:val="24"/>
        </w:rPr>
        <w:t>‘</w:t>
      </w:r>
      <w:r w:rsidRPr="00920F33">
        <w:rPr>
          <w:rFonts w:ascii="Arial" w:hAnsi="Arial" w:cs="Arial"/>
        </w:rPr>
        <w:t>(7)(a) Where in any civil proceedings no leave to appeal to the Supreme Court is required in terms of any law, the Chief Justice or any other judge designated for th</w:t>
      </w:r>
      <w:r w:rsidR="006500E3">
        <w:rPr>
          <w:rFonts w:ascii="Arial" w:hAnsi="Arial" w:cs="Arial"/>
        </w:rPr>
        <w:t>at purpose by the Chief Justice –</w:t>
      </w:r>
    </w:p>
    <w:p w:rsidR="00920F33" w:rsidRPr="00920F33" w:rsidRDefault="00920F33" w:rsidP="00920F33">
      <w:pPr>
        <w:pStyle w:val="NoSpacing"/>
        <w:spacing w:line="480" w:lineRule="auto"/>
        <w:ind w:left="1440" w:hanging="720"/>
        <w:jc w:val="both"/>
        <w:rPr>
          <w:rFonts w:ascii="Arial" w:hAnsi="Arial" w:cs="Arial"/>
        </w:rPr>
      </w:pPr>
      <w:r w:rsidRPr="00920F33">
        <w:rPr>
          <w:rFonts w:ascii="Arial" w:hAnsi="Arial" w:cs="Arial"/>
        </w:rPr>
        <w:tab/>
        <w:t>(i)</w:t>
      </w:r>
      <w:r w:rsidRPr="00920F33">
        <w:rPr>
          <w:rFonts w:ascii="Arial" w:hAnsi="Arial" w:cs="Arial"/>
        </w:rPr>
        <w:tab/>
      </w:r>
      <w:proofErr w:type="gramStart"/>
      <w:r w:rsidRPr="00920F33">
        <w:rPr>
          <w:rFonts w:ascii="Arial" w:hAnsi="Arial" w:cs="Arial"/>
        </w:rPr>
        <w:t>may</w:t>
      </w:r>
      <w:proofErr w:type="gramEnd"/>
      <w:r w:rsidRPr="00920F33">
        <w:rPr>
          <w:rFonts w:ascii="Arial" w:hAnsi="Arial" w:cs="Arial"/>
        </w:rPr>
        <w:t>, in his or her discretion, summarily dismiss the appeal on the grounds that it is frivolous or vexatious or otherwise has no prospects of success; or</w:t>
      </w:r>
    </w:p>
    <w:p w:rsidR="00920F33" w:rsidRPr="00920F33" w:rsidRDefault="00920F33" w:rsidP="00920F33">
      <w:pPr>
        <w:pStyle w:val="NoSpacing"/>
        <w:spacing w:line="480" w:lineRule="auto"/>
        <w:ind w:left="1440" w:hanging="720"/>
        <w:jc w:val="both"/>
        <w:rPr>
          <w:rFonts w:ascii="Arial" w:hAnsi="Arial" w:cs="Arial"/>
        </w:rPr>
      </w:pPr>
      <w:r w:rsidRPr="00920F33">
        <w:rPr>
          <w:rFonts w:ascii="Arial" w:hAnsi="Arial" w:cs="Arial"/>
        </w:rPr>
        <w:tab/>
        <w:t>(ii)</w:t>
      </w:r>
      <w:r w:rsidRPr="00920F33">
        <w:rPr>
          <w:rFonts w:ascii="Arial" w:hAnsi="Arial" w:cs="Arial"/>
        </w:rPr>
        <w:tab/>
      </w:r>
      <w:proofErr w:type="gramStart"/>
      <w:r w:rsidRPr="00920F33">
        <w:rPr>
          <w:rFonts w:ascii="Arial" w:hAnsi="Arial" w:cs="Arial"/>
        </w:rPr>
        <w:t>shall</w:t>
      </w:r>
      <w:proofErr w:type="gramEnd"/>
      <w:r w:rsidRPr="00920F33">
        <w:rPr>
          <w:rFonts w:ascii="Arial" w:hAnsi="Arial" w:cs="Arial"/>
        </w:rPr>
        <w:t>, if the appeal is not so dismissed, direct that the appeal be proceeded with in accordance with the procedures prescribed by the rules of court.</w:t>
      </w:r>
    </w:p>
    <w:p w:rsidR="00920F33" w:rsidRPr="00920F33" w:rsidRDefault="00920F33" w:rsidP="00920F33">
      <w:pPr>
        <w:pStyle w:val="NoSpacing"/>
        <w:spacing w:line="480" w:lineRule="auto"/>
        <w:ind w:left="900"/>
        <w:jc w:val="both"/>
        <w:rPr>
          <w:rFonts w:ascii="Arial" w:hAnsi="Arial" w:cs="Arial"/>
        </w:rPr>
      </w:pPr>
      <w:r w:rsidRPr="00920F33">
        <w:rPr>
          <w:rFonts w:ascii="Arial" w:hAnsi="Arial" w:cs="Arial"/>
        </w:rPr>
        <w:t>(b) Where an order has been made dismissing the appeal on any of the grounds referred to in subparagraph (i) of paragraph (a) of this subsection, such order shall be deemed to be an order of the Supreme Court setting aside the appeal.</w:t>
      </w:r>
    </w:p>
    <w:p w:rsidR="00920F33" w:rsidRDefault="00920F33" w:rsidP="00920F33">
      <w:pPr>
        <w:pStyle w:val="NoSpacing"/>
        <w:spacing w:line="480" w:lineRule="auto"/>
        <w:ind w:left="900" w:hanging="360"/>
        <w:jc w:val="both"/>
        <w:rPr>
          <w:rFonts w:ascii="Arial" w:hAnsi="Arial" w:cs="Arial"/>
        </w:rPr>
      </w:pPr>
      <w:r w:rsidRPr="00920F33">
        <w:rPr>
          <w:rFonts w:ascii="Arial" w:hAnsi="Arial" w:cs="Arial"/>
        </w:rPr>
        <w:lastRenderedPageBreak/>
        <w:tab/>
        <w:t>(c) Any decision or direction of the Chief Justice or such other judge in terms of paragraph (a) of this subsection, shall be communicated to the parties concerned by the registrar</w:t>
      </w:r>
      <w:r w:rsidR="006500E3">
        <w:rPr>
          <w:rFonts w:ascii="Arial" w:hAnsi="Arial" w:cs="Arial"/>
        </w:rPr>
        <w:t>’</w:t>
      </w:r>
      <w:r w:rsidRPr="00920F33">
        <w:rPr>
          <w:rFonts w:ascii="Arial" w:hAnsi="Arial" w:cs="Arial"/>
        </w:rPr>
        <w:t>.</w:t>
      </w:r>
      <w:r>
        <w:rPr>
          <w:rStyle w:val="FootnoteReference"/>
          <w:rFonts w:ascii="Arial" w:hAnsi="Arial" w:cs="Arial"/>
          <w:sz w:val="24"/>
          <w:szCs w:val="24"/>
        </w:rPr>
        <w:footnoteReference w:id="1"/>
      </w:r>
    </w:p>
    <w:p w:rsidR="0077311C" w:rsidRPr="00920F33" w:rsidRDefault="0077311C" w:rsidP="00920F33">
      <w:pPr>
        <w:pStyle w:val="NoSpacing"/>
        <w:spacing w:line="480" w:lineRule="auto"/>
        <w:ind w:left="900" w:hanging="360"/>
        <w:jc w:val="both"/>
        <w:rPr>
          <w:rFonts w:ascii="Arial" w:hAnsi="Arial" w:cs="Arial"/>
        </w:rPr>
      </w:pPr>
    </w:p>
    <w:p w:rsidR="00920F33" w:rsidRDefault="00D95571" w:rsidP="00920F3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 of s 14(7</w:t>
      </w:r>
      <w:proofErr w:type="gramStart"/>
      <w:r>
        <w:rPr>
          <w:rFonts w:ascii="Arial" w:hAnsi="Arial" w:cs="Arial"/>
          <w:sz w:val="24"/>
          <w:szCs w:val="24"/>
        </w:rPr>
        <w:t>)</w:t>
      </w:r>
      <w:r w:rsidRPr="00E1595B">
        <w:rPr>
          <w:rFonts w:ascii="Arial" w:hAnsi="Arial" w:cs="Arial"/>
          <w:i/>
          <w:sz w:val="24"/>
          <w:szCs w:val="24"/>
        </w:rPr>
        <w:t>(</w:t>
      </w:r>
      <w:proofErr w:type="gramEnd"/>
      <w:r w:rsidR="0077311C" w:rsidRPr="00E1595B">
        <w:rPr>
          <w:rFonts w:ascii="Arial" w:hAnsi="Arial" w:cs="Arial"/>
          <w:i/>
          <w:sz w:val="24"/>
          <w:szCs w:val="24"/>
        </w:rPr>
        <w:t>a</w:t>
      </w:r>
      <w:r w:rsidRPr="00E1595B">
        <w:rPr>
          <w:rFonts w:ascii="Arial" w:hAnsi="Arial" w:cs="Arial"/>
          <w:i/>
          <w:sz w:val="24"/>
          <w:szCs w:val="24"/>
        </w:rPr>
        <w:t>)</w:t>
      </w:r>
      <w:r w:rsidR="00920F33">
        <w:rPr>
          <w:rFonts w:ascii="Arial" w:hAnsi="Arial" w:cs="Arial"/>
          <w:sz w:val="24"/>
          <w:szCs w:val="24"/>
        </w:rPr>
        <w:t>, I now determine this application for the summary dismissal of the respondents’ appeal.</w:t>
      </w:r>
      <w:r w:rsidR="00D52071">
        <w:rPr>
          <w:rFonts w:ascii="Arial" w:hAnsi="Arial" w:cs="Arial"/>
          <w:sz w:val="24"/>
          <w:szCs w:val="24"/>
        </w:rPr>
        <w:t xml:space="preserve"> F</w:t>
      </w:r>
      <w:bookmarkStart w:id="0" w:name="_GoBack"/>
      <w:bookmarkEnd w:id="0"/>
      <w:r w:rsidR="00D52071">
        <w:rPr>
          <w:rFonts w:ascii="Arial" w:hAnsi="Arial" w:cs="Arial"/>
          <w:sz w:val="24"/>
          <w:szCs w:val="24"/>
        </w:rPr>
        <w:t>or ease of reference, I will refer to the parties as applicant(s) and respondents as they appear in this application.</w:t>
      </w:r>
    </w:p>
    <w:p w:rsidR="00920F33" w:rsidRDefault="00920F33" w:rsidP="00920F33">
      <w:pPr>
        <w:pStyle w:val="NoSpacing"/>
        <w:spacing w:line="480" w:lineRule="auto"/>
        <w:jc w:val="both"/>
        <w:rPr>
          <w:rFonts w:ascii="Arial" w:hAnsi="Arial" w:cs="Arial"/>
          <w:sz w:val="24"/>
          <w:szCs w:val="24"/>
        </w:rPr>
      </w:pPr>
    </w:p>
    <w:p w:rsidR="00920F33" w:rsidRPr="00920F33" w:rsidRDefault="00920F33" w:rsidP="00920F3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For determination is this</w:t>
      </w:r>
      <w:r w:rsidR="006500E3">
        <w:rPr>
          <w:rFonts w:ascii="Arial" w:hAnsi="Arial" w:cs="Arial"/>
          <w:sz w:val="24"/>
          <w:szCs w:val="24"/>
        </w:rPr>
        <w:t>:</w:t>
      </w:r>
      <w:r>
        <w:rPr>
          <w:rFonts w:ascii="Arial" w:hAnsi="Arial" w:cs="Arial"/>
          <w:sz w:val="24"/>
          <w:szCs w:val="24"/>
        </w:rPr>
        <w:t xml:space="preserve"> whether, the respondents’</w:t>
      </w:r>
      <w:r w:rsidR="00D52071">
        <w:rPr>
          <w:rFonts w:ascii="Arial" w:hAnsi="Arial" w:cs="Arial"/>
          <w:sz w:val="24"/>
          <w:szCs w:val="24"/>
        </w:rPr>
        <w:t xml:space="preserve"> appeal to this </w:t>
      </w:r>
      <w:r>
        <w:rPr>
          <w:rFonts w:ascii="Arial" w:hAnsi="Arial" w:cs="Arial"/>
          <w:sz w:val="24"/>
          <w:szCs w:val="24"/>
        </w:rPr>
        <w:t xml:space="preserve">court under case number SA </w:t>
      </w:r>
      <w:r w:rsidR="00D52071">
        <w:rPr>
          <w:rFonts w:ascii="Arial" w:hAnsi="Arial" w:cs="Arial"/>
          <w:sz w:val="24"/>
          <w:szCs w:val="24"/>
        </w:rPr>
        <w:t>138/2023 is frivolous, vexatious or has no prospects of success.</w:t>
      </w:r>
    </w:p>
    <w:p w:rsidR="00920F33" w:rsidRDefault="00920F33" w:rsidP="00920F33">
      <w:pPr>
        <w:pStyle w:val="NoSpacing"/>
        <w:spacing w:line="480" w:lineRule="auto"/>
        <w:jc w:val="both"/>
        <w:rPr>
          <w:rFonts w:ascii="Arial" w:hAnsi="Arial" w:cs="Arial"/>
          <w:sz w:val="24"/>
          <w:szCs w:val="24"/>
        </w:rPr>
      </w:pPr>
    </w:p>
    <w:p w:rsidR="004A233D" w:rsidRPr="004A233D" w:rsidRDefault="004A233D" w:rsidP="004A23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To contextualise the application, </w:t>
      </w:r>
      <w:r w:rsidR="00D52071">
        <w:rPr>
          <w:rFonts w:ascii="Arial" w:hAnsi="Arial" w:cs="Arial"/>
          <w:sz w:val="24"/>
          <w:szCs w:val="24"/>
        </w:rPr>
        <w:t>I will briefly set out the factual background.</w:t>
      </w:r>
    </w:p>
    <w:p w:rsidR="005B5313" w:rsidRDefault="005B5313" w:rsidP="003226F9">
      <w:pPr>
        <w:pStyle w:val="NoSpacing"/>
        <w:spacing w:line="480" w:lineRule="auto"/>
        <w:jc w:val="both"/>
        <w:rPr>
          <w:rFonts w:ascii="Arial" w:hAnsi="Arial" w:cs="Arial"/>
          <w:sz w:val="24"/>
          <w:szCs w:val="24"/>
          <w:u w:val="single"/>
        </w:rPr>
      </w:pPr>
    </w:p>
    <w:p w:rsidR="00315426" w:rsidRPr="00396769" w:rsidRDefault="00396769" w:rsidP="003226F9">
      <w:pPr>
        <w:pStyle w:val="NoSpacing"/>
        <w:spacing w:line="480" w:lineRule="auto"/>
        <w:jc w:val="both"/>
        <w:rPr>
          <w:rFonts w:ascii="Arial" w:hAnsi="Arial" w:cs="Arial"/>
          <w:sz w:val="24"/>
          <w:szCs w:val="24"/>
          <w:u w:val="single"/>
        </w:rPr>
      </w:pPr>
      <w:r w:rsidRPr="00396769">
        <w:rPr>
          <w:rFonts w:ascii="Arial" w:hAnsi="Arial" w:cs="Arial"/>
          <w:sz w:val="24"/>
          <w:szCs w:val="24"/>
          <w:u w:val="single"/>
        </w:rPr>
        <w:t>Background</w:t>
      </w:r>
    </w:p>
    <w:p w:rsidR="00312C5E" w:rsidRPr="00312C5E" w:rsidRDefault="00312C5E" w:rsidP="00312C5E">
      <w:pPr>
        <w:pStyle w:val="NoSpacing"/>
        <w:spacing w:line="480" w:lineRule="auto"/>
        <w:jc w:val="both"/>
        <w:rPr>
          <w:rFonts w:ascii="Arial" w:hAnsi="Arial" w:cs="Arial"/>
          <w:i/>
          <w:sz w:val="24"/>
          <w:szCs w:val="24"/>
        </w:rPr>
      </w:pPr>
      <w:r w:rsidRPr="00312C5E">
        <w:rPr>
          <w:rFonts w:ascii="Arial" w:hAnsi="Arial" w:cs="Arial"/>
          <w:i/>
          <w:sz w:val="24"/>
          <w:szCs w:val="24"/>
        </w:rPr>
        <w:t>Spoliation application</w:t>
      </w:r>
    </w:p>
    <w:p w:rsidR="00A7716F" w:rsidRDefault="004A233D" w:rsidP="006A4C5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w:t>
      </w:r>
      <w:r w:rsidR="00292CDD">
        <w:rPr>
          <w:rFonts w:ascii="Arial" w:hAnsi="Arial" w:cs="Arial"/>
          <w:sz w:val="24"/>
          <w:szCs w:val="24"/>
        </w:rPr>
        <w:t>matter</w:t>
      </w:r>
      <w:r>
        <w:rPr>
          <w:rFonts w:ascii="Arial" w:hAnsi="Arial" w:cs="Arial"/>
          <w:sz w:val="24"/>
          <w:szCs w:val="24"/>
        </w:rPr>
        <w:t xml:space="preserve"> first came before the court </w:t>
      </w:r>
      <w:r w:rsidRPr="006500E3">
        <w:rPr>
          <w:rFonts w:ascii="Arial" w:hAnsi="Arial" w:cs="Arial"/>
          <w:i/>
          <w:sz w:val="24"/>
          <w:szCs w:val="24"/>
        </w:rPr>
        <w:t>a quo</w:t>
      </w:r>
      <w:r>
        <w:rPr>
          <w:rFonts w:ascii="Arial" w:hAnsi="Arial" w:cs="Arial"/>
          <w:sz w:val="24"/>
          <w:szCs w:val="24"/>
        </w:rPr>
        <w:t xml:space="preserve"> as an urgent application, which</w:t>
      </w:r>
      <w:r w:rsidR="00292CDD">
        <w:rPr>
          <w:rFonts w:ascii="Arial" w:hAnsi="Arial" w:cs="Arial"/>
          <w:sz w:val="24"/>
          <w:szCs w:val="24"/>
        </w:rPr>
        <w:t xml:space="preserve"> later proceeded</w:t>
      </w:r>
      <w:r>
        <w:rPr>
          <w:rFonts w:ascii="Arial" w:hAnsi="Arial" w:cs="Arial"/>
          <w:sz w:val="24"/>
          <w:szCs w:val="24"/>
        </w:rPr>
        <w:t xml:space="preserve"> as an ordinary opposed motion. In that application, the present applicant</w:t>
      </w:r>
      <w:r w:rsidR="00292CDD">
        <w:rPr>
          <w:rFonts w:ascii="Arial" w:hAnsi="Arial" w:cs="Arial"/>
          <w:sz w:val="24"/>
          <w:szCs w:val="24"/>
        </w:rPr>
        <w:t>s</w:t>
      </w:r>
      <w:r>
        <w:rPr>
          <w:rFonts w:ascii="Arial" w:hAnsi="Arial" w:cs="Arial"/>
          <w:sz w:val="24"/>
          <w:szCs w:val="24"/>
        </w:rPr>
        <w:t xml:space="preserve"> </w:t>
      </w:r>
      <w:r w:rsidR="00292CDD">
        <w:rPr>
          <w:rFonts w:ascii="Arial" w:hAnsi="Arial" w:cs="Arial"/>
          <w:sz w:val="24"/>
          <w:szCs w:val="24"/>
        </w:rPr>
        <w:t xml:space="preserve">sought a </w:t>
      </w:r>
      <w:proofErr w:type="spellStart"/>
      <w:r w:rsidR="00292CDD" w:rsidRPr="00292CDD">
        <w:rPr>
          <w:rFonts w:ascii="Arial" w:hAnsi="Arial" w:cs="Arial"/>
          <w:i/>
          <w:sz w:val="24"/>
          <w:szCs w:val="24"/>
        </w:rPr>
        <w:t>mandament</w:t>
      </w:r>
      <w:proofErr w:type="spellEnd"/>
      <w:r w:rsidR="00292CDD" w:rsidRPr="00292CDD">
        <w:rPr>
          <w:rFonts w:ascii="Arial" w:hAnsi="Arial" w:cs="Arial"/>
          <w:i/>
          <w:sz w:val="24"/>
          <w:szCs w:val="24"/>
        </w:rPr>
        <w:t xml:space="preserve"> van </w:t>
      </w:r>
      <w:proofErr w:type="spellStart"/>
      <w:r w:rsidR="00292CDD" w:rsidRPr="00292CDD">
        <w:rPr>
          <w:rFonts w:ascii="Arial" w:hAnsi="Arial" w:cs="Arial"/>
          <w:i/>
          <w:sz w:val="24"/>
          <w:szCs w:val="24"/>
        </w:rPr>
        <w:t>spolie</w:t>
      </w:r>
      <w:proofErr w:type="spellEnd"/>
      <w:r w:rsidR="00292CDD">
        <w:rPr>
          <w:rFonts w:ascii="Arial" w:hAnsi="Arial" w:cs="Arial"/>
          <w:sz w:val="24"/>
          <w:szCs w:val="24"/>
        </w:rPr>
        <w:t xml:space="preserve"> alleging that the first applicant was evicted from a leased property by the respondent(s) and their legal </w:t>
      </w:r>
      <w:r w:rsidR="009322C4">
        <w:rPr>
          <w:rFonts w:ascii="Arial" w:hAnsi="Arial" w:cs="Arial"/>
          <w:sz w:val="24"/>
          <w:szCs w:val="24"/>
        </w:rPr>
        <w:t>practitioners</w:t>
      </w:r>
      <w:r w:rsidR="00292CDD">
        <w:rPr>
          <w:rFonts w:ascii="Arial" w:hAnsi="Arial" w:cs="Arial"/>
          <w:sz w:val="24"/>
          <w:szCs w:val="24"/>
        </w:rPr>
        <w:t xml:space="preserve"> w</w:t>
      </w:r>
      <w:r w:rsidR="00D52071">
        <w:rPr>
          <w:rFonts w:ascii="Arial" w:hAnsi="Arial" w:cs="Arial"/>
          <w:sz w:val="24"/>
          <w:szCs w:val="24"/>
        </w:rPr>
        <w:t>ithout a court order</w:t>
      </w:r>
      <w:r w:rsidR="00292CDD">
        <w:rPr>
          <w:rFonts w:ascii="Arial" w:hAnsi="Arial" w:cs="Arial"/>
          <w:sz w:val="24"/>
          <w:szCs w:val="24"/>
        </w:rPr>
        <w:t>. They therefore allege</w:t>
      </w:r>
      <w:r w:rsidR="00373E70">
        <w:rPr>
          <w:rFonts w:ascii="Arial" w:hAnsi="Arial" w:cs="Arial"/>
          <w:sz w:val="24"/>
          <w:szCs w:val="24"/>
        </w:rPr>
        <w:t>d</w:t>
      </w:r>
      <w:r w:rsidR="00292CDD">
        <w:rPr>
          <w:rFonts w:ascii="Arial" w:hAnsi="Arial" w:cs="Arial"/>
          <w:sz w:val="24"/>
          <w:szCs w:val="24"/>
        </w:rPr>
        <w:t xml:space="preserve"> that they were despoiled of their peaceful and undisturbed possession of the said property. </w:t>
      </w:r>
      <w:r w:rsidR="0040095A">
        <w:rPr>
          <w:rFonts w:ascii="Arial" w:hAnsi="Arial" w:cs="Arial"/>
          <w:sz w:val="24"/>
          <w:szCs w:val="24"/>
        </w:rPr>
        <w:t xml:space="preserve">The second applicant alleged that the first applicant entered into a lease agreement with the respondents and had been in undisturbed and peaceful possession of the rental property from February 2021 to 23 </w:t>
      </w:r>
      <w:r w:rsidR="0040095A">
        <w:rPr>
          <w:rFonts w:ascii="Arial" w:hAnsi="Arial" w:cs="Arial"/>
          <w:sz w:val="24"/>
          <w:szCs w:val="24"/>
        </w:rPr>
        <w:lastRenderedPageBreak/>
        <w:t>February 2023, when the respondents despoiled the first applicant without an eviction order.</w:t>
      </w:r>
    </w:p>
    <w:p w:rsidR="005B5313" w:rsidRDefault="005B5313" w:rsidP="005B5313">
      <w:pPr>
        <w:pStyle w:val="NoSpacing"/>
        <w:spacing w:line="480" w:lineRule="auto"/>
        <w:jc w:val="both"/>
        <w:rPr>
          <w:rFonts w:ascii="Arial" w:hAnsi="Arial" w:cs="Arial"/>
          <w:sz w:val="24"/>
          <w:szCs w:val="24"/>
        </w:rPr>
      </w:pPr>
    </w:p>
    <w:p w:rsidR="00B01E0B" w:rsidRDefault="009C4FAD" w:rsidP="00B01E0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second respondent </w:t>
      </w:r>
      <w:r w:rsidR="00D52071">
        <w:rPr>
          <w:rFonts w:ascii="Arial" w:hAnsi="Arial" w:cs="Arial"/>
          <w:sz w:val="24"/>
          <w:szCs w:val="24"/>
        </w:rPr>
        <w:t xml:space="preserve">on </w:t>
      </w:r>
      <w:r w:rsidR="002610D7">
        <w:rPr>
          <w:rFonts w:ascii="Arial" w:hAnsi="Arial" w:cs="Arial"/>
          <w:sz w:val="24"/>
          <w:szCs w:val="24"/>
        </w:rPr>
        <w:t>his</w:t>
      </w:r>
      <w:r>
        <w:rPr>
          <w:rFonts w:ascii="Arial" w:hAnsi="Arial" w:cs="Arial"/>
          <w:sz w:val="24"/>
          <w:szCs w:val="24"/>
        </w:rPr>
        <w:t xml:space="preserve"> part </w:t>
      </w:r>
      <w:r w:rsidR="002610D7">
        <w:rPr>
          <w:rFonts w:ascii="Arial" w:hAnsi="Arial" w:cs="Arial"/>
          <w:sz w:val="24"/>
          <w:szCs w:val="24"/>
        </w:rPr>
        <w:t>as well as</w:t>
      </w:r>
      <w:r>
        <w:rPr>
          <w:rFonts w:ascii="Arial" w:hAnsi="Arial" w:cs="Arial"/>
          <w:sz w:val="24"/>
          <w:szCs w:val="24"/>
        </w:rPr>
        <w:t xml:space="preserve"> th</w:t>
      </w:r>
      <w:r w:rsidR="00D52071">
        <w:rPr>
          <w:rFonts w:ascii="Arial" w:hAnsi="Arial" w:cs="Arial"/>
          <w:sz w:val="24"/>
          <w:szCs w:val="24"/>
        </w:rPr>
        <w:t>at of the</w:t>
      </w:r>
      <w:r>
        <w:rPr>
          <w:rFonts w:ascii="Arial" w:hAnsi="Arial" w:cs="Arial"/>
          <w:sz w:val="24"/>
          <w:szCs w:val="24"/>
        </w:rPr>
        <w:t xml:space="preserve"> first respondent </w:t>
      </w:r>
      <w:r w:rsidR="00C24A03">
        <w:rPr>
          <w:rFonts w:ascii="Arial" w:hAnsi="Arial" w:cs="Arial"/>
          <w:sz w:val="24"/>
          <w:szCs w:val="24"/>
        </w:rPr>
        <w:t>filed an answering affidavit as well as a counter</w:t>
      </w:r>
      <w:r w:rsidR="006500E3">
        <w:rPr>
          <w:rFonts w:ascii="Arial" w:hAnsi="Arial" w:cs="Arial"/>
          <w:sz w:val="24"/>
          <w:szCs w:val="24"/>
        </w:rPr>
        <w:t>-</w:t>
      </w:r>
      <w:r w:rsidR="00C24A03">
        <w:rPr>
          <w:rFonts w:ascii="Arial" w:hAnsi="Arial" w:cs="Arial"/>
          <w:sz w:val="24"/>
          <w:szCs w:val="24"/>
        </w:rPr>
        <w:t xml:space="preserve">application. </w:t>
      </w:r>
      <w:r w:rsidR="00B01E0B">
        <w:rPr>
          <w:rFonts w:ascii="Arial" w:hAnsi="Arial" w:cs="Arial"/>
          <w:sz w:val="24"/>
          <w:szCs w:val="24"/>
        </w:rPr>
        <w:t xml:space="preserve">In the answering affidavit, the second respondent raised three points </w:t>
      </w:r>
      <w:r w:rsidR="00B01E0B" w:rsidRPr="006500E3">
        <w:rPr>
          <w:rFonts w:ascii="Arial" w:hAnsi="Arial" w:cs="Arial"/>
          <w:i/>
          <w:sz w:val="24"/>
          <w:szCs w:val="24"/>
        </w:rPr>
        <w:t xml:space="preserve">in </w:t>
      </w:r>
      <w:proofErr w:type="spellStart"/>
      <w:r w:rsidR="00B01E0B" w:rsidRPr="006500E3">
        <w:rPr>
          <w:rFonts w:ascii="Arial" w:hAnsi="Arial" w:cs="Arial"/>
          <w:i/>
          <w:sz w:val="24"/>
          <w:szCs w:val="24"/>
        </w:rPr>
        <w:t>limine</w:t>
      </w:r>
      <w:proofErr w:type="spellEnd"/>
      <w:r w:rsidR="00D52071">
        <w:rPr>
          <w:rFonts w:ascii="Arial" w:hAnsi="Arial" w:cs="Arial"/>
          <w:sz w:val="24"/>
          <w:szCs w:val="24"/>
        </w:rPr>
        <w:t>, namely</w:t>
      </w:r>
      <w:r w:rsidR="006500E3">
        <w:rPr>
          <w:rFonts w:ascii="Arial" w:hAnsi="Arial" w:cs="Arial"/>
          <w:sz w:val="24"/>
          <w:szCs w:val="24"/>
        </w:rPr>
        <w:t>:</w:t>
      </w:r>
      <w:r w:rsidR="00D52071">
        <w:rPr>
          <w:rFonts w:ascii="Arial" w:hAnsi="Arial" w:cs="Arial"/>
          <w:sz w:val="24"/>
          <w:szCs w:val="24"/>
        </w:rPr>
        <w:t xml:space="preserve"> (a) vague allegations in the founding affidavit in respect of the spoliation application</w:t>
      </w:r>
      <w:r w:rsidR="00B01E0B">
        <w:rPr>
          <w:rFonts w:ascii="Arial" w:hAnsi="Arial" w:cs="Arial"/>
          <w:sz w:val="24"/>
          <w:szCs w:val="24"/>
        </w:rPr>
        <w:t xml:space="preserve"> (b) misjoinder and (c) non-service. </w:t>
      </w:r>
    </w:p>
    <w:p w:rsidR="00B01E0B" w:rsidRDefault="00B01E0B" w:rsidP="0077311C">
      <w:pPr>
        <w:pStyle w:val="ListParagraph"/>
        <w:spacing w:after="0" w:line="480" w:lineRule="auto"/>
        <w:jc w:val="both"/>
        <w:rPr>
          <w:rFonts w:ascii="Arial" w:hAnsi="Arial" w:cs="Arial"/>
          <w:sz w:val="24"/>
          <w:szCs w:val="24"/>
        </w:rPr>
      </w:pPr>
    </w:p>
    <w:p w:rsidR="00292CDD" w:rsidRDefault="00B01E0B" w:rsidP="00B01E0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the first point </w:t>
      </w:r>
      <w:r w:rsidRPr="006500E3">
        <w:rPr>
          <w:rFonts w:ascii="Arial" w:hAnsi="Arial" w:cs="Arial"/>
          <w:i/>
          <w:sz w:val="24"/>
          <w:szCs w:val="24"/>
        </w:rPr>
        <w:t xml:space="preserve">in </w:t>
      </w:r>
      <w:proofErr w:type="spellStart"/>
      <w:r w:rsidRPr="006500E3">
        <w:rPr>
          <w:rFonts w:ascii="Arial" w:hAnsi="Arial" w:cs="Arial"/>
          <w:i/>
          <w:sz w:val="24"/>
          <w:szCs w:val="24"/>
        </w:rPr>
        <w:t>limine</w:t>
      </w:r>
      <w:proofErr w:type="spellEnd"/>
      <w:r>
        <w:rPr>
          <w:rFonts w:ascii="Arial" w:hAnsi="Arial" w:cs="Arial"/>
          <w:sz w:val="24"/>
          <w:szCs w:val="24"/>
        </w:rPr>
        <w:t xml:space="preserve">, the second respondent </w:t>
      </w:r>
      <w:r w:rsidR="00C24A03">
        <w:rPr>
          <w:rFonts w:ascii="Arial" w:hAnsi="Arial" w:cs="Arial"/>
          <w:sz w:val="24"/>
          <w:szCs w:val="24"/>
        </w:rPr>
        <w:t xml:space="preserve">averred </w:t>
      </w:r>
      <w:r w:rsidR="009C4FAD">
        <w:rPr>
          <w:rFonts w:ascii="Arial" w:hAnsi="Arial" w:cs="Arial"/>
          <w:sz w:val="24"/>
          <w:szCs w:val="24"/>
        </w:rPr>
        <w:t>that</w:t>
      </w:r>
      <w:r>
        <w:rPr>
          <w:rFonts w:ascii="Arial" w:hAnsi="Arial" w:cs="Arial"/>
          <w:sz w:val="24"/>
          <w:szCs w:val="24"/>
        </w:rPr>
        <w:t xml:space="preserve"> </w:t>
      </w:r>
      <w:r w:rsidR="009C4FAD" w:rsidRPr="00B01E0B">
        <w:rPr>
          <w:rFonts w:ascii="Arial" w:hAnsi="Arial" w:cs="Arial"/>
          <w:sz w:val="24"/>
          <w:szCs w:val="24"/>
        </w:rPr>
        <w:t xml:space="preserve">the founding affidavit was vague in </w:t>
      </w:r>
      <w:r w:rsidR="00373E70" w:rsidRPr="00B01E0B">
        <w:rPr>
          <w:rFonts w:ascii="Arial" w:hAnsi="Arial" w:cs="Arial"/>
          <w:sz w:val="24"/>
          <w:szCs w:val="24"/>
        </w:rPr>
        <w:t>that no specific allegations were made</w:t>
      </w:r>
      <w:r w:rsidR="009C4FAD" w:rsidRPr="00B01E0B">
        <w:rPr>
          <w:rFonts w:ascii="Arial" w:hAnsi="Arial" w:cs="Arial"/>
          <w:sz w:val="24"/>
          <w:szCs w:val="24"/>
        </w:rPr>
        <w:t xml:space="preserve"> setting out the specific conduct of</w:t>
      </w:r>
      <w:r w:rsidR="00373E70" w:rsidRPr="00B01E0B">
        <w:rPr>
          <w:rFonts w:ascii="Arial" w:hAnsi="Arial" w:cs="Arial"/>
          <w:sz w:val="24"/>
          <w:szCs w:val="24"/>
        </w:rPr>
        <w:t xml:space="preserve"> or</w:t>
      </w:r>
      <w:r w:rsidR="009C4FAD" w:rsidRPr="00B01E0B">
        <w:rPr>
          <w:rFonts w:ascii="Arial" w:hAnsi="Arial" w:cs="Arial"/>
          <w:sz w:val="24"/>
          <w:szCs w:val="24"/>
        </w:rPr>
        <w:t xml:space="preserve"> by the second respondent which resulted in the supposed illegal eviction</w:t>
      </w:r>
      <w:r w:rsidR="006B5442" w:rsidRPr="00B01E0B">
        <w:rPr>
          <w:rFonts w:ascii="Arial" w:hAnsi="Arial" w:cs="Arial"/>
          <w:sz w:val="24"/>
          <w:szCs w:val="24"/>
        </w:rPr>
        <w:t xml:space="preserve"> or dispossession</w:t>
      </w:r>
      <w:r w:rsidR="009C4FAD" w:rsidRPr="00B01E0B">
        <w:rPr>
          <w:rFonts w:ascii="Arial" w:hAnsi="Arial" w:cs="Arial"/>
          <w:sz w:val="24"/>
          <w:szCs w:val="24"/>
        </w:rPr>
        <w:t>. In the absence of such specificity, the second respond</w:t>
      </w:r>
      <w:r w:rsidR="00373E70" w:rsidRPr="00B01E0B">
        <w:rPr>
          <w:rFonts w:ascii="Arial" w:hAnsi="Arial" w:cs="Arial"/>
          <w:sz w:val="24"/>
          <w:szCs w:val="24"/>
        </w:rPr>
        <w:t>ent</w:t>
      </w:r>
      <w:r w:rsidR="009C4FAD" w:rsidRPr="00B01E0B">
        <w:rPr>
          <w:rFonts w:ascii="Arial" w:hAnsi="Arial" w:cs="Arial"/>
          <w:sz w:val="24"/>
          <w:szCs w:val="24"/>
        </w:rPr>
        <w:t xml:space="preserve"> </w:t>
      </w:r>
      <w:r w:rsidR="00C673C0" w:rsidRPr="00B01E0B">
        <w:rPr>
          <w:rFonts w:ascii="Arial" w:hAnsi="Arial" w:cs="Arial"/>
          <w:sz w:val="24"/>
          <w:szCs w:val="24"/>
        </w:rPr>
        <w:t>indic</w:t>
      </w:r>
      <w:r w:rsidR="008A3444" w:rsidRPr="00B01E0B">
        <w:rPr>
          <w:rFonts w:ascii="Arial" w:hAnsi="Arial" w:cs="Arial"/>
          <w:sz w:val="24"/>
          <w:szCs w:val="24"/>
        </w:rPr>
        <w:t>ated the difficulty he</w:t>
      </w:r>
      <w:r w:rsidR="00C673C0" w:rsidRPr="00B01E0B">
        <w:rPr>
          <w:rFonts w:ascii="Arial" w:hAnsi="Arial" w:cs="Arial"/>
          <w:sz w:val="24"/>
          <w:szCs w:val="24"/>
        </w:rPr>
        <w:t xml:space="preserve"> </w:t>
      </w:r>
      <w:r w:rsidR="00373E70" w:rsidRPr="00B01E0B">
        <w:rPr>
          <w:rFonts w:ascii="Arial" w:hAnsi="Arial" w:cs="Arial"/>
          <w:sz w:val="24"/>
          <w:szCs w:val="24"/>
        </w:rPr>
        <w:t>face</w:t>
      </w:r>
      <w:r w:rsidR="00C673C0" w:rsidRPr="00B01E0B">
        <w:rPr>
          <w:rFonts w:ascii="Arial" w:hAnsi="Arial" w:cs="Arial"/>
          <w:sz w:val="24"/>
          <w:szCs w:val="24"/>
        </w:rPr>
        <w:t>d</w:t>
      </w:r>
      <w:r w:rsidR="00373E70" w:rsidRPr="00B01E0B">
        <w:rPr>
          <w:rFonts w:ascii="Arial" w:hAnsi="Arial" w:cs="Arial"/>
          <w:sz w:val="24"/>
          <w:szCs w:val="24"/>
        </w:rPr>
        <w:t xml:space="preserve"> in responding to the vague allegation by the second applicant </w:t>
      </w:r>
      <w:r w:rsidR="009C4FAD" w:rsidRPr="00B01E0B">
        <w:rPr>
          <w:rFonts w:ascii="Arial" w:hAnsi="Arial" w:cs="Arial"/>
          <w:sz w:val="24"/>
          <w:szCs w:val="24"/>
        </w:rPr>
        <w:t xml:space="preserve">that the ‘respondent and their legal </w:t>
      </w:r>
      <w:r w:rsidR="006B5442" w:rsidRPr="00B01E0B">
        <w:rPr>
          <w:rFonts w:ascii="Arial" w:hAnsi="Arial" w:cs="Arial"/>
          <w:sz w:val="24"/>
          <w:szCs w:val="24"/>
        </w:rPr>
        <w:t>practitioners</w:t>
      </w:r>
      <w:r w:rsidR="00D52071">
        <w:rPr>
          <w:rFonts w:ascii="Arial" w:hAnsi="Arial" w:cs="Arial"/>
          <w:sz w:val="24"/>
          <w:szCs w:val="24"/>
        </w:rPr>
        <w:t>’ despoiled the applicants</w:t>
      </w:r>
      <w:r w:rsidR="009C4FAD" w:rsidRPr="00B01E0B">
        <w:rPr>
          <w:rFonts w:ascii="Arial" w:hAnsi="Arial" w:cs="Arial"/>
          <w:sz w:val="24"/>
          <w:szCs w:val="24"/>
        </w:rPr>
        <w:t xml:space="preserve">. </w:t>
      </w:r>
      <w:r w:rsidR="00645509" w:rsidRPr="00B01E0B">
        <w:rPr>
          <w:rFonts w:ascii="Arial" w:hAnsi="Arial" w:cs="Arial"/>
          <w:sz w:val="24"/>
          <w:szCs w:val="24"/>
        </w:rPr>
        <w:t xml:space="preserve">According to the second respondent, the allegation was not clear on which of the two respondent’s nor which legal practitioner despoiled them. </w:t>
      </w:r>
      <w:r w:rsidR="009C4FAD" w:rsidRPr="00B01E0B">
        <w:rPr>
          <w:rFonts w:ascii="Arial" w:hAnsi="Arial" w:cs="Arial"/>
          <w:sz w:val="24"/>
          <w:szCs w:val="24"/>
        </w:rPr>
        <w:t>The second respondent denied having acted illegally.</w:t>
      </w:r>
      <w:r w:rsidR="0004273E" w:rsidRPr="00B01E0B">
        <w:rPr>
          <w:rFonts w:ascii="Arial" w:hAnsi="Arial" w:cs="Arial"/>
          <w:sz w:val="24"/>
          <w:szCs w:val="24"/>
        </w:rPr>
        <w:t xml:space="preserve"> He further denied that his legal representatives acted illegally and further alleged that the second applicant was not specific about w</w:t>
      </w:r>
      <w:r w:rsidR="00D52071">
        <w:rPr>
          <w:rFonts w:ascii="Arial" w:hAnsi="Arial" w:cs="Arial"/>
          <w:sz w:val="24"/>
          <w:szCs w:val="24"/>
        </w:rPr>
        <w:t>ho the legal representatives were</w:t>
      </w:r>
      <w:r w:rsidR="0004273E" w:rsidRPr="00B01E0B">
        <w:rPr>
          <w:rFonts w:ascii="Arial" w:hAnsi="Arial" w:cs="Arial"/>
          <w:sz w:val="24"/>
          <w:szCs w:val="24"/>
        </w:rPr>
        <w:t xml:space="preserve"> who acted illegally.</w:t>
      </w:r>
      <w:r w:rsidR="006B5442" w:rsidRPr="00B01E0B">
        <w:rPr>
          <w:rFonts w:ascii="Arial" w:hAnsi="Arial" w:cs="Arial"/>
          <w:sz w:val="24"/>
          <w:szCs w:val="24"/>
        </w:rPr>
        <w:t xml:space="preserve"> To this, he</w:t>
      </w:r>
      <w:r w:rsidR="00373E70" w:rsidRPr="00B01E0B">
        <w:rPr>
          <w:rFonts w:ascii="Arial" w:hAnsi="Arial" w:cs="Arial"/>
          <w:sz w:val="24"/>
          <w:szCs w:val="24"/>
        </w:rPr>
        <w:t xml:space="preserve"> pointed out that he and the first respondent make use of </w:t>
      </w:r>
      <w:r w:rsidR="006B5442" w:rsidRPr="00B01E0B">
        <w:rPr>
          <w:rFonts w:ascii="Arial" w:hAnsi="Arial" w:cs="Arial"/>
          <w:sz w:val="24"/>
          <w:szCs w:val="24"/>
        </w:rPr>
        <w:t xml:space="preserve">the </w:t>
      </w:r>
      <w:r w:rsidR="00373E70" w:rsidRPr="00B01E0B">
        <w:rPr>
          <w:rFonts w:ascii="Arial" w:hAnsi="Arial" w:cs="Arial"/>
          <w:sz w:val="24"/>
          <w:szCs w:val="24"/>
        </w:rPr>
        <w:t xml:space="preserve">services of different legal practitioners. </w:t>
      </w:r>
    </w:p>
    <w:p w:rsidR="00B01E0B" w:rsidRDefault="00B01E0B" w:rsidP="0077311C">
      <w:pPr>
        <w:pStyle w:val="ListParagraph"/>
        <w:spacing w:after="0" w:line="480" w:lineRule="auto"/>
        <w:jc w:val="both"/>
        <w:rPr>
          <w:rFonts w:ascii="Arial" w:hAnsi="Arial" w:cs="Arial"/>
          <w:sz w:val="24"/>
          <w:szCs w:val="24"/>
        </w:rPr>
      </w:pPr>
    </w:p>
    <w:p w:rsidR="00B01E0B" w:rsidRDefault="00B01E0B" w:rsidP="00B01E0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regards the point on misjoinder, the second respondent averred that he and the second applicant were not parties to the lease agreement forming the subject </w:t>
      </w:r>
      <w:r>
        <w:rPr>
          <w:rFonts w:ascii="Arial" w:hAnsi="Arial" w:cs="Arial"/>
          <w:sz w:val="24"/>
          <w:szCs w:val="24"/>
        </w:rPr>
        <w:lastRenderedPageBreak/>
        <w:t>matter of the spoliation application and therefore should not have been joined.</w:t>
      </w:r>
      <w:r w:rsidR="002016D7">
        <w:rPr>
          <w:rFonts w:ascii="Arial" w:hAnsi="Arial" w:cs="Arial"/>
          <w:sz w:val="24"/>
          <w:szCs w:val="24"/>
        </w:rPr>
        <w:t xml:space="preserve"> I understand the response of the second applicant to this point to be that the second respondent and second applicant may merely be excluded from any order that will be made. The exact words</w:t>
      </w:r>
      <w:r w:rsidR="00D52071">
        <w:rPr>
          <w:rFonts w:ascii="Arial" w:hAnsi="Arial" w:cs="Arial"/>
          <w:sz w:val="24"/>
          <w:szCs w:val="24"/>
        </w:rPr>
        <w:t xml:space="preserve"> of the second applicant were ‘</w:t>
      </w:r>
      <w:r w:rsidR="002016D7">
        <w:rPr>
          <w:rFonts w:ascii="Arial" w:hAnsi="Arial" w:cs="Arial"/>
          <w:sz w:val="24"/>
          <w:szCs w:val="24"/>
        </w:rPr>
        <w:t>such error can be cured by excising the second applicant and second respondent from any order that may be made by the court’.</w:t>
      </w:r>
    </w:p>
    <w:p w:rsidR="002016D7" w:rsidRDefault="002016D7" w:rsidP="0077311C">
      <w:pPr>
        <w:pStyle w:val="ListParagraph"/>
        <w:spacing w:after="0" w:line="480" w:lineRule="auto"/>
        <w:jc w:val="both"/>
        <w:rPr>
          <w:rFonts w:ascii="Arial" w:hAnsi="Arial" w:cs="Arial"/>
          <w:sz w:val="24"/>
          <w:szCs w:val="24"/>
        </w:rPr>
      </w:pPr>
    </w:p>
    <w:p w:rsidR="002016D7" w:rsidRPr="006500E3" w:rsidRDefault="002016D7" w:rsidP="006500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regards the third point on non-service, the second respondent took issue with the fact that the first respondent was not served with the application at its chosen </w:t>
      </w:r>
      <w:proofErr w:type="spellStart"/>
      <w:r w:rsidRPr="002016D7">
        <w:rPr>
          <w:rFonts w:ascii="Arial" w:hAnsi="Arial" w:cs="Arial"/>
          <w:i/>
          <w:sz w:val="24"/>
          <w:szCs w:val="24"/>
        </w:rPr>
        <w:t>domicilium</w:t>
      </w:r>
      <w:proofErr w:type="spellEnd"/>
      <w:r w:rsidRPr="002016D7">
        <w:rPr>
          <w:rFonts w:ascii="Arial" w:hAnsi="Arial" w:cs="Arial"/>
          <w:i/>
          <w:sz w:val="24"/>
          <w:szCs w:val="24"/>
        </w:rPr>
        <w:t xml:space="preserve"> </w:t>
      </w:r>
      <w:proofErr w:type="spellStart"/>
      <w:r w:rsidRPr="002016D7">
        <w:rPr>
          <w:rFonts w:ascii="Arial" w:hAnsi="Arial" w:cs="Arial"/>
          <w:i/>
          <w:sz w:val="24"/>
          <w:szCs w:val="24"/>
        </w:rPr>
        <w:t>citandi</w:t>
      </w:r>
      <w:proofErr w:type="spellEnd"/>
      <w:r w:rsidRPr="002016D7">
        <w:rPr>
          <w:rFonts w:ascii="Arial" w:hAnsi="Arial" w:cs="Arial"/>
          <w:i/>
          <w:sz w:val="24"/>
          <w:szCs w:val="24"/>
        </w:rPr>
        <w:t xml:space="preserve"> </w:t>
      </w:r>
      <w:proofErr w:type="gramStart"/>
      <w:r w:rsidRPr="002016D7">
        <w:rPr>
          <w:rFonts w:ascii="Arial" w:hAnsi="Arial" w:cs="Arial"/>
          <w:i/>
          <w:sz w:val="24"/>
          <w:szCs w:val="24"/>
        </w:rPr>
        <w:t>et</w:t>
      </w:r>
      <w:proofErr w:type="gramEnd"/>
      <w:r w:rsidRPr="002016D7">
        <w:rPr>
          <w:rFonts w:ascii="Arial" w:hAnsi="Arial" w:cs="Arial"/>
          <w:i/>
          <w:sz w:val="24"/>
          <w:szCs w:val="24"/>
        </w:rPr>
        <w:t xml:space="preserve"> </w:t>
      </w:r>
      <w:proofErr w:type="spellStart"/>
      <w:r w:rsidRPr="002016D7">
        <w:rPr>
          <w:rFonts w:ascii="Arial" w:hAnsi="Arial" w:cs="Arial"/>
          <w:i/>
          <w:sz w:val="24"/>
          <w:szCs w:val="24"/>
        </w:rPr>
        <w:t>executandi</w:t>
      </w:r>
      <w:proofErr w:type="spellEnd"/>
      <w:r>
        <w:rPr>
          <w:rFonts w:ascii="Arial" w:hAnsi="Arial" w:cs="Arial"/>
          <w:sz w:val="24"/>
          <w:szCs w:val="24"/>
        </w:rPr>
        <w:t xml:space="preserve"> </w:t>
      </w:r>
      <w:r w:rsidR="006500E3">
        <w:rPr>
          <w:rFonts w:ascii="Arial" w:hAnsi="Arial" w:cs="Arial"/>
          <w:sz w:val="24"/>
          <w:szCs w:val="24"/>
        </w:rPr>
        <w:t xml:space="preserve">as </w:t>
      </w:r>
      <w:r>
        <w:rPr>
          <w:rFonts w:ascii="Arial" w:hAnsi="Arial" w:cs="Arial"/>
          <w:sz w:val="24"/>
          <w:szCs w:val="24"/>
        </w:rPr>
        <w:t xml:space="preserve">per the lease agreement. Further that he was not personally served as well. </w:t>
      </w:r>
      <w:r w:rsidR="00D52071">
        <w:rPr>
          <w:rFonts w:ascii="Arial" w:hAnsi="Arial" w:cs="Arial"/>
          <w:sz w:val="24"/>
          <w:szCs w:val="24"/>
        </w:rPr>
        <w:t>The</w:t>
      </w:r>
      <w:r>
        <w:rPr>
          <w:rFonts w:ascii="Arial" w:hAnsi="Arial" w:cs="Arial"/>
          <w:sz w:val="24"/>
          <w:szCs w:val="24"/>
        </w:rPr>
        <w:t xml:space="preserve"> second applicant responded </w:t>
      </w:r>
      <w:r w:rsidR="00D52071">
        <w:rPr>
          <w:rFonts w:ascii="Arial" w:hAnsi="Arial" w:cs="Arial"/>
          <w:sz w:val="24"/>
          <w:szCs w:val="24"/>
        </w:rPr>
        <w:t>to this point as follows</w:t>
      </w:r>
      <w:r w:rsidR="006500E3">
        <w:rPr>
          <w:rFonts w:ascii="Arial" w:hAnsi="Arial" w:cs="Arial"/>
          <w:sz w:val="24"/>
          <w:szCs w:val="24"/>
        </w:rPr>
        <w:t xml:space="preserve"> –</w:t>
      </w:r>
      <w:r w:rsidR="006500E3" w:rsidRPr="006500E3">
        <w:rPr>
          <w:rFonts w:ascii="Arial" w:hAnsi="Arial" w:cs="Arial"/>
          <w:sz w:val="24"/>
          <w:szCs w:val="24"/>
        </w:rPr>
        <w:t xml:space="preserve"> </w:t>
      </w:r>
      <w:r w:rsidRPr="006500E3">
        <w:rPr>
          <w:rFonts w:ascii="Arial" w:hAnsi="Arial" w:cs="Arial"/>
          <w:sz w:val="24"/>
          <w:szCs w:val="24"/>
        </w:rPr>
        <w:t>that the purpose of service is to inform the other party of the proceedings instituted against</w:t>
      </w:r>
      <w:r w:rsidR="00D52071" w:rsidRPr="006500E3">
        <w:rPr>
          <w:rFonts w:ascii="Arial" w:hAnsi="Arial" w:cs="Arial"/>
          <w:sz w:val="24"/>
          <w:szCs w:val="24"/>
        </w:rPr>
        <w:t xml:space="preserve"> them. </w:t>
      </w:r>
      <w:r w:rsidR="0077311C" w:rsidRPr="006500E3">
        <w:rPr>
          <w:rFonts w:ascii="Arial" w:hAnsi="Arial" w:cs="Arial"/>
          <w:sz w:val="24"/>
          <w:szCs w:val="24"/>
        </w:rPr>
        <w:t>The fact that</w:t>
      </w:r>
      <w:r w:rsidR="00D52071" w:rsidRPr="006500E3">
        <w:rPr>
          <w:rFonts w:ascii="Arial" w:hAnsi="Arial" w:cs="Arial"/>
          <w:sz w:val="24"/>
          <w:szCs w:val="24"/>
        </w:rPr>
        <w:t xml:space="preserve"> the respondents became</w:t>
      </w:r>
      <w:r w:rsidRPr="006500E3">
        <w:rPr>
          <w:rFonts w:ascii="Arial" w:hAnsi="Arial" w:cs="Arial"/>
          <w:sz w:val="24"/>
          <w:szCs w:val="24"/>
        </w:rPr>
        <w:t xml:space="preserve"> a</w:t>
      </w:r>
      <w:r w:rsidR="00D52071" w:rsidRPr="006500E3">
        <w:rPr>
          <w:rFonts w:ascii="Arial" w:hAnsi="Arial" w:cs="Arial"/>
          <w:sz w:val="24"/>
          <w:szCs w:val="24"/>
        </w:rPr>
        <w:t>ware of the proceedings and</w:t>
      </w:r>
      <w:r w:rsidRPr="006500E3">
        <w:rPr>
          <w:rFonts w:ascii="Arial" w:hAnsi="Arial" w:cs="Arial"/>
          <w:sz w:val="24"/>
          <w:szCs w:val="24"/>
        </w:rPr>
        <w:t xml:space="preserve"> f</w:t>
      </w:r>
      <w:r w:rsidR="00D52071" w:rsidRPr="006500E3">
        <w:rPr>
          <w:rFonts w:ascii="Arial" w:hAnsi="Arial" w:cs="Arial"/>
          <w:sz w:val="24"/>
          <w:szCs w:val="24"/>
        </w:rPr>
        <w:t xml:space="preserve">iled </w:t>
      </w:r>
      <w:r w:rsidRPr="006500E3">
        <w:rPr>
          <w:rFonts w:ascii="Arial" w:hAnsi="Arial" w:cs="Arial"/>
          <w:sz w:val="24"/>
          <w:szCs w:val="24"/>
        </w:rPr>
        <w:t>an</w:t>
      </w:r>
      <w:r w:rsidR="00D815EB" w:rsidRPr="006500E3">
        <w:rPr>
          <w:rFonts w:ascii="Arial" w:hAnsi="Arial" w:cs="Arial"/>
          <w:sz w:val="24"/>
          <w:szCs w:val="24"/>
        </w:rPr>
        <w:t>s</w:t>
      </w:r>
      <w:r w:rsidRPr="006500E3">
        <w:rPr>
          <w:rFonts w:ascii="Arial" w:hAnsi="Arial" w:cs="Arial"/>
          <w:sz w:val="24"/>
          <w:szCs w:val="24"/>
        </w:rPr>
        <w:t xml:space="preserve">wering </w:t>
      </w:r>
      <w:r w:rsidR="00D52071" w:rsidRPr="006500E3">
        <w:rPr>
          <w:rFonts w:ascii="Arial" w:hAnsi="Arial" w:cs="Arial"/>
          <w:sz w:val="24"/>
          <w:szCs w:val="24"/>
        </w:rPr>
        <w:t>papers</w:t>
      </w:r>
      <w:r w:rsidRPr="006500E3">
        <w:rPr>
          <w:rFonts w:ascii="Arial" w:hAnsi="Arial" w:cs="Arial"/>
          <w:sz w:val="24"/>
          <w:szCs w:val="24"/>
        </w:rPr>
        <w:t xml:space="preserve"> </w:t>
      </w:r>
      <w:r w:rsidR="00D815EB" w:rsidRPr="006500E3">
        <w:rPr>
          <w:rFonts w:ascii="Arial" w:hAnsi="Arial" w:cs="Arial"/>
          <w:sz w:val="24"/>
          <w:szCs w:val="24"/>
        </w:rPr>
        <w:t>demonstrated that the purpose of service was achieved.</w:t>
      </w:r>
    </w:p>
    <w:p w:rsidR="00312C5E" w:rsidRPr="00BA2B85" w:rsidRDefault="00312C5E" w:rsidP="00312C5E">
      <w:pPr>
        <w:pStyle w:val="NoSpacing"/>
        <w:spacing w:line="480" w:lineRule="auto"/>
        <w:jc w:val="both"/>
        <w:rPr>
          <w:rFonts w:ascii="Arial" w:hAnsi="Arial" w:cs="Arial"/>
          <w:sz w:val="24"/>
          <w:szCs w:val="24"/>
        </w:rPr>
      </w:pPr>
    </w:p>
    <w:p w:rsidR="00373E70" w:rsidRPr="00312C5E" w:rsidRDefault="00312C5E" w:rsidP="00373E70">
      <w:pPr>
        <w:pStyle w:val="NoSpacing"/>
        <w:spacing w:line="480" w:lineRule="auto"/>
        <w:jc w:val="both"/>
        <w:rPr>
          <w:rFonts w:ascii="Arial" w:hAnsi="Arial" w:cs="Arial"/>
          <w:i/>
          <w:sz w:val="24"/>
          <w:szCs w:val="24"/>
        </w:rPr>
      </w:pPr>
      <w:r w:rsidRPr="00312C5E">
        <w:rPr>
          <w:rFonts w:ascii="Arial" w:hAnsi="Arial" w:cs="Arial"/>
          <w:i/>
          <w:sz w:val="24"/>
          <w:szCs w:val="24"/>
        </w:rPr>
        <w:t>Counter</w:t>
      </w:r>
      <w:r w:rsidR="006500E3">
        <w:rPr>
          <w:rFonts w:ascii="Arial" w:hAnsi="Arial" w:cs="Arial"/>
          <w:i/>
          <w:sz w:val="24"/>
          <w:szCs w:val="24"/>
        </w:rPr>
        <w:t>-</w:t>
      </w:r>
      <w:r w:rsidRPr="00312C5E">
        <w:rPr>
          <w:rFonts w:ascii="Arial" w:hAnsi="Arial" w:cs="Arial"/>
          <w:i/>
          <w:sz w:val="24"/>
          <w:szCs w:val="24"/>
        </w:rPr>
        <w:t>application</w:t>
      </w:r>
      <w:r>
        <w:rPr>
          <w:rFonts w:ascii="Arial" w:hAnsi="Arial" w:cs="Arial"/>
          <w:i/>
          <w:sz w:val="24"/>
          <w:szCs w:val="24"/>
        </w:rPr>
        <w:t xml:space="preserve"> for eviction and cancellation of agreement</w:t>
      </w:r>
    </w:p>
    <w:p w:rsidR="00D815EB" w:rsidRDefault="00BA2B85" w:rsidP="00312C5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their counter</w:t>
      </w:r>
      <w:r w:rsidR="006500E3">
        <w:rPr>
          <w:rFonts w:ascii="Arial" w:hAnsi="Arial" w:cs="Arial"/>
          <w:sz w:val="24"/>
          <w:szCs w:val="24"/>
        </w:rPr>
        <w:t>-</w:t>
      </w:r>
      <w:r>
        <w:rPr>
          <w:rFonts w:ascii="Arial" w:hAnsi="Arial" w:cs="Arial"/>
          <w:sz w:val="24"/>
          <w:szCs w:val="24"/>
        </w:rPr>
        <w:t>application, the respondents</w:t>
      </w:r>
      <w:r w:rsidR="00AD65B1">
        <w:rPr>
          <w:rFonts w:ascii="Arial" w:hAnsi="Arial" w:cs="Arial"/>
          <w:sz w:val="24"/>
          <w:szCs w:val="24"/>
        </w:rPr>
        <w:t xml:space="preserve"> sought an eviction</w:t>
      </w:r>
      <w:r w:rsidR="006B5442">
        <w:rPr>
          <w:rFonts w:ascii="Arial" w:hAnsi="Arial" w:cs="Arial"/>
          <w:sz w:val="24"/>
          <w:szCs w:val="24"/>
        </w:rPr>
        <w:t xml:space="preserve"> order</w:t>
      </w:r>
      <w:r w:rsidR="00AD65B1">
        <w:rPr>
          <w:rFonts w:ascii="Arial" w:hAnsi="Arial" w:cs="Arial"/>
          <w:sz w:val="24"/>
          <w:szCs w:val="24"/>
        </w:rPr>
        <w:t xml:space="preserve"> on account of the applicant’s breach of the rental agreement by failing to pay the </w:t>
      </w:r>
      <w:r w:rsidR="006500E3">
        <w:rPr>
          <w:rFonts w:ascii="Arial" w:hAnsi="Arial" w:cs="Arial"/>
          <w:sz w:val="24"/>
          <w:szCs w:val="24"/>
        </w:rPr>
        <w:t xml:space="preserve">agreed </w:t>
      </w:r>
      <w:r w:rsidR="00AD65B1">
        <w:rPr>
          <w:rFonts w:ascii="Arial" w:hAnsi="Arial" w:cs="Arial"/>
          <w:sz w:val="24"/>
          <w:szCs w:val="24"/>
        </w:rPr>
        <w:t>rent</w:t>
      </w:r>
      <w:r w:rsidR="008A3444">
        <w:rPr>
          <w:rFonts w:ascii="Arial" w:hAnsi="Arial" w:cs="Arial"/>
          <w:sz w:val="24"/>
          <w:szCs w:val="24"/>
        </w:rPr>
        <w:t>al amount</w:t>
      </w:r>
      <w:r>
        <w:rPr>
          <w:rFonts w:ascii="Arial" w:hAnsi="Arial" w:cs="Arial"/>
          <w:sz w:val="24"/>
          <w:szCs w:val="24"/>
        </w:rPr>
        <w:t>. They further sought an order cancelling the rental agreement</w:t>
      </w:r>
      <w:r w:rsidR="00AD65B1">
        <w:rPr>
          <w:rFonts w:ascii="Arial" w:hAnsi="Arial" w:cs="Arial"/>
          <w:sz w:val="24"/>
          <w:szCs w:val="24"/>
        </w:rPr>
        <w:t xml:space="preserve">. In answer, the </w:t>
      </w:r>
      <w:r w:rsidR="00622E20">
        <w:rPr>
          <w:rFonts w:ascii="Arial" w:hAnsi="Arial" w:cs="Arial"/>
          <w:sz w:val="24"/>
          <w:szCs w:val="24"/>
        </w:rPr>
        <w:t>second applicant</w:t>
      </w:r>
      <w:r w:rsidR="00AD65B1">
        <w:rPr>
          <w:rFonts w:ascii="Arial" w:hAnsi="Arial" w:cs="Arial"/>
          <w:sz w:val="24"/>
          <w:szCs w:val="24"/>
        </w:rPr>
        <w:t xml:space="preserve"> </w:t>
      </w:r>
      <w:r w:rsidR="00622E20">
        <w:rPr>
          <w:rFonts w:ascii="Arial" w:hAnsi="Arial" w:cs="Arial"/>
          <w:sz w:val="24"/>
          <w:szCs w:val="24"/>
        </w:rPr>
        <w:t>denies the allegation that the first applicant did not pay rent.</w:t>
      </w:r>
      <w:r w:rsidR="00AD65B1">
        <w:rPr>
          <w:rFonts w:ascii="Arial" w:hAnsi="Arial" w:cs="Arial"/>
          <w:sz w:val="24"/>
          <w:szCs w:val="24"/>
        </w:rPr>
        <w:t xml:space="preserve"> </w:t>
      </w:r>
      <w:r w:rsidR="00C74BFA">
        <w:rPr>
          <w:rFonts w:ascii="Arial" w:hAnsi="Arial" w:cs="Arial"/>
          <w:sz w:val="24"/>
          <w:szCs w:val="24"/>
        </w:rPr>
        <w:t xml:space="preserve">The second applicant averred in reply to the </w:t>
      </w:r>
      <w:r w:rsidR="00B372BF">
        <w:rPr>
          <w:rFonts w:ascii="Arial" w:hAnsi="Arial" w:cs="Arial"/>
          <w:sz w:val="24"/>
          <w:szCs w:val="24"/>
        </w:rPr>
        <w:t>counter</w:t>
      </w:r>
      <w:r w:rsidR="006500E3">
        <w:rPr>
          <w:rFonts w:ascii="Arial" w:hAnsi="Arial" w:cs="Arial"/>
          <w:sz w:val="24"/>
          <w:szCs w:val="24"/>
        </w:rPr>
        <w:t>-</w:t>
      </w:r>
      <w:r w:rsidR="00B372BF">
        <w:rPr>
          <w:rFonts w:ascii="Arial" w:hAnsi="Arial" w:cs="Arial"/>
          <w:sz w:val="24"/>
          <w:szCs w:val="24"/>
        </w:rPr>
        <w:t>application</w:t>
      </w:r>
      <w:r w:rsidR="00C74BFA">
        <w:rPr>
          <w:rFonts w:ascii="Arial" w:hAnsi="Arial" w:cs="Arial"/>
          <w:sz w:val="24"/>
          <w:szCs w:val="24"/>
        </w:rPr>
        <w:t xml:space="preserve"> that, the first applicant was given until 28 February 2023 to either vacate the rental property or to pay the rental amount. Notwithstanding the deadline, the second applicant avers that the first </w:t>
      </w:r>
      <w:r w:rsidR="00C74BFA">
        <w:rPr>
          <w:rFonts w:ascii="Arial" w:hAnsi="Arial" w:cs="Arial"/>
          <w:sz w:val="24"/>
          <w:szCs w:val="24"/>
        </w:rPr>
        <w:lastRenderedPageBreak/>
        <w:t xml:space="preserve">applicant was despoiled on 23 February 2023, when the </w:t>
      </w:r>
      <w:r w:rsidR="00B72768">
        <w:rPr>
          <w:rFonts w:ascii="Arial" w:hAnsi="Arial" w:cs="Arial"/>
          <w:sz w:val="24"/>
          <w:szCs w:val="24"/>
        </w:rPr>
        <w:t xml:space="preserve">respondents </w:t>
      </w:r>
      <w:r w:rsidR="00C74BFA">
        <w:rPr>
          <w:rFonts w:ascii="Arial" w:hAnsi="Arial" w:cs="Arial"/>
          <w:sz w:val="24"/>
          <w:szCs w:val="24"/>
        </w:rPr>
        <w:t xml:space="preserve">illegally </w:t>
      </w:r>
      <w:r w:rsidR="00CC682D">
        <w:rPr>
          <w:rFonts w:ascii="Arial" w:hAnsi="Arial" w:cs="Arial"/>
          <w:sz w:val="24"/>
          <w:szCs w:val="24"/>
        </w:rPr>
        <w:t>‘locked’ up the first applicant’s stock</w:t>
      </w:r>
      <w:r w:rsidR="00C74BFA">
        <w:rPr>
          <w:rFonts w:ascii="Arial" w:hAnsi="Arial" w:cs="Arial"/>
          <w:sz w:val="24"/>
          <w:szCs w:val="24"/>
        </w:rPr>
        <w:t>.</w:t>
      </w:r>
      <w:r w:rsidR="00312C5E">
        <w:rPr>
          <w:rFonts w:ascii="Arial" w:hAnsi="Arial" w:cs="Arial"/>
          <w:sz w:val="24"/>
          <w:szCs w:val="24"/>
        </w:rPr>
        <w:t xml:space="preserve"> </w:t>
      </w:r>
    </w:p>
    <w:p w:rsidR="00D52071" w:rsidRPr="00D52071" w:rsidRDefault="00D52071" w:rsidP="00D52071">
      <w:pPr>
        <w:pStyle w:val="NoSpacing"/>
        <w:spacing w:line="480" w:lineRule="auto"/>
        <w:jc w:val="both"/>
        <w:rPr>
          <w:rFonts w:ascii="Arial" w:hAnsi="Arial" w:cs="Arial"/>
          <w:sz w:val="24"/>
          <w:szCs w:val="24"/>
        </w:rPr>
      </w:pPr>
    </w:p>
    <w:p w:rsidR="008A3444" w:rsidRPr="00312C5E" w:rsidRDefault="00312C5E" w:rsidP="008A3444">
      <w:pPr>
        <w:pStyle w:val="NoSpacing"/>
        <w:spacing w:line="480" w:lineRule="auto"/>
        <w:jc w:val="both"/>
        <w:rPr>
          <w:rFonts w:ascii="Arial" w:hAnsi="Arial" w:cs="Arial"/>
          <w:i/>
          <w:sz w:val="24"/>
          <w:szCs w:val="24"/>
        </w:rPr>
      </w:pPr>
      <w:r w:rsidRPr="00312C5E">
        <w:rPr>
          <w:rFonts w:ascii="Arial" w:hAnsi="Arial" w:cs="Arial"/>
          <w:i/>
          <w:sz w:val="24"/>
          <w:szCs w:val="24"/>
        </w:rPr>
        <w:t>Decision of the court a quo</w:t>
      </w:r>
    </w:p>
    <w:p w:rsidR="00622E20" w:rsidRDefault="00C74BFA" w:rsidP="006A4C5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6500E3">
        <w:rPr>
          <w:rFonts w:ascii="Arial" w:hAnsi="Arial" w:cs="Arial"/>
          <w:i/>
          <w:sz w:val="24"/>
          <w:szCs w:val="24"/>
        </w:rPr>
        <w:t>a quo</w:t>
      </w:r>
      <w:r>
        <w:rPr>
          <w:rFonts w:ascii="Arial" w:hAnsi="Arial" w:cs="Arial"/>
          <w:sz w:val="24"/>
          <w:szCs w:val="24"/>
        </w:rPr>
        <w:t xml:space="preserve"> found that it was satisfied that the applicants made out a case for the grant of a spoliation order and dismissed the </w:t>
      </w:r>
      <w:r w:rsidR="00B372BF">
        <w:rPr>
          <w:rFonts w:ascii="Arial" w:hAnsi="Arial" w:cs="Arial"/>
          <w:sz w:val="24"/>
          <w:szCs w:val="24"/>
        </w:rPr>
        <w:t>counter</w:t>
      </w:r>
      <w:r w:rsidR="006500E3">
        <w:rPr>
          <w:rFonts w:ascii="Arial" w:hAnsi="Arial" w:cs="Arial"/>
          <w:sz w:val="24"/>
          <w:szCs w:val="24"/>
        </w:rPr>
        <w:t>-</w:t>
      </w:r>
      <w:r w:rsidR="00B372BF">
        <w:rPr>
          <w:rFonts w:ascii="Arial" w:hAnsi="Arial" w:cs="Arial"/>
          <w:sz w:val="24"/>
          <w:szCs w:val="24"/>
        </w:rPr>
        <w:t>application</w:t>
      </w:r>
      <w:r>
        <w:rPr>
          <w:rFonts w:ascii="Arial" w:hAnsi="Arial" w:cs="Arial"/>
          <w:sz w:val="24"/>
          <w:szCs w:val="24"/>
        </w:rPr>
        <w:t xml:space="preserve">. </w:t>
      </w:r>
      <w:r w:rsidR="00312C5E">
        <w:rPr>
          <w:rFonts w:ascii="Arial" w:hAnsi="Arial" w:cs="Arial"/>
          <w:sz w:val="24"/>
          <w:szCs w:val="24"/>
        </w:rPr>
        <w:t xml:space="preserve">That court particularly found that it was satisfied that the applicants proved peaceful and undisturbed possession and dispossession. </w:t>
      </w:r>
      <w:r w:rsidR="00F67516">
        <w:rPr>
          <w:rFonts w:ascii="Arial" w:hAnsi="Arial" w:cs="Arial"/>
          <w:sz w:val="24"/>
          <w:szCs w:val="24"/>
        </w:rPr>
        <w:t xml:space="preserve">It refused to grant the </w:t>
      </w:r>
      <w:r w:rsidR="00B372BF">
        <w:rPr>
          <w:rFonts w:ascii="Arial" w:hAnsi="Arial" w:cs="Arial"/>
          <w:sz w:val="24"/>
          <w:szCs w:val="24"/>
        </w:rPr>
        <w:t>counter</w:t>
      </w:r>
      <w:r w:rsidR="006500E3">
        <w:rPr>
          <w:rFonts w:ascii="Arial" w:hAnsi="Arial" w:cs="Arial"/>
          <w:sz w:val="24"/>
          <w:szCs w:val="24"/>
        </w:rPr>
        <w:t>-</w:t>
      </w:r>
      <w:r w:rsidR="00B372BF">
        <w:rPr>
          <w:rFonts w:ascii="Arial" w:hAnsi="Arial" w:cs="Arial"/>
          <w:sz w:val="24"/>
          <w:szCs w:val="24"/>
        </w:rPr>
        <w:t>application</w:t>
      </w:r>
      <w:r w:rsidR="00F67516">
        <w:rPr>
          <w:rFonts w:ascii="Arial" w:hAnsi="Arial" w:cs="Arial"/>
          <w:sz w:val="24"/>
          <w:szCs w:val="24"/>
        </w:rPr>
        <w:t xml:space="preserve"> and reasoned that doing </w:t>
      </w:r>
      <w:r w:rsidR="00D52071">
        <w:rPr>
          <w:rFonts w:ascii="Arial" w:hAnsi="Arial" w:cs="Arial"/>
          <w:sz w:val="24"/>
          <w:szCs w:val="24"/>
        </w:rPr>
        <w:t>otherwise</w:t>
      </w:r>
      <w:r w:rsidR="00F67516">
        <w:rPr>
          <w:rFonts w:ascii="Arial" w:hAnsi="Arial" w:cs="Arial"/>
          <w:sz w:val="24"/>
          <w:szCs w:val="24"/>
        </w:rPr>
        <w:t xml:space="preserve"> would render the spoliation order that was granted </w:t>
      </w:r>
      <w:proofErr w:type="spellStart"/>
      <w:r w:rsidR="00F67516" w:rsidRPr="00A53728">
        <w:rPr>
          <w:rFonts w:ascii="Arial" w:hAnsi="Arial" w:cs="Arial"/>
          <w:i/>
          <w:sz w:val="24"/>
          <w:szCs w:val="24"/>
        </w:rPr>
        <w:t>brutum</w:t>
      </w:r>
      <w:proofErr w:type="spellEnd"/>
      <w:r w:rsidR="00F67516" w:rsidRPr="00A53728">
        <w:rPr>
          <w:rFonts w:ascii="Arial" w:hAnsi="Arial" w:cs="Arial"/>
          <w:i/>
          <w:sz w:val="24"/>
          <w:szCs w:val="24"/>
        </w:rPr>
        <w:t xml:space="preserve"> </w:t>
      </w:r>
      <w:proofErr w:type="spellStart"/>
      <w:r w:rsidR="00F67516" w:rsidRPr="00A53728">
        <w:rPr>
          <w:rFonts w:ascii="Arial" w:hAnsi="Arial" w:cs="Arial"/>
          <w:i/>
          <w:sz w:val="24"/>
          <w:szCs w:val="24"/>
        </w:rPr>
        <w:t>fulmen</w:t>
      </w:r>
      <w:proofErr w:type="spellEnd"/>
      <w:r w:rsidR="00F67516">
        <w:rPr>
          <w:rFonts w:ascii="Arial" w:hAnsi="Arial" w:cs="Arial"/>
          <w:sz w:val="24"/>
          <w:szCs w:val="24"/>
        </w:rPr>
        <w:t xml:space="preserve"> and ludicrous. </w:t>
      </w:r>
    </w:p>
    <w:p w:rsidR="008637B5" w:rsidRDefault="008637B5" w:rsidP="008637B5">
      <w:pPr>
        <w:pStyle w:val="NoSpacing"/>
        <w:spacing w:line="480" w:lineRule="auto"/>
        <w:jc w:val="both"/>
        <w:rPr>
          <w:rFonts w:ascii="Arial" w:hAnsi="Arial" w:cs="Arial"/>
          <w:sz w:val="24"/>
          <w:szCs w:val="24"/>
        </w:rPr>
      </w:pPr>
    </w:p>
    <w:p w:rsidR="00AD737F" w:rsidRPr="00AD737F" w:rsidRDefault="00D52071" w:rsidP="008637B5">
      <w:pPr>
        <w:pStyle w:val="NoSpacing"/>
        <w:spacing w:line="480" w:lineRule="auto"/>
        <w:jc w:val="both"/>
        <w:rPr>
          <w:rFonts w:ascii="Arial" w:hAnsi="Arial" w:cs="Arial"/>
          <w:sz w:val="24"/>
          <w:szCs w:val="24"/>
          <w:u w:val="single"/>
        </w:rPr>
      </w:pPr>
      <w:r>
        <w:rPr>
          <w:rFonts w:ascii="Arial" w:hAnsi="Arial" w:cs="Arial"/>
          <w:sz w:val="24"/>
          <w:szCs w:val="24"/>
          <w:u w:val="single"/>
        </w:rPr>
        <w:t>On appeal</w:t>
      </w:r>
    </w:p>
    <w:p w:rsidR="00AD737F" w:rsidRDefault="00AD737F" w:rsidP="008637B5">
      <w:pPr>
        <w:pStyle w:val="NoSpacing"/>
        <w:spacing w:line="480" w:lineRule="auto"/>
        <w:jc w:val="both"/>
        <w:rPr>
          <w:rFonts w:ascii="Arial" w:hAnsi="Arial" w:cs="Arial"/>
          <w:i/>
          <w:sz w:val="24"/>
          <w:szCs w:val="24"/>
        </w:rPr>
      </w:pPr>
      <w:r w:rsidRPr="00AD737F">
        <w:rPr>
          <w:rFonts w:ascii="Arial" w:hAnsi="Arial" w:cs="Arial"/>
          <w:i/>
          <w:sz w:val="24"/>
          <w:szCs w:val="24"/>
        </w:rPr>
        <w:t>Spoliation</w:t>
      </w:r>
      <w:r w:rsidR="00D52071">
        <w:rPr>
          <w:rFonts w:ascii="Arial" w:hAnsi="Arial" w:cs="Arial"/>
          <w:i/>
          <w:sz w:val="24"/>
          <w:szCs w:val="24"/>
        </w:rPr>
        <w:t xml:space="preserve"> application</w:t>
      </w:r>
    </w:p>
    <w:p w:rsidR="00AD737F" w:rsidRDefault="00F67516" w:rsidP="006A4C5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appeal, the respondents hold that the court </w:t>
      </w:r>
      <w:r w:rsidRPr="006500E3">
        <w:rPr>
          <w:rFonts w:ascii="Arial" w:hAnsi="Arial" w:cs="Arial"/>
          <w:i/>
          <w:sz w:val="24"/>
          <w:szCs w:val="24"/>
        </w:rPr>
        <w:t>a quo</w:t>
      </w:r>
      <w:r>
        <w:rPr>
          <w:rFonts w:ascii="Arial" w:hAnsi="Arial" w:cs="Arial"/>
          <w:sz w:val="24"/>
          <w:szCs w:val="24"/>
        </w:rPr>
        <w:t xml:space="preserve"> erred in finding that the applicants were in peace</w:t>
      </w:r>
      <w:r w:rsidR="00A53728">
        <w:rPr>
          <w:rFonts w:ascii="Arial" w:hAnsi="Arial" w:cs="Arial"/>
          <w:sz w:val="24"/>
          <w:szCs w:val="24"/>
        </w:rPr>
        <w:t xml:space="preserve">ful and undisturbed possession </w:t>
      </w:r>
      <w:r>
        <w:rPr>
          <w:rFonts w:ascii="Arial" w:hAnsi="Arial" w:cs="Arial"/>
          <w:sz w:val="24"/>
          <w:szCs w:val="24"/>
        </w:rPr>
        <w:t>before the alleged spoliation</w:t>
      </w:r>
      <w:r w:rsidR="00A53728">
        <w:rPr>
          <w:rFonts w:ascii="Arial" w:hAnsi="Arial" w:cs="Arial"/>
          <w:sz w:val="24"/>
          <w:szCs w:val="24"/>
        </w:rPr>
        <w:t xml:space="preserve">. Further that the court </w:t>
      </w:r>
      <w:r w:rsidR="00A53728" w:rsidRPr="006500E3">
        <w:rPr>
          <w:rFonts w:ascii="Arial" w:hAnsi="Arial" w:cs="Arial"/>
          <w:i/>
          <w:sz w:val="24"/>
          <w:szCs w:val="24"/>
        </w:rPr>
        <w:t>a quo</w:t>
      </w:r>
      <w:r w:rsidR="00A53728">
        <w:rPr>
          <w:rFonts w:ascii="Arial" w:hAnsi="Arial" w:cs="Arial"/>
          <w:sz w:val="24"/>
          <w:szCs w:val="24"/>
        </w:rPr>
        <w:t xml:space="preserve"> erred in failing to properly and fully consider the right</w:t>
      </w:r>
      <w:r w:rsidR="0077311C">
        <w:rPr>
          <w:rFonts w:ascii="Arial" w:hAnsi="Arial" w:cs="Arial"/>
          <w:sz w:val="24"/>
          <w:szCs w:val="24"/>
        </w:rPr>
        <w:t>(s)</w:t>
      </w:r>
      <w:r w:rsidR="00A53728">
        <w:rPr>
          <w:rFonts w:ascii="Arial" w:hAnsi="Arial" w:cs="Arial"/>
          <w:sz w:val="24"/>
          <w:szCs w:val="24"/>
        </w:rPr>
        <w:t xml:space="preserve"> accorded to the respondents in the lease agreement upon failure by the applicants to pay rent. Lastly, that the court </w:t>
      </w:r>
      <w:r w:rsidR="00A53728" w:rsidRPr="006500E3">
        <w:rPr>
          <w:rFonts w:ascii="Arial" w:hAnsi="Arial" w:cs="Arial"/>
          <w:i/>
          <w:sz w:val="24"/>
          <w:szCs w:val="24"/>
        </w:rPr>
        <w:t>a quo</w:t>
      </w:r>
      <w:r w:rsidR="00A53728">
        <w:rPr>
          <w:rFonts w:ascii="Arial" w:hAnsi="Arial" w:cs="Arial"/>
          <w:sz w:val="24"/>
          <w:szCs w:val="24"/>
        </w:rPr>
        <w:t xml:space="preserve"> erred in holding that the applicants made out a case for the grant of </w:t>
      </w:r>
      <w:proofErr w:type="spellStart"/>
      <w:r w:rsidR="00A53728" w:rsidRPr="00A53728">
        <w:rPr>
          <w:rFonts w:ascii="Arial" w:hAnsi="Arial" w:cs="Arial"/>
          <w:i/>
          <w:sz w:val="24"/>
          <w:szCs w:val="24"/>
        </w:rPr>
        <w:t>mandament</w:t>
      </w:r>
      <w:proofErr w:type="spellEnd"/>
      <w:r w:rsidR="00A53728" w:rsidRPr="00A53728">
        <w:rPr>
          <w:rFonts w:ascii="Arial" w:hAnsi="Arial" w:cs="Arial"/>
          <w:i/>
          <w:sz w:val="24"/>
          <w:szCs w:val="24"/>
        </w:rPr>
        <w:t xml:space="preserve"> van </w:t>
      </w:r>
      <w:proofErr w:type="spellStart"/>
      <w:r w:rsidR="00A53728" w:rsidRPr="00A53728">
        <w:rPr>
          <w:rFonts w:ascii="Arial" w:hAnsi="Arial" w:cs="Arial"/>
          <w:i/>
          <w:sz w:val="24"/>
          <w:szCs w:val="24"/>
        </w:rPr>
        <w:t>spolie</w:t>
      </w:r>
      <w:proofErr w:type="spellEnd"/>
      <w:r w:rsidR="00A53728">
        <w:rPr>
          <w:rFonts w:ascii="Arial" w:hAnsi="Arial" w:cs="Arial"/>
          <w:sz w:val="24"/>
          <w:szCs w:val="24"/>
        </w:rPr>
        <w:t xml:space="preserve">. According to the respondents, the applicants did not make out a case as described in </w:t>
      </w:r>
      <w:proofErr w:type="spellStart"/>
      <w:r w:rsidR="00A53728" w:rsidRPr="00AD737F">
        <w:rPr>
          <w:rFonts w:ascii="Arial" w:hAnsi="Arial" w:cs="Arial"/>
          <w:i/>
          <w:sz w:val="24"/>
          <w:szCs w:val="24"/>
        </w:rPr>
        <w:t>Plascon</w:t>
      </w:r>
      <w:proofErr w:type="spellEnd"/>
      <w:r w:rsidR="00A53728" w:rsidRPr="00AD737F">
        <w:rPr>
          <w:rFonts w:ascii="Arial" w:hAnsi="Arial" w:cs="Arial"/>
          <w:i/>
          <w:sz w:val="24"/>
          <w:szCs w:val="24"/>
        </w:rPr>
        <w:t>-Evans</w:t>
      </w:r>
      <w:r w:rsidR="00A53728">
        <w:rPr>
          <w:rFonts w:ascii="Arial" w:hAnsi="Arial" w:cs="Arial"/>
          <w:sz w:val="24"/>
          <w:szCs w:val="24"/>
        </w:rPr>
        <w:t xml:space="preserve">. </w:t>
      </w:r>
    </w:p>
    <w:p w:rsidR="0077311C" w:rsidRDefault="0077311C" w:rsidP="00AD737F">
      <w:pPr>
        <w:pStyle w:val="NoSpacing"/>
        <w:spacing w:line="480" w:lineRule="auto"/>
        <w:jc w:val="both"/>
        <w:rPr>
          <w:rFonts w:ascii="Arial" w:hAnsi="Arial" w:cs="Arial"/>
          <w:sz w:val="24"/>
          <w:szCs w:val="24"/>
        </w:rPr>
      </w:pPr>
    </w:p>
    <w:p w:rsidR="0077311C" w:rsidRDefault="0077311C" w:rsidP="00AD737F">
      <w:pPr>
        <w:pStyle w:val="NoSpacing"/>
        <w:spacing w:line="480" w:lineRule="auto"/>
        <w:jc w:val="both"/>
        <w:rPr>
          <w:rFonts w:ascii="Arial" w:hAnsi="Arial" w:cs="Arial"/>
          <w:sz w:val="24"/>
          <w:szCs w:val="24"/>
        </w:rPr>
      </w:pPr>
    </w:p>
    <w:p w:rsidR="0077311C" w:rsidRDefault="0077311C" w:rsidP="00AD737F">
      <w:pPr>
        <w:pStyle w:val="NoSpacing"/>
        <w:spacing w:line="480" w:lineRule="auto"/>
        <w:jc w:val="both"/>
        <w:rPr>
          <w:rFonts w:ascii="Arial" w:hAnsi="Arial" w:cs="Arial"/>
          <w:sz w:val="24"/>
          <w:szCs w:val="24"/>
        </w:rPr>
      </w:pPr>
    </w:p>
    <w:p w:rsidR="0077311C" w:rsidRDefault="0077311C" w:rsidP="00AD737F">
      <w:pPr>
        <w:pStyle w:val="NoSpacing"/>
        <w:spacing w:line="480" w:lineRule="auto"/>
        <w:jc w:val="both"/>
        <w:rPr>
          <w:rFonts w:ascii="Arial" w:hAnsi="Arial" w:cs="Arial"/>
          <w:sz w:val="24"/>
          <w:szCs w:val="24"/>
        </w:rPr>
      </w:pPr>
    </w:p>
    <w:p w:rsidR="00AD737F" w:rsidRPr="00AD737F" w:rsidRDefault="00AD737F" w:rsidP="00AD737F">
      <w:pPr>
        <w:pStyle w:val="NoSpacing"/>
        <w:spacing w:line="480" w:lineRule="auto"/>
        <w:jc w:val="both"/>
        <w:rPr>
          <w:rFonts w:ascii="Arial" w:hAnsi="Arial" w:cs="Arial"/>
          <w:i/>
          <w:sz w:val="24"/>
          <w:szCs w:val="24"/>
        </w:rPr>
      </w:pPr>
      <w:r w:rsidRPr="00AD737F">
        <w:rPr>
          <w:rFonts w:ascii="Arial" w:hAnsi="Arial" w:cs="Arial"/>
          <w:i/>
          <w:sz w:val="24"/>
          <w:szCs w:val="24"/>
        </w:rPr>
        <w:lastRenderedPageBreak/>
        <w:t>Counter</w:t>
      </w:r>
      <w:r w:rsidR="007D3D24">
        <w:rPr>
          <w:rFonts w:ascii="Arial" w:hAnsi="Arial" w:cs="Arial"/>
          <w:i/>
          <w:sz w:val="24"/>
          <w:szCs w:val="24"/>
        </w:rPr>
        <w:t>-</w:t>
      </w:r>
      <w:r w:rsidRPr="00AD737F">
        <w:rPr>
          <w:rFonts w:ascii="Arial" w:hAnsi="Arial" w:cs="Arial"/>
          <w:i/>
          <w:sz w:val="24"/>
          <w:szCs w:val="24"/>
        </w:rPr>
        <w:t>application</w:t>
      </w:r>
    </w:p>
    <w:p w:rsidR="00F67516" w:rsidRDefault="00A53728" w:rsidP="006A4C5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regards the </w:t>
      </w:r>
      <w:r w:rsidR="00B372BF">
        <w:rPr>
          <w:rFonts w:ascii="Arial" w:hAnsi="Arial" w:cs="Arial"/>
          <w:sz w:val="24"/>
          <w:szCs w:val="24"/>
        </w:rPr>
        <w:t>counter</w:t>
      </w:r>
      <w:r w:rsidR="007D3D24">
        <w:rPr>
          <w:rFonts w:ascii="Arial" w:hAnsi="Arial" w:cs="Arial"/>
          <w:sz w:val="24"/>
          <w:szCs w:val="24"/>
        </w:rPr>
        <w:t>-</w:t>
      </w:r>
      <w:r w:rsidR="00B372BF">
        <w:rPr>
          <w:rFonts w:ascii="Arial" w:hAnsi="Arial" w:cs="Arial"/>
          <w:sz w:val="24"/>
          <w:szCs w:val="24"/>
        </w:rPr>
        <w:t>application</w:t>
      </w:r>
      <w:r>
        <w:rPr>
          <w:rFonts w:ascii="Arial" w:hAnsi="Arial" w:cs="Arial"/>
          <w:sz w:val="24"/>
          <w:szCs w:val="24"/>
        </w:rPr>
        <w:t xml:space="preserve">, the respondents </w:t>
      </w:r>
      <w:r w:rsidR="003B09E9">
        <w:rPr>
          <w:rFonts w:ascii="Arial" w:hAnsi="Arial" w:cs="Arial"/>
          <w:sz w:val="24"/>
          <w:szCs w:val="24"/>
        </w:rPr>
        <w:t xml:space="preserve">aver that the court </w:t>
      </w:r>
      <w:r w:rsidR="003B09E9" w:rsidRPr="007D3D24">
        <w:rPr>
          <w:rFonts w:ascii="Arial" w:hAnsi="Arial" w:cs="Arial"/>
          <w:i/>
          <w:sz w:val="24"/>
          <w:szCs w:val="24"/>
        </w:rPr>
        <w:t>a quo</w:t>
      </w:r>
      <w:r w:rsidR="003B09E9">
        <w:rPr>
          <w:rFonts w:ascii="Arial" w:hAnsi="Arial" w:cs="Arial"/>
          <w:sz w:val="24"/>
          <w:szCs w:val="24"/>
        </w:rPr>
        <w:t xml:space="preserve"> erred in dismissing the </w:t>
      </w:r>
      <w:r w:rsidR="00B372BF">
        <w:rPr>
          <w:rFonts w:ascii="Arial" w:hAnsi="Arial" w:cs="Arial"/>
          <w:sz w:val="24"/>
          <w:szCs w:val="24"/>
        </w:rPr>
        <w:t>counter</w:t>
      </w:r>
      <w:r w:rsidR="007D3D24">
        <w:rPr>
          <w:rFonts w:ascii="Arial" w:hAnsi="Arial" w:cs="Arial"/>
          <w:sz w:val="24"/>
          <w:szCs w:val="24"/>
        </w:rPr>
        <w:t>-</w:t>
      </w:r>
      <w:r w:rsidR="00B372BF">
        <w:rPr>
          <w:rFonts w:ascii="Arial" w:hAnsi="Arial" w:cs="Arial"/>
          <w:sz w:val="24"/>
          <w:szCs w:val="24"/>
        </w:rPr>
        <w:t>application</w:t>
      </w:r>
      <w:r w:rsidR="003B09E9">
        <w:rPr>
          <w:rFonts w:ascii="Arial" w:hAnsi="Arial" w:cs="Arial"/>
          <w:sz w:val="24"/>
          <w:szCs w:val="24"/>
        </w:rPr>
        <w:t xml:space="preserve"> and for holding that it was impermissible or incompetent to institute a </w:t>
      </w:r>
      <w:r w:rsidR="00B372BF">
        <w:rPr>
          <w:rFonts w:ascii="Arial" w:hAnsi="Arial" w:cs="Arial"/>
          <w:sz w:val="24"/>
          <w:szCs w:val="24"/>
        </w:rPr>
        <w:t>counter</w:t>
      </w:r>
      <w:r w:rsidR="007D3D24">
        <w:rPr>
          <w:rFonts w:ascii="Arial" w:hAnsi="Arial" w:cs="Arial"/>
          <w:sz w:val="24"/>
          <w:szCs w:val="24"/>
        </w:rPr>
        <w:t>-</w:t>
      </w:r>
      <w:r w:rsidR="00B372BF">
        <w:rPr>
          <w:rFonts w:ascii="Arial" w:hAnsi="Arial" w:cs="Arial"/>
          <w:sz w:val="24"/>
          <w:szCs w:val="24"/>
        </w:rPr>
        <w:t>application</w:t>
      </w:r>
      <w:r w:rsidR="003B09E9">
        <w:rPr>
          <w:rFonts w:ascii="Arial" w:hAnsi="Arial" w:cs="Arial"/>
          <w:sz w:val="24"/>
          <w:szCs w:val="24"/>
        </w:rPr>
        <w:t xml:space="preserve"> in </w:t>
      </w:r>
      <w:proofErr w:type="spellStart"/>
      <w:r w:rsidR="003B09E9" w:rsidRPr="003B09E9">
        <w:rPr>
          <w:rFonts w:ascii="Arial" w:hAnsi="Arial" w:cs="Arial"/>
          <w:i/>
          <w:sz w:val="24"/>
          <w:szCs w:val="24"/>
        </w:rPr>
        <w:t>mandament</w:t>
      </w:r>
      <w:proofErr w:type="spellEnd"/>
      <w:r w:rsidR="003B09E9" w:rsidRPr="003B09E9">
        <w:rPr>
          <w:rFonts w:ascii="Arial" w:hAnsi="Arial" w:cs="Arial"/>
          <w:i/>
          <w:sz w:val="24"/>
          <w:szCs w:val="24"/>
        </w:rPr>
        <w:t xml:space="preserve"> van </w:t>
      </w:r>
      <w:proofErr w:type="spellStart"/>
      <w:r w:rsidR="003B09E9" w:rsidRPr="003B09E9">
        <w:rPr>
          <w:rFonts w:ascii="Arial" w:hAnsi="Arial" w:cs="Arial"/>
          <w:i/>
          <w:sz w:val="24"/>
          <w:szCs w:val="24"/>
        </w:rPr>
        <w:t>spolie</w:t>
      </w:r>
      <w:proofErr w:type="spellEnd"/>
      <w:r w:rsidR="003B09E9">
        <w:rPr>
          <w:rFonts w:ascii="Arial" w:hAnsi="Arial" w:cs="Arial"/>
          <w:sz w:val="24"/>
          <w:szCs w:val="24"/>
        </w:rPr>
        <w:t xml:space="preserve"> proceedings.</w:t>
      </w:r>
    </w:p>
    <w:p w:rsidR="00AD737F" w:rsidRDefault="00AD737F" w:rsidP="00AD737F">
      <w:pPr>
        <w:pStyle w:val="NoSpacing"/>
        <w:spacing w:line="480" w:lineRule="auto"/>
        <w:jc w:val="both"/>
        <w:rPr>
          <w:rFonts w:ascii="Arial" w:hAnsi="Arial" w:cs="Arial"/>
          <w:sz w:val="24"/>
          <w:szCs w:val="24"/>
        </w:rPr>
      </w:pPr>
    </w:p>
    <w:p w:rsidR="00AD737F" w:rsidRPr="00AD737F" w:rsidRDefault="00AD737F" w:rsidP="00AD737F">
      <w:pPr>
        <w:pStyle w:val="NoSpacing"/>
        <w:spacing w:line="480" w:lineRule="auto"/>
        <w:jc w:val="both"/>
        <w:rPr>
          <w:rFonts w:ascii="Arial" w:hAnsi="Arial" w:cs="Arial"/>
          <w:sz w:val="24"/>
          <w:szCs w:val="24"/>
          <w:u w:val="single"/>
        </w:rPr>
      </w:pPr>
      <w:r w:rsidRPr="00AD737F">
        <w:rPr>
          <w:rFonts w:ascii="Arial" w:hAnsi="Arial" w:cs="Arial"/>
          <w:sz w:val="24"/>
          <w:szCs w:val="24"/>
          <w:u w:val="single"/>
        </w:rPr>
        <w:t>Application to summarily dismiss the appeal</w:t>
      </w:r>
    </w:p>
    <w:p w:rsidR="00AD737F" w:rsidRDefault="00AD737F" w:rsidP="006A4C5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applicants have applied for the summary dismissal of the respondents’ appeal on grounds that it is frivolous and vexatious and therefore does not enjoy prospects of success.</w:t>
      </w:r>
    </w:p>
    <w:p w:rsidR="00AD737F" w:rsidRDefault="00AD737F" w:rsidP="00AD737F">
      <w:pPr>
        <w:pStyle w:val="NoSpacing"/>
        <w:spacing w:line="480" w:lineRule="auto"/>
        <w:jc w:val="both"/>
        <w:rPr>
          <w:rFonts w:ascii="Arial" w:hAnsi="Arial" w:cs="Arial"/>
          <w:sz w:val="24"/>
          <w:szCs w:val="24"/>
        </w:rPr>
      </w:pPr>
    </w:p>
    <w:p w:rsidR="00AD737F" w:rsidRDefault="00AD737F" w:rsidP="006A4C5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Firstly, much of the applicants’ founding affidavit in support of this application pertains to events </w:t>
      </w:r>
      <w:r w:rsidR="00F71663">
        <w:rPr>
          <w:rFonts w:ascii="Arial" w:hAnsi="Arial" w:cs="Arial"/>
          <w:sz w:val="24"/>
          <w:szCs w:val="24"/>
        </w:rPr>
        <w:t xml:space="preserve">which occurred </w:t>
      </w:r>
      <w:r>
        <w:rPr>
          <w:rFonts w:ascii="Arial" w:hAnsi="Arial" w:cs="Arial"/>
          <w:sz w:val="24"/>
          <w:szCs w:val="24"/>
        </w:rPr>
        <w:t xml:space="preserve">after the judgment and orders appealed against were delivered. Secondly, the founding affidavit contains irrelevant hearsay material that did not feature in the </w:t>
      </w:r>
      <w:r w:rsidR="00F41601">
        <w:rPr>
          <w:rFonts w:ascii="Arial" w:hAnsi="Arial" w:cs="Arial"/>
          <w:sz w:val="24"/>
          <w:szCs w:val="24"/>
        </w:rPr>
        <w:t xml:space="preserve">founding affidavit (spoliation application) in the court </w:t>
      </w:r>
      <w:r w:rsidR="00F41601" w:rsidRPr="007D3D24">
        <w:rPr>
          <w:rFonts w:ascii="Arial" w:hAnsi="Arial" w:cs="Arial"/>
          <w:i/>
          <w:sz w:val="24"/>
          <w:szCs w:val="24"/>
        </w:rPr>
        <w:t>a quo</w:t>
      </w:r>
      <w:r w:rsidR="00F41601">
        <w:rPr>
          <w:rFonts w:ascii="Arial" w:hAnsi="Arial" w:cs="Arial"/>
          <w:sz w:val="24"/>
          <w:szCs w:val="24"/>
        </w:rPr>
        <w:t>. In a nutshell, the founding affidavit in support of</w:t>
      </w:r>
      <w:r w:rsidR="00F71663">
        <w:rPr>
          <w:rFonts w:ascii="Arial" w:hAnsi="Arial" w:cs="Arial"/>
          <w:sz w:val="24"/>
          <w:szCs w:val="24"/>
        </w:rPr>
        <w:t xml:space="preserve"> the present</w:t>
      </w:r>
      <w:r w:rsidR="00F41601">
        <w:rPr>
          <w:rFonts w:ascii="Arial" w:hAnsi="Arial" w:cs="Arial"/>
          <w:sz w:val="24"/>
          <w:szCs w:val="24"/>
        </w:rPr>
        <w:t xml:space="preserve"> application </w:t>
      </w:r>
      <w:r w:rsidR="00F71663">
        <w:rPr>
          <w:rFonts w:ascii="Arial" w:hAnsi="Arial" w:cs="Arial"/>
          <w:sz w:val="24"/>
          <w:szCs w:val="24"/>
        </w:rPr>
        <w:t xml:space="preserve">of the applicants </w:t>
      </w:r>
      <w:r w:rsidR="00F41601">
        <w:rPr>
          <w:rFonts w:ascii="Arial" w:hAnsi="Arial" w:cs="Arial"/>
          <w:sz w:val="24"/>
          <w:szCs w:val="24"/>
        </w:rPr>
        <w:t>does not address the question, why this court should summarily dismiss the respondents’ appeal. The applicants allege that the appeal is an abuse of court process and that the respondents instituted the appeal to frustrate and annoy the a</w:t>
      </w:r>
      <w:r w:rsidR="00F71663">
        <w:rPr>
          <w:rFonts w:ascii="Arial" w:hAnsi="Arial" w:cs="Arial"/>
          <w:sz w:val="24"/>
          <w:szCs w:val="24"/>
        </w:rPr>
        <w:t>pplicants.</w:t>
      </w:r>
    </w:p>
    <w:p w:rsidR="00F41601" w:rsidRDefault="00F41601" w:rsidP="0077311C">
      <w:pPr>
        <w:pStyle w:val="ListParagraph"/>
        <w:spacing w:after="0" w:line="480" w:lineRule="auto"/>
        <w:jc w:val="both"/>
        <w:rPr>
          <w:rFonts w:ascii="Arial" w:hAnsi="Arial" w:cs="Arial"/>
          <w:sz w:val="24"/>
          <w:szCs w:val="24"/>
        </w:rPr>
      </w:pPr>
    </w:p>
    <w:p w:rsidR="00274A49" w:rsidRDefault="00800F06" w:rsidP="00274A4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respondents were served with this application for the summary dismissal of their appeal on 1 November 2023. They then filed an answering affidavit on 28 November 2023. In terms of rule 6(3), the answering affidavit had to be filed within </w:t>
      </w:r>
      <w:r w:rsidR="007D3D24">
        <w:rPr>
          <w:rFonts w:ascii="Arial" w:hAnsi="Arial" w:cs="Arial"/>
          <w:sz w:val="24"/>
          <w:szCs w:val="24"/>
        </w:rPr>
        <w:t>ten</w:t>
      </w:r>
      <w:r>
        <w:rPr>
          <w:rFonts w:ascii="Arial" w:hAnsi="Arial" w:cs="Arial"/>
          <w:sz w:val="24"/>
          <w:szCs w:val="24"/>
        </w:rPr>
        <w:t xml:space="preserve"> days from the date on which they we</w:t>
      </w:r>
      <w:r w:rsidR="00B40CDD">
        <w:rPr>
          <w:rFonts w:ascii="Arial" w:hAnsi="Arial" w:cs="Arial"/>
          <w:sz w:val="24"/>
          <w:szCs w:val="24"/>
        </w:rPr>
        <w:t xml:space="preserve">re served with the application. </w:t>
      </w:r>
      <w:r>
        <w:rPr>
          <w:rFonts w:ascii="Arial" w:hAnsi="Arial" w:cs="Arial"/>
          <w:sz w:val="24"/>
          <w:szCs w:val="24"/>
        </w:rPr>
        <w:t>The answering affidavit is therefore filed out of time</w:t>
      </w:r>
      <w:r w:rsidR="00F71663">
        <w:rPr>
          <w:rFonts w:ascii="Arial" w:hAnsi="Arial" w:cs="Arial"/>
          <w:sz w:val="24"/>
          <w:szCs w:val="24"/>
        </w:rPr>
        <w:t xml:space="preserve"> as same was due for filing on</w:t>
      </w:r>
      <w:r w:rsidR="00B40CDD">
        <w:rPr>
          <w:rFonts w:ascii="Arial" w:hAnsi="Arial" w:cs="Arial"/>
          <w:sz w:val="24"/>
          <w:szCs w:val="24"/>
        </w:rPr>
        <w:t xml:space="preserve"> 15 November 2023</w:t>
      </w:r>
      <w:r w:rsidR="00F71663">
        <w:rPr>
          <w:rFonts w:ascii="Arial" w:hAnsi="Arial" w:cs="Arial"/>
          <w:sz w:val="24"/>
          <w:szCs w:val="24"/>
        </w:rPr>
        <w:t>.</w:t>
      </w:r>
      <w:r>
        <w:rPr>
          <w:rFonts w:ascii="Arial" w:hAnsi="Arial" w:cs="Arial"/>
          <w:sz w:val="24"/>
          <w:szCs w:val="24"/>
        </w:rPr>
        <w:t xml:space="preserve"> </w:t>
      </w:r>
      <w:r w:rsidR="00F71663">
        <w:rPr>
          <w:rFonts w:ascii="Arial" w:hAnsi="Arial" w:cs="Arial"/>
          <w:sz w:val="24"/>
          <w:szCs w:val="24"/>
        </w:rPr>
        <w:lastRenderedPageBreak/>
        <w:t xml:space="preserve">The belatedly filed answering affidavit </w:t>
      </w:r>
      <w:r>
        <w:rPr>
          <w:rFonts w:ascii="Arial" w:hAnsi="Arial" w:cs="Arial"/>
          <w:sz w:val="24"/>
          <w:szCs w:val="24"/>
        </w:rPr>
        <w:t xml:space="preserve">is not accompanied by a condonation application, as a result </w:t>
      </w:r>
      <w:r w:rsidR="00D95571">
        <w:rPr>
          <w:rFonts w:ascii="Arial" w:hAnsi="Arial" w:cs="Arial"/>
          <w:sz w:val="24"/>
          <w:szCs w:val="24"/>
        </w:rPr>
        <w:t>the answering affidavit will be disregarded</w:t>
      </w:r>
      <w:r>
        <w:rPr>
          <w:rFonts w:ascii="Arial" w:hAnsi="Arial" w:cs="Arial"/>
          <w:sz w:val="24"/>
          <w:szCs w:val="24"/>
        </w:rPr>
        <w:t>.</w:t>
      </w:r>
    </w:p>
    <w:p w:rsidR="00800F06" w:rsidRDefault="00800F06" w:rsidP="0077311C">
      <w:pPr>
        <w:pStyle w:val="ListParagraph"/>
        <w:spacing w:after="0" w:line="480" w:lineRule="auto"/>
        <w:jc w:val="both"/>
        <w:rPr>
          <w:rFonts w:ascii="Arial" w:hAnsi="Arial" w:cs="Arial"/>
          <w:sz w:val="24"/>
          <w:szCs w:val="24"/>
        </w:rPr>
      </w:pPr>
    </w:p>
    <w:p w:rsidR="00274A49" w:rsidRDefault="00800F06" w:rsidP="00800F0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rather unfortunate that the lay litigant has kept </w:t>
      </w:r>
      <w:r w:rsidR="00D815EB">
        <w:rPr>
          <w:rFonts w:ascii="Arial" w:hAnsi="Arial" w:cs="Arial"/>
          <w:sz w:val="24"/>
          <w:szCs w:val="24"/>
        </w:rPr>
        <w:t xml:space="preserve">to </w:t>
      </w:r>
      <w:r>
        <w:rPr>
          <w:rFonts w:ascii="Arial" w:hAnsi="Arial" w:cs="Arial"/>
          <w:sz w:val="24"/>
          <w:szCs w:val="24"/>
        </w:rPr>
        <w:t>the timelines and the party represented by exper</w:t>
      </w:r>
      <w:r w:rsidR="00F71663">
        <w:rPr>
          <w:rFonts w:ascii="Arial" w:hAnsi="Arial" w:cs="Arial"/>
          <w:sz w:val="24"/>
          <w:szCs w:val="24"/>
        </w:rPr>
        <w:t>ienced legal practitioners failed</w:t>
      </w:r>
      <w:r>
        <w:rPr>
          <w:rFonts w:ascii="Arial" w:hAnsi="Arial" w:cs="Arial"/>
          <w:sz w:val="24"/>
          <w:szCs w:val="24"/>
        </w:rPr>
        <w:t xml:space="preserve"> to do so. To add insult to injury, no condonation application is filed, despite the second respondent raising this in her replying affidavit, which replying affidavit in any event was not </w:t>
      </w:r>
      <w:r w:rsidR="00F71663">
        <w:rPr>
          <w:rFonts w:ascii="Arial" w:hAnsi="Arial" w:cs="Arial"/>
          <w:sz w:val="24"/>
          <w:szCs w:val="24"/>
        </w:rPr>
        <w:t>necessary in terms of the rules and on account of the fact that the answering affidavit was filed out of time.</w:t>
      </w:r>
    </w:p>
    <w:p w:rsidR="00800F06" w:rsidRPr="00800F06" w:rsidRDefault="00800F06" w:rsidP="00800F06">
      <w:pPr>
        <w:pStyle w:val="NoSpacing"/>
        <w:spacing w:line="480" w:lineRule="auto"/>
        <w:jc w:val="both"/>
        <w:rPr>
          <w:rFonts w:ascii="Arial" w:hAnsi="Arial" w:cs="Arial"/>
          <w:sz w:val="24"/>
          <w:szCs w:val="24"/>
        </w:rPr>
      </w:pPr>
    </w:p>
    <w:p w:rsidR="00165D99" w:rsidRPr="00800F06" w:rsidRDefault="00800F06" w:rsidP="00165D99">
      <w:pPr>
        <w:pStyle w:val="NoSpacing"/>
        <w:spacing w:line="480" w:lineRule="auto"/>
        <w:jc w:val="both"/>
        <w:rPr>
          <w:rFonts w:ascii="Arial" w:hAnsi="Arial" w:cs="Arial"/>
          <w:sz w:val="24"/>
          <w:szCs w:val="24"/>
          <w:u w:val="single"/>
        </w:rPr>
      </w:pPr>
      <w:r w:rsidRPr="00800F06">
        <w:rPr>
          <w:rFonts w:ascii="Arial" w:hAnsi="Arial" w:cs="Arial"/>
          <w:sz w:val="24"/>
          <w:szCs w:val="24"/>
          <w:u w:val="single"/>
        </w:rPr>
        <w:t>Applicable legal principles and discussion</w:t>
      </w:r>
    </w:p>
    <w:p w:rsidR="00800F06" w:rsidRDefault="00800F06" w:rsidP="005F7301">
      <w:pPr>
        <w:pStyle w:val="NoSpacing"/>
        <w:spacing w:line="480" w:lineRule="auto"/>
        <w:jc w:val="both"/>
        <w:rPr>
          <w:rFonts w:ascii="Arial" w:hAnsi="Arial" w:cs="Arial"/>
          <w:i/>
          <w:sz w:val="24"/>
          <w:szCs w:val="24"/>
        </w:rPr>
      </w:pPr>
      <w:r>
        <w:rPr>
          <w:rFonts w:ascii="Arial" w:hAnsi="Arial" w:cs="Arial"/>
          <w:i/>
          <w:sz w:val="24"/>
          <w:szCs w:val="24"/>
        </w:rPr>
        <w:t>S</w:t>
      </w:r>
      <w:r w:rsidR="005C6BD1">
        <w:rPr>
          <w:rFonts w:ascii="Arial" w:hAnsi="Arial" w:cs="Arial"/>
          <w:i/>
          <w:sz w:val="24"/>
          <w:szCs w:val="24"/>
        </w:rPr>
        <w:t>ummary dismissal of appeal in re s</w:t>
      </w:r>
      <w:r>
        <w:rPr>
          <w:rFonts w:ascii="Arial" w:hAnsi="Arial" w:cs="Arial"/>
          <w:i/>
          <w:sz w:val="24"/>
          <w:szCs w:val="24"/>
        </w:rPr>
        <w:t>poliation application</w:t>
      </w:r>
    </w:p>
    <w:p w:rsidR="007D3D24" w:rsidRPr="007D3D24" w:rsidRDefault="007D3D24" w:rsidP="005F7301">
      <w:pPr>
        <w:pStyle w:val="NoSpacing"/>
        <w:spacing w:line="480" w:lineRule="auto"/>
        <w:jc w:val="both"/>
        <w:rPr>
          <w:rFonts w:ascii="Arial" w:hAnsi="Arial" w:cs="Arial"/>
          <w:sz w:val="24"/>
          <w:szCs w:val="24"/>
        </w:rPr>
      </w:pPr>
    </w:p>
    <w:p w:rsidR="00D815EB" w:rsidRDefault="00AE5C3E" w:rsidP="00E30D9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Section</w:t>
      </w:r>
      <w:r w:rsidR="00D815EB">
        <w:rPr>
          <w:rFonts w:ascii="Arial" w:hAnsi="Arial" w:cs="Arial"/>
          <w:sz w:val="24"/>
          <w:szCs w:val="24"/>
        </w:rPr>
        <w:t xml:space="preserve"> 14(7</w:t>
      </w:r>
      <w:r w:rsidR="00D815EB" w:rsidRPr="00F71663">
        <w:rPr>
          <w:rFonts w:ascii="Arial" w:hAnsi="Arial" w:cs="Arial"/>
          <w:i/>
          <w:sz w:val="24"/>
          <w:szCs w:val="24"/>
        </w:rPr>
        <w:t>)</w:t>
      </w:r>
      <w:r w:rsidR="00F71663" w:rsidRPr="00F71663">
        <w:rPr>
          <w:rFonts w:ascii="Arial" w:hAnsi="Arial" w:cs="Arial"/>
          <w:i/>
          <w:sz w:val="24"/>
          <w:szCs w:val="24"/>
        </w:rPr>
        <w:t>(a)(</w:t>
      </w:r>
      <w:r w:rsidR="00F71663">
        <w:rPr>
          <w:rFonts w:ascii="Arial" w:hAnsi="Arial" w:cs="Arial"/>
          <w:sz w:val="24"/>
          <w:szCs w:val="24"/>
        </w:rPr>
        <w:t>i)</w:t>
      </w:r>
      <w:r w:rsidR="00D815EB">
        <w:rPr>
          <w:rFonts w:ascii="Arial" w:hAnsi="Arial" w:cs="Arial"/>
          <w:sz w:val="24"/>
          <w:szCs w:val="24"/>
        </w:rPr>
        <w:t xml:space="preserve"> of the Supreme Court Act 15 of 1990</w:t>
      </w:r>
      <w:r>
        <w:rPr>
          <w:rFonts w:ascii="Arial" w:hAnsi="Arial" w:cs="Arial"/>
          <w:sz w:val="24"/>
          <w:szCs w:val="24"/>
        </w:rPr>
        <w:t xml:space="preserve"> provides that –</w:t>
      </w:r>
    </w:p>
    <w:p w:rsidR="00282783" w:rsidRPr="007A21DA" w:rsidRDefault="007D3D24" w:rsidP="00993D16">
      <w:pPr>
        <w:pStyle w:val="NoSpacing"/>
        <w:spacing w:line="480" w:lineRule="auto"/>
        <w:ind w:left="720"/>
        <w:jc w:val="both"/>
        <w:rPr>
          <w:rFonts w:ascii="Arial" w:hAnsi="Arial" w:cs="Arial"/>
        </w:rPr>
      </w:pPr>
      <w:r>
        <w:rPr>
          <w:rFonts w:ascii="Arial" w:hAnsi="Arial" w:cs="Arial"/>
        </w:rPr>
        <w:t>‘</w:t>
      </w:r>
      <w:r w:rsidR="00AE5C3E" w:rsidRPr="00AE5C3E">
        <w:rPr>
          <w:rFonts w:ascii="Arial" w:hAnsi="Arial" w:cs="Arial"/>
        </w:rPr>
        <w:t>(i</w:t>
      </w:r>
      <w:r w:rsidR="00AE5C3E" w:rsidRPr="007D3D24">
        <w:rPr>
          <w:rFonts w:ascii="Arial" w:hAnsi="Arial" w:cs="Arial"/>
        </w:rPr>
        <w:t>) may, in his or her discretion, summarily dismiss the appeal on the grounds that it is frivolous or vexatious or otherwise has no prospects of success;</w:t>
      </w:r>
      <w:r w:rsidR="00F71663">
        <w:rPr>
          <w:rFonts w:ascii="Arial" w:hAnsi="Arial" w:cs="Arial"/>
        </w:rPr>
        <w:t xml:space="preserve"> or</w:t>
      </w:r>
      <w:r>
        <w:rPr>
          <w:rFonts w:ascii="Arial" w:hAnsi="Arial" w:cs="Arial"/>
        </w:rPr>
        <w:t>’</w:t>
      </w:r>
      <w:r w:rsidR="00F71663">
        <w:rPr>
          <w:rFonts w:ascii="Arial" w:hAnsi="Arial" w:cs="Arial"/>
        </w:rPr>
        <w:t xml:space="preserve"> </w:t>
      </w:r>
      <w:r w:rsidR="008704FA" w:rsidRPr="008704FA">
        <w:rPr>
          <w:rFonts w:ascii="Arial" w:hAnsi="Arial" w:cs="Arial"/>
          <w:sz w:val="24"/>
          <w:szCs w:val="24"/>
        </w:rPr>
        <w:t>[My emphasis]</w:t>
      </w:r>
    </w:p>
    <w:p w:rsidR="00F71663" w:rsidRPr="00282783" w:rsidRDefault="00F71663" w:rsidP="00282783">
      <w:pPr>
        <w:pStyle w:val="NoSpacing"/>
        <w:spacing w:line="480" w:lineRule="auto"/>
        <w:jc w:val="both"/>
        <w:rPr>
          <w:rFonts w:ascii="Arial" w:hAnsi="Arial" w:cs="Arial"/>
          <w:sz w:val="24"/>
          <w:szCs w:val="24"/>
        </w:rPr>
      </w:pPr>
    </w:p>
    <w:p w:rsidR="00282783" w:rsidRPr="00282783" w:rsidRDefault="00282783" w:rsidP="00993D1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282783">
        <w:rPr>
          <w:rFonts w:ascii="Arial" w:hAnsi="Arial" w:cs="Arial"/>
          <w:i/>
          <w:sz w:val="24"/>
          <w:szCs w:val="24"/>
        </w:rPr>
        <w:t xml:space="preserve">Permanent Secretary of the Judiciary v </w:t>
      </w:r>
      <w:proofErr w:type="spellStart"/>
      <w:r w:rsidRPr="00282783">
        <w:rPr>
          <w:rFonts w:ascii="Arial" w:hAnsi="Arial" w:cs="Arial"/>
          <w:i/>
          <w:sz w:val="24"/>
          <w:szCs w:val="24"/>
        </w:rPr>
        <w:t>Somaeb</w:t>
      </w:r>
      <w:proofErr w:type="spellEnd"/>
      <w:r w:rsidRPr="00282783">
        <w:rPr>
          <w:rFonts w:ascii="Arial" w:hAnsi="Arial" w:cs="Arial"/>
          <w:i/>
          <w:sz w:val="24"/>
          <w:szCs w:val="24"/>
        </w:rPr>
        <w:t xml:space="preserve"> &amp; another</w:t>
      </w:r>
      <w:r w:rsidR="00993D16" w:rsidRPr="007D3D24">
        <w:rPr>
          <w:rStyle w:val="FootnoteReference"/>
          <w:rFonts w:ascii="Arial" w:hAnsi="Arial" w:cs="Arial"/>
          <w:sz w:val="24"/>
          <w:szCs w:val="24"/>
        </w:rPr>
        <w:footnoteReference w:id="2"/>
      </w:r>
      <w:r>
        <w:rPr>
          <w:rFonts w:ascii="Arial" w:hAnsi="Arial" w:cs="Arial"/>
          <w:sz w:val="24"/>
          <w:szCs w:val="24"/>
        </w:rPr>
        <w:t xml:space="preserve">, this </w:t>
      </w:r>
      <w:r w:rsidR="007D3D24">
        <w:rPr>
          <w:rFonts w:ascii="Arial" w:hAnsi="Arial" w:cs="Arial"/>
          <w:sz w:val="24"/>
          <w:szCs w:val="24"/>
        </w:rPr>
        <w:t>C</w:t>
      </w:r>
      <w:r>
        <w:rPr>
          <w:rFonts w:ascii="Arial" w:hAnsi="Arial" w:cs="Arial"/>
          <w:sz w:val="24"/>
          <w:szCs w:val="24"/>
        </w:rPr>
        <w:t>ourt facing a similar application as this and in determining the meaning of ‘</w:t>
      </w:r>
      <w:r w:rsidRPr="00282783">
        <w:rPr>
          <w:rFonts w:ascii="Arial" w:hAnsi="Arial" w:cs="Arial"/>
          <w:sz w:val="24"/>
          <w:szCs w:val="24"/>
        </w:rPr>
        <w:t>frivolous or vexatious or otherwise has no prospects of success</w:t>
      </w:r>
      <w:r>
        <w:rPr>
          <w:rFonts w:ascii="Arial" w:hAnsi="Arial" w:cs="Arial"/>
          <w:sz w:val="24"/>
          <w:szCs w:val="24"/>
        </w:rPr>
        <w:t xml:space="preserve">’ applied the definition given by Hoff, J in </w:t>
      </w:r>
      <w:r w:rsidRPr="007D3D24">
        <w:rPr>
          <w:rFonts w:ascii="Arial" w:hAnsi="Arial" w:cs="Arial"/>
          <w:i/>
          <w:sz w:val="24"/>
          <w:szCs w:val="24"/>
        </w:rPr>
        <w:t>Namibia</w:t>
      </w:r>
      <w:r w:rsidRPr="00282783">
        <w:rPr>
          <w:rFonts w:ascii="Arial" w:hAnsi="Arial" w:cs="Arial"/>
          <w:sz w:val="24"/>
          <w:szCs w:val="24"/>
        </w:rPr>
        <w:t xml:space="preserve"> </w:t>
      </w:r>
      <w:r w:rsidRPr="00282783">
        <w:rPr>
          <w:rFonts w:ascii="Arial" w:hAnsi="Arial" w:cs="Arial"/>
          <w:i/>
          <w:sz w:val="24"/>
          <w:szCs w:val="24"/>
        </w:rPr>
        <w:t xml:space="preserve">Seaman and Allied Workers Union v </w:t>
      </w:r>
      <w:proofErr w:type="spellStart"/>
      <w:r w:rsidRPr="00282783">
        <w:rPr>
          <w:rFonts w:ascii="Arial" w:hAnsi="Arial" w:cs="Arial"/>
          <w:i/>
          <w:sz w:val="24"/>
          <w:szCs w:val="24"/>
        </w:rPr>
        <w:t>Tunacor</w:t>
      </w:r>
      <w:proofErr w:type="spellEnd"/>
      <w:r w:rsidRPr="00282783">
        <w:rPr>
          <w:rFonts w:ascii="Arial" w:hAnsi="Arial" w:cs="Arial"/>
          <w:i/>
          <w:sz w:val="24"/>
          <w:szCs w:val="24"/>
        </w:rPr>
        <w:t xml:space="preserve"> Group Ltd</w:t>
      </w:r>
      <w:r w:rsidRPr="007D3D24">
        <w:rPr>
          <w:rStyle w:val="FootnoteReference"/>
          <w:rFonts w:ascii="Arial" w:hAnsi="Arial" w:cs="Arial"/>
          <w:sz w:val="24"/>
          <w:szCs w:val="24"/>
        </w:rPr>
        <w:footnoteReference w:id="3"/>
      </w:r>
      <w:r>
        <w:rPr>
          <w:rFonts w:ascii="Arial" w:hAnsi="Arial" w:cs="Arial"/>
          <w:i/>
          <w:sz w:val="24"/>
          <w:szCs w:val="24"/>
        </w:rPr>
        <w:t>.</w:t>
      </w:r>
      <w:r w:rsidRPr="00282783">
        <w:rPr>
          <w:rFonts w:ascii="Arial" w:hAnsi="Arial" w:cs="Arial"/>
          <w:sz w:val="24"/>
          <w:szCs w:val="24"/>
        </w:rPr>
        <w:t xml:space="preserve"> </w:t>
      </w:r>
      <w:r>
        <w:rPr>
          <w:rFonts w:ascii="Arial" w:hAnsi="Arial" w:cs="Arial"/>
          <w:sz w:val="24"/>
          <w:szCs w:val="24"/>
        </w:rPr>
        <w:t xml:space="preserve">In </w:t>
      </w:r>
      <w:proofErr w:type="spellStart"/>
      <w:r w:rsidRPr="00290997">
        <w:rPr>
          <w:rFonts w:ascii="Arial" w:hAnsi="Arial" w:cs="Arial"/>
          <w:i/>
          <w:sz w:val="24"/>
          <w:szCs w:val="24"/>
        </w:rPr>
        <w:t>Tunacor</w:t>
      </w:r>
      <w:proofErr w:type="spellEnd"/>
      <w:r w:rsidRPr="00290997">
        <w:rPr>
          <w:rFonts w:ascii="Arial" w:hAnsi="Arial" w:cs="Arial"/>
          <w:i/>
          <w:sz w:val="24"/>
          <w:szCs w:val="24"/>
        </w:rPr>
        <w:t xml:space="preserve"> Group Ltd</w:t>
      </w:r>
      <w:r>
        <w:rPr>
          <w:rFonts w:ascii="Arial" w:hAnsi="Arial" w:cs="Arial"/>
          <w:sz w:val="24"/>
          <w:szCs w:val="24"/>
        </w:rPr>
        <w:t xml:space="preserve">, Hoff J </w:t>
      </w:r>
      <w:r w:rsidRPr="00282783">
        <w:rPr>
          <w:rFonts w:ascii="Arial" w:hAnsi="Arial" w:cs="Arial"/>
          <w:sz w:val="24"/>
          <w:szCs w:val="24"/>
        </w:rPr>
        <w:t>had the following to say about the meaning of vexatious or frivolous proceedings:</w:t>
      </w:r>
    </w:p>
    <w:p w:rsidR="00282783" w:rsidRDefault="007D3D24" w:rsidP="00993D16">
      <w:pPr>
        <w:pStyle w:val="NoSpacing"/>
        <w:spacing w:line="480" w:lineRule="auto"/>
        <w:ind w:left="720"/>
        <w:jc w:val="both"/>
        <w:rPr>
          <w:rFonts w:ascii="Arial" w:hAnsi="Arial" w:cs="Arial"/>
        </w:rPr>
      </w:pPr>
      <w:r>
        <w:rPr>
          <w:rFonts w:ascii="Arial" w:hAnsi="Arial" w:cs="Arial"/>
        </w:rPr>
        <w:lastRenderedPageBreak/>
        <w:t>‘</w:t>
      </w:r>
      <w:r w:rsidR="00993D16" w:rsidRPr="007A21DA">
        <w:rPr>
          <w:rFonts w:ascii="Arial" w:hAnsi="Arial" w:cs="Arial"/>
        </w:rPr>
        <w:t>In its legal sense, ''vexatious'' means ''frivolous improper''</w:t>
      </w:r>
      <w:r>
        <w:rPr>
          <w:rFonts w:ascii="Arial" w:hAnsi="Arial" w:cs="Arial"/>
        </w:rPr>
        <w:t>:</w:t>
      </w:r>
      <w:r w:rsidR="00993D16" w:rsidRPr="007A21DA">
        <w:rPr>
          <w:rFonts w:ascii="Arial" w:hAnsi="Arial" w:cs="Arial"/>
        </w:rPr>
        <w:t xml:space="preserve"> </w:t>
      </w:r>
      <w:r w:rsidR="00993D16" w:rsidRPr="00993D16">
        <w:rPr>
          <w:rFonts w:ascii="Arial" w:hAnsi="Arial" w:cs="Arial"/>
          <w:u w:val="single"/>
        </w:rPr>
        <w:t>instituted without sufficient ground, to serve solely as an annoyance to the defendant</w:t>
      </w:r>
      <w:r w:rsidR="00993D16">
        <w:rPr>
          <w:rFonts w:ascii="Arial" w:hAnsi="Arial" w:cs="Arial"/>
        </w:rPr>
        <w:t>.</w:t>
      </w:r>
      <w:r>
        <w:rPr>
          <w:rFonts w:ascii="Arial" w:hAnsi="Arial" w:cs="Arial"/>
        </w:rPr>
        <w:t>’</w:t>
      </w:r>
      <w:r w:rsidR="00993D16">
        <w:rPr>
          <w:rStyle w:val="FootnoteReference"/>
          <w:rFonts w:ascii="Arial" w:hAnsi="Arial" w:cs="Arial"/>
        </w:rPr>
        <w:footnoteReference w:id="4"/>
      </w:r>
      <w:r w:rsidR="00993D16">
        <w:rPr>
          <w:rFonts w:ascii="Arial" w:hAnsi="Arial" w:cs="Arial"/>
        </w:rPr>
        <w:t xml:space="preserve"> [My emphasis]</w:t>
      </w:r>
    </w:p>
    <w:p w:rsidR="00993D16" w:rsidRDefault="00993D16" w:rsidP="00993D16">
      <w:pPr>
        <w:pStyle w:val="NoSpacing"/>
        <w:spacing w:line="480" w:lineRule="auto"/>
        <w:ind w:left="720"/>
        <w:jc w:val="both"/>
        <w:rPr>
          <w:rFonts w:ascii="Arial" w:hAnsi="Arial" w:cs="Arial"/>
          <w:sz w:val="24"/>
          <w:szCs w:val="24"/>
        </w:rPr>
      </w:pPr>
    </w:p>
    <w:p w:rsidR="00993D16" w:rsidRDefault="008704FA" w:rsidP="005B5313">
      <w:pPr>
        <w:pStyle w:val="NoSpacing"/>
        <w:numPr>
          <w:ilvl w:val="0"/>
          <w:numId w:val="1"/>
        </w:numPr>
        <w:spacing w:line="480" w:lineRule="auto"/>
        <w:ind w:left="0" w:firstLine="0"/>
        <w:jc w:val="both"/>
        <w:rPr>
          <w:rFonts w:ascii="Arial" w:hAnsi="Arial" w:cs="Arial"/>
          <w:sz w:val="24"/>
          <w:szCs w:val="24"/>
        </w:rPr>
      </w:pPr>
      <w:r w:rsidRPr="003C1B67">
        <w:rPr>
          <w:rFonts w:ascii="Arial" w:hAnsi="Arial" w:cs="Arial"/>
          <w:sz w:val="24"/>
          <w:szCs w:val="24"/>
        </w:rPr>
        <w:t xml:space="preserve">To determine whether the appeal is indeed frivolous or vexatious or otherwise has no prospects of success, </w:t>
      </w:r>
      <w:r w:rsidR="003C1B67" w:rsidRPr="003C1B67">
        <w:rPr>
          <w:rFonts w:ascii="Arial" w:hAnsi="Arial" w:cs="Arial"/>
          <w:sz w:val="24"/>
          <w:szCs w:val="24"/>
        </w:rPr>
        <w:t xml:space="preserve">one would have to consider </w:t>
      </w:r>
      <w:r w:rsidR="00993D16">
        <w:rPr>
          <w:rFonts w:ascii="Arial" w:hAnsi="Arial" w:cs="Arial"/>
          <w:sz w:val="24"/>
          <w:szCs w:val="24"/>
        </w:rPr>
        <w:t xml:space="preserve">whether on </w:t>
      </w:r>
      <w:r w:rsidR="003C1B67" w:rsidRPr="003C1B67">
        <w:rPr>
          <w:rFonts w:ascii="Arial" w:hAnsi="Arial" w:cs="Arial"/>
          <w:sz w:val="24"/>
          <w:szCs w:val="24"/>
        </w:rPr>
        <w:t xml:space="preserve">the papers that served before the </w:t>
      </w:r>
      <w:r w:rsidR="003C1B67" w:rsidRPr="007D3D24">
        <w:rPr>
          <w:rFonts w:ascii="Arial" w:hAnsi="Arial" w:cs="Arial"/>
          <w:sz w:val="24"/>
          <w:szCs w:val="24"/>
        </w:rPr>
        <w:t xml:space="preserve">court </w:t>
      </w:r>
      <w:r w:rsidR="003C1B67" w:rsidRPr="003C1B67">
        <w:rPr>
          <w:rFonts w:ascii="Arial" w:hAnsi="Arial" w:cs="Arial"/>
          <w:i/>
          <w:sz w:val="24"/>
          <w:szCs w:val="24"/>
        </w:rPr>
        <w:t>a quo</w:t>
      </w:r>
      <w:r w:rsidR="00993D16">
        <w:rPr>
          <w:rFonts w:ascii="Arial" w:hAnsi="Arial" w:cs="Arial"/>
          <w:i/>
          <w:sz w:val="24"/>
          <w:szCs w:val="24"/>
        </w:rPr>
        <w:t xml:space="preserve"> </w:t>
      </w:r>
      <w:r w:rsidR="00993D16">
        <w:rPr>
          <w:rFonts w:ascii="Arial" w:hAnsi="Arial" w:cs="Arial"/>
          <w:sz w:val="24"/>
          <w:szCs w:val="24"/>
        </w:rPr>
        <w:t>and the judgment that followed, the respondents’ appeal is without sufficient ground and for the sole purpose of annoying the applicant.</w:t>
      </w:r>
    </w:p>
    <w:p w:rsidR="003C1B67" w:rsidRDefault="003C1B67" w:rsidP="003C1B67">
      <w:pPr>
        <w:pStyle w:val="NoSpacing"/>
        <w:spacing w:line="480" w:lineRule="auto"/>
        <w:jc w:val="both"/>
        <w:rPr>
          <w:rFonts w:ascii="Arial" w:hAnsi="Arial" w:cs="Arial"/>
          <w:sz w:val="24"/>
          <w:szCs w:val="24"/>
        </w:rPr>
      </w:pPr>
    </w:p>
    <w:p w:rsidR="00993D16" w:rsidRDefault="00993D16" w:rsidP="00B6623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To determine this issue, I will turn to the spoliation application(s) before the court </w:t>
      </w:r>
      <w:r w:rsidRPr="007D3D24">
        <w:rPr>
          <w:rFonts w:ascii="Arial" w:hAnsi="Arial" w:cs="Arial"/>
          <w:i/>
          <w:sz w:val="24"/>
          <w:szCs w:val="24"/>
        </w:rPr>
        <w:t>a quo</w:t>
      </w:r>
      <w:r>
        <w:rPr>
          <w:rFonts w:ascii="Arial" w:hAnsi="Arial" w:cs="Arial"/>
          <w:sz w:val="24"/>
          <w:szCs w:val="24"/>
        </w:rPr>
        <w:t>.</w:t>
      </w:r>
    </w:p>
    <w:p w:rsidR="00993D16" w:rsidRDefault="00993D16" w:rsidP="00290997">
      <w:pPr>
        <w:pStyle w:val="ListParagraph"/>
        <w:spacing w:after="0" w:line="480" w:lineRule="auto"/>
        <w:jc w:val="both"/>
        <w:rPr>
          <w:rFonts w:ascii="Arial" w:hAnsi="Arial" w:cs="Arial"/>
          <w:sz w:val="24"/>
          <w:szCs w:val="24"/>
        </w:rPr>
      </w:pPr>
    </w:p>
    <w:p w:rsidR="00B66234" w:rsidRPr="007D3D24" w:rsidRDefault="00B66234" w:rsidP="007D3D24">
      <w:pPr>
        <w:pStyle w:val="NoSpacing"/>
        <w:numPr>
          <w:ilvl w:val="0"/>
          <w:numId w:val="1"/>
        </w:numPr>
        <w:spacing w:line="480" w:lineRule="auto"/>
        <w:ind w:left="0" w:firstLine="0"/>
        <w:jc w:val="both"/>
        <w:rPr>
          <w:rFonts w:ascii="Arial" w:hAnsi="Arial" w:cs="Arial"/>
          <w:sz w:val="24"/>
          <w:szCs w:val="24"/>
        </w:rPr>
      </w:pPr>
      <w:r w:rsidRPr="003C1B67">
        <w:rPr>
          <w:rFonts w:ascii="Arial" w:hAnsi="Arial" w:cs="Arial"/>
          <w:sz w:val="24"/>
          <w:szCs w:val="24"/>
        </w:rPr>
        <w:t xml:space="preserve">The underlying, fundamental principle of the remedy of </w:t>
      </w:r>
      <w:proofErr w:type="spellStart"/>
      <w:r w:rsidRPr="003C1B67">
        <w:rPr>
          <w:rFonts w:ascii="Arial" w:hAnsi="Arial" w:cs="Arial"/>
          <w:i/>
          <w:sz w:val="24"/>
          <w:szCs w:val="24"/>
        </w:rPr>
        <w:t>mandament</w:t>
      </w:r>
      <w:proofErr w:type="spellEnd"/>
      <w:r w:rsidRPr="003C1B67">
        <w:rPr>
          <w:rFonts w:ascii="Arial" w:hAnsi="Arial" w:cs="Arial"/>
          <w:i/>
          <w:sz w:val="24"/>
          <w:szCs w:val="24"/>
        </w:rPr>
        <w:t xml:space="preserve"> van </w:t>
      </w:r>
      <w:proofErr w:type="spellStart"/>
      <w:r w:rsidRPr="003C1B67">
        <w:rPr>
          <w:rFonts w:ascii="Arial" w:hAnsi="Arial" w:cs="Arial"/>
          <w:i/>
          <w:sz w:val="24"/>
          <w:szCs w:val="24"/>
        </w:rPr>
        <w:t>spolie</w:t>
      </w:r>
      <w:proofErr w:type="spellEnd"/>
      <w:r w:rsidRPr="003C1B67">
        <w:rPr>
          <w:rFonts w:ascii="Arial" w:hAnsi="Arial" w:cs="Arial"/>
          <w:sz w:val="24"/>
          <w:szCs w:val="24"/>
        </w:rPr>
        <w:t xml:space="preserve"> is that no one is allowed to take the law into his own hands and thereby cause a breach of peace. </w:t>
      </w:r>
      <w:r>
        <w:rPr>
          <w:rFonts w:ascii="Arial" w:hAnsi="Arial" w:cs="Arial"/>
          <w:sz w:val="24"/>
          <w:szCs w:val="24"/>
        </w:rPr>
        <w:t xml:space="preserve">Therefore, </w:t>
      </w:r>
      <w:r w:rsidRPr="00B66234">
        <w:rPr>
          <w:rFonts w:ascii="Arial" w:hAnsi="Arial" w:cs="Arial"/>
          <w:sz w:val="24"/>
          <w:szCs w:val="24"/>
        </w:rPr>
        <w:t>‘</w:t>
      </w:r>
      <w:r>
        <w:rPr>
          <w:rFonts w:ascii="Arial" w:hAnsi="Arial" w:cs="Arial"/>
          <w:sz w:val="24"/>
          <w:szCs w:val="24"/>
        </w:rPr>
        <w:t>i</w:t>
      </w:r>
      <w:r w:rsidRPr="00B66234">
        <w:rPr>
          <w:rFonts w:ascii="Arial" w:hAnsi="Arial" w:cs="Arial"/>
          <w:sz w:val="24"/>
          <w:szCs w:val="24"/>
        </w:rPr>
        <w:t xml:space="preserve">n a spoliation application the </w:t>
      </w:r>
      <w:r w:rsidR="007D3D24">
        <w:rPr>
          <w:rFonts w:ascii="Arial" w:hAnsi="Arial" w:cs="Arial"/>
          <w:sz w:val="24"/>
          <w:szCs w:val="24"/>
        </w:rPr>
        <w:t>c</w:t>
      </w:r>
      <w:r w:rsidRPr="00B66234">
        <w:rPr>
          <w:rFonts w:ascii="Arial" w:hAnsi="Arial" w:cs="Arial"/>
          <w:sz w:val="24"/>
          <w:szCs w:val="24"/>
        </w:rPr>
        <w:t xml:space="preserve">ourt does not decide what </w:t>
      </w:r>
      <w:r w:rsidR="007D3D24">
        <w:rPr>
          <w:rFonts w:ascii="Arial" w:hAnsi="Arial" w:cs="Arial"/>
          <w:sz w:val="24"/>
          <w:szCs w:val="24"/>
        </w:rPr>
        <w:t>–</w:t>
      </w:r>
      <w:r w:rsidRPr="007D3D24">
        <w:rPr>
          <w:rFonts w:ascii="Arial" w:hAnsi="Arial" w:cs="Arial"/>
          <w:sz w:val="24"/>
          <w:szCs w:val="24"/>
        </w:rPr>
        <w:t xml:space="preserve"> apart from possession </w:t>
      </w:r>
      <w:r w:rsidR="007D3D24">
        <w:rPr>
          <w:rFonts w:ascii="Arial" w:hAnsi="Arial" w:cs="Arial"/>
          <w:sz w:val="24"/>
          <w:szCs w:val="24"/>
        </w:rPr>
        <w:t>–</w:t>
      </w:r>
      <w:r w:rsidRPr="007D3D24">
        <w:rPr>
          <w:rFonts w:ascii="Arial" w:hAnsi="Arial" w:cs="Arial"/>
          <w:sz w:val="24"/>
          <w:szCs w:val="24"/>
        </w:rPr>
        <w:t xml:space="preserve"> the rights of the parties to the </w:t>
      </w:r>
      <w:proofErr w:type="spellStart"/>
      <w:r w:rsidRPr="007D3D24">
        <w:rPr>
          <w:rFonts w:ascii="Arial" w:hAnsi="Arial" w:cs="Arial"/>
          <w:sz w:val="24"/>
          <w:szCs w:val="24"/>
        </w:rPr>
        <w:t>spoliated</w:t>
      </w:r>
      <w:proofErr w:type="spellEnd"/>
      <w:r w:rsidRPr="007D3D24">
        <w:rPr>
          <w:rFonts w:ascii="Arial" w:hAnsi="Arial" w:cs="Arial"/>
          <w:sz w:val="24"/>
          <w:szCs w:val="24"/>
        </w:rPr>
        <w:t xml:space="preserve"> property were before the act of spoliation but merely orders that the status </w:t>
      </w:r>
      <w:r w:rsidRPr="007D3D24">
        <w:rPr>
          <w:rFonts w:ascii="Arial" w:hAnsi="Arial" w:cs="Arial"/>
          <w:i/>
          <w:sz w:val="24"/>
          <w:szCs w:val="24"/>
        </w:rPr>
        <w:t>quo</w:t>
      </w:r>
      <w:r w:rsidRPr="007D3D24">
        <w:rPr>
          <w:rFonts w:ascii="Arial" w:hAnsi="Arial" w:cs="Arial"/>
          <w:sz w:val="24"/>
          <w:szCs w:val="24"/>
        </w:rPr>
        <w:t xml:space="preserve"> be restored. </w:t>
      </w:r>
      <w:r w:rsidRPr="007D3D24">
        <w:rPr>
          <w:rFonts w:ascii="Arial" w:hAnsi="Arial" w:cs="Arial"/>
          <w:sz w:val="24"/>
          <w:szCs w:val="24"/>
          <w:u w:val="single"/>
        </w:rPr>
        <w:t>The onus lies upon the applicant to prove on a balance of probabilities that</w:t>
      </w:r>
      <w:r w:rsidRPr="007D3D24">
        <w:rPr>
          <w:rFonts w:ascii="Arial" w:hAnsi="Arial" w:cs="Arial"/>
          <w:sz w:val="24"/>
          <w:szCs w:val="24"/>
        </w:rPr>
        <w:t>:</w:t>
      </w:r>
      <w:r w:rsidR="007D3D24">
        <w:rPr>
          <w:rFonts w:ascii="Arial" w:hAnsi="Arial" w:cs="Arial"/>
          <w:sz w:val="24"/>
          <w:szCs w:val="24"/>
        </w:rPr>
        <w:t xml:space="preserve"> </w:t>
      </w:r>
      <w:r w:rsidRPr="007D3D24">
        <w:rPr>
          <w:rFonts w:ascii="Arial" w:hAnsi="Arial" w:cs="Arial"/>
          <w:sz w:val="24"/>
          <w:szCs w:val="24"/>
        </w:rPr>
        <w:t>[My emphasis]</w:t>
      </w:r>
    </w:p>
    <w:p w:rsidR="00290997" w:rsidRDefault="00290997" w:rsidP="00290997">
      <w:pPr>
        <w:pStyle w:val="ListParagraph"/>
        <w:spacing w:after="0" w:line="480" w:lineRule="auto"/>
        <w:jc w:val="both"/>
        <w:rPr>
          <w:rFonts w:ascii="Arial" w:hAnsi="Arial" w:cs="Arial"/>
          <w:sz w:val="24"/>
          <w:szCs w:val="24"/>
        </w:rPr>
      </w:pPr>
    </w:p>
    <w:p w:rsidR="00B66234" w:rsidRDefault="00B66234" w:rsidP="00B66234">
      <w:pPr>
        <w:pStyle w:val="NoSpacing"/>
        <w:numPr>
          <w:ilvl w:val="0"/>
          <w:numId w:val="9"/>
        </w:numPr>
        <w:spacing w:line="480" w:lineRule="auto"/>
        <w:ind w:hanging="360"/>
        <w:jc w:val="both"/>
        <w:rPr>
          <w:rFonts w:ascii="Arial" w:hAnsi="Arial" w:cs="Arial"/>
          <w:sz w:val="24"/>
          <w:szCs w:val="24"/>
        </w:rPr>
      </w:pPr>
      <w:r w:rsidRPr="004B11E6">
        <w:rPr>
          <w:rFonts w:ascii="Arial" w:hAnsi="Arial" w:cs="Arial"/>
          <w:sz w:val="24"/>
          <w:szCs w:val="24"/>
        </w:rPr>
        <w:t>he was in peaceful and undisturbed possession of the property in question at the time of the alleged deprivation, and</w:t>
      </w:r>
      <w:r>
        <w:rPr>
          <w:rFonts w:ascii="Arial" w:hAnsi="Arial" w:cs="Arial"/>
          <w:sz w:val="24"/>
          <w:szCs w:val="24"/>
        </w:rPr>
        <w:t xml:space="preserve"> </w:t>
      </w:r>
    </w:p>
    <w:p w:rsidR="00B66234" w:rsidRPr="00B66234" w:rsidRDefault="00B66234" w:rsidP="00B66234">
      <w:pPr>
        <w:pStyle w:val="NoSpacing"/>
        <w:numPr>
          <w:ilvl w:val="0"/>
          <w:numId w:val="9"/>
        </w:numPr>
        <w:spacing w:line="480" w:lineRule="auto"/>
        <w:ind w:hanging="360"/>
        <w:jc w:val="both"/>
        <w:rPr>
          <w:rFonts w:ascii="Arial" w:hAnsi="Arial" w:cs="Arial"/>
          <w:sz w:val="24"/>
          <w:szCs w:val="24"/>
        </w:rPr>
      </w:pPr>
      <w:proofErr w:type="gramStart"/>
      <w:r w:rsidRPr="004B11E6">
        <w:rPr>
          <w:rFonts w:ascii="Arial" w:hAnsi="Arial" w:cs="Arial"/>
          <w:sz w:val="24"/>
          <w:szCs w:val="24"/>
        </w:rPr>
        <w:t>he</w:t>
      </w:r>
      <w:proofErr w:type="gramEnd"/>
      <w:r w:rsidRPr="004B11E6">
        <w:rPr>
          <w:rFonts w:ascii="Arial" w:hAnsi="Arial" w:cs="Arial"/>
          <w:sz w:val="24"/>
          <w:szCs w:val="24"/>
        </w:rPr>
        <w:t xml:space="preserve"> was unlawfully deprived of such possession.</w:t>
      </w:r>
      <w:r>
        <w:rPr>
          <w:rFonts w:ascii="Arial" w:hAnsi="Arial" w:cs="Arial"/>
          <w:sz w:val="24"/>
          <w:szCs w:val="24"/>
        </w:rPr>
        <w:t>’</w:t>
      </w:r>
      <w:r>
        <w:rPr>
          <w:rStyle w:val="FootnoteReference"/>
          <w:rFonts w:ascii="Arial" w:hAnsi="Arial" w:cs="Arial"/>
          <w:sz w:val="24"/>
          <w:szCs w:val="24"/>
        </w:rPr>
        <w:footnoteReference w:id="5"/>
      </w:r>
    </w:p>
    <w:p w:rsidR="00B66234" w:rsidRDefault="00B66234" w:rsidP="00B66234">
      <w:pPr>
        <w:pStyle w:val="ListParagraph"/>
        <w:rPr>
          <w:rFonts w:ascii="Arial" w:hAnsi="Arial" w:cs="Arial"/>
          <w:sz w:val="24"/>
          <w:szCs w:val="24"/>
        </w:rPr>
      </w:pPr>
    </w:p>
    <w:p w:rsidR="000969FA" w:rsidRPr="000969FA" w:rsidRDefault="00B66234" w:rsidP="00B66234">
      <w:pPr>
        <w:pStyle w:val="NoSpacing"/>
        <w:numPr>
          <w:ilvl w:val="0"/>
          <w:numId w:val="1"/>
        </w:numPr>
        <w:spacing w:line="480" w:lineRule="auto"/>
        <w:ind w:hanging="720"/>
        <w:jc w:val="both"/>
        <w:rPr>
          <w:rFonts w:ascii="Arial" w:hAnsi="Arial" w:cs="Arial"/>
        </w:rPr>
      </w:pPr>
      <w:r>
        <w:rPr>
          <w:rFonts w:ascii="Arial" w:hAnsi="Arial" w:cs="Arial"/>
          <w:sz w:val="24"/>
          <w:szCs w:val="24"/>
        </w:rPr>
        <w:lastRenderedPageBreak/>
        <w:t>It is true that</w:t>
      </w:r>
      <w:r w:rsidR="000969FA">
        <w:rPr>
          <w:rFonts w:ascii="Arial" w:hAnsi="Arial" w:cs="Arial"/>
          <w:sz w:val="24"/>
          <w:szCs w:val="24"/>
        </w:rPr>
        <w:t xml:space="preserve"> –</w:t>
      </w:r>
    </w:p>
    <w:p w:rsidR="000969FA" w:rsidRPr="000969FA" w:rsidRDefault="000969FA" w:rsidP="000969FA">
      <w:pPr>
        <w:pStyle w:val="NoSpacing"/>
        <w:spacing w:line="480" w:lineRule="auto"/>
        <w:ind w:left="720"/>
        <w:jc w:val="both"/>
        <w:rPr>
          <w:rFonts w:ascii="Arial" w:hAnsi="Arial" w:cs="Arial"/>
        </w:rPr>
      </w:pPr>
    </w:p>
    <w:p w:rsidR="00B66234" w:rsidRPr="00993D16" w:rsidRDefault="00B66234" w:rsidP="000969FA">
      <w:pPr>
        <w:pStyle w:val="NoSpacing"/>
        <w:spacing w:line="480" w:lineRule="auto"/>
        <w:ind w:left="720"/>
        <w:jc w:val="both"/>
        <w:rPr>
          <w:rFonts w:ascii="Arial" w:hAnsi="Arial" w:cs="Arial"/>
        </w:rPr>
      </w:pPr>
      <w:r>
        <w:rPr>
          <w:rFonts w:ascii="Arial" w:hAnsi="Arial" w:cs="Arial"/>
          <w:sz w:val="24"/>
          <w:szCs w:val="24"/>
        </w:rPr>
        <w:t xml:space="preserve"> ‘</w:t>
      </w:r>
      <w:r>
        <w:rPr>
          <w:rFonts w:ascii="Arial" w:hAnsi="Arial" w:cs="Arial"/>
        </w:rPr>
        <w:t>(w</w:t>
      </w:r>
      <w:proofErr w:type="gramStart"/>
      <w:r>
        <w:rPr>
          <w:rFonts w:ascii="Arial" w:hAnsi="Arial" w:cs="Arial"/>
        </w:rPr>
        <w:t>)</w:t>
      </w:r>
      <w:r w:rsidRPr="000C12B3">
        <w:rPr>
          <w:rFonts w:ascii="Arial" w:hAnsi="Arial" w:cs="Arial"/>
        </w:rPr>
        <w:t>hen</w:t>
      </w:r>
      <w:proofErr w:type="gramEnd"/>
      <w:r w:rsidRPr="000C12B3">
        <w:rPr>
          <w:rFonts w:ascii="Arial" w:hAnsi="Arial" w:cs="Arial"/>
        </w:rPr>
        <w:t xml:space="preserve"> people commit acts of spoliation by taking the law into their own hands, they must not be disappointed if they find that Courts of law take a serious view of their conduct. The principle of law is: </w:t>
      </w:r>
      <w:proofErr w:type="spellStart"/>
      <w:r w:rsidRPr="000C12B3">
        <w:rPr>
          <w:rFonts w:ascii="Arial" w:hAnsi="Arial" w:cs="Arial"/>
          <w:i/>
        </w:rPr>
        <w:t>Spoliatus</w:t>
      </w:r>
      <w:proofErr w:type="spellEnd"/>
      <w:r w:rsidRPr="000C12B3">
        <w:rPr>
          <w:rFonts w:ascii="Arial" w:hAnsi="Arial" w:cs="Arial"/>
          <w:i/>
        </w:rPr>
        <w:t xml:space="preserve"> ante </w:t>
      </w:r>
      <w:proofErr w:type="spellStart"/>
      <w:r w:rsidRPr="000C12B3">
        <w:rPr>
          <w:rFonts w:ascii="Arial" w:hAnsi="Arial" w:cs="Arial"/>
          <w:i/>
        </w:rPr>
        <w:t>omnia</w:t>
      </w:r>
      <w:proofErr w:type="spellEnd"/>
      <w:r w:rsidRPr="000C12B3">
        <w:rPr>
          <w:rFonts w:ascii="Arial" w:hAnsi="Arial" w:cs="Arial"/>
          <w:i/>
        </w:rPr>
        <w:t xml:space="preserve"> </w:t>
      </w:r>
      <w:proofErr w:type="spellStart"/>
      <w:r w:rsidRPr="000C12B3">
        <w:rPr>
          <w:rFonts w:ascii="Arial" w:hAnsi="Arial" w:cs="Arial"/>
          <w:i/>
        </w:rPr>
        <w:t>restituendus</w:t>
      </w:r>
      <w:proofErr w:type="spellEnd"/>
      <w:r w:rsidRPr="000C12B3">
        <w:rPr>
          <w:rFonts w:ascii="Arial" w:hAnsi="Arial" w:cs="Arial"/>
          <w:i/>
        </w:rPr>
        <w:t xml:space="preserve"> </w:t>
      </w:r>
      <w:proofErr w:type="gramStart"/>
      <w:r w:rsidRPr="000C12B3">
        <w:rPr>
          <w:rFonts w:ascii="Arial" w:hAnsi="Arial" w:cs="Arial"/>
          <w:i/>
        </w:rPr>
        <w:t>est</w:t>
      </w:r>
      <w:proofErr w:type="gramEnd"/>
      <w:r w:rsidRPr="000C12B3">
        <w:rPr>
          <w:rFonts w:ascii="Arial" w:hAnsi="Arial" w:cs="Arial"/>
        </w:rPr>
        <w:t>. If this principle means anything</w:t>
      </w:r>
      <w:r w:rsidR="003B5D50">
        <w:rPr>
          <w:rFonts w:ascii="Arial" w:hAnsi="Arial" w:cs="Arial"/>
        </w:rPr>
        <w:t>,</w:t>
      </w:r>
      <w:r w:rsidRPr="000C12B3">
        <w:rPr>
          <w:rFonts w:ascii="Arial" w:hAnsi="Arial" w:cs="Arial"/>
        </w:rPr>
        <w:t xml:space="preserve"> it means that before the Court will allow any enquiry into the ultimate rights of the parties the property which is the subject of the act of spoliation must be restored, to the person from whom it was taken, irrespective of the question as to who is in law entitled to be in possession of such property. The reason for this very drastic and firm rule is plain and obvious.</w:t>
      </w:r>
      <w:r>
        <w:rPr>
          <w:rFonts w:ascii="Arial" w:hAnsi="Arial" w:cs="Arial"/>
        </w:rPr>
        <w:t xml:space="preserve"> </w:t>
      </w:r>
      <w:r w:rsidRPr="009F6C33">
        <w:rPr>
          <w:rFonts w:ascii="Arial" w:hAnsi="Arial" w:cs="Arial"/>
        </w:rPr>
        <w:t>The general maintenance of law and order is of infinitely greater importance than mere rights of particular individuals to recover possession of their property</w:t>
      </w:r>
      <w:r w:rsidRPr="009F6C33">
        <w:rPr>
          <w:rFonts w:ascii="Arial" w:hAnsi="Arial" w:cs="Arial"/>
          <w:sz w:val="24"/>
          <w:szCs w:val="24"/>
        </w:rPr>
        <w:t>'</w:t>
      </w:r>
      <w:r w:rsidR="000969FA">
        <w:rPr>
          <w:rFonts w:ascii="Arial" w:hAnsi="Arial" w:cs="Arial"/>
          <w:sz w:val="24"/>
          <w:szCs w:val="24"/>
        </w:rPr>
        <w:t>.</w:t>
      </w:r>
      <w:r>
        <w:rPr>
          <w:rStyle w:val="FootnoteReference"/>
          <w:rFonts w:ascii="Arial" w:hAnsi="Arial" w:cs="Arial"/>
          <w:sz w:val="24"/>
          <w:szCs w:val="24"/>
        </w:rPr>
        <w:footnoteReference w:id="6"/>
      </w:r>
      <w:r>
        <w:rPr>
          <w:rFonts w:ascii="Arial" w:hAnsi="Arial" w:cs="Arial"/>
          <w:sz w:val="24"/>
          <w:szCs w:val="24"/>
        </w:rPr>
        <w:t xml:space="preserve"> </w:t>
      </w:r>
    </w:p>
    <w:p w:rsidR="00993D16" w:rsidRPr="009F6C33" w:rsidRDefault="00993D16" w:rsidP="00993D16">
      <w:pPr>
        <w:pStyle w:val="NoSpacing"/>
        <w:spacing w:line="480" w:lineRule="auto"/>
        <w:ind w:left="720"/>
        <w:jc w:val="both"/>
        <w:rPr>
          <w:rFonts w:ascii="Arial" w:hAnsi="Arial" w:cs="Arial"/>
        </w:rPr>
      </w:pPr>
    </w:p>
    <w:p w:rsidR="00B66234" w:rsidRDefault="00B66234" w:rsidP="00B6623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However, the remedy of </w:t>
      </w:r>
      <w:proofErr w:type="spellStart"/>
      <w:r w:rsidRPr="003B5D50">
        <w:rPr>
          <w:rFonts w:ascii="Arial" w:hAnsi="Arial" w:cs="Arial"/>
          <w:i/>
          <w:sz w:val="24"/>
          <w:szCs w:val="24"/>
        </w:rPr>
        <w:t>mandament</w:t>
      </w:r>
      <w:proofErr w:type="spellEnd"/>
      <w:r w:rsidRPr="003B5D50">
        <w:rPr>
          <w:rFonts w:ascii="Arial" w:hAnsi="Arial" w:cs="Arial"/>
          <w:i/>
          <w:sz w:val="24"/>
          <w:szCs w:val="24"/>
        </w:rPr>
        <w:t xml:space="preserve"> van </w:t>
      </w:r>
      <w:proofErr w:type="spellStart"/>
      <w:r w:rsidRPr="003B5D50">
        <w:rPr>
          <w:rFonts w:ascii="Arial" w:hAnsi="Arial" w:cs="Arial"/>
          <w:i/>
          <w:sz w:val="24"/>
          <w:szCs w:val="24"/>
        </w:rPr>
        <w:t>spolie</w:t>
      </w:r>
      <w:proofErr w:type="spellEnd"/>
      <w:r>
        <w:rPr>
          <w:rFonts w:ascii="Arial" w:hAnsi="Arial" w:cs="Arial"/>
          <w:sz w:val="24"/>
          <w:szCs w:val="24"/>
        </w:rPr>
        <w:t xml:space="preserve"> is not to be had for the asking. </w:t>
      </w:r>
      <w:r w:rsidR="003B5D50">
        <w:rPr>
          <w:rFonts w:ascii="Arial" w:hAnsi="Arial" w:cs="Arial"/>
          <w:sz w:val="24"/>
          <w:szCs w:val="24"/>
        </w:rPr>
        <w:t xml:space="preserve">The applicants had to, in their application </w:t>
      </w:r>
      <w:r w:rsidR="003B5D50" w:rsidRPr="000969FA">
        <w:rPr>
          <w:rFonts w:ascii="Arial" w:hAnsi="Arial" w:cs="Arial"/>
          <w:i/>
          <w:sz w:val="24"/>
          <w:szCs w:val="24"/>
        </w:rPr>
        <w:t>a quo</w:t>
      </w:r>
      <w:r w:rsidR="003B5D50">
        <w:rPr>
          <w:rFonts w:ascii="Arial" w:hAnsi="Arial" w:cs="Arial"/>
          <w:sz w:val="24"/>
          <w:szCs w:val="24"/>
        </w:rPr>
        <w:t>, make out a case on the papers (particularly the founding affidavit) for the grant of the application.</w:t>
      </w:r>
    </w:p>
    <w:p w:rsidR="003C1B67" w:rsidRPr="003C1B67" w:rsidRDefault="003C1B67" w:rsidP="003C1B67">
      <w:pPr>
        <w:pStyle w:val="NoSpacing"/>
        <w:spacing w:line="480" w:lineRule="auto"/>
        <w:jc w:val="both"/>
        <w:rPr>
          <w:rFonts w:ascii="Arial" w:hAnsi="Arial" w:cs="Arial"/>
          <w:sz w:val="24"/>
          <w:szCs w:val="24"/>
        </w:rPr>
      </w:pPr>
    </w:p>
    <w:p w:rsidR="003B5D50" w:rsidRDefault="00C16D31" w:rsidP="005B531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Having read and re-read the affidavits in t</w:t>
      </w:r>
      <w:r w:rsidR="00B60DBA">
        <w:rPr>
          <w:rFonts w:ascii="Arial" w:hAnsi="Arial" w:cs="Arial"/>
          <w:sz w:val="24"/>
          <w:szCs w:val="24"/>
        </w:rPr>
        <w:t>he spoliation app</w:t>
      </w:r>
      <w:r w:rsidR="00403245">
        <w:rPr>
          <w:rFonts w:ascii="Arial" w:hAnsi="Arial" w:cs="Arial"/>
          <w:sz w:val="24"/>
          <w:szCs w:val="24"/>
        </w:rPr>
        <w:t xml:space="preserve">lication, the requirement of possession of the premises by the applicant is not in issue. </w:t>
      </w:r>
      <w:r w:rsidR="003B5D50">
        <w:rPr>
          <w:rFonts w:ascii="Arial" w:hAnsi="Arial" w:cs="Arial"/>
          <w:sz w:val="24"/>
          <w:szCs w:val="24"/>
        </w:rPr>
        <w:t xml:space="preserve">The respondents did not, in their answering affidavit to the spoliation application take issue with the fact the first applicant </w:t>
      </w:r>
      <w:r w:rsidR="00993D16">
        <w:rPr>
          <w:rFonts w:ascii="Arial" w:hAnsi="Arial" w:cs="Arial"/>
          <w:sz w:val="24"/>
          <w:szCs w:val="24"/>
        </w:rPr>
        <w:t>or that both applicant</w:t>
      </w:r>
      <w:r w:rsidR="00D95571">
        <w:rPr>
          <w:rFonts w:ascii="Arial" w:hAnsi="Arial" w:cs="Arial"/>
          <w:sz w:val="24"/>
          <w:szCs w:val="24"/>
        </w:rPr>
        <w:t>s</w:t>
      </w:r>
      <w:r w:rsidR="00993D16">
        <w:rPr>
          <w:rFonts w:ascii="Arial" w:hAnsi="Arial" w:cs="Arial"/>
          <w:sz w:val="24"/>
          <w:szCs w:val="24"/>
        </w:rPr>
        <w:t xml:space="preserve"> were</w:t>
      </w:r>
      <w:r w:rsidR="003B5D50">
        <w:rPr>
          <w:rFonts w:ascii="Arial" w:hAnsi="Arial" w:cs="Arial"/>
          <w:sz w:val="24"/>
          <w:szCs w:val="24"/>
        </w:rPr>
        <w:t xml:space="preserve"> in peaceful and undisturbed possession of the property in question. </w:t>
      </w:r>
    </w:p>
    <w:p w:rsidR="003B5D50" w:rsidRDefault="003B5D50" w:rsidP="003B5D50">
      <w:pPr>
        <w:pStyle w:val="NoSpacing"/>
        <w:spacing w:line="480" w:lineRule="auto"/>
        <w:jc w:val="both"/>
        <w:rPr>
          <w:rFonts w:ascii="Arial" w:hAnsi="Arial" w:cs="Arial"/>
          <w:sz w:val="24"/>
          <w:szCs w:val="24"/>
        </w:rPr>
      </w:pPr>
    </w:p>
    <w:p w:rsidR="00C84D13" w:rsidRDefault="003B5D50" w:rsidP="00075044">
      <w:pPr>
        <w:pStyle w:val="NoSpacing"/>
        <w:numPr>
          <w:ilvl w:val="0"/>
          <w:numId w:val="1"/>
        </w:numPr>
        <w:spacing w:line="480" w:lineRule="auto"/>
        <w:ind w:left="0" w:firstLine="0"/>
        <w:jc w:val="both"/>
        <w:rPr>
          <w:rFonts w:ascii="Arial" w:hAnsi="Arial" w:cs="Arial"/>
          <w:sz w:val="24"/>
          <w:szCs w:val="24"/>
        </w:rPr>
      </w:pPr>
      <w:r w:rsidRPr="00C84D13">
        <w:rPr>
          <w:rFonts w:ascii="Arial" w:hAnsi="Arial" w:cs="Arial"/>
          <w:sz w:val="24"/>
          <w:szCs w:val="24"/>
        </w:rPr>
        <w:lastRenderedPageBreak/>
        <w:t>What the respondents took issue with was</w:t>
      </w:r>
      <w:r w:rsidR="00403245" w:rsidRPr="00C84D13">
        <w:rPr>
          <w:rFonts w:ascii="Arial" w:hAnsi="Arial" w:cs="Arial"/>
          <w:sz w:val="24"/>
          <w:szCs w:val="24"/>
        </w:rPr>
        <w:t xml:space="preserve"> that the applicant did not in her </w:t>
      </w:r>
      <w:r w:rsidRPr="00C84D13">
        <w:rPr>
          <w:rFonts w:ascii="Arial" w:hAnsi="Arial" w:cs="Arial"/>
          <w:sz w:val="24"/>
          <w:szCs w:val="24"/>
        </w:rPr>
        <w:t xml:space="preserve">founding </w:t>
      </w:r>
      <w:r w:rsidR="00403245" w:rsidRPr="00C84D13">
        <w:rPr>
          <w:rFonts w:ascii="Arial" w:hAnsi="Arial" w:cs="Arial"/>
          <w:sz w:val="24"/>
          <w:szCs w:val="24"/>
        </w:rPr>
        <w:t xml:space="preserve">affidavit </w:t>
      </w:r>
      <w:r w:rsidR="00075044">
        <w:rPr>
          <w:rFonts w:ascii="Arial" w:hAnsi="Arial" w:cs="Arial"/>
          <w:sz w:val="24"/>
          <w:szCs w:val="24"/>
        </w:rPr>
        <w:t>(</w:t>
      </w:r>
      <w:r w:rsidR="00403245" w:rsidRPr="00C84D13">
        <w:rPr>
          <w:rFonts w:ascii="Arial" w:hAnsi="Arial" w:cs="Arial"/>
          <w:sz w:val="24"/>
          <w:szCs w:val="24"/>
        </w:rPr>
        <w:t>in support of the spoliation application</w:t>
      </w:r>
      <w:r w:rsidR="00075044">
        <w:rPr>
          <w:rFonts w:ascii="Arial" w:hAnsi="Arial" w:cs="Arial"/>
          <w:sz w:val="24"/>
          <w:szCs w:val="24"/>
        </w:rPr>
        <w:t>)</w:t>
      </w:r>
      <w:r w:rsidR="00403245" w:rsidRPr="00C84D13">
        <w:rPr>
          <w:rFonts w:ascii="Arial" w:hAnsi="Arial" w:cs="Arial"/>
          <w:sz w:val="24"/>
          <w:szCs w:val="24"/>
        </w:rPr>
        <w:t xml:space="preserve"> a</w:t>
      </w:r>
      <w:r w:rsidR="00C84D13" w:rsidRPr="00C84D13">
        <w:rPr>
          <w:rFonts w:ascii="Arial" w:hAnsi="Arial" w:cs="Arial"/>
          <w:sz w:val="24"/>
          <w:szCs w:val="24"/>
        </w:rPr>
        <w:t>llege in specific detail how they were</w:t>
      </w:r>
      <w:r w:rsidR="00403245" w:rsidRPr="00C84D13">
        <w:rPr>
          <w:rFonts w:ascii="Arial" w:hAnsi="Arial" w:cs="Arial"/>
          <w:sz w:val="24"/>
          <w:szCs w:val="24"/>
        </w:rPr>
        <w:t xml:space="preserve"> despoiled, sa</w:t>
      </w:r>
      <w:r w:rsidR="000969FA">
        <w:rPr>
          <w:rFonts w:ascii="Arial" w:hAnsi="Arial" w:cs="Arial"/>
          <w:sz w:val="24"/>
          <w:szCs w:val="24"/>
        </w:rPr>
        <w:t>v</w:t>
      </w:r>
      <w:r w:rsidR="00403245" w:rsidRPr="00C84D13">
        <w:rPr>
          <w:rFonts w:ascii="Arial" w:hAnsi="Arial" w:cs="Arial"/>
          <w:sz w:val="24"/>
          <w:szCs w:val="24"/>
        </w:rPr>
        <w:t xml:space="preserve">e for the allegation that they (the two applicants) were ‘illegally evicted by the respondent </w:t>
      </w:r>
      <w:r w:rsidR="00403245" w:rsidRPr="00C84D13">
        <w:rPr>
          <w:rFonts w:ascii="Arial" w:hAnsi="Arial" w:cs="Arial"/>
          <w:i/>
          <w:sz w:val="24"/>
          <w:szCs w:val="24"/>
        </w:rPr>
        <w:t>(sic)</w:t>
      </w:r>
      <w:r w:rsidR="00403245" w:rsidRPr="00C84D13">
        <w:rPr>
          <w:rFonts w:ascii="Arial" w:hAnsi="Arial" w:cs="Arial"/>
          <w:sz w:val="24"/>
          <w:szCs w:val="24"/>
        </w:rPr>
        <w:t xml:space="preserve"> and their legal practitioners’. </w:t>
      </w:r>
      <w:r w:rsidR="00075044">
        <w:rPr>
          <w:rFonts w:ascii="Arial" w:hAnsi="Arial" w:cs="Arial"/>
          <w:sz w:val="24"/>
          <w:szCs w:val="24"/>
        </w:rPr>
        <w:t xml:space="preserve">In any event, the first respondent both on his own behalf as well as on behalf of the second respondent firstly, denied having acted illegally or having instructed their legal representatives to act illegally. Secondly, the second respondent denied </w:t>
      </w:r>
      <w:r w:rsidR="00290997">
        <w:rPr>
          <w:rFonts w:ascii="Arial" w:hAnsi="Arial" w:cs="Arial"/>
          <w:sz w:val="24"/>
          <w:szCs w:val="24"/>
        </w:rPr>
        <w:t xml:space="preserve">that </w:t>
      </w:r>
      <w:r w:rsidR="00075044">
        <w:rPr>
          <w:rFonts w:ascii="Arial" w:hAnsi="Arial" w:cs="Arial"/>
          <w:sz w:val="24"/>
          <w:szCs w:val="24"/>
        </w:rPr>
        <w:t xml:space="preserve">his legal representatives acted unlawfully or illegally. </w:t>
      </w:r>
    </w:p>
    <w:p w:rsidR="00075044" w:rsidRPr="00075044" w:rsidRDefault="00075044" w:rsidP="00075044">
      <w:pPr>
        <w:pStyle w:val="NoSpacing"/>
        <w:spacing w:line="480" w:lineRule="auto"/>
        <w:jc w:val="both"/>
        <w:rPr>
          <w:rFonts w:ascii="Arial" w:hAnsi="Arial" w:cs="Arial"/>
          <w:sz w:val="24"/>
          <w:szCs w:val="24"/>
        </w:rPr>
      </w:pPr>
    </w:p>
    <w:p w:rsidR="00F16B1F" w:rsidRDefault="00403245" w:rsidP="00075044">
      <w:pPr>
        <w:pStyle w:val="NoSpacing"/>
        <w:numPr>
          <w:ilvl w:val="0"/>
          <w:numId w:val="1"/>
        </w:numPr>
        <w:spacing w:line="480" w:lineRule="auto"/>
        <w:ind w:left="0" w:firstLine="0"/>
        <w:jc w:val="both"/>
        <w:rPr>
          <w:rFonts w:ascii="Arial" w:hAnsi="Arial" w:cs="Arial"/>
          <w:sz w:val="24"/>
          <w:szCs w:val="24"/>
        </w:rPr>
      </w:pPr>
      <w:r w:rsidRPr="00075044">
        <w:rPr>
          <w:rFonts w:ascii="Arial" w:hAnsi="Arial" w:cs="Arial"/>
          <w:sz w:val="24"/>
          <w:szCs w:val="24"/>
        </w:rPr>
        <w:t>In her replying af</w:t>
      </w:r>
      <w:r w:rsidR="00F9303A" w:rsidRPr="00075044">
        <w:rPr>
          <w:rFonts w:ascii="Arial" w:hAnsi="Arial" w:cs="Arial"/>
          <w:sz w:val="24"/>
          <w:szCs w:val="24"/>
        </w:rPr>
        <w:t>fidavit</w:t>
      </w:r>
      <w:r w:rsidR="00075044" w:rsidRPr="00075044">
        <w:rPr>
          <w:rFonts w:ascii="Arial" w:hAnsi="Arial" w:cs="Arial"/>
          <w:sz w:val="24"/>
          <w:szCs w:val="24"/>
        </w:rPr>
        <w:t xml:space="preserve"> and in response to the point taken by the respondents, the second applicant</w:t>
      </w:r>
      <w:r w:rsidR="00F16B1F" w:rsidRPr="00075044">
        <w:rPr>
          <w:rFonts w:ascii="Arial" w:hAnsi="Arial" w:cs="Arial"/>
          <w:sz w:val="24"/>
          <w:szCs w:val="24"/>
        </w:rPr>
        <w:t xml:space="preserve"> </w:t>
      </w:r>
      <w:r w:rsidR="00075044" w:rsidRPr="00075044">
        <w:rPr>
          <w:rFonts w:ascii="Arial" w:hAnsi="Arial" w:cs="Arial"/>
          <w:sz w:val="24"/>
          <w:szCs w:val="24"/>
        </w:rPr>
        <w:t>simply responded that the ‘. . .</w:t>
      </w:r>
      <w:r w:rsidR="00F9303A" w:rsidRPr="00075044">
        <w:rPr>
          <w:rFonts w:ascii="Arial" w:hAnsi="Arial" w:cs="Arial"/>
          <w:sz w:val="24"/>
          <w:szCs w:val="24"/>
        </w:rPr>
        <w:t xml:space="preserve"> specific conduct that the respondents had carried out and which conduct would amount to an illegal eviction </w:t>
      </w:r>
      <w:r w:rsidR="008660BF" w:rsidRPr="00075044">
        <w:rPr>
          <w:rFonts w:ascii="Arial" w:hAnsi="Arial" w:cs="Arial"/>
          <w:sz w:val="24"/>
          <w:szCs w:val="24"/>
        </w:rPr>
        <w:t>are fully cited in the applicants’ founding affidavit . . .</w:t>
      </w:r>
      <w:proofErr w:type="gramStart"/>
      <w:r w:rsidR="008660BF" w:rsidRPr="00075044">
        <w:rPr>
          <w:rFonts w:ascii="Arial" w:hAnsi="Arial" w:cs="Arial"/>
          <w:sz w:val="24"/>
          <w:szCs w:val="24"/>
        </w:rPr>
        <w:t>’.</w:t>
      </w:r>
      <w:proofErr w:type="gramEnd"/>
      <w:r w:rsidR="00075044">
        <w:rPr>
          <w:rStyle w:val="FootnoteReference"/>
          <w:rFonts w:ascii="Arial" w:hAnsi="Arial" w:cs="Arial"/>
          <w:sz w:val="24"/>
          <w:szCs w:val="24"/>
        </w:rPr>
        <w:footnoteReference w:id="7"/>
      </w:r>
      <w:r w:rsidR="008660BF" w:rsidRPr="00075044">
        <w:rPr>
          <w:rFonts w:ascii="Arial" w:hAnsi="Arial" w:cs="Arial"/>
          <w:sz w:val="24"/>
          <w:szCs w:val="24"/>
        </w:rPr>
        <w:t xml:space="preserve">  </w:t>
      </w:r>
    </w:p>
    <w:p w:rsidR="00075044" w:rsidRPr="00075044" w:rsidRDefault="00075044" w:rsidP="00075044">
      <w:pPr>
        <w:pStyle w:val="NoSpacing"/>
        <w:spacing w:line="480" w:lineRule="auto"/>
        <w:jc w:val="both"/>
        <w:rPr>
          <w:rFonts w:ascii="Arial" w:hAnsi="Arial" w:cs="Arial"/>
          <w:sz w:val="24"/>
          <w:szCs w:val="24"/>
        </w:rPr>
      </w:pPr>
    </w:p>
    <w:p w:rsidR="00F16B1F" w:rsidRDefault="00F16B1F" w:rsidP="00F16B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the papers before the court </w:t>
      </w:r>
      <w:r w:rsidRPr="000969FA">
        <w:rPr>
          <w:rFonts w:ascii="Arial" w:hAnsi="Arial" w:cs="Arial"/>
          <w:i/>
          <w:sz w:val="24"/>
          <w:szCs w:val="24"/>
        </w:rPr>
        <w:t>a quo</w:t>
      </w:r>
      <w:r w:rsidR="007A3EC6">
        <w:rPr>
          <w:rFonts w:ascii="Arial" w:hAnsi="Arial" w:cs="Arial"/>
          <w:sz w:val="24"/>
          <w:szCs w:val="24"/>
        </w:rPr>
        <w:t>,</w:t>
      </w:r>
      <w:r>
        <w:rPr>
          <w:rFonts w:ascii="Arial" w:hAnsi="Arial" w:cs="Arial"/>
          <w:sz w:val="24"/>
          <w:szCs w:val="24"/>
        </w:rPr>
        <w:t xml:space="preserve"> as regards the spoliation application, that </w:t>
      </w:r>
      <w:r w:rsidR="00075044">
        <w:rPr>
          <w:rFonts w:ascii="Arial" w:hAnsi="Arial" w:cs="Arial"/>
          <w:sz w:val="24"/>
          <w:szCs w:val="24"/>
        </w:rPr>
        <w:t>applicants</w:t>
      </w:r>
      <w:r>
        <w:rPr>
          <w:rFonts w:ascii="Arial" w:hAnsi="Arial" w:cs="Arial"/>
          <w:sz w:val="24"/>
          <w:szCs w:val="24"/>
        </w:rPr>
        <w:t xml:space="preserve"> took possession of the leased premises is not in question. However, wha</w:t>
      </w:r>
      <w:r w:rsidR="007A3EC6">
        <w:rPr>
          <w:rFonts w:ascii="Arial" w:hAnsi="Arial" w:cs="Arial"/>
          <w:sz w:val="24"/>
          <w:szCs w:val="24"/>
        </w:rPr>
        <w:t xml:space="preserve">t the respondents raised as a </w:t>
      </w:r>
      <w:r>
        <w:rPr>
          <w:rFonts w:ascii="Arial" w:hAnsi="Arial" w:cs="Arial"/>
          <w:sz w:val="24"/>
          <w:szCs w:val="24"/>
        </w:rPr>
        <w:t xml:space="preserve">point </w:t>
      </w:r>
      <w:r w:rsidRPr="000969FA">
        <w:rPr>
          <w:rFonts w:ascii="Arial" w:hAnsi="Arial" w:cs="Arial"/>
          <w:i/>
          <w:sz w:val="24"/>
          <w:szCs w:val="24"/>
        </w:rPr>
        <w:t xml:space="preserve">in </w:t>
      </w:r>
      <w:proofErr w:type="spellStart"/>
      <w:r w:rsidRPr="000969FA">
        <w:rPr>
          <w:rFonts w:ascii="Arial" w:hAnsi="Arial" w:cs="Arial"/>
          <w:i/>
          <w:sz w:val="24"/>
          <w:szCs w:val="24"/>
        </w:rPr>
        <w:t>limine</w:t>
      </w:r>
      <w:proofErr w:type="spellEnd"/>
      <w:r>
        <w:rPr>
          <w:rFonts w:ascii="Arial" w:hAnsi="Arial" w:cs="Arial"/>
          <w:sz w:val="24"/>
          <w:szCs w:val="24"/>
        </w:rPr>
        <w:t xml:space="preserve"> and which point, I am of the considered view</w:t>
      </w:r>
      <w:r w:rsidR="007A3EC6">
        <w:rPr>
          <w:rFonts w:ascii="Arial" w:hAnsi="Arial" w:cs="Arial"/>
          <w:sz w:val="24"/>
          <w:szCs w:val="24"/>
        </w:rPr>
        <w:t>,</w:t>
      </w:r>
      <w:r>
        <w:rPr>
          <w:rFonts w:ascii="Arial" w:hAnsi="Arial" w:cs="Arial"/>
          <w:sz w:val="24"/>
          <w:szCs w:val="24"/>
        </w:rPr>
        <w:t xml:space="preserve"> the court </w:t>
      </w:r>
      <w:r w:rsidRPr="000969FA">
        <w:rPr>
          <w:rFonts w:ascii="Arial" w:hAnsi="Arial" w:cs="Arial"/>
          <w:i/>
          <w:sz w:val="24"/>
          <w:szCs w:val="24"/>
        </w:rPr>
        <w:t xml:space="preserve">a quo </w:t>
      </w:r>
      <w:r>
        <w:rPr>
          <w:rFonts w:ascii="Arial" w:hAnsi="Arial" w:cs="Arial"/>
          <w:sz w:val="24"/>
          <w:szCs w:val="24"/>
        </w:rPr>
        <w:t>did not in</w:t>
      </w:r>
      <w:r w:rsidR="007A3EC6">
        <w:rPr>
          <w:rFonts w:ascii="Arial" w:hAnsi="Arial" w:cs="Arial"/>
          <w:sz w:val="24"/>
          <w:szCs w:val="24"/>
        </w:rPr>
        <w:t xml:space="preserve">terrogate sufficiently or at all is this – </w:t>
      </w:r>
      <w:r>
        <w:rPr>
          <w:rFonts w:ascii="Arial" w:hAnsi="Arial" w:cs="Arial"/>
          <w:sz w:val="24"/>
          <w:szCs w:val="24"/>
        </w:rPr>
        <w:t xml:space="preserve"> whether the applicants’ made out a case on the papers, particularly on the founding affidavit for dispossession. </w:t>
      </w:r>
    </w:p>
    <w:p w:rsidR="00A04010" w:rsidRDefault="00A04010" w:rsidP="00A04010">
      <w:pPr>
        <w:pStyle w:val="NoSpacing"/>
        <w:spacing w:line="480" w:lineRule="auto"/>
        <w:jc w:val="both"/>
        <w:rPr>
          <w:rFonts w:ascii="Arial" w:hAnsi="Arial" w:cs="Arial"/>
          <w:sz w:val="24"/>
          <w:szCs w:val="24"/>
        </w:rPr>
      </w:pPr>
    </w:p>
    <w:p w:rsidR="00A04010" w:rsidRDefault="00A04010" w:rsidP="00F16B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second applicant did no more than allege that the ‘respondent(s) and their legal practitioners’ illegally evicted them. It is not clear what exactly happened and whether that specific conduct (if it had been alleged) would have constituted illegal eviction and therefore would constitute dispossession. This point should have been interrogated by the court </w:t>
      </w:r>
      <w:r w:rsidRPr="000969FA">
        <w:rPr>
          <w:rFonts w:ascii="Arial" w:hAnsi="Arial" w:cs="Arial"/>
          <w:i/>
          <w:sz w:val="24"/>
          <w:szCs w:val="24"/>
        </w:rPr>
        <w:t>a quo</w:t>
      </w:r>
      <w:r>
        <w:rPr>
          <w:rFonts w:ascii="Arial" w:hAnsi="Arial" w:cs="Arial"/>
          <w:sz w:val="24"/>
          <w:szCs w:val="24"/>
        </w:rPr>
        <w:t xml:space="preserve">, but this was not done. It is not clear to my mind, on what ground the court </w:t>
      </w:r>
      <w:r w:rsidRPr="000969FA">
        <w:rPr>
          <w:rFonts w:ascii="Arial" w:hAnsi="Arial" w:cs="Arial"/>
          <w:i/>
          <w:sz w:val="24"/>
          <w:szCs w:val="24"/>
        </w:rPr>
        <w:t>a quo</w:t>
      </w:r>
      <w:r>
        <w:rPr>
          <w:rFonts w:ascii="Arial" w:hAnsi="Arial" w:cs="Arial"/>
          <w:sz w:val="24"/>
          <w:szCs w:val="24"/>
        </w:rPr>
        <w:t xml:space="preserve"> found as it did, that dispossession and therefore the second leg of the test in a spoliation application was satisfied. Snippets of the missing details could doubtless be found in the papers in support of the counter</w:t>
      </w:r>
      <w:r w:rsidR="000969FA">
        <w:rPr>
          <w:rFonts w:ascii="Arial" w:hAnsi="Arial" w:cs="Arial"/>
          <w:sz w:val="24"/>
          <w:szCs w:val="24"/>
        </w:rPr>
        <w:t>-</w:t>
      </w:r>
      <w:r>
        <w:rPr>
          <w:rFonts w:ascii="Arial" w:hAnsi="Arial" w:cs="Arial"/>
          <w:sz w:val="24"/>
          <w:szCs w:val="24"/>
        </w:rPr>
        <w:t xml:space="preserve">application of the respondents, but that could certainly not </w:t>
      </w:r>
      <w:r w:rsidR="00993D16">
        <w:rPr>
          <w:rFonts w:ascii="Arial" w:hAnsi="Arial" w:cs="Arial"/>
          <w:sz w:val="24"/>
          <w:szCs w:val="24"/>
        </w:rPr>
        <w:t xml:space="preserve">be </w:t>
      </w:r>
      <w:r>
        <w:rPr>
          <w:rFonts w:ascii="Arial" w:hAnsi="Arial" w:cs="Arial"/>
          <w:sz w:val="24"/>
          <w:szCs w:val="24"/>
        </w:rPr>
        <w:t>read into the papers in support of the spoliation application, which is an entirely different application from the counter</w:t>
      </w:r>
      <w:r w:rsidR="000969FA">
        <w:rPr>
          <w:rFonts w:ascii="Arial" w:hAnsi="Arial" w:cs="Arial"/>
          <w:sz w:val="24"/>
          <w:szCs w:val="24"/>
        </w:rPr>
        <w:t>-</w:t>
      </w:r>
      <w:r>
        <w:rPr>
          <w:rFonts w:ascii="Arial" w:hAnsi="Arial" w:cs="Arial"/>
          <w:sz w:val="24"/>
          <w:szCs w:val="24"/>
        </w:rPr>
        <w:t>application for eviction.</w:t>
      </w:r>
    </w:p>
    <w:p w:rsidR="00F16B1F" w:rsidRDefault="00F16B1F" w:rsidP="00F16B1F">
      <w:pPr>
        <w:pStyle w:val="NoSpacing"/>
        <w:spacing w:line="480" w:lineRule="auto"/>
        <w:jc w:val="both"/>
        <w:rPr>
          <w:rFonts w:ascii="Arial" w:hAnsi="Arial" w:cs="Arial"/>
          <w:sz w:val="24"/>
          <w:szCs w:val="24"/>
        </w:rPr>
      </w:pPr>
    </w:p>
    <w:p w:rsidR="00BC20F4" w:rsidRDefault="00BC20F4" w:rsidP="00BC20F4">
      <w:pPr>
        <w:pStyle w:val="NoSpacing"/>
        <w:numPr>
          <w:ilvl w:val="0"/>
          <w:numId w:val="1"/>
        </w:numPr>
        <w:spacing w:line="480" w:lineRule="auto"/>
        <w:ind w:hanging="720"/>
        <w:jc w:val="both"/>
        <w:rPr>
          <w:rFonts w:ascii="Arial" w:hAnsi="Arial" w:cs="Arial"/>
          <w:sz w:val="24"/>
          <w:szCs w:val="24"/>
        </w:rPr>
      </w:pPr>
      <w:r w:rsidRPr="00BC20F4">
        <w:rPr>
          <w:rFonts w:ascii="Arial" w:hAnsi="Arial" w:cs="Arial"/>
          <w:sz w:val="24"/>
          <w:szCs w:val="24"/>
        </w:rPr>
        <w:t xml:space="preserve">As Van </w:t>
      </w:r>
      <w:proofErr w:type="spellStart"/>
      <w:r w:rsidRPr="00BC20F4">
        <w:rPr>
          <w:rFonts w:ascii="Arial" w:hAnsi="Arial" w:cs="Arial"/>
          <w:sz w:val="24"/>
          <w:szCs w:val="24"/>
        </w:rPr>
        <w:t>Winsen</w:t>
      </w:r>
      <w:proofErr w:type="spellEnd"/>
      <w:r w:rsidRPr="00BC20F4">
        <w:rPr>
          <w:rFonts w:ascii="Arial" w:hAnsi="Arial" w:cs="Arial"/>
          <w:sz w:val="24"/>
          <w:szCs w:val="24"/>
        </w:rPr>
        <w:t xml:space="preserve"> </w:t>
      </w:r>
      <w:r w:rsidRPr="00F16B1F">
        <w:rPr>
          <w:rFonts w:ascii="Arial" w:hAnsi="Arial" w:cs="Arial"/>
          <w:i/>
          <w:sz w:val="24"/>
          <w:szCs w:val="24"/>
        </w:rPr>
        <w:t>et al</w:t>
      </w:r>
      <w:r w:rsidRPr="00BC20F4">
        <w:rPr>
          <w:rFonts w:ascii="Arial" w:hAnsi="Arial" w:cs="Arial"/>
          <w:sz w:val="24"/>
          <w:szCs w:val="24"/>
        </w:rPr>
        <w:t xml:space="preserve"> so </w:t>
      </w:r>
      <w:r w:rsidR="007A3EC6">
        <w:rPr>
          <w:rFonts w:ascii="Arial" w:hAnsi="Arial" w:cs="Arial"/>
          <w:sz w:val="24"/>
          <w:szCs w:val="24"/>
        </w:rPr>
        <w:t>crisply</w:t>
      </w:r>
      <w:r w:rsidRPr="00BC20F4">
        <w:rPr>
          <w:rFonts w:ascii="Arial" w:hAnsi="Arial" w:cs="Arial"/>
          <w:sz w:val="24"/>
          <w:szCs w:val="24"/>
        </w:rPr>
        <w:t xml:space="preserve"> summarised –</w:t>
      </w:r>
    </w:p>
    <w:p w:rsidR="000969FA" w:rsidRDefault="000969FA" w:rsidP="000969FA">
      <w:pPr>
        <w:pStyle w:val="ListParagraph"/>
        <w:spacing w:after="0" w:line="480" w:lineRule="auto"/>
        <w:jc w:val="both"/>
        <w:rPr>
          <w:rFonts w:ascii="Arial" w:hAnsi="Arial" w:cs="Arial"/>
          <w:sz w:val="24"/>
          <w:szCs w:val="24"/>
        </w:rPr>
      </w:pPr>
    </w:p>
    <w:p w:rsidR="00BC20F4" w:rsidRDefault="00BC20F4" w:rsidP="00BC20F4">
      <w:pPr>
        <w:pStyle w:val="NoSpacing"/>
        <w:spacing w:line="480" w:lineRule="auto"/>
        <w:ind w:left="720"/>
        <w:jc w:val="both"/>
        <w:rPr>
          <w:rFonts w:ascii="Arial" w:hAnsi="Arial" w:cs="Arial"/>
        </w:rPr>
      </w:pPr>
      <w:r>
        <w:rPr>
          <w:rFonts w:ascii="Arial" w:hAnsi="Arial" w:cs="Arial"/>
        </w:rPr>
        <w:t>‘</w:t>
      </w:r>
      <w:r w:rsidR="00B060CE">
        <w:rPr>
          <w:rFonts w:ascii="Arial" w:hAnsi="Arial" w:cs="Arial"/>
        </w:rPr>
        <w:t>The general rule</w:t>
      </w:r>
      <w:r>
        <w:rPr>
          <w:rFonts w:ascii="Arial" w:hAnsi="Arial" w:cs="Arial"/>
        </w:rPr>
        <w:t>, however, which has been laid down repeatedly is that applicant must stand or fall by his founding affidavit and the facts alleged therein, and that although sometimes it is permissible to supplement the allegations contained in that affidavit, still the main foundation of the application is the allegation of facts stated therein, because these are the facts which respondent is called upon either to affirm or deny. If the applicant merely sets out a skeleton case in his supporting affidavit any fortifying paragraphs in his replying affidavit will be struck out</w:t>
      </w:r>
      <w:r w:rsidR="000969FA">
        <w:rPr>
          <w:rFonts w:ascii="Arial" w:hAnsi="Arial" w:cs="Arial"/>
        </w:rPr>
        <w:t>’</w:t>
      </w:r>
      <w:r>
        <w:rPr>
          <w:rFonts w:ascii="Arial" w:hAnsi="Arial" w:cs="Arial"/>
        </w:rPr>
        <w:t>.</w:t>
      </w:r>
      <w:r>
        <w:rPr>
          <w:rStyle w:val="FootnoteReference"/>
          <w:rFonts w:ascii="Arial" w:hAnsi="Arial" w:cs="Arial"/>
        </w:rPr>
        <w:footnoteReference w:id="8"/>
      </w:r>
      <w:r>
        <w:rPr>
          <w:rFonts w:ascii="Arial" w:hAnsi="Arial" w:cs="Arial"/>
        </w:rPr>
        <w:t xml:space="preserve"> </w:t>
      </w:r>
    </w:p>
    <w:p w:rsidR="004B11E6" w:rsidRPr="004B11E6" w:rsidRDefault="004B11E6" w:rsidP="00A04010">
      <w:pPr>
        <w:pStyle w:val="NoSpacing"/>
        <w:spacing w:line="480" w:lineRule="auto"/>
        <w:jc w:val="both"/>
        <w:rPr>
          <w:rFonts w:ascii="Arial" w:hAnsi="Arial" w:cs="Arial"/>
          <w:sz w:val="24"/>
          <w:szCs w:val="24"/>
        </w:rPr>
      </w:pPr>
    </w:p>
    <w:p w:rsidR="004B11E6" w:rsidRDefault="00F56413" w:rsidP="005B531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On the papers before the court a quo, I am of the consid</w:t>
      </w:r>
      <w:r w:rsidR="00A04010">
        <w:rPr>
          <w:rFonts w:ascii="Arial" w:hAnsi="Arial" w:cs="Arial"/>
          <w:sz w:val="24"/>
          <w:szCs w:val="24"/>
        </w:rPr>
        <w:t>ered view that the applicant had</w:t>
      </w:r>
      <w:r>
        <w:rPr>
          <w:rFonts w:ascii="Arial" w:hAnsi="Arial" w:cs="Arial"/>
          <w:sz w:val="24"/>
          <w:szCs w:val="24"/>
        </w:rPr>
        <w:t xml:space="preserve"> not, on a balance of probabilities, </w:t>
      </w:r>
      <w:r w:rsidR="005F0EB9">
        <w:rPr>
          <w:rFonts w:ascii="Arial" w:hAnsi="Arial" w:cs="Arial"/>
          <w:sz w:val="24"/>
          <w:szCs w:val="24"/>
        </w:rPr>
        <w:t>made out a case for dispossession</w:t>
      </w:r>
      <w:r w:rsidR="00E45F31">
        <w:rPr>
          <w:rFonts w:ascii="Arial" w:hAnsi="Arial" w:cs="Arial"/>
          <w:sz w:val="24"/>
          <w:szCs w:val="24"/>
        </w:rPr>
        <w:t xml:space="preserve">, even less </w:t>
      </w:r>
      <w:r w:rsidR="000969FA">
        <w:rPr>
          <w:rFonts w:ascii="Arial" w:hAnsi="Arial" w:cs="Arial"/>
          <w:sz w:val="24"/>
          <w:szCs w:val="24"/>
        </w:rPr>
        <w:t xml:space="preserve">for </w:t>
      </w:r>
      <w:r w:rsidR="00E45F31">
        <w:rPr>
          <w:rFonts w:ascii="Arial" w:hAnsi="Arial" w:cs="Arial"/>
          <w:sz w:val="24"/>
          <w:szCs w:val="24"/>
        </w:rPr>
        <w:t>unlawful dispossession</w:t>
      </w:r>
      <w:r w:rsidR="005F0EB9">
        <w:rPr>
          <w:rFonts w:ascii="Arial" w:hAnsi="Arial" w:cs="Arial"/>
          <w:sz w:val="24"/>
          <w:szCs w:val="24"/>
        </w:rPr>
        <w:t xml:space="preserve">. </w:t>
      </w:r>
    </w:p>
    <w:p w:rsidR="005B5313" w:rsidRDefault="005B5313" w:rsidP="005B5313">
      <w:pPr>
        <w:pStyle w:val="NoSpacing"/>
        <w:spacing w:line="480" w:lineRule="auto"/>
        <w:ind w:left="180"/>
        <w:jc w:val="both"/>
        <w:rPr>
          <w:rFonts w:ascii="Arial" w:hAnsi="Arial" w:cs="Arial"/>
          <w:sz w:val="24"/>
          <w:szCs w:val="24"/>
        </w:rPr>
      </w:pPr>
    </w:p>
    <w:p w:rsidR="004E11EA" w:rsidRDefault="004E11EA" w:rsidP="005B531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this score therefor, I am of the considered view that the respondents’ appeal is not frivolous nor vexatious and has merits which could possibly </w:t>
      </w:r>
      <w:r w:rsidR="00E45F31">
        <w:rPr>
          <w:rFonts w:ascii="Arial" w:hAnsi="Arial" w:cs="Arial"/>
          <w:sz w:val="24"/>
          <w:szCs w:val="24"/>
        </w:rPr>
        <w:t>tilt the scale of justice in their</w:t>
      </w:r>
      <w:r>
        <w:rPr>
          <w:rFonts w:ascii="Arial" w:hAnsi="Arial" w:cs="Arial"/>
          <w:sz w:val="24"/>
          <w:szCs w:val="24"/>
        </w:rPr>
        <w:t xml:space="preserve"> favour on appeal. There are therefore prospects of success.</w:t>
      </w:r>
    </w:p>
    <w:p w:rsidR="009F0E1E" w:rsidRDefault="009F0E1E" w:rsidP="00E45F31">
      <w:pPr>
        <w:pStyle w:val="NoSpacing"/>
        <w:spacing w:line="480" w:lineRule="auto"/>
        <w:jc w:val="both"/>
        <w:rPr>
          <w:rFonts w:ascii="Arial" w:hAnsi="Arial" w:cs="Arial"/>
          <w:sz w:val="24"/>
          <w:szCs w:val="24"/>
        </w:rPr>
      </w:pPr>
    </w:p>
    <w:p w:rsidR="005B5313" w:rsidRPr="0009041A" w:rsidRDefault="004E11EA" w:rsidP="0009041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am fortified in this finding further because, the founding affidavit </w:t>
      </w:r>
      <w:r w:rsidR="00E45F31">
        <w:rPr>
          <w:rFonts w:ascii="Arial" w:hAnsi="Arial" w:cs="Arial"/>
          <w:sz w:val="24"/>
          <w:szCs w:val="24"/>
        </w:rPr>
        <w:t xml:space="preserve">in </w:t>
      </w:r>
      <w:r>
        <w:rPr>
          <w:rFonts w:ascii="Arial" w:hAnsi="Arial" w:cs="Arial"/>
          <w:sz w:val="24"/>
          <w:szCs w:val="24"/>
        </w:rPr>
        <w:t>support of the present application is replete with hearsay and in no way, albeit even remotely, attempts to demonstrate why the respondents’ appeal will fail</w:t>
      </w:r>
      <w:r w:rsidR="00993D16">
        <w:rPr>
          <w:rFonts w:ascii="Arial" w:hAnsi="Arial" w:cs="Arial"/>
          <w:sz w:val="24"/>
          <w:szCs w:val="24"/>
        </w:rPr>
        <w:t xml:space="preserve"> </w:t>
      </w:r>
      <w:r w:rsidR="00D95571">
        <w:rPr>
          <w:rFonts w:ascii="Arial" w:hAnsi="Arial" w:cs="Arial"/>
          <w:sz w:val="24"/>
          <w:szCs w:val="24"/>
        </w:rPr>
        <w:t xml:space="preserve">in </w:t>
      </w:r>
      <w:r w:rsidR="00993D16">
        <w:rPr>
          <w:rFonts w:ascii="Arial" w:hAnsi="Arial" w:cs="Arial"/>
          <w:sz w:val="24"/>
          <w:szCs w:val="24"/>
        </w:rPr>
        <w:t>due course</w:t>
      </w:r>
      <w:r w:rsidR="00E45F31">
        <w:rPr>
          <w:rFonts w:ascii="Arial" w:hAnsi="Arial" w:cs="Arial"/>
          <w:sz w:val="24"/>
          <w:szCs w:val="24"/>
        </w:rPr>
        <w:t xml:space="preserve"> and may as well be summarily dismissed</w:t>
      </w:r>
      <w:r w:rsidR="00C73A94">
        <w:rPr>
          <w:rFonts w:ascii="Arial" w:hAnsi="Arial" w:cs="Arial"/>
          <w:sz w:val="24"/>
          <w:szCs w:val="24"/>
        </w:rPr>
        <w:t>. In the same breath</w:t>
      </w:r>
      <w:r>
        <w:rPr>
          <w:rFonts w:ascii="Arial" w:hAnsi="Arial" w:cs="Arial"/>
          <w:sz w:val="24"/>
          <w:szCs w:val="24"/>
        </w:rPr>
        <w:t xml:space="preserve"> I note that the applicants are unrepresented, but even so, they are </w:t>
      </w:r>
      <w:r w:rsidR="00993D16">
        <w:rPr>
          <w:rFonts w:ascii="Arial" w:hAnsi="Arial" w:cs="Arial"/>
          <w:sz w:val="24"/>
          <w:szCs w:val="24"/>
        </w:rPr>
        <w:t>litigants</w:t>
      </w:r>
      <w:r>
        <w:rPr>
          <w:rFonts w:ascii="Arial" w:hAnsi="Arial" w:cs="Arial"/>
          <w:sz w:val="24"/>
          <w:szCs w:val="24"/>
        </w:rPr>
        <w:t xml:space="preserve"> before this court and the requirements of the law need to be </w:t>
      </w:r>
      <w:r w:rsidR="00A736A4">
        <w:rPr>
          <w:rFonts w:ascii="Arial" w:hAnsi="Arial" w:cs="Arial"/>
          <w:sz w:val="24"/>
          <w:szCs w:val="24"/>
        </w:rPr>
        <w:t>fulfilled. This, the applicants’ failed to do. In any event,</w:t>
      </w:r>
      <w:r w:rsidR="00993D16">
        <w:rPr>
          <w:rFonts w:ascii="Arial" w:hAnsi="Arial" w:cs="Arial"/>
          <w:sz w:val="24"/>
          <w:szCs w:val="24"/>
        </w:rPr>
        <w:t xml:space="preserve"> the founding affidavit for the present</w:t>
      </w:r>
      <w:r w:rsidR="00A736A4">
        <w:rPr>
          <w:rFonts w:ascii="Arial" w:hAnsi="Arial" w:cs="Arial"/>
          <w:sz w:val="24"/>
          <w:szCs w:val="24"/>
        </w:rPr>
        <w:t xml:space="preserve"> application is primarily based on events subsequent to the orders and judgment appealed against by the respondents. The allegations pertaining to these subsequent events are not even confirmed by the family members of the second applicant whom </w:t>
      </w:r>
      <w:r w:rsidR="00993D16">
        <w:rPr>
          <w:rFonts w:ascii="Arial" w:hAnsi="Arial" w:cs="Arial"/>
          <w:sz w:val="24"/>
          <w:szCs w:val="24"/>
        </w:rPr>
        <w:t>second applicant</w:t>
      </w:r>
      <w:r w:rsidR="00A736A4">
        <w:rPr>
          <w:rFonts w:ascii="Arial" w:hAnsi="Arial" w:cs="Arial"/>
          <w:sz w:val="24"/>
          <w:szCs w:val="24"/>
        </w:rPr>
        <w:t xml:space="preserve"> refers to. Even if such confirmatory affidavits were attached, I cannot fathom how they or the allegations in the affidavit could justify an order for summary dismiss</w:t>
      </w:r>
      <w:r w:rsidR="00993D16">
        <w:rPr>
          <w:rFonts w:ascii="Arial" w:hAnsi="Arial" w:cs="Arial"/>
          <w:sz w:val="24"/>
          <w:szCs w:val="24"/>
        </w:rPr>
        <w:t xml:space="preserve">al of the respondents’ appeal. They in my view, would not change the fact that the court </w:t>
      </w:r>
      <w:r w:rsidR="00993D16" w:rsidRPr="000969FA">
        <w:rPr>
          <w:rFonts w:ascii="Arial" w:hAnsi="Arial" w:cs="Arial"/>
          <w:i/>
          <w:sz w:val="24"/>
          <w:szCs w:val="24"/>
        </w:rPr>
        <w:t>a quo</w:t>
      </w:r>
      <w:r w:rsidR="00993D16">
        <w:rPr>
          <w:rFonts w:ascii="Arial" w:hAnsi="Arial" w:cs="Arial"/>
          <w:sz w:val="24"/>
          <w:szCs w:val="24"/>
        </w:rPr>
        <w:t xml:space="preserve"> was presented with a skeleton case in the founding affidavit.</w:t>
      </w:r>
    </w:p>
    <w:p w:rsidR="005B5313" w:rsidRDefault="005B5313" w:rsidP="005B5313">
      <w:pPr>
        <w:pStyle w:val="NoSpacing"/>
        <w:spacing w:line="480" w:lineRule="auto"/>
        <w:jc w:val="both"/>
        <w:rPr>
          <w:rFonts w:ascii="Arial" w:hAnsi="Arial" w:cs="Arial"/>
          <w:sz w:val="24"/>
          <w:szCs w:val="24"/>
        </w:rPr>
      </w:pPr>
    </w:p>
    <w:p w:rsidR="0033455B" w:rsidRDefault="0033455B" w:rsidP="005B5313">
      <w:pPr>
        <w:pStyle w:val="NoSpacing"/>
        <w:numPr>
          <w:ilvl w:val="0"/>
          <w:numId w:val="1"/>
        </w:numPr>
        <w:spacing w:line="480" w:lineRule="auto"/>
        <w:ind w:left="0" w:firstLine="0"/>
        <w:jc w:val="both"/>
        <w:rPr>
          <w:rFonts w:ascii="Arial" w:hAnsi="Arial" w:cs="Arial"/>
          <w:sz w:val="24"/>
          <w:szCs w:val="24"/>
        </w:rPr>
      </w:pPr>
      <w:proofErr w:type="spellStart"/>
      <w:r w:rsidRPr="0033455B">
        <w:rPr>
          <w:rFonts w:ascii="Arial" w:hAnsi="Arial" w:cs="Arial"/>
          <w:sz w:val="24"/>
          <w:szCs w:val="24"/>
        </w:rPr>
        <w:lastRenderedPageBreak/>
        <w:t>Chitapi</w:t>
      </w:r>
      <w:proofErr w:type="spellEnd"/>
      <w:r w:rsidRPr="0033455B">
        <w:rPr>
          <w:rFonts w:ascii="Arial" w:hAnsi="Arial" w:cs="Arial"/>
          <w:sz w:val="24"/>
          <w:szCs w:val="24"/>
        </w:rPr>
        <w:t xml:space="preserve"> J </w:t>
      </w:r>
      <w:r>
        <w:rPr>
          <w:rFonts w:ascii="Arial" w:hAnsi="Arial" w:cs="Arial"/>
          <w:sz w:val="24"/>
          <w:szCs w:val="24"/>
        </w:rPr>
        <w:t xml:space="preserve">reasoned in </w:t>
      </w:r>
      <w:r w:rsidRPr="0033455B">
        <w:rPr>
          <w:rFonts w:ascii="Arial" w:hAnsi="Arial" w:cs="Arial"/>
          <w:i/>
          <w:sz w:val="24"/>
          <w:szCs w:val="24"/>
        </w:rPr>
        <w:t xml:space="preserve">Overflow Zone Enterprises (Pvt) Ltd v </w:t>
      </w:r>
      <w:proofErr w:type="spellStart"/>
      <w:r w:rsidRPr="0033455B">
        <w:rPr>
          <w:rFonts w:ascii="Arial" w:hAnsi="Arial" w:cs="Arial"/>
          <w:i/>
          <w:sz w:val="24"/>
          <w:szCs w:val="24"/>
        </w:rPr>
        <w:t>Owden</w:t>
      </w:r>
      <w:proofErr w:type="spellEnd"/>
      <w:r w:rsidRPr="0033455B">
        <w:rPr>
          <w:rFonts w:ascii="Arial" w:hAnsi="Arial" w:cs="Arial"/>
          <w:i/>
          <w:sz w:val="24"/>
          <w:szCs w:val="24"/>
        </w:rPr>
        <w:t xml:space="preserve"> </w:t>
      </w:r>
      <w:proofErr w:type="spellStart"/>
      <w:r w:rsidRPr="0033455B">
        <w:rPr>
          <w:rFonts w:ascii="Arial" w:hAnsi="Arial" w:cs="Arial"/>
          <w:i/>
          <w:sz w:val="24"/>
          <w:szCs w:val="24"/>
        </w:rPr>
        <w:t>Nhimura</w:t>
      </w:r>
      <w:proofErr w:type="spellEnd"/>
      <w:r w:rsidRPr="0033455B">
        <w:rPr>
          <w:rFonts w:ascii="Arial" w:hAnsi="Arial" w:cs="Arial"/>
          <w:i/>
          <w:sz w:val="24"/>
          <w:szCs w:val="24"/>
        </w:rPr>
        <w:t xml:space="preserve"> &amp; others</w:t>
      </w:r>
      <w:r w:rsidRPr="0033455B">
        <w:rPr>
          <w:i/>
        </w:rPr>
        <w:t xml:space="preserve"> </w:t>
      </w:r>
      <w:r w:rsidRPr="0033455B">
        <w:rPr>
          <w:rFonts w:ascii="Arial" w:hAnsi="Arial" w:cs="Arial"/>
          <w:sz w:val="24"/>
          <w:szCs w:val="24"/>
        </w:rPr>
        <w:t>HH 166-22 HC 8108/17</w:t>
      </w:r>
      <w:r>
        <w:rPr>
          <w:rFonts w:ascii="Arial" w:hAnsi="Arial" w:cs="Arial"/>
          <w:sz w:val="24"/>
          <w:szCs w:val="24"/>
        </w:rPr>
        <w:t>, delivered on 16 March 2022, as follows</w:t>
      </w:r>
      <w:r w:rsidR="000969FA">
        <w:rPr>
          <w:rFonts w:ascii="Arial" w:hAnsi="Arial" w:cs="Arial"/>
          <w:sz w:val="24"/>
          <w:szCs w:val="24"/>
        </w:rPr>
        <w:t xml:space="preserve"> –:</w:t>
      </w:r>
    </w:p>
    <w:p w:rsidR="000969FA" w:rsidRDefault="000969FA" w:rsidP="000969FA">
      <w:pPr>
        <w:pStyle w:val="ListParagraph"/>
        <w:spacing w:after="0" w:line="480" w:lineRule="auto"/>
        <w:jc w:val="both"/>
        <w:rPr>
          <w:rFonts w:ascii="Arial" w:hAnsi="Arial" w:cs="Arial"/>
          <w:sz w:val="24"/>
          <w:szCs w:val="24"/>
        </w:rPr>
      </w:pPr>
    </w:p>
    <w:p w:rsidR="009F0E1E" w:rsidRDefault="0033455B" w:rsidP="009F0E1E">
      <w:pPr>
        <w:pStyle w:val="NoSpacing"/>
        <w:spacing w:line="480" w:lineRule="auto"/>
        <w:ind w:left="720"/>
        <w:jc w:val="both"/>
        <w:rPr>
          <w:rFonts w:ascii="Arial" w:hAnsi="Arial" w:cs="Arial"/>
        </w:rPr>
      </w:pPr>
      <w:r>
        <w:rPr>
          <w:rFonts w:ascii="Arial" w:hAnsi="Arial" w:cs="Arial"/>
          <w:sz w:val="24"/>
          <w:szCs w:val="24"/>
        </w:rPr>
        <w:t>‘</w:t>
      </w:r>
      <w:r w:rsidRPr="0033455B">
        <w:rPr>
          <w:rFonts w:ascii="Arial" w:hAnsi="Arial" w:cs="Arial"/>
        </w:rPr>
        <w:t xml:space="preserve">A party that pleads forced dispossession by another party must set out the details of the spoliation. This is a matter of fact. The applicant cursorily glossed over the details of the alleged acts of spoliation. In the founding affidavit, the applicant in para(s) 1-15 and 1-17 simply alleged a spoliation by the respondent on 28 August, 2017 without going into details thereof. </w:t>
      </w:r>
      <w:r w:rsidRPr="00306D00">
        <w:rPr>
          <w:rFonts w:ascii="Arial" w:hAnsi="Arial" w:cs="Arial"/>
          <w:u w:val="single"/>
        </w:rPr>
        <w:t>The act of spoliation should be described in detail as it occurred and the conduct or actions of each spoliator set out. One way of looking at the requirement to link the conduct of alleged spoliator to the spoliation is to ask the question, “what did the spoliator do in carrying the commission of the spoliation?”</w:t>
      </w:r>
      <w:r w:rsidRPr="0033455B">
        <w:rPr>
          <w:rFonts w:ascii="Arial" w:hAnsi="Arial" w:cs="Arial"/>
        </w:rPr>
        <w:t xml:space="preserve"> in the listed para(s) the applicant simply alleged that the first, second and third respondent unlawfully deprived the applicant of possession and that the law did not allow the taking of possession of the stands without the consent of the applicant. The supporting affidavit of </w:t>
      </w:r>
      <w:proofErr w:type="spellStart"/>
      <w:r w:rsidRPr="0033455B">
        <w:rPr>
          <w:rFonts w:ascii="Arial" w:hAnsi="Arial" w:cs="Arial"/>
        </w:rPr>
        <w:t>Macline</w:t>
      </w:r>
      <w:proofErr w:type="spellEnd"/>
      <w:r w:rsidRPr="0033455B">
        <w:rPr>
          <w:rFonts w:ascii="Arial" w:hAnsi="Arial" w:cs="Arial"/>
        </w:rPr>
        <w:t xml:space="preserve"> </w:t>
      </w:r>
      <w:proofErr w:type="spellStart"/>
      <w:r w:rsidRPr="0033455B">
        <w:rPr>
          <w:rFonts w:ascii="Arial" w:hAnsi="Arial" w:cs="Arial"/>
        </w:rPr>
        <w:t>Chandakasarira</w:t>
      </w:r>
      <w:proofErr w:type="spellEnd"/>
      <w:r w:rsidRPr="0033455B">
        <w:rPr>
          <w:rFonts w:ascii="Arial" w:hAnsi="Arial" w:cs="Arial"/>
        </w:rPr>
        <w:t xml:space="preserve"> lacks detail of how the alleged spoliation was committed and thus it is unhelpful to the applicant’s cause</w:t>
      </w:r>
      <w:r>
        <w:t>.</w:t>
      </w:r>
      <w:r w:rsidR="009F0E1E">
        <w:t xml:space="preserve"> . . </w:t>
      </w:r>
      <w:r w:rsidR="00306D00">
        <w:t xml:space="preserve"> </w:t>
      </w:r>
      <w:r w:rsidR="00306D00" w:rsidRPr="00306D00">
        <w:rPr>
          <w:rFonts w:ascii="Arial" w:hAnsi="Arial" w:cs="Arial"/>
        </w:rPr>
        <w:t>[My emphasis]</w:t>
      </w:r>
    </w:p>
    <w:p w:rsidR="000969FA" w:rsidRDefault="000969FA" w:rsidP="000969FA">
      <w:pPr>
        <w:pStyle w:val="NoSpacing"/>
        <w:spacing w:line="360" w:lineRule="auto"/>
        <w:ind w:left="720"/>
        <w:jc w:val="both"/>
      </w:pPr>
    </w:p>
    <w:p w:rsidR="009F0E1E" w:rsidRPr="009F0E1E" w:rsidRDefault="009F0E1E" w:rsidP="009F0E1E">
      <w:pPr>
        <w:pStyle w:val="NoSpacing"/>
        <w:spacing w:line="480" w:lineRule="auto"/>
        <w:ind w:left="720"/>
        <w:jc w:val="both"/>
      </w:pPr>
      <w:r w:rsidRPr="009F0E1E">
        <w:rPr>
          <w:rFonts w:ascii="Arial" w:hAnsi="Arial" w:cs="Arial"/>
        </w:rPr>
        <w:t xml:space="preserve">In </w:t>
      </w:r>
      <w:proofErr w:type="spellStart"/>
      <w:r w:rsidRPr="009F0E1E">
        <w:rPr>
          <w:rFonts w:ascii="Arial" w:hAnsi="Arial" w:cs="Arial"/>
        </w:rPr>
        <w:t>casu</w:t>
      </w:r>
      <w:proofErr w:type="spellEnd"/>
      <w:r w:rsidRPr="009F0E1E">
        <w:rPr>
          <w:rFonts w:ascii="Arial" w:hAnsi="Arial" w:cs="Arial"/>
        </w:rPr>
        <w:t xml:space="preserve">, the applicant was its own worst enemy. It was coy with facts and did not go into specific detail in relation to how it claims to be in possession of the property and how the alleged spoliation unfolded. Under the circumstances were it a trial cause, the applicant’s case would have qualified for absolution from the instance. In </w:t>
      </w:r>
      <w:proofErr w:type="spellStart"/>
      <w:r w:rsidRPr="009F0E1E">
        <w:rPr>
          <w:rFonts w:ascii="Arial" w:hAnsi="Arial" w:cs="Arial"/>
        </w:rPr>
        <w:t>casu</w:t>
      </w:r>
      <w:proofErr w:type="spellEnd"/>
      <w:r w:rsidRPr="009F0E1E">
        <w:rPr>
          <w:rFonts w:ascii="Arial" w:hAnsi="Arial" w:cs="Arial"/>
        </w:rPr>
        <w:t>, there is insufficiency of evidence and a failure to establish the factors which are necessary to prove a spoliation cause on a balance of probabilities. I do not find any cogent reason to depart from the general rule that costs follow the event. The following order ensues</w:t>
      </w:r>
      <w:r>
        <w:t>.</w:t>
      </w:r>
      <w:r w:rsidR="0033455B">
        <w:t>’</w:t>
      </w:r>
    </w:p>
    <w:p w:rsidR="009F0E1E" w:rsidRDefault="009F0E1E" w:rsidP="009F0E1E">
      <w:pPr>
        <w:pStyle w:val="NoSpacing"/>
        <w:spacing w:line="480" w:lineRule="auto"/>
        <w:jc w:val="both"/>
        <w:rPr>
          <w:rFonts w:ascii="Arial" w:hAnsi="Arial" w:cs="Arial"/>
          <w:sz w:val="24"/>
          <w:szCs w:val="24"/>
        </w:rPr>
      </w:pPr>
    </w:p>
    <w:p w:rsidR="009F0E1E" w:rsidRDefault="009F0E1E" w:rsidP="005B531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 could not agree more with the reasoning in </w:t>
      </w:r>
      <w:r w:rsidRPr="0033455B">
        <w:rPr>
          <w:rFonts w:ascii="Arial" w:hAnsi="Arial" w:cs="Arial"/>
          <w:i/>
          <w:sz w:val="24"/>
          <w:szCs w:val="24"/>
        </w:rPr>
        <w:t>Overflow Zone Enterprises (Pvt) Ltd</w:t>
      </w:r>
      <w:r>
        <w:rPr>
          <w:rFonts w:ascii="Arial" w:hAnsi="Arial" w:cs="Arial"/>
          <w:i/>
          <w:sz w:val="24"/>
          <w:szCs w:val="24"/>
        </w:rPr>
        <w:t xml:space="preserve"> </w:t>
      </w:r>
      <w:r>
        <w:rPr>
          <w:rFonts w:ascii="Arial" w:hAnsi="Arial" w:cs="Arial"/>
          <w:sz w:val="24"/>
          <w:szCs w:val="24"/>
        </w:rPr>
        <w:t xml:space="preserve">and </w:t>
      </w:r>
      <w:r w:rsidR="00306D00">
        <w:rPr>
          <w:rFonts w:ascii="Arial" w:hAnsi="Arial" w:cs="Arial"/>
          <w:sz w:val="24"/>
          <w:szCs w:val="24"/>
        </w:rPr>
        <w:t>associate</w:t>
      </w:r>
      <w:r>
        <w:rPr>
          <w:rFonts w:ascii="Arial" w:hAnsi="Arial" w:cs="Arial"/>
          <w:sz w:val="24"/>
          <w:szCs w:val="24"/>
        </w:rPr>
        <w:t xml:space="preserve"> myself with same. </w:t>
      </w:r>
    </w:p>
    <w:p w:rsidR="009F0E1E" w:rsidRDefault="009F0E1E" w:rsidP="009F0E1E">
      <w:pPr>
        <w:pStyle w:val="NoSpacing"/>
        <w:spacing w:line="480" w:lineRule="auto"/>
        <w:ind w:left="180"/>
        <w:jc w:val="both"/>
        <w:rPr>
          <w:rFonts w:ascii="Arial" w:hAnsi="Arial" w:cs="Arial"/>
          <w:sz w:val="24"/>
          <w:szCs w:val="24"/>
        </w:rPr>
      </w:pPr>
    </w:p>
    <w:p w:rsidR="009F0E1E" w:rsidRPr="009F0E1E" w:rsidRDefault="009F0E1E" w:rsidP="005B5313">
      <w:pPr>
        <w:pStyle w:val="NoSpacing"/>
        <w:spacing w:line="480" w:lineRule="auto"/>
        <w:jc w:val="both"/>
        <w:rPr>
          <w:rFonts w:ascii="Arial" w:hAnsi="Arial" w:cs="Arial"/>
          <w:sz w:val="24"/>
          <w:szCs w:val="24"/>
          <w:u w:val="single"/>
        </w:rPr>
      </w:pPr>
      <w:r w:rsidRPr="009F0E1E">
        <w:rPr>
          <w:rFonts w:ascii="Arial" w:hAnsi="Arial" w:cs="Arial"/>
          <w:sz w:val="24"/>
          <w:szCs w:val="24"/>
          <w:u w:val="single"/>
        </w:rPr>
        <w:t>Appeal against counter</w:t>
      </w:r>
      <w:r w:rsidR="004A3385">
        <w:rPr>
          <w:rFonts w:ascii="Arial" w:hAnsi="Arial" w:cs="Arial"/>
          <w:sz w:val="24"/>
          <w:szCs w:val="24"/>
          <w:u w:val="single"/>
        </w:rPr>
        <w:t>-</w:t>
      </w:r>
      <w:r w:rsidRPr="009F0E1E">
        <w:rPr>
          <w:rFonts w:ascii="Arial" w:hAnsi="Arial" w:cs="Arial"/>
          <w:sz w:val="24"/>
          <w:szCs w:val="24"/>
          <w:u w:val="single"/>
        </w:rPr>
        <w:t>application</w:t>
      </w:r>
    </w:p>
    <w:p w:rsidR="00306D00" w:rsidRDefault="005F0EB9" w:rsidP="00042CD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essence the respondents also are appealing against the court </w:t>
      </w:r>
      <w:r w:rsidRPr="004A3385">
        <w:rPr>
          <w:rFonts w:ascii="Arial" w:hAnsi="Arial" w:cs="Arial"/>
          <w:i/>
          <w:sz w:val="24"/>
          <w:szCs w:val="24"/>
        </w:rPr>
        <w:t>a quo’</w:t>
      </w:r>
      <w:r w:rsidR="004E11EA" w:rsidRPr="004A3385">
        <w:rPr>
          <w:rFonts w:ascii="Arial" w:hAnsi="Arial" w:cs="Arial"/>
          <w:i/>
          <w:sz w:val="24"/>
          <w:szCs w:val="24"/>
        </w:rPr>
        <w:t>s</w:t>
      </w:r>
      <w:r w:rsidR="004E11EA">
        <w:rPr>
          <w:rFonts w:ascii="Arial" w:hAnsi="Arial" w:cs="Arial"/>
          <w:sz w:val="24"/>
          <w:szCs w:val="24"/>
        </w:rPr>
        <w:t xml:space="preserve"> decision not to grant the counter</w:t>
      </w:r>
      <w:r w:rsidR="004A3385">
        <w:rPr>
          <w:rFonts w:ascii="Arial" w:hAnsi="Arial" w:cs="Arial"/>
          <w:sz w:val="24"/>
          <w:szCs w:val="24"/>
        </w:rPr>
        <w:t>-</w:t>
      </w:r>
      <w:r w:rsidR="004E11EA">
        <w:rPr>
          <w:rFonts w:ascii="Arial" w:hAnsi="Arial" w:cs="Arial"/>
          <w:sz w:val="24"/>
          <w:szCs w:val="24"/>
        </w:rPr>
        <w:t xml:space="preserve">application for the </w:t>
      </w:r>
      <w:r>
        <w:rPr>
          <w:rFonts w:ascii="Arial" w:hAnsi="Arial" w:cs="Arial"/>
          <w:sz w:val="24"/>
          <w:szCs w:val="24"/>
        </w:rPr>
        <w:t xml:space="preserve">eviction of the applicants. </w:t>
      </w:r>
      <w:r w:rsidR="0061191F">
        <w:rPr>
          <w:rFonts w:ascii="Arial" w:hAnsi="Arial" w:cs="Arial"/>
          <w:sz w:val="24"/>
          <w:szCs w:val="24"/>
        </w:rPr>
        <w:t>T</w:t>
      </w:r>
      <w:r w:rsidR="00306D00">
        <w:rPr>
          <w:rFonts w:ascii="Arial" w:hAnsi="Arial" w:cs="Arial"/>
          <w:sz w:val="24"/>
          <w:szCs w:val="24"/>
        </w:rPr>
        <w:t xml:space="preserve">he </w:t>
      </w:r>
      <w:r w:rsidR="0061191F">
        <w:rPr>
          <w:rFonts w:ascii="Arial" w:hAnsi="Arial" w:cs="Arial"/>
          <w:sz w:val="24"/>
          <w:szCs w:val="24"/>
        </w:rPr>
        <w:t xml:space="preserve">applicants’ </w:t>
      </w:r>
      <w:r w:rsidR="00306D00">
        <w:rPr>
          <w:rFonts w:ascii="Arial" w:hAnsi="Arial" w:cs="Arial"/>
          <w:sz w:val="24"/>
          <w:szCs w:val="24"/>
        </w:rPr>
        <w:t xml:space="preserve">notice of motion </w:t>
      </w:r>
      <w:r w:rsidR="0061191F">
        <w:rPr>
          <w:rFonts w:ascii="Arial" w:hAnsi="Arial" w:cs="Arial"/>
          <w:sz w:val="24"/>
          <w:szCs w:val="24"/>
        </w:rPr>
        <w:t xml:space="preserve">however </w:t>
      </w:r>
      <w:r w:rsidR="00306D00">
        <w:rPr>
          <w:rFonts w:ascii="Arial" w:hAnsi="Arial" w:cs="Arial"/>
          <w:sz w:val="24"/>
          <w:szCs w:val="24"/>
        </w:rPr>
        <w:t xml:space="preserve">simply prays for the dismissal of the appeal and the appeal referred to includes the </w:t>
      </w:r>
      <w:r w:rsidR="0061191F">
        <w:rPr>
          <w:rFonts w:ascii="Arial" w:hAnsi="Arial" w:cs="Arial"/>
          <w:sz w:val="24"/>
          <w:szCs w:val="24"/>
        </w:rPr>
        <w:t xml:space="preserve">appeal against the order in respect of the </w:t>
      </w:r>
      <w:r w:rsidR="00306D00">
        <w:rPr>
          <w:rFonts w:ascii="Arial" w:hAnsi="Arial" w:cs="Arial"/>
          <w:sz w:val="24"/>
          <w:szCs w:val="24"/>
        </w:rPr>
        <w:t>counter</w:t>
      </w:r>
      <w:r w:rsidR="004A3385">
        <w:rPr>
          <w:rFonts w:ascii="Arial" w:hAnsi="Arial" w:cs="Arial"/>
          <w:sz w:val="24"/>
          <w:szCs w:val="24"/>
        </w:rPr>
        <w:t>-</w:t>
      </w:r>
      <w:r w:rsidR="00306D00">
        <w:rPr>
          <w:rFonts w:ascii="Arial" w:hAnsi="Arial" w:cs="Arial"/>
          <w:sz w:val="24"/>
          <w:szCs w:val="24"/>
        </w:rPr>
        <w:t>application.</w:t>
      </w:r>
    </w:p>
    <w:p w:rsidR="00306D00" w:rsidRDefault="00306D00" w:rsidP="00306D00">
      <w:pPr>
        <w:pStyle w:val="NoSpacing"/>
        <w:spacing w:line="480" w:lineRule="auto"/>
        <w:jc w:val="both"/>
        <w:rPr>
          <w:rFonts w:ascii="Arial" w:hAnsi="Arial" w:cs="Arial"/>
          <w:sz w:val="24"/>
          <w:szCs w:val="24"/>
        </w:rPr>
      </w:pPr>
    </w:p>
    <w:p w:rsidR="00306D00" w:rsidRDefault="00306D00" w:rsidP="00042CD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will therefore </w:t>
      </w:r>
      <w:r w:rsidR="0061191F">
        <w:rPr>
          <w:rFonts w:ascii="Arial" w:hAnsi="Arial" w:cs="Arial"/>
          <w:sz w:val="24"/>
          <w:szCs w:val="24"/>
        </w:rPr>
        <w:t xml:space="preserve">briefly </w:t>
      </w:r>
      <w:r>
        <w:rPr>
          <w:rFonts w:ascii="Arial" w:hAnsi="Arial" w:cs="Arial"/>
          <w:sz w:val="24"/>
          <w:szCs w:val="24"/>
        </w:rPr>
        <w:t>consider the counter</w:t>
      </w:r>
      <w:r w:rsidR="004A3385">
        <w:rPr>
          <w:rFonts w:ascii="Arial" w:hAnsi="Arial" w:cs="Arial"/>
          <w:sz w:val="24"/>
          <w:szCs w:val="24"/>
        </w:rPr>
        <w:t>-</w:t>
      </w:r>
      <w:r>
        <w:rPr>
          <w:rFonts w:ascii="Arial" w:hAnsi="Arial" w:cs="Arial"/>
          <w:sz w:val="24"/>
          <w:szCs w:val="24"/>
        </w:rPr>
        <w:t xml:space="preserve">application out of an abundance of caution. Needless to say, the applicants say nothing in their </w:t>
      </w:r>
      <w:r w:rsidR="0061191F">
        <w:rPr>
          <w:rFonts w:ascii="Arial" w:hAnsi="Arial" w:cs="Arial"/>
          <w:sz w:val="24"/>
          <w:szCs w:val="24"/>
        </w:rPr>
        <w:t xml:space="preserve">application </w:t>
      </w:r>
      <w:r>
        <w:rPr>
          <w:rFonts w:ascii="Arial" w:hAnsi="Arial" w:cs="Arial"/>
          <w:sz w:val="24"/>
          <w:szCs w:val="24"/>
        </w:rPr>
        <w:t>on the aspect of the counter</w:t>
      </w:r>
      <w:r w:rsidR="004A3385">
        <w:rPr>
          <w:rFonts w:ascii="Arial" w:hAnsi="Arial" w:cs="Arial"/>
          <w:sz w:val="24"/>
          <w:szCs w:val="24"/>
        </w:rPr>
        <w:t>-</w:t>
      </w:r>
      <w:r>
        <w:rPr>
          <w:rFonts w:ascii="Arial" w:hAnsi="Arial" w:cs="Arial"/>
          <w:sz w:val="24"/>
          <w:szCs w:val="24"/>
        </w:rPr>
        <w:t xml:space="preserve">application. </w:t>
      </w:r>
    </w:p>
    <w:p w:rsidR="00306D00" w:rsidRDefault="00306D00" w:rsidP="0061191F">
      <w:pPr>
        <w:pStyle w:val="ListParagraph"/>
        <w:spacing w:after="0" w:line="480" w:lineRule="auto"/>
        <w:jc w:val="both"/>
        <w:rPr>
          <w:rFonts w:ascii="Arial" w:hAnsi="Arial" w:cs="Arial"/>
          <w:sz w:val="24"/>
          <w:szCs w:val="24"/>
        </w:rPr>
      </w:pPr>
    </w:p>
    <w:p w:rsidR="005F0EB9" w:rsidRPr="00042CD5" w:rsidRDefault="005F0EB9" w:rsidP="00042CD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4A3385">
        <w:rPr>
          <w:rFonts w:ascii="Arial" w:hAnsi="Arial" w:cs="Arial"/>
          <w:i/>
          <w:sz w:val="24"/>
          <w:szCs w:val="24"/>
        </w:rPr>
        <w:t>a quo</w:t>
      </w:r>
      <w:r>
        <w:rPr>
          <w:rFonts w:ascii="Arial" w:hAnsi="Arial" w:cs="Arial"/>
          <w:sz w:val="24"/>
          <w:szCs w:val="24"/>
        </w:rPr>
        <w:t xml:space="preserve"> reas</w:t>
      </w:r>
      <w:r w:rsidR="004E11EA">
        <w:rPr>
          <w:rFonts w:ascii="Arial" w:hAnsi="Arial" w:cs="Arial"/>
          <w:sz w:val="24"/>
          <w:szCs w:val="24"/>
        </w:rPr>
        <w:t>oned that, granting the counter</w:t>
      </w:r>
      <w:r w:rsidR="004A3385">
        <w:rPr>
          <w:rFonts w:ascii="Arial" w:hAnsi="Arial" w:cs="Arial"/>
          <w:sz w:val="24"/>
          <w:szCs w:val="24"/>
        </w:rPr>
        <w:t>-</w:t>
      </w:r>
      <w:r>
        <w:rPr>
          <w:rFonts w:ascii="Arial" w:hAnsi="Arial" w:cs="Arial"/>
          <w:sz w:val="24"/>
          <w:szCs w:val="24"/>
        </w:rPr>
        <w:t xml:space="preserve">application will render the spoliation order it granted, </w:t>
      </w:r>
      <w:proofErr w:type="spellStart"/>
      <w:r w:rsidRPr="009F0E1E">
        <w:rPr>
          <w:rFonts w:ascii="Arial" w:hAnsi="Arial" w:cs="Arial"/>
          <w:i/>
          <w:sz w:val="24"/>
          <w:szCs w:val="24"/>
        </w:rPr>
        <w:t>brutum</w:t>
      </w:r>
      <w:proofErr w:type="spellEnd"/>
      <w:r w:rsidRPr="009F0E1E">
        <w:rPr>
          <w:rFonts w:ascii="Arial" w:hAnsi="Arial" w:cs="Arial"/>
          <w:i/>
          <w:sz w:val="24"/>
          <w:szCs w:val="24"/>
        </w:rPr>
        <w:t xml:space="preserve"> </w:t>
      </w:r>
      <w:proofErr w:type="spellStart"/>
      <w:r w:rsidRPr="009F0E1E">
        <w:rPr>
          <w:rFonts w:ascii="Arial" w:hAnsi="Arial" w:cs="Arial"/>
          <w:i/>
          <w:sz w:val="24"/>
          <w:szCs w:val="24"/>
        </w:rPr>
        <w:t>fulmen</w:t>
      </w:r>
      <w:proofErr w:type="spellEnd"/>
      <w:r>
        <w:rPr>
          <w:rFonts w:ascii="Arial" w:hAnsi="Arial" w:cs="Arial"/>
          <w:sz w:val="24"/>
          <w:szCs w:val="24"/>
        </w:rPr>
        <w:t xml:space="preserve"> and ludicrous. </w:t>
      </w:r>
      <w:r w:rsidR="00042CD5">
        <w:rPr>
          <w:rFonts w:ascii="Arial" w:hAnsi="Arial" w:cs="Arial"/>
          <w:sz w:val="24"/>
          <w:szCs w:val="24"/>
        </w:rPr>
        <w:t>I now proceed to consider whether the applicants have made out a case for the summary dismissal of the appeal against the dismissal of the counter</w:t>
      </w:r>
      <w:r w:rsidR="004A3385">
        <w:rPr>
          <w:rFonts w:ascii="Arial" w:hAnsi="Arial" w:cs="Arial"/>
          <w:sz w:val="24"/>
          <w:szCs w:val="24"/>
        </w:rPr>
        <w:t>-</w:t>
      </w:r>
      <w:r w:rsidR="00042CD5">
        <w:rPr>
          <w:rFonts w:ascii="Arial" w:hAnsi="Arial" w:cs="Arial"/>
          <w:sz w:val="24"/>
          <w:szCs w:val="24"/>
        </w:rPr>
        <w:t xml:space="preserve">application. </w:t>
      </w:r>
    </w:p>
    <w:p w:rsidR="00F56413" w:rsidRDefault="00F56413" w:rsidP="00F56413">
      <w:pPr>
        <w:pStyle w:val="NoSpacing"/>
        <w:spacing w:line="480" w:lineRule="auto"/>
        <w:ind w:left="720"/>
        <w:jc w:val="both"/>
        <w:rPr>
          <w:rFonts w:ascii="Arial" w:hAnsi="Arial" w:cs="Arial"/>
          <w:sz w:val="24"/>
          <w:szCs w:val="24"/>
        </w:rPr>
      </w:pPr>
    </w:p>
    <w:p w:rsidR="004A3385" w:rsidRDefault="00042CD5" w:rsidP="005B5313">
      <w:pPr>
        <w:pStyle w:val="NoSpacing"/>
        <w:numPr>
          <w:ilvl w:val="0"/>
          <w:numId w:val="1"/>
        </w:numPr>
        <w:spacing w:line="480" w:lineRule="auto"/>
        <w:ind w:hanging="720"/>
        <w:jc w:val="both"/>
        <w:rPr>
          <w:rFonts w:ascii="Arial" w:hAnsi="Arial" w:cs="Arial"/>
          <w:sz w:val="24"/>
          <w:szCs w:val="24"/>
        </w:rPr>
      </w:pPr>
      <w:r w:rsidRPr="004A3385">
        <w:rPr>
          <w:rFonts w:ascii="Arial" w:hAnsi="Arial" w:cs="Arial"/>
          <w:sz w:val="24"/>
          <w:szCs w:val="24"/>
        </w:rPr>
        <w:t xml:space="preserve">In </w:t>
      </w:r>
      <w:proofErr w:type="spellStart"/>
      <w:r w:rsidRPr="004A3385">
        <w:rPr>
          <w:rFonts w:ascii="Arial" w:hAnsi="Arial" w:cs="Arial"/>
          <w:i/>
          <w:sz w:val="24"/>
          <w:szCs w:val="24"/>
        </w:rPr>
        <w:t>Willowvale</w:t>
      </w:r>
      <w:proofErr w:type="spellEnd"/>
      <w:r w:rsidRPr="004A3385">
        <w:rPr>
          <w:rFonts w:ascii="Arial" w:hAnsi="Arial" w:cs="Arial"/>
          <w:i/>
          <w:sz w:val="24"/>
          <w:szCs w:val="24"/>
        </w:rPr>
        <w:t xml:space="preserve"> Estates CC &amp; another v </w:t>
      </w:r>
      <w:proofErr w:type="spellStart"/>
      <w:r w:rsidRPr="004A3385">
        <w:rPr>
          <w:rFonts w:ascii="Arial" w:hAnsi="Arial" w:cs="Arial"/>
          <w:i/>
          <w:sz w:val="24"/>
          <w:szCs w:val="24"/>
        </w:rPr>
        <w:t>Bryanmore</w:t>
      </w:r>
      <w:proofErr w:type="spellEnd"/>
      <w:r w:rsidRPr="004A3385">
        <w:rPr>
          <w:rFonts w:ascii="Arial" w:hAnsi="Arial" w:cs="Arial"/>
          <w:i/>
          <w:sz w:val="24"/>
          <w:szCs w:val="24"/>
        </w:rPr>
        <w:t xml:space="preserve"> Estates Ltd</w:t>
      </w:r>
      <w:r w:rsidRPr="004A3385">
        <w:rPr>
          <w:rStyle w:val="FootnoteReference"/>
          <w:rFonts w:ascii="Arial" w:hAnsi="Arial" w:cs="Arial"/>
          <w:sz w:val="24"/>
          <w:szCs w:val="24"/>
        </w:rPr>
        <w:footnoteReference w:id="9"/>
      </w:r>
      <w:r w:rsidRPr="004A3385">
        <w:rPr>
          <w:rFonts w:ascii="Arial" w:hAnsi="Arial" w:cs="Arial"/>
          <w:sz w:val="24"/>
          <w:szCs w:val="24"/>
        </w:rPr>
        <w:t xml:space="preserve"> the following was said</w:t>
      </w:r>
      <w:r w:rsidR="004A3385">
        <w:rPr>
          <w:rFonts w:ascii="Arial" w:hAnsi="Arial" w:cs="Arial"/>
          <w:sz w:val="24"/>
          <w:szCs w:val="24"/>
        </w:rPr>
        <w:t xml:space="preserve"> </w:t>
      </w:r>
      <w:r w:rsidRPr="004A3385">
        <w:rPr>
          <w:rFonts w:ascii="Arial" w:hAnsi="Arial" w:cs="Arial"/>
          <w:sz w:val="24"/>
          <w:szCs w:val="24"/>
        </w:rPr>
        <w:t>–</w:t>
      </w:r>
      <w:r w:rsidR="004A3385">
        <w:rPr>
          <w:rFonts w:ascii="Arial" w:hAnsi="Arial" w:cs="Arial"/>
          <w:sz w:val="24"/>
          <w:szCs w:val="24"/>
        </w:rPr>
        <w:t>:</w:t>
      </w:r>
    </w:p>
    <w:p w:rsidR="004A3385" w:rsidRDefault="004A3385" w:rsidP="004A3385">
      <w:pPr>
        <w:pStyle w:val="ListParagraph"/>
        <w:rPr>
          <w:rFonts w:ascii="Arial" w:hAnsi="Arial" w:cs="Arial"/>
          <w:sz w:val="24"/>
          <w:szCs w:val="24"/>
        </w:rPr>
      </w:pPr>
    </w:p>
    <w:p w:rsidR="000C12B3" w:rsidRPr="004A3385" w:rsidRDefault="000C12B3" w:rsidP="004A3385">
      <w:pPr>
        <w:pStyle w:val="NoSpacing"/>
        <w:spacing w:line="360" w:lineRule="auto"/>
        <w:ind w:left="720"/>
        <w:jc w:val="both"/>
        <w:rPr>
          <w:rFonts w:ascii="Arial" w:hAnsi="Arial" w:cs="Arial"/>
        </w:rPr>
      </w:pPr>
      <w:r w:rsidRPr="004A3385">
        <w:rPr>
          <w:rFonts w:ascii="Arial" w:hAnsi="Arial" w:cs="Arial"/>
        </w:rPr>
        <w:lastRenderedPageBreak/>
        <w:t>'</w:t>
      </w:r>
      <w:r w:rsidR="00472176" w:rsidRPr="004A3385">
        <w:rPr>
          <w:rFonts w:ascii="Arial" w:hAnsi="Arial" w:cs="Arial"/>
        </w:rPr>
        <w:t>The princi</w:t>
      </w:r>
      <w:r w:rsidR="009F0E1E" w:rsidRPr="004A3385">
        <w:rPr>
          <w:rFonts w:ascii="Arial" w:hAnsi="Arial" w:cs="Arial"/>
        </w:rPr>
        <w:t xml:space="preserve">ple enunciated in Burger's </w:t>
      </w:r>
      <w:r w:rsidR="00472176" w:rsidRPr="004A3385">
        <w:rPr>
          <w:rFonts w:ascii="Arial" w:hAnsi="Arial" w:cs="Arial"/>
        </w:rPr>
        <w:t xml:space="preserve">case supra and the other authorities to which I have referred is not based upon any Rule of Court; it is </w:t>
      </w:r>
      <w:r w:rsidR="00472176" w:rsidRPr="004A3385">
        <w:rPr>
          <w:rFonts w:ascii="Arial" w:hAnsi="Arial" w:cs="Arial"/>
          <w:u w:val="single"/>
        </w:rPr>
        <w:t xml:space="preserve">that a spoliation must be adjudicated upon ante </w:t>
      </w:r>
      <w:proofErr w:type="spellStart"/>
      <w:r w:rsidR="00472176" w:rsidRPr="004A3385">
        <w:rPr>
          <w:rFonts w:ascii="Arial" w:hAnsi="Arial" w:cs="Arial"/>
          <w:u w:val="single"/>
        </w:rPr>
        <w:t>omnia</w:t>
      </w:r>
      <w:proofErr w:type="spellEnd"/>
      <w:r w:rsidR="00472176" w:rsidRPr="004A3385">
        <w:rPr>
          <w:rFonts w:ascii="Arial" w:hAnsi="Arial" w:cs="Arial"/>
          <w:u w:val="single"/>
        </w:rPr>
        <w:t xml:space="preserve"> and thus speedily</w:t>
      </w:r>
      <w:r w:rsidR="00472176" w:rsidRPr="004A3385">
        <w:rPr>
          <w:rFonts w:ascii="Arial" w:hAnsi="Arial" w:cs="Arial"/>
        </w:rPr>
        <w:t xml:space="preserve">. </w:t>
      </w:r>
      <w:r w:rsidR="00472176" w:rsidRPr="004A3385">
        <w:rPr>
          <w:rFonts w:ascii="Arial" w:hAnsi="Arial" w:cs="Arial"/>
          <w:u w:val="single"/>
        </w:rPr>
        <w:t>Speedy relief is given upon the simple facts of possession and dispossession</w:t>
      </w:r>
      <w:r w:rsidR="00472176" w:rsidRPr="004A3385">
        <w:rPr>
          <w:rFonts w:ascii="Arial" w:hAnsi="Arial" w:cs="Arial"/>
        </w:rPr>
        <w:t xml:space="preserve">. This involves, or should involve, short affidavits filed </w:t>
      </w:r>
      <w:r w:rsidR="009F0E1E" w:rsidRPr="004A3385">
        <w:rPr>
          <w:rFonts w:ascii="Arial" w:hAnsi="Arial" w:cs="Arial"/>
        </w:rPr>
        <w:t>expeditiously on those very</w:t>
      </w:r>
      <w:r w:rsidR="00472176" w:rsidRPr="004A3385">
        <w:rPr>
          <w:rFonts w:ascii="Arial" w:hAnsi="Arial" w:cs="Arial"/>
        </w:rPr>
        <w:t xml:space="preserve"> limited issues. </w:t>
      </w:r>
      <w:r w:rsidR="00472176" w:rsidRPr="004A3385">
        <w:rPr>
          <w:rFonts w:ascii="Arial" w:hAnsi="Arial" w:cs="Arial"/>
          <w:u w:val="single"/>
        </w:rPr>
        <w:t>If a counter-application is permissible the affidavits immediately become prolix and many other issues may be introduced, as they certainly have been in the present proceedings</w:t>
      </w:r>
      <w:r w:rsidR="00472176" w:rsidRPr="004A3385">
        <w:rPr>
          <w:rFonts w:ascii="Arial" w:hAnsi="Arial" w:cs="Arial"/>
        </w:rPr>
        <w:t>. This would not have occurred if the counter-application had been contained in a separate application with, if needs be, the incorporation therein of the allegations made in the spoliation application. . . .</w:t>
      </w:r>
      <w:r w:rsidR="00472176" w:rsidRPr="004A3385">
        <w:t xml:space="preserve"> </w:t>
      </w:r>
      <w:r w:rsidR="00472176" w:rsidRPr="004A3385">
        <w:rPr>
          <w:rFonts w:ascii="Arial" w:hAnsi="Arial" w:cs="Arial"/>
        </w:rPr>
        <w:t>In my view, by virtue of the very nature of a spoliation application, a counter-application should not be countenanced . . . .’</w:t>
      </w:r>
      <w:r w:rsidR="00472176" w:rsidRPr="004A3385">
        <w:rPr>
          <w:rStyle w:val="FootnoteReference"/>
          <w:rFonts w:ascii="Arial" w:hAnsi="Arial" w:cs="Arial"/>
        </w:rPr>
        <w:footnoteReference w:id="10"/>
      </w:r>
    </w:p>
    <w:p w:rsidR="009F0E1E" w:rsidRDefault="009F0E1E" w:rsidP="009F0E1E">
      <w:pPr>
        <w:pStyle w:val="NoSpacing"/>
        <w:spacing w:line="480" w:lineRule="auto"/>
        <w:jc w:val="both"/>
        <w:rPr>
          <w:rFonts w:ascii="Arial" w:hAnsi="Arial" w:cs="Arial"/>
          <w:sz w:val="24"/>
          <w:szCs w:val="24"/>
        </w:rPr>
      </w:pPr>
    </w:p>
    <w:p w:rsidR="009F0E1E" w:rsidRPr="00042CD5" w:rsidRDefault="00981F4C" w:rsidP="009F0E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agree with the court </w:t>
      </w:r>
      <w:r w:rsidRPr="004A3385">
        <w:rPr>
          <w:rFonts w:ascii="Arial" w:hAnsi="Arial" w:cs="Arial"/>
          <w:i/>
          <w:sz w:val="24"/>
          <w:szCs w:val="24"/>
        </w:rPr>
        <w:t>a quo</w:t>
      </w:r>
      <w:r>
        <w:rPr>
          <w:rFonts w:ascii="Arial" w:hAnsi="Arial" w:cs="Arial"/>
          <w:sz w:val="24"/>
          <w:szCs w:val="24"/>
        </w:rPr>
        <w:t xml:space="preserve"> that it would have been pointless to grant an eviction order right after granting a spoliation order. Such an order would truly have been </w:t>
      </w:r>
      <w:proofErr w:type="spellStart"/>
      <w:r w:rsidR="00C35D63" w:rsidRPr="00626D0B">
        <w:rPr>
          <w:rFonts w:ascii="Arial" w:hAnsi="Arial" w:cs="Arial"/>
          <w:i/>
          <w:sz w:val="24"/>
          <w:szCs w:val="24"/>
        </w:rPr>
        <w:t>brutum</w:t>
      </w:r>
      <w:proofErr w:type="spellEnd"/>
      <w:r w:rsidR="00C35D63" w:rsidRPr="00626D0B">
        <w:rPr>
          <w:rFonts w:ascii="Arial" w:hAnsi="Arial" w:cs="Arial"/>
          <w:i/>
          <w:sz w:val="24"/>
          <w:szCs w:val="24"/>
        </w:rPr>
        <w:t xml:space="preserve"> </w:t>
      </w:r>
      <w:proofErr w:type="spellStart"/>
      <w:r w:rsidR="00C35D63" w:rsidRPr="00626D0B">
        <w:rPr>
          <w:rFonts w:ascii="Arial" w:hAnsi="Arial" w:cs="Arial"/>
          <w:i/>
          <w:sz w:val="24"/>
          <w:szCs w:val="24"/>
        </w:rPr>
        <w:t>fulmen</w:t>
      </w:r>
      <w:proofErr w:type="spellEnd"/>
      <w:r w:rsidR="00042CD5">
        <w:rPr>
          <w:rFonts w:ascii="Arial" w:hAnsi="Arial" w:cs="Arial"/>
          <w:sz w:val="24"/>
          <w:szCs w:val="24"/>
        </w:rPr>
        <w:t xml:space="preserve">. </w:t>
      </w:r>
      <w:r w:rsidR="00C35D63">
        <w:rPr>
          <w:rFonts w:ascii="Arial" w:hAnsi="Arial" w:cs="Arial"/>
          <w:sz w:val="24"/>
          <w:szCs w:val="24"/>
        </w:rPr>
        <w:t>The very nature of a spoliation application cannot in my view</w:t>
      </w:r>
      <w:r w:rsidR="00785BDD">
        <w:rPr>
          <w:rFonts w:ascii="Arial" w:hAnsi="Arial" w:cs="Arial"/>
          <w:sz w:val="24"/>
          <w:szCs w:val="24"/>
        </w:rPr>
        <w:t xml:space="preserve"> accommodate within the same proceedings an application which will require an inquiry into rights held in the property if any.</w:t>
      </w:r>
    </w:p>
    <w:p w:rsidR="009F0E1E" w:rsidRDefault="009F0E1E" w:rsidP="009F0E1E">
      <w:pPr>
        <w:pStyle w:val="NoSpacing"/>
        <w:spacing w:line="480" w:lineRule="auto"/>
        <w:jc w:val="both"/>
        <w:rPr>
          <w:rFonts w:ascii="Arial" w:hAnsi="Arial" w:cs="Arial"/>
          <w:sz w:val="24"/>
          <w:szCs w:val="24"/>
        </w:rPr>
      </w:pPr>
    </w:p>
    <w:p w:rsidR="00042CD5" w:rsidRPr="004A3385" w:rsidRDefault="00042CD5" w:rsidP="00042CD5">
      <w:pPr>
        <w:pStyle w:val="NoSpacing"/>
        <w:numPr>
          <w:ilvl w:val="0"/>
          <w:numId w:val="1"/>
        </w:numPr>
        <w:spacing w:line="480" w:lineRule="auto"/>
        <w:ind w:left="0" w:firstLine="0"/>
        <w:jc w:val="both"/>
        <w:rPr>
          <w:rFonts w:ascii="Arial" w:hAnsi="Arial" w:cs="Arial"/>
          <w:sz w:val="24"/>
          <w:szCs w:val="24"/>
        </w:rPr>
      </w:pPr>
      <w:r w:rsidRPr="004A3385">
        <w:rPr>
          <w:rFonts w:ascii="Arial" w:hAnsi="Arial" w:cs="Arial"/>
          <w:sz w:val="24"/>
          <w:szCs w:val="24"/>
        </w:rPr>
        <w:t xml:space="preserve">It is clear from the above cited passage from </w:t>
      </w:r>
      <w:proofErr w:type="spellStart"/>
      <w:r w:rsidRPr="004A3385">
        <w:rPr>
          <w:rFonts w:ascii="Arial" w:hAnsi="Arial" w:cs="Arial"/>
          <w:i/>
          <w:sz w:val="24"/>
          <w:szCs w:val="24"/>
        </w:rPr>
        <w:t>Willowvale</w:t>
      </w:r>
      <w:proofErr w:type="spellEnd"/>
      <w:r w:rsidRPr="004A3385">
        <w:rPr>
          <w:rFonts w:ascii="Arial" w:hAnsi="Arial" w:cs="Arial"/>
          <w:i/>
          <w:sz w:val="24"/>
          <w:szCs w:val="24"/>
        </w:rPr>
        <w:t xml:space="preserve"> Estates CC &amp; another v </w:t>
      </w:r>
      <w:proofErr w:type="spellStart"/>
      <w:r w:rsidRPr="004A3385">
        <w:rPr>
          <w:rFonts w:ascii="Arial" w:hAnsi="Arial" w:cs="Arial"/>
          <w:i/>
          <w:sz w:val="24"/>
          <w:szCs w:val="24"/>
        </w:rPr>
        <w:t>Bryanmore</w:t>
      </w:r>
      <w:proofErr w:type="spellEnd"/>
      <w:r w:rsidRPr="004A3385">
        <w:rPr>
          <w:rFonts w:ascii="Arial" w:hAnsi="Arial" w:cs="Arial"/>
          <w:i/>
          <w:sz w:val="24"/>
          <w:szCs w:val="24"/>
        </w:rPr>
        <w:t xml:space="preserve"> Estates Ltd</w:t>
      </w:r>
      <w:r w:rsidRPr="004A3385">
        <w:rPr>
          <w:rFonts w:ascii="Arial" w:hAnsi="Arial" w:cs="Arial"/>
          <w:sz w:val="24"/>
          <w:szCs w:val="24"/>
        </w:rPr>
        <w:t xml:space="preserve"> that a counter</w:t>
      </w:r>
      <w:r w:rsidR="004A3385">
        <w:rPr>
          <w:rFonts w:ascii="Arial" w:hAnsi="Arial" w:cs="Arial"/>
          <w:sz w:val="24"/>
          <w:szCs w:val="24"/>
        </w:rPr>
        <w:t>-</w:t>
      </w:r>
      <w:r w:rsidRPr="004A3385">
        <w:rPr>
          <w:rFonts w:ascii="Arial" w:hAnsi="Arial" w:cs="Arial"/>
          <w:sz w:val="24"/>
          <w:szCs w:val="24"/>
        </w:rPr>
        <w:t xml:space="preserve">application is impermissible in a spoliation application. The very nature of a spoliation application is that it is urgent in nature and should be disposed speedily. On that score, the court </w:t>
      </w:r>
      <w:r w:rsidRPr="004A3385">
        <w:rPr>
          <w:rFonts w:ascii="Arial" w:hAnsi="Arial" w:cs="Arial"/>
          <w:i/>
          <w:sz w:val="24"/>
          <w:szCs w:val="24"/>
        </w:rPr>
        <w:t>a quo</w:t>
      </w:r>
      <w:r w:rsidRPr="004A3385">
        <w:rPr>
          <w:rFonts w:ascii="Arial" w:hAnsi="Arial" w:cs="Arial"/>
          <w:sz w:val="24"/>
          <w:szCs w:val="24"/>
        </w:rPr>
        <w:t xml:space="preserve"> was justified in not entertaining the counter</w:t>
      </w:r>
      <w:r w:rsidR="004A3385">
        <w:rPr>
          <w:rFonts w:ascii="Arial" w:hAnsi="Arial" w:cs="Arial"/>
          <w:sz w:val="24"/>
          <w:szCs w:val="24"/>
        </w:rPr>
        <w:t>-</w:t>
      </w:r>
      <w:r w:rsidRPr="004A3385">
        <w:rPr>
          <w:rFonts w:ascii="Arial" w:hAnsi="Arial" w:cs="Arial"/>
          <w:sz w:val="24"/>
          <w:szCs w:val="24"/>
        </w:rPr>
        <w:t xml:space="preserve">application. </w:t>
      </w:r>
    </w:p>
    <w:p w:rsidR="00042CD5" w:rsidRPr="00042CD5" w:rsidRDefault="00042CD5" w:rsidP="00042CD5">
      <w:pPr>
        <w:pStyle w:val="NoSpacing"/>
        <w:spacing w:line="480" w:lineRule="auto"/>
        <w:jc w:val="both"/>
        <w:rPr>
          <w:rFonts w:ascii="Arial" w:hAnsi="Arial" w:cs="Arial"/>
          <w:sz w:val="24"/>
          <w:szCs w:val="24"/>
        </w:rPr>
      </w:pPr>
    </w:p>
    <w:p w:rsidR="00D04289" w:rsidRDefault="00D04289" w:rsidP="006F46A5">
      <w:pPr>
        <w:pStyle w:val="NoSpacing"/>
        <w:numPr>
          <w:ilvl w:val="0"/>
          <w:numId w:val="1"/>
        </w:numPr>
        <w:spacing w:line="480" w:lineRule="auto"/>
        <w:ind w:left="0" w:firstLine="0"/>
        <w:jc w:val="both"/>
        <w:rPr>
          <w:rFonts w:ascii="Arial" w:hAnsi="Arial" w:cs="Arial"/>
          <w:sz w:val="24"/>
          <w:szCs w:val="24"/>
        </w:rPr>
      </w:pPr>
      <w:r w:rsidRPr="00306D00">
        <w:rPr>
          <w:rFonts w:ascii="Arial" w:hAnsi="Arial" w:cs="Arial"/>
          <w:sz w:val="24"/>
          <w:szCs w:val="24"/>
        </w:rPr>
        <w:t xml:space="preserve">The </w:t>
      </w:r>
      <w:r w:rsidR="00306D00" w:rsidRPr="00306D00">
        <w:rPr>
          <w:rFonts w:ascii="Arial" w:hAnsi="Arial" w:cs="Arial"/>
          <w:sz w:val="24"/>
          <w:szCs w:val="24"/>
        </w:rPr>
        <w:t xml:space="preserve">application for summary dismissal </w:t>
      </w:r>
      <w:r w:rsidR="00D95571">
        <w:rPr>
          <w:rFonts w:ascii="Arial" w:hAnsi="Arial" w:cs="Arial"/>
          <w:sz w:val="24"/>
          <w:szCs w:val="24"/>
        </w:rPr>
        <w:t>in respect of the counter</w:t>
      </w:r>
      <w:r w:rsidR="004A3385">
        <w:rPr>
          <w:rFonts w:ascii="Arial" w:hAnsi="Arial" w:cs="Arial"/>
          <w:sz w:val="24"/>
          <w:szCs w:val="24"/>
        </w:rPr>
        <w:t>-</w:t>
      </w:r>
      <w:r w:rsidR="00D95571">
        <w:rPr>
          <w:rFonts w:ascii="Arial" w:hAnsi="Arial" w:cs="Arial"/>
          <w:sz w:val="24"/>
          <w:szCs w:val="24"/>
        </w:rPr>
        <w:t xml:space="preserve">application </w:t>
      </w:r>
      <w:r w:rsidR="00E00741">
        <w:rPr>
          <w:rFonts w:ascii="Arial" w:hAnsi="Arial" w:cs="Arial"/>
          <w:sz w:val="24"/>
          <w:szCs w:val="24"/>
        </w:rPr>
        <w:t xml:space="preserve">could if canvassed in the applicants’ papers </w:t>
      </w:r>
      <w:r w:rsidR="00306D00" w:rsidRPr="00306D00">
        <w:rPr>
          <w:rFonts w:ascii="Arial" w:hAnsi="Arial" w:cs="Arial"/>
          <w:sz w:val="24"/>
          <w:szCs w:val="24"/>
        </w:rPr>
        <w:t xml:space="preserve">have succeeded, but in order to prevent a </w:t>
      </w:r>
      <w:r w:rsidR="00306D00" w:rsidRPr="00306D00">
        <w:rPr>
          <w:rFonts w:ascii="Arial" w:hAnsi="Arial" w:cs="Arial"/>
          <w:sz w:val="24"/>
          <w:szCs w:val="24"/>
        </w:rPr>
        <w:lastRenderedPageBreak/>
        <w:t xml:space="preserve">piecemeal determination of the appeal and particularly because the applicant did not even address the issue in her application for summary dismissal, it is only reasonable for this issue to be heard together with the appeal against the </w:t>
      </w:r>
      <w:r w:rsidR="00E00741">
        <w:rPr>
          <w:rFonts w:ascii="Arial" w:hAnsi="Arial" w:cs="Arial"/>
          <w:sz w:val="24"/>
          <w:szCs w:val="24"/>
        </w:rPr>
        <w:t xml:space="preserve">order in respect of the </w:t>
      </w:r>
      <w:r w:rsidR="00306D00" w:rsidRPr="00306D00">
        <w:rPr>
          <w:rFonts w:ascii="Arial" w:hAnsi="Arial" w:cs="Arial"/>
          <w:sz w:val="24"/>
          <w:szCs w:val="24"/>
        </w:rPr>
        <w:t>spoliation application</w:t>
      </w:r>
      <w:r w:rsidR="00E00741">
        <w:rPr>
          <w:rFonts w:ascii="Arial" w:hAnsi="Arial" w:cs="Arial"/>
          <w:sz w:val="24"/>
          <w:szCs w:val="24"/>
        </w:rPr>
        <w:t>.</w:t>
      </w:r>
    </w:p>
    <w:p w:rsidR="00306D00" w:rsidRPr="00306D00" w:rsidRDefault="00306D00" w:rsidP="004A3385">
      <w:pPr>
        <w:spacing w:after="0" w:line="480" w:lineRule="auto"/>
        <w:jc w:val="both"/>
        <w:rPr>
          <w:rFonts w:ascii="Arial" w:hAnsi="Arial" w:cs="Arial"/>
          <w:sz w:val="24"/>
          <w:szCs w:val="24"/>
        </w:rPr>
      </w:pPr>
    </w:p>
    <w:p w:rsidR="00CC6FAB" w:rsidRDefault="00CC6FAB" w:rsidP="00D0428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it is ordered that:</w:t>
      </w:r>
    </w:p>
    <w:p w:rsidR="00E00741" w:rsidRDefault="00E00741" w:rsidP="00E00741">
      <w:pPr>
        <w:pStyle w:val="NoSpacing"/>
        <w:spacing w:line="480" w:lineRule="auto"/>
        <w:jc w:val="both"/>
        <w:rPr>
          <w:rFonts w:ascii="Arial" w:hAnsi="Arial" w:cs="Arial"/>
          <w:sz w:val="24"/>
          <w:szCs w:val="24"/>
        </w:rPr>
      </w:pPr>
    </w:p>
    <w:p w:rsidR="00CC6FAB" w:rsidRDefault="00D04289" w:rsidP="00CC6FAB">
      <w:pPr>
        <w:pStyle w:val="NoSpacing"/>
        <w:numPr>
          <w:ilvl w:val="0"/>
          <w:numId w:val="10"/>
        </w:numPr>
        <w:spacing w:line="480" w:lineRule="auto"/>
        <w:jc w:val="both"/>
        <w:rPr>
          <w:rFonts w:ascii="Arial" w:hAnsi="Arial" w:cs="Arial"/>
          <w:sz w:val="24"/>
          <w:szCs w:val="24"/>
        </w:rPr>
      </w:pPr>
      <w:r>
        <w:rPr>
          <w:rFonts w:ascii="Arial" w:hAnsi="Arial" w:cs="Arial"/>
          <w:sz w:val="24"/>
          <w:szCs w:val="24"/>
        </w:rPr>
        <w:t>T</w:t>
      </w:r>
      <w:r w:rsidR="00CC6FAB">
        <w:rPr>
          <w:rFonts w:ascii="Arial" w:hAnsi="Arial" w:cs="Arial"/>
          <w:sz w:val="24"/>
          <w:szCs w:val="24"/>
        </w:rPr>
        <w:t>his application is dismissed</w:t>
      </w:r>
      <w:r w:rsidR="00425C82" w:rsidRPr="00D04289">
        <w:rPr>
          <w:rFonts w:ascii="Arial" w:hAnsi="Arial" w:cs="Arial"/>
          <w:sz w:val="24"/>
          <w:szCs w:val="24"/>
        </w:rPr>
        <w:t>.</w:t>
      </w:r>
      <w:r w:rsidR="00CC6FAB">
        <w:rPr>
          <w:rFonts w:ascii="Arial" w:hAnsi="Arial" w:cs="Arial"/>
          <w:sz w:val="24"/>
          <w:szCs w:val="24"/>
        </w:rPr>
        <w:t xml:space="preserve"> </w:t>
      </w:r>
    </w:p>
    <w:p w:rsidR="00E00741" w:rsidRDefault="00E00741" w:rsidP="00E00741">
      <w:pPr>
        <w:pStyle w:val="NoSpacing"/>
        <w:spacing w:line="480" w:lineRule="auto"/>
        <w:ind w:left="1080"/>
        <w:jc w:val="both"/>
        <w:rPr>
          <w:rFonts w:ascii="Arial" w:hAnsi="Arial" w:cs="Arial"/>
          <w:sz w:val="24"/>
          <w:szCs w:val="24"/>
        </w:rPr>
      </w:pPr>
    </w:p>
    <w:p w:rsidR="003226F9" w:rsidRDefault="00CC6FAB" w:rsidP="00CC6FAB">
      <w:pPr>
        <w:pStyle w:val="NoSpacing"/>
        <w:numPr>
          <w:ilvl w:val="0"/>
          <w:numId w:val="10"/>
        </w:numPr>
        <w:spacing w:line="480" w:lineRule="auto"/>
        <w:jc w:val="both"/>
        <w:rPr>
          <w:rFonts w:ascii="Arial" w:hAnsi="Arial" w:cs="Arial"/>
          <w:sz w:val="24"/>
          <w:szCs w:val="24"/>
        </w:rPr>
      </w:pPr>
      <w:r>
        <w:rPr>
          <w:rFonts w:ascii="Arial" w:hAnsi="Arial" w:cs="Arial"/>
          <w:sz w:val="24"/>
          <w:szCs w:val="24"/>
        </w:rPr>
        <w:t xml:space="preserve">There is </w:t>
      </w:r>
      <w:r w:rsidR="00856FBE">
        <w:rPr>
          <w:rFonts w:ascii="Arial" w:hAnsi="Arial" w:cs="Arial"/>
          <w:sz w:val="24"/>
          <w:szCs w:val="24"/>
        </w:rPr>
        <w:t>no order as to costs.</w:t>
      </w:r>
      <w:r w:rsidR="00F163EA">
        <w:rPr>
          <w:rFonts w:ascii="Arial" w:hAnsi="Arial" w:cs="Arial"/>
          <w:sz w:val="24"/>
          <w:szCs w:val="24"/>
        </w:rPr>
        <w:tab/>
      </w:r>
    </w:p>
    <w:p w:rsidR="00E00741" w:rsidRDefault="00E00741" w:rsidP="004A3385">
      <w:pPr>
        <w:pStyle w:val="ListParagraph"/>
        <w:spacing w:after="0" w:line="480" w:lineRule="auto"/>
        <w:jc w:val="both"/>
        <w:rPr>
          <w:rFonts w:ascii="Arial" w:hAnsi="Arial" w:cs="Arial"/>
          <w:sz w:val="24"/>
          <w:szCs w:val="24"/>
        </w:rPr>
      </w:pPr>
    </w:p>
    <w:p w:rsidR="00CC6FAB" w:rsidRDefault="00CC6FAB" w:rsidP="00CC6FAB">
      <w:pPr>
        <w:pStyle w:val="NoSpacing"/>
        <w:numPr>
          <w:ilvl w:val="0"/>
          <w:numId w:val="10"/>
        </w:numPr>
        <w:spacing w:line="480" w:lineRule="auto"/>
        <w:jc w:val="both"/>
        <w:rPr>
          <w:rFonts w:ascii="Arial" w:hAnsi="Arial" w:cs="Arial"/>
          <w:sz w:val="24"/>
          <w:szCs w:val="24"/>
        </w:rPr>
      </w:pPr>
      <w:r>
        <w:rPr>
          <w:rFonts w:ascii="Arial" w:hAnsi="Arial" w:cs="Arial"/>
          <w:sz w:val="24"/>
          <w:szCs w:val="24"/>
        </w:rPr>
        <w:t xml:space="preserve">The registrar of this </w:t>
      </w:r>
      <w:r w:rsidR="004A3385">
        <w:rPr>
          <w:rFonts w:ascii="Arial" w:hAnsi="Arial" w:cs="Arial"/>
          <w:sz w:val="24"/>
          <w:szCs w:val="24"/>
        </w:rPr>
        <w:t>C</w:t>
      </w:r>
      <w:r>
        <w:rPr>
          <w:rFonts w:ascii="Arial" w:hAnsi="Arial" w:cs="Arial"/>
          <w:sz w:val="24"/>
          <w:szCs w:val="24"/>
        </w:rPr>
        <w:t>ourt must comply with s 14(7</w:t>
      </w:r>
      <w:proofErr w:type="gramStart"/>
      <w:r w:rsidRPr="00CC6FAB">
        <w:rPr>
          <w:rFonts w:ascii="Arial" w:hAnsi="Arial" w:cs="Arial"/>
          <w:i/>
          <w:sz w:val="24"/>
          <w:szCs w:val="24"/>
        </w:rPr>
        <w:t>)(</w:t>
      </w:r>
      <w:proofErr w:type="gramEnd"/>
      <w:r w:rsidRPr="00CC6FAB">
        <w:rPr>
          <w:rFonts w:ascii="Arial" w:hAnsi="Arial" w:cs="Arial"/>
          <w:i/>
          <w:sz w:val="24"/>
          <w:szCs w:val="24"/>
        </w:rPr>
        <w:t>c).</w:t>
      </w:r>
      <w:r>
        <w:rPr>
          <w:rFonts w:ascii="Arial" w:hAnsi="Arial" w:cs="Arial"/>
          <w:sz w:val="24"/>
          <w:szCs w:val="24"/>
        </w:rPr>
        <w:t xml:space="preserve"> </w:t>
      </w:r>
    </w:p>
    <w:p w:rsidR="00856FBE" w:rsidRDefault="00856FBE" w:rsidP="00856FBE">
      <w:pPr>
        <w:pStyle w:val="ListParagraph"/>
        <w:rPr>
          <w:rFonts w:ascii="Arial" w:hAnsi="Arial" w:cs="Arial"/>
          <w:sz w:val="24"/>
          <w:szCs w:val="24"/>
        </w:rPr>
      </w:pPr>
    </w:p>
    <w:p w:rsidR="00856FBE" w:rsidRPr="007E4BC7" w:rsidRDefault="00856FBE" w:rsidP="00856FBE">
      <w:pPr>
        <w:pStyle w:val="NoSpacing"/>
        <w:spacing w:line="480" w:lineRule="auto"/>
        <w:jc w:val="both"/>
        <w:rPr>
          <w:rFonts w:ascii="Arial" w:hAnsi="Arial" w:cs="Arial"/>
          <w:sz w:val="24"/>
          <w:szCs w:val="24"/>
        </w:rPr>
      </w:pPr>
    </w:p>
    <w:p w:rsidR="0071357C" w:rsidRPr="00991107" w:rsidRDefault="0071357C" w:rsidP="003226F9">
      <w:pPr>
        <w:pStyle w:val="NoSpacing"/>
        <w:rPr>
          <w:rFonts w:ascii="Arial" w:hAnsi="Arial" w:cs="Arial"/>
          <w:b/>
          <w:sz w:val="24"/>
          <w:szCs w:val="24"/>
        </w:rPr>
      </w:pPr>
    </w:p>
    <w:p w:rsidR="003226F9" w:rsidRPr="00F4471E" w:rsidRDefault="003226F9" w:rsidP="003226F9">
      <w:pPr>
        <w:spacing w:after="0" w:line="276" w:lineRule="auto"/>
        <w:jc w:val="both"/>
        <w:rPr>
          <w:rFonts w:ascii="Arial" w:hAnsi="Arial" w:cs="Arial"/>
          <w:b/>
          <w:sz w:val="24"/>
          <w:szCs w:val="24"/>
        </w:rPr>
      </w:pPr>
      <w:r>
        <w:rPr>
          <w:rFonts w:ascii="Arial" w:hAnsi="Arial" w:cs="Arial"/>
          <w:b/>
          <w:sz w:val="24"/>
          <w:szCs w:val="24"/>
        </w:rPr>
        <w:t>__________________</w:t>
      </w:r>
    </w:p>
    <w:p w:rsidR="003226F9" w:rsidRDefault="00CC3265" w:rsidP="003226F9">
      <w:pPr>
        <w:spacing w:after="0" w:line="240" w:lineRule="auto"/>
        <w:jc w:val="both"/>
        <w:rPr>
          <w:rFonts w:ascii="Arial" w:hAnsi="Arial" w:cs="Arial"/>
          <w:b/>
          <w:sz w:val="24"/>
          <w:szCs w:val="24"/>
        </w:rPr>
      </w:pPr>
      <w:r>
        <w:rPr>
          <w:rFonts w:ascii="Arial" w:hAnsi="Arial" w:cs="Arial"/>
          <w:b/>
          <w:sz w:val="24"/>
          <w:szCs w:val="24"/>
        </w:rPr>
        <w:t>MAINGA</w:t>
      </w:r>
      <w:r w:rsidR="003226F9">
        <w:rPr>
          <w:rFonts w:ascii="Arial" w:hAnsi="Arial" w:cs="Arial"/>
          <w:b/>
          <w:sz w:val="24"/>
          <w:szCs w:val="24"/>
        </w:rPr>
        <w:t xml:space="preserve"> JA</w:t>
      </w:r>
    </w:p>
    <w:p w:rsidR="003226F9" w:rsidRDefault="003226F9"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p>
    <w:p w:rsidR="00B6135E" w:rsidRDefault="00B6135E" w:rsidP="003226F9">
      <w:pPr>
        <w:spacing w:after="0" w:line="240" w:lineRule="auto"/>
        <w:jc w:val="both"/>
        <w:rPr>
          <w:rFonts w:ascii="Arial" w:hAnsi="Arial" w:cs="Arial"/>
          <w:b/>
          <w:sz w:val="24"/>
          <w:szCs w:val="24"/>
        </w:rPr>
      </w:pPr>
    </w:p>
    <w:p w:rsidR="006F5981" w:rsidRDefault="006F5981" w:rsidP="003226F9">
      <w:pPr>
        <w:pStyle w:val="BodyText"/>
        <w:autoSpaceDE w:val="0"/>
        <w:autoSpaceDN w:val="0"/>
        <w:adjustRightInd w:val="0"/>
        <w:spacing w:line="480" w:lineRule="auto"/>
        <w:jc w:val="both"/>
        <w:rPr>
          <w:rFonts w:ascii="Arial" w:hAnsi="Arial" w:cs="Arial"/>
        </w:rPr>
      </w:pPr>
    </w:p>
    <w:p w:rsidR="006F5981" w:rsidRDefault="006F5981" w:rsidP="003226F9">
      <w:pPr>
        <w:pStyle w:val="BodyText"/>
        <w:autoSpaceDE w:val="0"/>
        <w:autoSpaceDN w:val="0"/>
        <w:adjustRightInd w:val="0"/>
        <w:spacing w:line="480" w:lineRule="auto"/>
        <w:jc w:val="both"/>
        <w:rPr>
          <w:rFonts w:ascii="Arial" w:hAnsi="Arial" w:cs="Arial"/>
        </w:rPr>
      </w:pPr>
    </w:p>
    <w:p w:rsidR="006F5981" w:rsidRDefault="006F5981" w:rsidP="003226F9">
      <w:pPr>
        <w:pStyle w:val="BodyText"/>
        <w:autoSpaceDE w:val="0"/>
        <w:autoSpaceDN w:val="0"/>
        <w:adjustRightInd w:val="0"/>
        <w:spacing w:line="480" w:lineRule="auto"/>
        <w:jc w:val="both"/>
        <w:rPr>
          <w:rFonts w:ascii="Arial" w:hAnsi="Arial" w:cs="Arial"/>
        </w:rPr>
      </w:pPr>
    </w:p>
    <w:p w:rsidR="007B5BF7" w:rsidRDefault="007B5BF7" w:rsidP="003226F9">
      <w:pPr>
        <w:pStyle w:val="BodyText"/>
        <w:autoSpaceDE w:val="0"/>
        <w:autoSpaceDN w:val="0"/>
        <w:adjustRightInd w:val="0"/>
        <w:spacing w:line="480" w:lineRule="auto"/>
        <w:jc w:val="both"/>
        <w:rPr>
          <w:rFonts w:ascii="Arial" w:hAnsi="Arial" w:cs="Arial"/>
        </w:rPr>
      </w:pPr>
    </w:p>
    <w:p w:rsidR="007B5BF7" w:rsidRDefault="007B5BF7" w:rsidP="003226F9">
      <w:pPr>
        <w:pStyle w:val="BodyText"/>
        <w:autoSpaceDE w:val="0"/>
        <w:autoSpaceDN w:val="0"/>
        <w:adjustRightInd w:val="0"/>
        <w:spacing w:line="480" w:lineRule="auto"/>
        <w:jc w:val="both"/>
        <w:rPr>
          <w:rFonts w:ascii="Arial" w:hAnsi="Arial" w:cs="Arial"/>
        </w:rPr>
      </w:pPr>
    </w:p>
    <w:p w:rsidR="007B5BF7" w:rsidRDefault="007B5BF7" w:rsidP="003226F9">
      <w:pPr>
        <w:pStyle w:val="BodyText"/>
        <w:autoSpaceDE w:val="0"/>
        <w:autoSpaceDN w:val="0"/>
        <w:adjustRightInd w:val="0"/>
        <w:spacing w:line="480" w:lineRule="auto"/>
        <w:jc w:val="both"/>
        <w:rPr>
          <w:rFonts w:ascii="Arial" w:hAnsi="Arial" w:cs="Arial"/>
        </w:rPr>
      </w:pPr>
    </w:p>
    <w:p w:rsidR="003226F9" w:rsidRDefault="00307076" w:rsidP="003226F9">
      <w:pPr>
        <w:pStyle w:val="BodyText"/>
        <w:autoSpaceDE w:val="0"/>
        <w:autoSpaceDN w:val="0"/>
        <w:adjustRightInd w:val="0"/>
        <w:spacing w:line="480" w:lineRule="auto"/>
        <w:jc w:val="both"/>
        <w:rPr>
          <w:rFonts w:ascii="Arial" w:hAnsi="Arial" w:cs="Arial"/>
        </w:rPr>
      </w:pPr>
      <w:r>
        <w:rPr>
          <w:rFonts w:ascii="Arial" w:hAnsi="Arial" w:cs="Arial"/>
        </w:rPr>
        <w:lastRenderedPageBreak/>
        <w:t>REPRESENTATION</w:t>
      </w:r>
    </w:p>
    <w:p w:rsidR="00856FBE" w:rsidRDefault="00856FBE" w:rsidP="003226F9">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C64250" w:rsidRPr="00A7716F" w:rsidTr="00C84D13">
        <w:tc>
          <w:tcPr>
            <w:tcW w:w="4555" w:type="dxa"/>
          </w:tcPr>
          <w:p w:rsidR="00C64250" w:rsidRPr="00A7716F" w:rsidRDefault="00C64250" w:rsidP="00D95571">
            <w:pPr>
              <w:pStyle w:val="BodyText"/>
              <w:autoSpaceDE w:val="0"/>
              <w:autoSpaceDN w:val="0"/>
              <w:adjustRightInd w:val="0"/>
              <w:spacing w:line="480" w:lineRule="auto"/>
              <w:ind w:left="-108"/>
              <w:jc w:val="left"/>
              <w:rPr>
                <w:rFonts w:ascii="Arial" w:hAnsi="Arial" w:cs="Arial"/>
              </w:rPr>
            </w:pPr>
            <w:r>
              <w:rPr>
                <w:rFonts w:ascii="Arial" w:hAnsi="Arial" w:cs="Arial"/>
              </w:rPr>
              <w:t>F</w:t>
            </w:r>
            <w:r w:rsidR="00D95571">
              <w:rPr>
                <w:rFonts w:ascii="Arial" w:hAnsi="Arial" w:cs="Arial"/>
              </w:rPr>
              <w:t>irst</w:t>
            </w:r>
            <w:r>
              <w:rPr>
                <w:rFonts w:ascii="Arial" w:hAnsi="Arial" w:cs="Arial"/>
              </w:rPr>
              <w:t xml:space="preserve"> </w:t>
            </w:r>
            <w:r w:rsidR="00D95571">
              <w:rPr>
                <w:rFonts w:ascii="Arial" w:hAnsi="Arial" w:cs="Arial"/>
              </w:rPr>
              <w:t>&amp;</w:t>
            </w:r>
            <w:r w:rsidRPr="00A7716F">
              <w:rPr>
                <w:rFonts w:ascii="Arial" w:hAnsi="Arial" w:cs="Arial"/>
              </w:rPr>
              <w:t xml:space="preserve"> S</w:t>
            </w:r>
            <w:r w:rsidR="00D95571" w:rsidRPr="00A7716F">
              <w:rPr>
                <w:rFonts w:ascii="Arial" w:hAnsi="Arial" w:cs="Arial"/>
              </w:rPr>
              <w:t>econd</w:t>
            </w:r>
            <w:r w:rsidRPr="00A7716F">
              <w:rPr>
                <w:rFonts w:ascii="Arial" w:hAnsi="Arial" w:cs="Arial"/>
              </w:rPr>
              <w:t xml:space="preserve"> </w:t>
            </w:r>
            <w:r>
              <w:rPr>
                <w:rFonts w:ascii="Arial" w:hAnsi="Arial" w:cs="Arial"/>
              </w:rPr>
              <w:t>A</w:t>
            </w:r>
            <w:r w:rsidR="00D95571">
              <w:rPr>
                <w:rFonts w:ascii="Arial" w:hAnsi="Arial" w:cs="Arial"/>
              </w:rPr>
              <w:t>pplicants</w:t>
            </w:r>
            <w:r>
              <w:rPr>
                <w:rFonts w:ascii="Arial" w:hAnsi="Arial" w:cs="Arial"/>
              </w:rPr>
              <w:t>/</w:t>
            </w:r>
            <w:r w:rsidRPr="00A7716F">
              <w:rPr>
                <w:rFonts w:ascii="Arial" w:hAnsi="Arial" w:cs="Arial"/>
              </w:rPr>
              <w:t xml:space="preserve"> R</w:t>
            </w:r>
            <w:r w:rsidR="00D95571" w:rsidRPr="00A7716F">
              <w:rPr>
                <w:rFonts w:ascii="Arial" w:hAnsi="Arial" w:cs="Arial"/>
              </w:rPr>
              <w:t>espondents</w:t>
            </w:r>
            <w:r w:rsidRPr="00A7716F">
              <w:rPr>
                <w:rFonts w:ascii="Arial" w:hAnsi="Arial" w:cs="Arial"/>
              </w:rPr>
              <w:t>:</w:t>
            </w:r>
          </w:p>
        </w:tc>
        <w:tc>
          <w:tcPr>
            <w:tcW w:w="4556" w:type="dxa"/>
          </w:tcPr>
          <w:p w:rsidR="00C64250" w:rsidRPr="00A7716F" w:rsidRDefault="00C64250" w:rsidP="00C64250">
            <w:pPr>
              <w:pStyle w:val="BodyText"/>
              <w:autoSpaceDE w:val="0"/>
              <w:autoSpaceDN w:val="0"/>
              <w:adjustRightInd w:val="0"/>
              <w:spacing w:line="480" w:lineRule="auto"/>
              <w:ind w:left="-108"/>
              <w:jc w:val="left"/>
              <w:rPr>
                <w:rFonts w:ascii="Arial" w:hAnsi="Arial" w:cs="Arial"/>
              </w:rPr>
            </w:pPr>
            <w:r>
              <w:rPr>
                <w:rFonts w:ascii="Arial" w:hAnsi="Arial" w:cs="Arial"/>
              </w:rPr>
              <w:t>In Person</w:t>
            </w:r>
          </w:p>
          <w:p w:rsidR="00C64250" w:rsidRPr="00A7716F" w:rsidRDefault="00C64250" w:rsidP="00C84D13">
            <w:pPr>
              <w:pStyle w:val="BodyText"/>
              <w:autoSpaceDE w:val="0"/>
              <w:autoSpaceDN w:val="0"/>
              <w:adjustRightInd w:val="0"/>
              <w:spacing w:line="480" w:lineRule="auto"/>
              <w:ind w:left="-108"/>
              <w:jc w:val="left"/>
              <w:rPr>
                <w:rFonts w:ascii="Arial" w:hAnsi="Arial" w:cs="Arial"/>
              </w:rPr>
            </w:pPr>
          </w:p>
        </w:tc>
      </w:tr>
      <w:tr w:rsidR="003226F9" w:rsidRPr="00A7716F" w:rsidTr="00F9581E">
        <w:tc>
          <w:tcPr>
            <w:tcW w:w="4555" w:type="dxa"/>
          </w:tcPr>
          <w:p w:rsidR="003226F9" w:rsidRPr="00A7716F" w:rsidRDefault="00C64250" w:rsidP="00D95571">
            <w:pPr>
              <w:pStyle w:val="BodyText"/>
              <w:autoSpaceDE w:val="0"/>
              <w:autoSpaceDN w:val="0"/>
              <w:adjustRightInd w:val="0"/>
              <w:spacing w:line="480" w:lineRule="auto"/>
              <w:ind w:left="-108"/>
              <w:jc w:val="both"/>
              <w:rPr>
                <w:rFonts w:ascii="Arial" w:hAnsi="Arial" w:cs="Arial"/>
              </w:rPr>
            </w:pPr>
            <w:r>
              <w:rPr>
                <w:rFonts w:ascii="Arial" w:hAnsi="Arial" w:cs="Arial"/>
              </w:rPr>
              <w:t>F</w:t>
            </w:r>
            <w:r w:rsidR="00D95571">
              <w:rPr>
                <w:rFonts w:ascii="Arial" w:hAnsi="Arial" w:cs="Arial"/>
              </w:rPr>
              <w:t xml:space="preserve">irst &amp; </w:t>
            </w:r>
            <w:r w:rsidRPr="00A7716F">
              <w:rPr>
                <w:rFonts w:ascii="Arial" w:hAnsi="Arial" w:cs="Arial"/>
              </w:rPr>
              <w:t>S</w:t>
            </w:r>
            <w:r w:rsidR="00D95571" w:rsidRPr="00A7716F">
              <w:rPr>
                <w:rFonts w:ascii="Arial" w:hAnsi="Arial" w:cs="Arial"/>
              </w:rPr>
              <w:t>econd</w:t>
            </w:r>
            <w:r w:rsidRPr="00A7716F">
              <w:rPr>
                <w:rFonts w:ascii="Arial" w:hAnsi="Arial" w:cs="Arial"/>
              </w:rPr>
              <w:t xml:space="preserve"> </w:t>
            </w:r>
            <w:r>
              <w:rPr>
                <w:rFonts w:ascii="Arial" w:hAnsi="Arial" w:cs="Arial"/>
              </w:rPr>
              <w:t>R</w:t>
            </w:r>
            <w:r w:rsidR="00D95571">
              <w:rPr>
                <w:rFonts w:ascii="Arial" w:hAnsi="Arial" w:cs="Arial"/>
              </w:rPr>
              <w:t>espondents</w:t>
            </w:r>
            <w:r>
              <w:rPr>
                <w:rFonts w:ascii="Arial" w:hAnsi="Arial" w:cs="Arial"/>
              </w:rPr>
              <w:t>/</w:t>
            </w:r>
            <w:r w:rsidRPr="00A7716F">
              <w:rPr>
                <w:rFonts w:ascii="Arial" w:hAnsi="Arial" w:cs="Arial"/>
              </w:rPr>
              <w:t xml:space="preserve"> </w:t>
            </w:r>
            <w:r>
              <w:rPr>
                <w:rFonts w:ascii="Arial" w:hAnsi="Arial" w:cs="Arial"/>
              </w:rPr>
              <w:t>A</w:t>
            </w:r>
            <w:r w:rsidR="00D95571">
              <w:rPr>
                <w:rFonts w:ascii="Arial" w:hAnsi="Arial" w:cs="Arial"/>
              </w:rPr>
              <w:t>ppellant</w:t>
            </w:r>
            <w:r w:rsidR="00D95571" w:rsidRPr="00A7716F">
              <w:rPr>
                <w:rFonts w:ascii="Arial" w:hAnsi="Arial" w:cs="Arial"/>
              </w:rPr>
              <w:t>s</w:t>
            </w:r>
            <w:r w:rsidRPr="00A7716F">
              <w:rPr>
                <w:rFonts w:ascii="Arial" w:hAnsi="Arial" w:cs="Arial"/>
              </w:rPr>
              <w:t>:</w:t>
            </w:r>
          </w:p>
        </w:tc>
        <w:tc>
          <w:tcPr>
            <w:tcW w:w="4556" w:type="dxa"/>
          </w:tcPr>
          <w:p w:rsidR="00856FBE" w:rsidRPr="00A7716F" w:rsidRDefault="00856FBE" w:rsidP="004A3385">
            <w:pPr>
              <w:pStyle w:val="BodyText"/>
              <w:autoSpaceDE w:val="0"/>
              <w:autoSpaceDN w:val="0"/>
              <w:adjustRightInd w:val="0"/>
              <w:spacing w:line="480" w:lineRule="auto"/>
              <w:ind w:left="-108"/>
              <w:jc w:val="left"/>
              <w:rPr>
                <w:rFonts w:ascii="Arial" w:hAnsi="Arial" w:cs="Arial"/>
              </w:rPr>
            </w:pPr>
            <w:proofErr w:type="spellStart"/>
            <w:r w:rsidRPr="00A7716F">
              <w:rPr>
                <w:rFonts w:ascii="Arial" w:hAnsi="Arial" w:cs="Arial"/>
              </w:rPr>
              <w:t>Sisa</w:t>
            </w:r>
            <w:proofErr w:type="spellEnd"/>
            <w:r w:rsidRPr="00A7716F">
              <w:rPr>
                <w:rFonts w:ascii="Arial" w:hAnsi="Arial" w:cs="Arial"/>
              </w:rPr>
              <w:t xml:space="preserve"> </w:t>
            </w:r>
            <w:proofErr w:type="spellStart"/>
            <w:r w:rsidRPr="00A7716F">
              <w:rPr>
                <w:rFonts w:ascii="Arial" w:hAnsi="Arial" w:cs="Arial"/>
              </w:rPr>
              <w:t>Namandje</w:t>
            </w:r>
            <w:proofErr w:type="spellEnd"/>
            <w:r w:rsidRPr="00A7716F">
              <w:rPr>
                <w:rFonts w:ascii="Arial" w:hAnsi="Arial" w:cs="Arial"/>
              </w:rPr>
              <w:t xml:space="preserve"> &amp; Co. Inc.</w:t>
            </w:r>
          </w:p>
        </w:tc>
      </w:tr>
      <w:tr w:rsidR="003226F9" w:rsidRPr="0085719E" w:rsidTr="00F9581E">
        <w:tc>
          <w:tcPr>
            <w:tcW w:w="4555" w:type="dxa"/>
          </w:tcPr>
          <w:p w:rsidR="003226F9" w:rsidRPr="00A7716F" w:rsidRDefault="003226F9" w:rsidP="00856FBE">
            <w:pPr>
              <w:pStyle w:val="BodyText"/>
              <w:autoSpaceDE w:val="0"/>
              <w:autoSpaceDN w:val="0"/>
              <w:adjustRightInd w:val="0"/>
              <w:spacing w:line="480" w:lineRule="auto"/>
              <w:jc w:val="both"/>
              <w:rPr>
                <w:rFonts w:ascii="Arial" w:hAnsi="Arial" w:cs="Arial"/>
              </w:rPr>
            </w:pPr>
          </w:p>
        </w:tc>
        <w:tc>
          <w:tcPr>
            <w:tcW w:w="4556" w:type="dxa"/>
          </w:tcPr>
          <w:p w:rsidR="003226F9" w:rsidRPr="00A7716F" w:rsidRDefault="003226F9" w:rsidP="00856FBE">
            <w:pPr>
              <w:pStyle w:val="BodyText"/>
              <w:autoSpaceDE w:val="0"/>
              <w:autoSpaceDN w:val="0"/>
              <w:adjustRightInd w:val="0"/>
              <w:spacing w:line="480" w:lineRule="auto"/>
              <w:jc w:val="left"/>
              <w:rPr>
                <w:rFonts w:ascii="Arial" w:hAnsi="Arial" w:cs="Arial"/>
              </w:rPr>
            </w:pPr>
          </w:p>
        </w:tc>
      </w:tr>
      <w:tr w:rsidR="003226F9" w:rsidRPr="0085719E" w:rsidTr="00F9581E">
        <w:tc>
          <w:tcPr>
            <w:tcW w:w="4555" w:type="dxa"/>
          </w:tcPr>
          <w:p w:rsidR="003226F9" w:rsidRPr="0085719E" w:rsidRDefault="003226F9" w:rsidP="005D5242">
            <w:pPr>
              <w:pStyle w:val="BodyText"/>
              <w:autoSpaceDE w:val="0"/>
              <w:autoSpaceDN w:val="0"/>
              <w:adjustRightInd w:val="0"/>
              <w:spacing w:line="480" w:lineRule="auto"/>
              <w:ind w:left="-108"/>
              <w:jc w:val="both"/>
              <w:rPr>
                <w:rFonts w:ascii="Arial" w:hAnsi="Arial" w:cs="Arial"/>
                <w:highlight w:val="magenta"/>
              </w:rPr>
            </w:pPr>
          </w:p>
        </w:tc>
        <w:tc>
          <w:tcPr>
            <w:tcW w:w="4556" w:type="dxa"/>
          </w:tcPr>
          <w:p w:rsidR="003226F9" w:rsidRPr="0085719E" w:rsidRDefault="003226F9" w:rsidP="005D5242">
            <w:pPr>
              <w:pStyle w:val="BodyText"/>
              <w:autoSpaceDE w:val="0"/>
              <w:autoSpaceDN w:val="0"/>
              <w:adjustRightInd w:val="0"/>
              <w:spacing w:line="480" w:lineRule="auto"/>
              <w:ind w:left="-108"/>
              <w:jc w:val="left"/>
              <w:rPr>
                <w:rFonts w:ascii="Arial" w:hAnsi="Arial" w:cs="Arial"/>
                <w:highlight w:val="magenta"/>
              </w:rPr>
            </w:pPr>
          </w:p>
        </w:tc>
      </w:tr>
      <w:tr w:rsidR="0066145D" w:rsidRPr="0085719E" w:rsidTr="00F9581E">
        <w:tc>
          <w:tcPr>
            <w:tcW w:w="4555" w:type="dxa"/>
          </w:tcPr>
          <w:p w:rsidR="0066145D" w:rsidRPr="0085719E" w:rsidRDefault="0066145D" w:rsidP="005D5242">
            <w:pPr>
              <w:pStyle w:val="BodyText"/>
              <w:autoSpaceDE w:val="0"/>
              <w:autoSpaceDN w:val="0"/>
              <w:adjustRightInd w:val="0"/>
              <w:spacing w:line="480" w:lineRule="auto"/>
              <w:ind w:left="-108"/>
              <w:jc w:val="both"/>
              <w:rPr>
                <w:rFonts w:ascii="Arial" w:hAnsi="Arial" w:cs="Arial"/>
                <w:highlight w:val="magenta"/>
              </w:rPr>
            </w:pPr>
          </w:p>
        </w:tc>
        <w:tc>
          <w:tcPr>
            <w:tcW w:w="4556" w:type="dxa"/>
          </w:tcPr>
          <w:p w:rsidR="0066145D" w:rsidRPr="0085719E" w:rsidRDefault="0066145D" w:rsidP="005D5242">
            <w:pPr>
              <w:pStyle w:val="BodyText"/>
              <w:autoSpaceDE w:val="0"/>
              <w:autoSpaceDN w:val="0"/>
              <w:adjustRightInd w:val="0"/>
              <w:spacing w:line="480" w:lineRule="auto"/>
              <w:ind w:left="-108"/>
              <w:jc w:val="left"/>
              <w:rPr>
                <w:rFonts w:ascii="Arial" w:hAnsi="Arial" w:cs="Arial"/>
                <w:highlight w:val="magenta"/>
              </w:rPr>
            </w:pPr>
          </w:p>
        </w:tc>
      </w:tr>
      <w:tr w:rsidR="003226F9" w:rsidRPr="0085719E" w:rsidTr="00F9581E">
        <w:tc>
          <w:tcPr>
            <w:tcW w:w="4555" w:type="dxa"/>
          </w:tcPr>
          <w:p w:rsidR="003226F9" w:rsidRPr="00A7716F" w:rsidRDefault="003226F9" w:rsidP="00A7716F">
            <w:pPr>
              <w:pStyle w:val="BodyText"/>
              <w:autoSpaceDE w:val="0"/>
              <w:autoSpaceDN w:val="0"/>
              <w:adjustRightInd w:val="0"/>
              <w:spacing w:line="480" w:lineRule="auto"/>
              <w:ind w:left="-108"/>
              <w:jc w:val="left"/>
              <w:rPr>
                <w:rFonts w:ascii="Arial" w:hAnsi="Arial" w:cs="Arial"/>
              </w:rPr>
            </w:pPr>
          </w:p>
        </w:tc>
        <w:tc>
          <w:tcPr>
            <w:tcW w:w="4556" w:type="dxa"/>
          </w:tcPr>
          <w:p w:rsidR="004F36FD" w:rsidRPr="00A7716F" w:rsidRDefault="004F36FD" w:rsidP="005D5242">
            <w:pPr>
              <w:pStyle w:val="BodyText"/>
              <w:autoSpaceDE w:val="0"/>
              <w:autoSpaceDN w:val="0"/>
              <w:adjustRightInd w:val="0"/>
              <w:spacing w:line="480" w:lineRule="auto"/>
              <w:ind w:left="-108"/>
              <w:jc w:val="left"/>
              <w:rPr>
                <w:rFonts w:ascii="Arial" w:hAnsi="Arial" w:cs="Arial"/>
              </w:rPr>
            </w:pPr>
          </w:p>
        </w:tc>
      </w:tr>
      <w:tr w:rsidR="003226F9" w:rsidTr="00F47BEB">
        <w:tc>
          <w:tcPr>
            <w:tcW w:w="4555" w:type="dxa"/>
          </w:tcPr>
          <w:p w:rsidR="003226F9" w:rsidRPr="0085719E" w:rsidRDefault="003226F9" w:rsidP="005D5242">
            <w:pPr>
              <w:pStyle w:val="BodyText"/>
              <w:autoSpaceDE w:val="0"/>
              <w:autoSpaceDN w:val="0"/>
              <w:adjustRightInd w:val="0"/>
              <w:spacing w:line="480" w:lineRule="auto"/>
              <w:ind w:left="-108"/>
              <w:jc w:val="both"/>
              <w:rPr>
                <w:rFonts w:ascii="Arial" w:hAnsi="Arial" w:cs="Arial"/>
                <w:highlight w:val="magenta"/>
              </w:rPr>
            </w:pPr>
          </w:p>
        </w:tc>
        <w:tc>
          <w:tcPr>
            <w:tcW w:w="4556" w:type="dxa"/>
          </w:tcPr>
          <w:p w:rsidR="003226F9" w:rsidRDefault="003226F9" w:rsidP="005D5242">
            <w:pPr>
              <w:pStyle w:val="BodyText"/>
              <w:autoSpaceDE w:val="0"/>
              <w:autoSpaceDN w:val="0"/>
              <w:adjustRightInd w:val="0"/>
              <w:spacing w:line="480" w:lineRule="auto"/>
              <w:ind w:left="-108"/>
              <w:jc w:val="left"/>
              <w:rPr>
                <w:rFonts w:ascii="Arial" w:hAnsi="Arial" w:cs="Arial"/>
              </w:rPr>
            </w:pPr>
          </w:p>
        </w:tc>
      </w:tr>
      <w:tr w:rsidR="00913A8B" w:rsidTr="00F47BEB">
        <w:tc>
          <w:tcPr>
            <w:tcW w:w="4555" w:type="dxa"/>
          </w:tcPr>
          <w:p w:rsidR="00913A8B" w:rsidRPr="0085719E" w:rsidRDefault="00913A8B" w:rsidP="005D5242">
            <w:pPr>
              <w:pStyle w:val="BodyText"/>
              <w:autoSpaceDE w:val="0"/>
              <w:autoSpaceDN w:val="0"/>
              <w:adjustRightInd w:val="0"/>
              <w:spacing w:line="480" w:lineRule="auto"/>
              <w:ind w:left="-108"/>
              <w:jc w:val="both"/>
              <w:rPr>
                <w:rFonts w:ascii="Arial" w:hAnsi="Arial" w:cs="Arial"/>
                <w:highlight w:val="magenta"/>
              </w:rPr>
            </w:pPr>
          </w:p>
        </w:tc>
        <w:tc>
          <w:tcPr>
            <w:tcW w:w="4556" w:type="dxa"/>
          </w:tcPr>
          <w:p w:rsidR="00913A8B" w:rsidRPr="0085719E" w:rsidRDefault="00913A8B" w:rsidP="005D5242">
            <w:pPr>
              <w:pStyle w:val="BodyText"/>
              <w:autoSpaceDE w:val="0"/>
              <w:autoSpaceDN w:val="0"/>
              <w:adjustRightInd w:val="0"/>
              <w:spacing w:line="480" w:lineRule="auto"/>
              <w:ind w:left="-108"/>
              <w:jc w:val="left"/>
              <w:rPr>
                <w:rFonts w:ascii="Arial" w:hAnsi="Arial" w:cs="Arial"/>
                <w:highlight w:val="magenta"/>
              </w:rPr>
            </w:pPr>
          </w:p>
        </w:tc>
      </w:tr>
    </w:tbl>
    <w:p w:rsidR="003226F9" w:rsidRDefault="003226F9" w:rsidP="003226F9">
      <w:pPr>
        <w:pStyle w:val="BodyText"/>
        <w:autoSpaceDE w:val="0"/>
        <w:autoSpaceDN w:val="0"/>
        <w:adjustRightInd w:val="0"/>
        <w:spacing w:line="480" w:lineRule="auto"/>
        <w:jc w:val="both"/>
        <w:rPr>
          <w:rFonts w:ascii="Arial" w:hAnsi="Arial" w:cs="Arial"/>
        </w:rPr>
      </w:pPr>
    </w:p>
    <w:sectPr w:rsidR="003226F9" w:rsidSect="005D5242">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E2" w:rsidRDefault="008F03E2">
      <w:pPr>
        <w:spacing w:after="0" w:line="240" w:lineRule="auto"/>
      </w:pPr>
      <w:r>
        <w:separator/>
      </w:r>
    </w:p>
  </w:endnote>
  <w:endnote w:type="continuationSeparator" w:id="0">
    <w:p w:rsidR="008F03E2" w:rsidRDefault="008F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E2" w:rsidRDefault="008F03E2">
      <w:pPr>
        <w:spacing w:after="0" w:line="240" w:lineRule="auto"/>
      </w:pPr>
      <w:r>
        <w:separator/>
      </w:r>
    </w:p>
  </w:footnote>
  <w:footnote w:type="continuationSeparator" w:id="0">
    <w:p w:rsidR="008F03E2" w:rsidRDefault="008F03E2">
      <w:pPr>
        <w:spacing w:after="0" w:line="240" w:lineRule="auto"/>
      </w:pPr>
      <w:r>
        <w:continuationSeparator/>
      </w:r>
    </w:p>
  </w:footnote>
  <w:footnote w:id="1">
    <w:p w:rsidR="00920F33" w:rsidRPr="00920F33" w:rsidRDefault="00920F33">
      <w:pPr>
        <w:pStyle w:val="FootnoteText"/>
        <w:rPr>
          <w:rFonts w:ascii="Arial" w:hAnsi="Arial" w:cs="Arial"/>
          <w:lang w:val="en-US"/>
        </w:rPr>
      </w:pPr>
      <w:r w:rsidRPr="00920F33">
        <w:rPr>
          <w:rStyle w:val="FootnoteReference"/>
          <w:rFonts w:ascii="Arial" w:hAnsi="Arial" w:cs="Arial"/>
        </w:rPr>
        <w:footnoteRef/>
      </w:r>
      <w:r w:rsidRPr="00920F33">
        <w:rPr>
          <w:rFonts w:ascii="Arial" w:hAnsi="Arial" w:cs="Arial"/>
        </w:rPr>
        <w:t xml:space="preserve"> </w:t>
      </w:r>
      <w:r w:rsidRPr="00920F33">
        <w:rPr>
          <w:rFonts w:ascii="Arial" w:hAnsi="Arial" w:cs="Arial"/>
          <w:lang w:val="en-US"/>
        </w:rPr>
        <w:t>Section 14(7) of the Supreme Court Act 15 of 1990.</w:t>
      </w:r>
    </w:p>
  </w:footnote>
  <w:footnote w:id="2">
    <w:p w:rsidR="00993D16" w:rsidRPr="00993D16" w:rsidRDefault="00993D16">
      <w:pPr>
        <w:pStyle w:val="FootnoteText"/>
        <w:rPr>
          <w:lang w:val="en-US"/>
        </w:rPr>
      </w:pPr>
      <w:r w:rsidRPr="007D3D24">
        <w:rPr>
          <w:rStyle w:val="FootnoteReference"/>
          <w:rFonts w:ascii="Arial" w:hAnsi="Arial" w:cs="Arial"/>
        </w:rPr>
        <w:footnoteRef/>
      </w:r>
      <w:r w:rsidRPr="007D3D24">
        <w:rPr>
          <w:rFonts w:ascii="Arial" w:hAnsi="Arial" w:cs="Arial"/>
        </w:rPr>
        <w:t xml:space="preserve"> </w:t>
      </w:r>
      <w:r w:rsidRPr="00282783">
        <w:rPr>
          <w:rFonts w:ascii="Arial" w:hAnsi="Arial" w:cs="Arial"/>
          <w:i/>
        </w:rPr>
        <w:t xml:space="preserve">Permanent Secretary of the Judiciary v </w:t>
      </w:r>
      <w:proofErr w:type="spellStart"/>
      <w:r w:rsidRPr="00282783">
        <w:rPr>
          <w:rFonts w:ascii="Arial" w:hAnsi="Arial" w:cs="Arial"/>
          <w:i/>
        </w:rPr>
        <w:t>Somaeb</w:t>
      </w:r>
      <w:proofErr w:type="spellEnd"/>
      <w:r w:rsidRPr="00282783">
        <w:rPr>
          <w:rFonts w:ascii="Arial" w:hAnsi="Arial" w:cs="Arial"/>
          <w:i/>
        </w:rPr>
        <w:t xml:space="preserve"> &amp; another</w:t>
      </w:r>
      <w:r>
        <w:rPr>
          <w:rFonts w:ascii="Arial" w:hAnsi="Arial" w:cs="Arial"/>
        </w:rPr>
        <w:t xml:space="preserve"> </w:t>
      </w:r>
      <w:r w:rsidRPr="00282783">
        <w:rPr>
          <w:rFonts w:ascii="Arial" w:hAnsi="Arial" w:cs="Arial"/>
        </w:rPr>
        <w:t>2018 (3) NR 657 (SC)</w:t>
      </w:r>
      <w:r>
        <w:rPr>
          <w:rFonts w:ascii="Arial" w:hAnsi="Arial" w:cs="Arial"/>
        </w:rPr>
        <w:t>.</w:t>
      </w:r>
    </w:p>
  </w:footnote>
  <w:footnote w:id="3">
    <w:p w:rsidR="00282783" w:rsidRPr="00282783" w:rsidRDefault="00282783" w:rsidP="00282783">
      <w:pPr>
        <w:pStyle w:val="FootnoteText"/>
        <w:rPr>
          <w:lang w:val="en-US"/>
        </w:rPr>
      </w:pPr>
      <w:r w:rsidRPr="007D3D24">
        <w:rPr>
          <w:rStyle w:val="FootnoteReference"/>
          <w:rFonts w:ascii="Arial" w:hAnsi="Arial" w:cs="Arial"/>
        </w:rPr>
        <w:footnoteRef/>
      </w:r>
      <w:r w:rsidRPr="00282783">
        <w:rPr>
          <w:rFonts w:ascii="Arial" w:hAnsi="Arial" w:cs="Arial"/>
          <w:i/>
        </w:rPr>
        <w:t xml:space="preserve">Namibia Seaman and Allied   Workers Union v </w:t>
      </w:r>
      <w:proofErr w:type="spellStart"/>
      <w:r w:rsidRPr="00282783">
        <w:rPr>
          <w:rFonts w:ascii="Arial" w:hAnsi="Arial" w:cs="Arial"/>
          <w:i/>
        </w:rPr>
        <w:t>Tunacor</w:t>
      </w:r>
      <w:proofErr w:type="spellEnd"/>
      <w:r w:rsidRPr="00282783">
        <w:rPr>
          <w:rFonts w:ascii="Arial" w:hAnsi="Arial" w:cs="Arial"/>
          <w:i/>
        </w:rPr>
        <w:t xml:space="preserve"> Group Ltd </w:t>
      </w:r>
      <w:r w:rsidRPr="00282783">
        <w:rPr>
          <w:rFonts w:ascii="Arial" w:hAnsi="Arial" w:cs="Arial"/>
        </w:rPr>
        <w:t>2012 (1) NR 126 LC para 15.</w:t>
      </w:r>
    </w:p>
  </w:footnote>
  <w:footnote w:id="4">
    <w:p w:rsidR="00993D16" w:rsidRPr="00993D16" w:rsidRDefault="00993D16">
      <w:pPr>
        <w:pStyle w:val="FootnoteText"/>
        <w:rPr>
          <w:lang w:val="en-US"/>
        </w:rPr>
      </w:pPr>
      <w:r w:rsidRPr="000969FA">
        <w:rPr>
          <w:rStyle w:val="FootnoteReference"/>
          <w:rFonts w:ascii="Arial" w:hAnsi="Arial" w:cs="Arial"/>
        </w:rPr>
        <w:footnoteRef/>
      </w:r>
      <w:r>
        <w:t xml:space="preserve"> </w:t>
      </w:r>
      <w:r w:rsidRPr="00993D16">
        <w:rPr>
          <w:rFonts w:ascii="Arial" w:hAnsi="Arial" w:cs="Arial"/>
          <w:lang w:val="en-US"/>
        </w:rPr>
        <w:t>Ibid</w:t>
      </w:r>
      <w:r>
        <w:rPr>
          <w:lang w:val="en-US"/>
        </w:rPr>
        <w:t>.</w:t>
      </w:r>
    </w:p>
  </w:footnote>
  <w:footnote w:id="5">
    <w:p w:rsidR="00C84D13" w:rsidRPr="004B11E6" w:rsidRDefault="00C84D13" w:rsidP="00B66234">
      <w:pPr>
        <w:pStyle w:val="FootnoteText"/>
        <w:rPr>
          <w:lang w:val="en-US"/>
        </w:rPr>
      </w:pPr>
      <w:r w:rsidRPr="000969FA">
        <w:rPr>
          <w:rStyle w:val="FootnoteReference"/>
          <w:rFonts w:ascii="Arial" w:hAnsi="Arial" w:cs="Arial"/>
        </w:rPr>
        <w:footnoteRef/>
      </w:r>
      <w:r>
        <w:t xml:space="preserve"> </w:t>
      </w:r>
      <w:proofErr w:type="spellStart"/>
      <w:r w:rsidRPr="004B11E6">
        <w:rPr>
          <w:rFonts w:ascii="Arial" w:hAnsi="Arial" w:cs="Arial"/>
          <w:i/>
        </w:rPr>
        <w:t>Oglodziski</w:t>
      </w:r>
      <w:proofErr w:type="spellEnd"/>
      <w:r w:rsidRPr="004B11E6">
        <w:rPr>
          <w:rFonts w:ascii="Arial" w:hAnsi="Arial" w:cs="Arial"/>
          <w:i/>
        </w:rPr>
        <w:t xml:space="preserve"> v </w:t>
      </w:r>
      <w:proofErr w:type="spellStart"/>
      <w:r w:rsidRPr="004B11E6">
        <w:rPr>
          <w:rFonts w:ascii="Arial" w:hAnsi="Arial" w:cs="Arial"/>
          <w:i/>
        </w:rPr>
        <w:t>Oglodziski</w:t>
      </w:r>
      <w:proofErr w:type="spellEnd"/>
      <w:r w:rsidRPr="004B11E6">
        <w:rPr>
          <w:rFonts w:ascii="Arial" w:hAnsi="Arial" w:cs="Arial"/>
        </w:rPr>
        <w:t xml:space="preserve"> 1976(4) SA 273 </w:t>
      </w:r>
      <w:r w:rsidR="000969FA">
        <w:rPr>
          <w:rFonts w:ascii="Arial" w:hAnsi="Arial" w:cs="Arial"/>
        </w:rPr>
        <w:t>at</w:t>
      </w:r>
      <w:r w:rsidRPr="004B11E6">
        <w:rPr>
          <w:rFonts w:ascii="Arial" w:hAnsi="Arial" w:cs="Arial"/>
        </w:rPr>
        <w:t xml:space="preserve"> 247F.</w:t>
      </w:r>
    </w:p>
  </w:footnote>
  <w:footnote w:id="6">
    <w:p w:rsidR="00C84D13" w:rsidRPr="000C12B3" w:rsidRDefault="00C84D13" w:rsidP="00B66234">
      <w:pPr>
        <w:pStyle w:val="FootnoteText"/>
        <w:rPr>
          <w:lang w:val="en-US"/>
        </w:rPr>
      </w:pPr>
      <w:r w:rsidRPr="000969FA">
        <w:rPr>
          <w:rStyle w:val="FootnoteReference"/>
          <w:rFonts w:ascii="Arial" w:hAnsi="Arial" w:cs="Arial"/>
        </w:rPr>
        <w:footnoteRef/>
      </w:r>
      <w:r>
        <w:t xml:space="preserve"> </w:t>
      </w:r>
      <w:proofErr w:type="spellStart"/>
      <w:r w:rsidRPr="000C12B3">
        <w:rPr>
          <w:rFonts w:ascii="Arial" w:hAnsi="Arial" w:cs="Arial"/>
          <w:i/>
        </w:rPr>
        <w:t>Greyling</w:t>
      </w:r>
      <w:proofErr w:type="spellEnd"/>
      <w:r w:rsidRPr="000C12B3">
        <w:rPr>
          <w:rFonts w:ascii="Arial" w:hAnsi="Arial" w:cs="Arial"/>
          <w:i/>
        </w:rPr>
        <w:t xml:space="preserve"> v Estate Pretorius</w:t>
      </w:r>
      <w:r w:rsidRPr="000C12B3">
        <w:rPr>
          <w:rFonts w:ascii="Arial" w:hAnsi="Arial" w:cs="Arial"/>
        </w:rPr>
        <w:t xml:space="preserve"> 1947 (3) SA 514 (W) at 516 – 517. </w:t>
      </w:r>
    </w:p>
  </w:footnote>
  <w:footnote w:id="7">
    <w:p w:rsidR="00075044" w:rsidRPr="00075044" w:rsidRDefault="00075044">
      <w:pPr>
        <w:pStyle w:val="FootnoteText"/>
        <w:rPr>
          <w:lang w:val="en-US"/>
        </w:rPr>
      </w:pPr>
      <w:r w:rsidRPr="000969FA">
        <w:rPr>
          <w:rStyle w:val="FootnoteReference"/>
          <w:rFonts w:ascii="Arial" w:hAnsi="Arial" w:cs="Arial"/>
        </w:rPr>
        <w:footnoteRef/>
      </w:r>
      <w:r w:rsidRPr="000969FA">
        <w:rPr>
          <w:rFonts w:ascii="Arial" w:hAnsi="Arial" w:cs="Arial"/>
        </w:rPr>
        <w:t xml:space="preserve"> </w:t>
      </w:r>
      <w:r w:rsidRPr="00075044">
        <w:rPr>
          <w:rFonts w:ascii="Arial" w:hAnsi="Arial" w:cs="Arial"/>
          <w:lang w:val="en-US"/>
        </w:rPr>
        <w:t>Page 54 of the annexures bundle</w:t>
      </w:r>
      <w:r>
        <w:rPr>
          <w:lang w:val="en-US"/>
        </w:rPr>
        <w:t>.</w:t>
      </w:r>
    </w:p>
  </w:footnote>
  <w:footnote w:id="8">
    <w:p w:rsidR="00C84D13" w:rsidRPr="00B060CE" w:rsidRDefault="00C84D13" w:rsidP="000969FA">
      <w:pPr>
        <w:pStyle w:val="FootnoteText"/>
        <w:jc w:val="both"/>
        <w:rPr>
          <w:rFonts w:ascii="Arial" w:hAnsi="Arial" w:cs="Arial"/>
          <w:lang w:val="en-US"/>
        </w:rPr>
      </w:pPr>
      <w:r w:rsidRPr="00B060CE">
        <w:rPr>
          <w:rStyle w:val="FootnoteReference"/>
          <w:rFonts w:ascii="Arial" w:hAnsi="Arial" w:cs="Arial"/>
        </w:rPr>
        <w:footnoteRef/>
      </w:r>
      <w:r w:rsidRPr="00B060CE">
        <w:rPr>
          <w:rFonts w:ascii="Arial" w:hAnsi="Arial" w:cs="Arial"/>
        </w:rPr>
        <w:t xml:space="preserve"> </w:t>
      </w:r>
      <w:r w:rsidRPr="00B060CE">
        <w:rPr>
          <w:rFonts w:ascii="Arial" w:hAnsi="Arial" w:cs="Arial"/>
          <w:lang w:val="en-US"/>
        </w:rPr>
        <w:t xml:space="preserve">L De Villiers Van </w:t>
      </w:r>
      <w:proofErr w:type="spellStart"/>
      <w:r w:rsidRPr="00B060CE">
        <w:rPr>
          <w:rFonts w:ascii="Arial" w:hAnsi="Arial" w:cs="Arial"/>
          <w:lang w:val="en-US"/>
        </w:rPr>
        <w:t>Winsen</w:t>
      </w:r>
      <w:proofErr w:type="spellEnd"/>
      <w:r w:rsidRPr="00B060CE">
        <w:rPr>
          <w:rFonts w:ascii="Arial" w:hAnsi="Arial" w:cs="Arial"/>
          <w:lang w:val="en-US"/>
        </w:rPr>
        <w:t xml:space="preserve">, J P G </w:t>
      </w:r>
      <w:proofErr w:type="spellStart"/>
      <w:r w:rsidRPr="00B060CE">
        <w:rPr>
          <w:rFonts w:ascii="Arial" w:hAnsi="Arial" w:cs="Arial"/>
          <w:lang w:val="en-US"/>
        </w:rPr>
        <w:t>Eksteen</w:t>
      </w:r>
      <w:proofErr w:type="spellEnd"/>
      <w:r w:rsidRPr="00B060CE">
        <w:rPr>
          <w:rFonts w:ascii="Arial" w:hAnsi="Arial" w:cs="Arial"/>
          <w:lang w:val="en-US"/>
        </w:rPr>
        <w:t xml:space="preserve"> and A C </w:t>
      </w:r>
      <w:proofErr w:type="spellStart"/>
      <w:r w:rsidRPr="00B060CE">
        <w:rPr>
          <w:rFonts w:ascii="Arial" w:hAnsi="Arial" w:cs="Arial"/>
          <w:lang w:val="en-US"/>
        </w:rPr>
        <w:t>Cilliers</w:t>
      </w:r>
      <w:proofErr w:type="spellEnd"/>
      <w:r w:rsidRPr="00B060CE">
        <w:rPr>
          <w:rFonts w:ascii="Arial" w:hAnsi="Arial" w:cs="Arial"/>
          <w:lang w:val="en-US"/>
        </w:rPr>
        <w:t xml:space="preserve"> </w:t>
      </w:r>
      <w:proofErr w:type="spellStart"/>
      <w:r w:rsidRPr="00B060CE">
        <w:rPr>
          <w:rFonts w:ascii="Arial" w:hAnsi="Arial" w:cs="Arial"/>
          <w:i/>
          <w:lang w:val="en-US"/>
        </w:rPr>
        <w:t>Herbstein</w:t>
      </w:r>
      <w:proofErr w:type="spellEnd"/>
      <w:r w:rsidRPr="00B060CE">
        <w:rPr>
          <w:rFonts w:ascii="Arial" w:hAnsi="Arial" w:cs="Arial"/>
          <w:i/>
          <w:lang w:val="en-US"/>
        </w:rPr>
        <w:t xml:space="preserve"> and Van </w:t>
      </w:r>
      <w:proofErr w:type="spellStart"/>
      <w:r w:rsidRPr="00B060CE">
        <w:rPr>
          <w:rFonts w:ascii="Arial" w:hAnsi="Arial" w:cs="Arial"/>
          <w:i/>
          <w:lang w:val="en-US"/>
        </w:rPr>
        <w:t>Winsen</w:t>
      </w:r>
      <w:proofErr w:type="spellEnd"/>
      <w:r w:rsidRPr="00B060CE">
        <w:rPr>
          <w:rFonts w:ascii="Arial" w:hAnsi="Arial" w:cs="Arial"/>
          <w:i/>
          <w:lang w:val="en-US"/>
        </w:rPr>
        <w:t>: The Civil Practice of the Superior Courts in South Africa</w:t>
      </w:r>
      <w:r w:rsidRPr="00B060CE">
        <w:rPr>
          <w:rFonts w:ascii="Arial" w:hAnsi="Arial" w:cs="Arial"/>
          <w:lang w:val="en-US"/>
        </w:rPr>
        <w:t xml:space="preserve"> 3</w:t>
      </w:r>
      <w:r>
        <w:rPr>
          <w:rFonts w:ascii="Arial" w:hAnsi="Arial" w:cs="Arial"/>
          <w:lang w:val="en-US"/>
        </w:rPr>
        <w:t xml:space="preserve"> </w:t>
      </w:r>
      <w:proofErr w:type="spellStart"/>
      <w:proofErr w:type="gramStart"/>
      <w:r w:rsidRPr="00B060CE">
        <w:rPr>
          <w:rFonts w:ascii="Arial" w:hAnsi="Arial" w:cs="Arial"/>
          <w:lang w:val="en-US"/>
        </w:rPr>
        <w:t>ed</w:t>
      </w:r>
      <w:proofErr w:type="spellEnd"/>
      <w:proofErr w:type="gramEnd"/>
      <w:r w:rsidRPr="00B060CE">
        <w:rPr>
          <w:rFonts w:ascii="Arial" w:hAnsi="Arial" w:cs="Arial"/>
          <w:lang w:val="en-US"/>
        </w:rPr>
        <w:t xml:space="preserve"> (1979) at 80.</w:t>
      </w:r>
      <w:r>
        <w:rPr>
          <w:rFonts w:ascii="Arial" w:hAnsi="Arial" w:cs="Arial"/>
          <w:lang w:val="en-US"/>
        </w:rPr>
        <w:t xml:space="preserve"> See also A C </w:t>
      </w:r>
      <w:proofErr w:type="spellStart"/>
      <w:r>
        <w:rPr>
          <w:rFonts w:ascii="Arial" w:hAnsi="Arial" w:cs="Arial"/>
          <w:lang w:val="en-US"/>
        </w:rPr>
        <w:t>Cilliers</w:t>
      </w:r>
      <w:proofErr w:type="spellEnd"/>
      <w:r>
        <w:rPr>
          <w:rFonts w:ascii="Arial" w:hAnsi="Arial" w:cs="Arial"/>
          <w:lang w:val="en-US"/>
        </w:rPr>
        <w:t xml:space="preserve">, C Loots and H C Nel </w:t>
      </w:r>
      <w:proofErr w:type="spellStart"/>
      <w:r w:rsidRPr="00B060CE">
        <w:rPr>
          <w:rFonts w:ascii="Arial" w:hAnsi="Arial" w:cs="Arial"/>
          <w:i/>
          <w:lang w:val="en-US"/>
        </w:rPr>
        <w:t>Herbstein</w:t>
      </w:r>
      <w:proofErr w:type="spellEnd"/>
      <w:r w:rsidRPr="00B060CE">
        <w:rPr>
          <w:rFonts w:ascii="Arial" w:hAnsi="Arial" w:cs="Arial"/>
          <w:i/>
          <w:lang w:val="en-US"/>
        </w:rPr>
        <w:t xml:space="preserve"> and Van </w:t>
      </w:r>
      <w:proofErr w:type="spellStart"/>
      <w:r w:rsidRPr="00B060CE">
        <w:rPr>
          <w:rFonts w:ascii="Arial" w:hAnsi="Arial" w:cs="Arial"/>
          <w:i/>
          <w:lang w:val="en-US"/>
        </w:rPr>
        <w:t>Winsen</w:t>
      </w:r>
      <w:proofErr w:type="spellEnd"/>
      <w:r w:rsidRPr="00B060CE">
        <w:rPr>
          <w:rFonts w:ascii="Arial" w:hAnsi="Arial" w:cs="Arial"/>
          <w:i/>
          <w:lang w:val="en-US"/>
        </w:rPr>
        <w:t xml:space="preserve">: The Civil Practice of the </w:t>
      </w:r>
      <w:r>
        <w:rPr>
          <w:rFonts w:ascii="Arial" w:hAnsi="Arial" w:cs="Arial"/>
          <w:i/>
          <w:lang w:val="en-US"/>
        </w:rPr>
        <w:t>High Courts and Supreme Court of Appeal of</w:t>
      </w:r>
      <w:r w:rsidRPr="00B060CE">
        <w:rPr>
          <w:rFonts w:ascii="Arial" w:hAnsi="Arial" w:cs="Arial"/>
          <w:i/>
          <w:lang w:val="en-US"/>
        </w:rPr>
        <w:t xml:space="preserve"> South Africa</w:t>
      </w:r>
      <w:r>
        <w:rPr>
          <w:rFonts w:ascii="Arial" w:hAnsi="Arial" w:cs="Arial"/>
          <w:lang w:val="en-US"/>
        </w:rPr>
        <w:t xml:space="preserve"> 5 </w:t>
      </w:r>
      <w:proofErr w:type="spellStart"/>
      <w:proofErr w:type="gramStart"/>
      <w:r>
        <w:rPr>
          <w:rFonts w:ascii="Arial" w:hAnsi="Arial" w:cs="Arial"/>
          <w:lang w:val="en-US"/>
        </w:rPr>
        <w:t>ed</w:t>
      </w:r>
      <w:proofErr w:type="spellEnd"/>
      <w:proofErr w:type="gramEnd"/>
      <w:r>
        <w:rPr>
          <w:rFonts w:ascii="Arial" w:hAnsi="Arial" w:cs="Arial"/>
          <w:lang w:val="en-US"/>
        </w:rPr>
        <w:t xml:space="preserve"> (2009) at 440.</w:t>
      </w:r>
    </w:p>
  </w:footnote>
  <w:footnote w:id="9">
    <w:p w:rsidR="00042CD5" w:rsidRPr="00042CD5" w:rsidRDefault="00042CD5">
      <w:pPr>
        <w:pStyle w:val="FootnoteText"/>
        <w:rPr>
          <w:lang w:val="en-US"/>
        </w:rPr>
      </w:pPr>
      <w:r w:rsidRPr="004A3385">
        <w:rPr>
          <w:rStyle w:val="FootnoteReference"/>
          <w:rFonts w:ascii="Arial" w:hAnsi="Arial" w:cs="Arial"/>
        </w:rPr>
        <w:footnoteRef/>
      </w:r>
      <w:r w:rsidRPr="004A3385">
        <w:rPr>
          <w:rFonts w:ascii="Arial" w:hAnsi="Arial" w:cs="Arial"/>
        </w:rPr>
        <w:t xml:space="preserve"> </w:t>
      </w:r>
      <w:proofErr w:type="spellStart"/>
      <w:r w:rsidRPr="00472176">
        <w:rPr>
          <w:rFonts w:ascii="Arial" w:hAnsi="Arial" w:cs="Arial"/>
          <w:i/>
        </w:rPr>
        <w:t>Willowvale</w:t>
      </w:r>
      <w:proofErr w:type="spellEnd"/>
      <w:r w:rsidRPr="00472176">
        <w:rPr>
          <w:rFonts w:ascii="Arial" w:hAnsi="Arial" w:cs="Arial"/>
          <w:i/>
        </w:rPr>
        <w:t xml:space="preserve"> Estates CC &amp; another v </w:t>
      </w:r>
      <w:proofErr w:type="spellStart"/>
      <w:r w:rsidRPr="00472176">
        <w:rPr>
          <w:rFonts w:ascii="Arial" w:hAnsi="Arial" w:cs="Arial"/>
          <w:i/>
        </w:rPr>
        <w:t>Bryanmore</w:t>
      </w:r>
      <w:proofErr w:type="spellEnd"/>
      <w:r w:rsidRPr="00472176">
        <w:rPr>
          <w:rFonts w:ascii="Arial" w:hAnsi="Arial" w:cs="Arial"/>
          <w:i/>
        </w:rPr>
        <w:t xml:space="preserve"> Estates Ltd</w:t>
      </w:r>
      <w:r w:rsidRPr="00472176">
        <w:rPr>
          <w:rFonts w:ascii="Arial" w:hAnsi="Arial" w:cs="Arial"/>
        </w:rPr>
        <w:t xml:space="preserve"> 1990 (3) SA 954</w:t>
      </w:r>
      <w:r w:rsidR="00EB124E">
        <w:rPr>
          <w:rFonts w:ascii="Arial" w:hAnsi="Arial" w:cs="Arial"/>
        </w:rPr>
        <w:t>.</w:t>
      </w:r>
    </w:p>
  </w:footnote>
  <w:footnote w:id="10">
    <w:p w:rsidR="00C84D13" w:rsidRPr="00472176" w:rsidRDefault="00C84D13" w:rsidP="0037391B">
      <w:pPr>
        <w:pStyle w:val="FootnoteText"/>
        <w:jc w:val="both"/>
        <w:rPr>
          <w:rFonts w:ascii="Arial" w:hAnsi="Arial" w:cs="Arial"/>
          <w:lang w:val="en-US"/>
        </w:rPr>
      </w:pPr>
      <w:r w:rsidRPr="00472176">
        <w:rPr>
          <w:rStyle w:val="FootnoteReference"/>
          <w:rFonts w:ascii="Arial" w:hAnsi="Arial" w:cs="Arial"/>
        </w:rPr>
        <w:footnoteRef/>
      </w:r>
      <w:r w:rsidRPr="00472176">
        <w:rPr>
          <w:rFonts w:ascii="Arial" w:hAnsi="Arial" w:cs="Arial"/>
        </w:rPr>
        <w:t xml:space="preserve"> </w:t>
      </w:r>
      <w:r w:rsidR="004A3385">
        <w:rPr>
          <w:rFonts w:ascii="Arial" w:hAnsi="Arial" w:cs="Arial"/>
        </w:rPr>
        <w:t>Ibid</w:t>
      </w:r>
      <w:r w:rsidRPr="00472176">
        <w:rPr>
          <w:rFonts w:ascii="Arial" w:hAnsi="Arial" w:cs="Arial"/>
        </w:rPr>
        <w:t xml:space="preserve"> at 961.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C84D13" w:rsidRDefault="00C84D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84D13" w:rsidRDefault="00C84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C84D13" w:rsidRPr="003177C3" w:rsidRDefault="00C84D13">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E1595B">
          <w:rPr>
            <w:rFonts w:ascii="Arial" w:hAnsi="Arial" w:cs="Arial"/>
            <w:noProof/>
            <w:sz w:val="24"/>
            <w:szCs w:val="24"/>
          </w:rPr>
          <w:t>18</w:t>
        </w:r>
        <w:r w:rsidRPr="003177C3">
          <w:rPr>
            <w:rFonts w:ascii="Arial" w:hAnsi="Arial" w:cs="Arial"/>
            <w:noProof/>
            <w:sz w:val="24"/>
            <w:szCs w:val="24"/>
          </w:rPr>
          <w:fldChar w:fldCharType="end"/>
        </w:r>
      </w:p>
    </w:sdtContent>
  </w:sdt>
  <w:p w:rsidR="00C84D13" w:rsidRPr="003177C3" w:rsidRDefault="00C84D13">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0D34"/>
    <w:multiLevelType w:val="hybridMultilevel"/>
    <w:tmpl w:val="59D255D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710664F"/>
    <w:multiLevelType w:val="hybridMultilevel"/>
    <w:tmpl w:val="5F083AD2"/>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20494EA1"/>
    <w:multiLevelType w:val="hybridMultilevel"/>
    <w:tmpl w:val="C02E3BB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BC30406"/>
    <w:multiLevelType w:val="hybridMultilevel"/>
    <w:tmpl w:val="557A99A8"/>
    <w:lvl w:ilvl="0" w:tplc="A49ED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81D3E"/>
    <w:multiLevelType w:val="hybridMultilevel"/>
    <w:tmpl w:val="D1F2BB0C"/>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B572ADF"/>
    <w:multiLevelType w:val="hybridMultilevel"/>
    <w:tmpl w:val="F102919C"/>
    <w:lvl w:ilvl="0" w:tplc="F8EE5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2B031C"/>
    <w:multiLevelType w:val="hybridMultilevel"/>
    <w:tmpl w:val="FA30A16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6D052917"/>
    <w:multiLevelType w:val="hybridMultilevel"/>
    <w:tmpl w:val="44CA548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748A2B17"/>
    <w:multiLevelType w:val="hybridMultilevel"/>
    <w:tmpl w:val="89B432F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7F594385"/>
    <w:multiLevelType w:val="hybridMultilevel"/>
    <w:tmpl w:val="C02E3BB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2"/>
  </w:num>
  <w:num w:numId="5">
    <w:abstractNumId w:val="6"/>
  </w:num>
  <w:num w:numId="6">
    <w:abstractNumId w:val="7"/>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F9"/>
    <w:rsid w:val="00000BAE"/>
    <w:rsid w:val="00000F51"/>
    <w:rsid w:val="00004CA4"/>
    <w:rsid w:val="00012478"/>
    <w:rsid w:val="00036F50"/>
    <w:rsid w:val="0004273E"/>
    <w:rsid w:val="00042CD5"/>
    <w:rsid w:val="00050CB5"/>
    <w:rsid w:val="00061285"/>
    <w:rsid w:val="00075044"/>
    <w:rsid w:val="000762AC"/>
    <w:rsid w:val="00086B29"/>
    <w:rsid w:val="0009041A"/>
    <w:rsid w:val="000969FA"/>
    <w:rsid w:val="000A00BD"/>
    <w:rsid w:val="000A3159"/>
    <w:rsid w:val="000A6756"/>
    <w:rsid w:val="000A6D02"/>
    <w:rsid w:val="000C12B3"/>
    <w:rsid w:val="000D5A9C"/>
    <w:rsid w:val="000E1D2B"/>
    <w:rsid w:val="000E555A"/>
    <w:rsid w:val="000F0ECF"/>
    <w:rsid w:val="000F2B3D"/>
    <w:rsid w:val="00102849"/>
    <w:rsid w:val="00103478"/>
    <w:rsid w:val="00120DB3"/>
    <w:rsid w:val="0014478B"/>
    <w:rsid w:val="001476C8"/>
    <w:rsid w:val="001513F8"/>
    <w:rsid w:val="00151B1C"/>
    <w:rsid w:val="00162A0A"/>
    <w:rsid w:val="00165D99"/>
    <w:rsid w:val="001B1C01"/>
    <w:rsid w:val="001B3B3D"/>
    <w:rsid w:val="001C2526"/>
    <w:rsid w:val="001E32E4"/>
    <w:rsid w:val="001E4CBE"/>
    <w:rsid w:val="001F0F4A"/>
    <w:rsid w:val="002016D7"/>
    <w:rsid w:val="0020467C"/>
    <w:rsid w:val="00212A25"/>
    <w:rsid w:val="00216C4D"/>
    <w:rsid w:val="002369C5"/>
    <w:rsid w:val="002423FE"/>
    <w:rsid w:val="00242956"/>
    <w:rsid w:val="0024393A"/>
    <w:rsid w:val="00251C65"/>
    <w:rsid w:val="002610D7"/>
    <w:rsid w:val="00274027"/>
    <w:rsid w:val="00274A49"/>
    <w:rsid w:val="00282783"/>
    <w:rsid w:val="00286133"/>
    <w:rsid w:val="00290997"/>
    <w:rsid w:val="00292CDD"/>
    <w:rsid w:val="002942DF"/>
    <w:rsid w:val="002A3841"/>
    <w:rsid w:val="002A3E24"/>
    <w:rsid w:val="002B2D09"/>
    <w:rsid w:val="002D0990"/>
    <w:rsid w:val="002D5233"/>
    <w:rsid w:val="002D539B"/>
    <w:rsid w:val="00306D00"/>
    <w:rsid w:val="00307076"/>
    <w:rsid w:val="00312C5E"/>
    <w:rsid w:val="00315426"/>
    <w:rsid w:val="003226F9"/>
    <w:rsid w:val="0033455B"/>
    <w:rsid w:val="00334786"/>
    <w:rsid w:val="003359E8"/>
    <w:rsid w:val="003449D0"/>
    <w:rsid w:val="003527B8"/>
    <w:rsid w:val="00353EB0"/>
    <w:rsid w:val="00362088"/>
    <w:rsid w:val="003672AC"/>
    <w:rsid w:val="0037391B"/>
    <w:rsid w:val="00373E70"/>
    <w:rsid w:val="00392B6A"/>
    <w:rsid w:val="00396769"/>
    <w:rsid w:val="003B09E9"/>
    <w:rsid w:val="003B19F2"/>
    <w:rsid w:val="003B42E0"/>
    <w:rsid w:val="003B5D50"/>
    <w:rsid w:val="003C00CC"/>
    <w:rsid w:val="003C1B67"/>
    <w:rsid w:val="003C4302"/>
    <w:rsid w:val="003C6E5C"/>
    <w:rsid w:val="003F59AE"/>
    <w:rsid w:val="003F5BFB"/>
    <w:rsid w:val="003F5F47"/>
    <w:rsid w:val="003F6532"/>
    <w:rsid w:val="0040095A"/>
    <w:rsid w:val="00403245"/>
    <w:rsid w:val="00416943"/>
    <w:rsid w:val="00425A3A"/>
    <w:rsid w:val="00425C82"/>
    <w:rsid w:val="004312A7"/>
    <w:rsid w:val="00440640"/>
    <w:rsid w:val="0045544B"/>
    <w:rsid w:val="00472176"/>
    <w:rsid w:val="0047645D"/>
    <w:rsid w:val="00480056"/>
    <w:rsid w:val="004A233D"/>
    <w:rsid w:val="004A3385"/>
    <w:rsid w:val="004B11E6"/>
    <w:rsid w:val="004B1293"/>
    <w:rsid w:val="004D568A"/>
    <w:rsid w:val="004E11EA"/>
    <w:rsid w:val="004F36FD"/>
    <w:rsid w:val="004F530F"/>
    <w:rsid w:val="00504EC9"/>
    <w:rsid w:val="0051694B"/>
    <w:rsid w:val="00522F38"/>
    <w:rsid w:val="00567D05"/>
    <w:rsid w:val="00573BE5"/>
    <w:rsid w:val="00583624"/>
    <w:rsid w:val="00587AA6"/>
    <w:rsid w:val="00596E87"/>
    <w:rsid w:val="005A3622"/>
    <w:rsid w:val="005B5313"/>
    <w:rsid w:val="005B6D72"/>
    <w:rsid w:val="005C0437"/>
    <w:rsid w:val="005C5B5D"/>
    <w:rsid w:val="005C6BD1"/>
    <w:rsid w:val="005D2980"/>
    <w:rsid w:val="005D5242"/>
    <w:rsid w:val="005F0EB9"/>
    <w:rsid w:val="005F3099"/>
    <w:rsid w:val="005F7301"/>
    <w:rsid w:val="00600DC3"/>
    <w:rsid w:val="006056E3"/>
    <w:rsid w:val="00605A8E"/>
    <w:rsid w:val="00605F6D"/>
    <w:rsid w:val="0061191F"/>
    <w:rsid w:val="00622AF3"/>
    <w:rsid w:val="00622E20"/>
    <w:rsid w:val="00626D0B"/>
    <w:rsid w:val="00637FD1"/>
    <w:rsid w:val="00645509"/>
    <w:rsid w:val="006500E3"/>
    <w:rsid w:val="00653317"/>
    <w:rsid w:val="00660174"/>
    <w:rsid w:val="0066145D"/>
    <w:rsid w:val="006640DA"/>
    <w:rsid w:val="00664E2A"/>
    <w:rsid w:val="00677CF8"/>
    <w:rsid w:val="00687FBD"/>
    <w:rsid w:val="0069336B"/>
    <w:rsid w:val="0069339C"/>
    <w:rsid w:val="006A4C50"/>
    <w:rsid w:val="006B0EBA"/>
    <w:rsid w:val="006B5442"/>
    <w:rsid w:val="006C2D68"/>
    <w:rsid w:val="006D6406"/>
    <w:rsid w:val="006E2404"/>
    <w:rsid w:val="006E6AFF"/>
    <w:rsid w:val="006F569B"/>
    <w:rsid w:val="006F5981"/>
    <w:rsid w:val="00702F81"/>
    <w:rsid w:val="00703CFF"/>
    <w:rsid w:val="0071357C"/>
    <w:rsid w:val="0072514E"/>
    <w:rsid w:val="0072709D"/>
    <w:rsid w:val="00731DC1"/>
    <w:rsid w:val="007347F2"/>
    <w:rsid w:val="007549EC"/>
    <w:rsid w:val="0075571E"/>
    <w:rsid w:val="00766C34"/>
    <w:rsid w:val="0077311C"/>
    <w:rsid w:val="00782F75"/>
    <w:rsid w:val="007850F0"/>
    <w:rsid w:val="00785BDD"/>
    <w:rsid w:val="007A15DF"/>
    <w:rsid w:val="007A3EC6"/>
    <w:rsid w:val="007B059B"/>
    <w:rsid w:val="007B4609"/>
    <w:rsid w:val="007B5BF7"/>
    <w:rsid w:val="007C15DB"/>
    <w:rsid w:val="007D2AE0"/>
    <w:rsid w:val="007D3D24"/>
    <w:rsid w:val="007E4BC7"/>
    <w:rsid w:val="007F398E"/>
    <w:rsid w:val="007F7F59"/>
    <w:rsid w:val="00800DBF"/>
    <w:rsid w:val="00800F06"/>
    <w:rsid w:val="008362CA"/>
    <w:rsid w:val="0084602B"/>
    <w:rsid w:val="00856FBE"/>
    <w:rsid w:val="008637B5"/>
    <w:rsid w:val="008660BF"/>
    <w:rsid w:val="00867EA4"/>
    <w:rsid w:val="008704FA"/>
    <w:rsid w:val="00884C9A"/>
    <w:rsid w:val="0088747B"/>
    <w:rsid w:val="008A3444"/>
    <w:rsid w:val="008C69A1"/>
    <w:rsid w:val="008D4FCB"/>
    <w:rsid w:val="008E0823"/>
    <w:rsid w:val="008F03E2"/>
    <w:rsid w:val="008F03FB"/>
    <w:rsid w:val="008F7B9A"/>
    <w:rsid w:val="008F7BE3"/>
    <w:rsid w:val="0091063A"/>
    <w:rsid w:val="00910B32"/>
    <w:rsid w:val="00913A8B"/>
    <w:rsid w:val="00916144"/>
    <w:rsid w:val="00920F33"/>
    <w:rsid w:val="00924C0D"/>
    <w:rsid w:val="00930495"/>
    <w:rsid w:val="00931D03"/>
    <w:rsid w:val="009322C4"/>
    <w:rsid w:val="00937A12"/>
    <w:rsid w:val="00944C31"/>
    <w:rsid w:val="009505DA"/>
    <w:rsid w:val="009522CD"/>
    <w:rsid w:val="00954009"/>
    <w:rsid w:val="00957BB0"/>
    <w:rsid w:val="00962148"/>
    <w:rsid w:val="009717C8"/>
    <w:rsid w:val="00981F4C"/>
    <w:rsid w:val="00993D16"/>
    <w:rsid w:val="009B02D7"/>
    <w:rsid w:val="009B7F0A"/>
    <w:rsid w:val="009C4FAD"/>
    <w:rsid w:val="009D6ECD"/>
    <w:rsid w:val="009E08FB"/>
    <w:rsid w:val="009F0E1E"/>
    <w:rsid w:val="009F6C33"/>
    <w:rsid w:val="00A015E7"/>
    <w:rsid w:val="00A04010"/>
    <w:rsid w:val="00A160A9"/>
    <w:rsid w:val="00A32CE2"/>
    <w:rsid w:val="00A34924"/>
    <w:rsid w:val="00A53728"/>
    <w:rsid w:val="00A62991"/>
    <w:rsid w:val="00A63DE0"/>
    <w:rsid w:val="00A729CB"/>
    <w:rsid w:val="00A736A4"/>
    <w:rsid w:val="00A7716F"/>
    <w:rsid w:val="00A923C1"/>
    <w:rsid w:val="00AB5C05"/>
    <w:rsid w:val="00AD65B1"/>
    <w:rsid w:val="00AD737F"/>
    <w:rsid w:val="00AE2A9B"/>
    <w:rsid w:val="00AE5C3E"/>
    <w:rsid w:val="00B01E0B"/>
    <w:rsid w:val="00B02421"/>
    <w:rsid w:val="00B060CE"/>
    <w:rsid w:val="00B122C4"/>
    <w:rsid w:val="00B214DC"/>
    <w:rsid w:val="00B32BE2"/>
    <w:rsid w:val="00B372BF"/>
    <w:rsid w:val="00B40CDD"/>
    <w:rsid w:val="00B54CE0"/>
    <w:rsid w:val="00B56BFC"/>
    <w:rsid w:val="00B60DBA"/>
    <w:rsid w:val="00B6135E"/>
    <w:rsid w:val="00B66234"/>
    <w:rsid w:val="00B72768"/>
    <w:rsid w:val="00B762C3"/>
    <w:rsid w:val="00BA073D"/>
    <w:rsid w:val="00BA2B85"/>
    <w:rsid w:val="00BA7885"/>
    <w:rsid w:val="00BC20F4"/>
    <w:rsid w:val="00BC6A72"/>
    <w:rsid w:val="00BD217F"/>
    <w:rsid w:val="00BE049D"/>
    <w:rsid w:val="00BE7B30"/>
    <w:rsid w:val="00BE7CCC"/>
    <w:rsid w:val="00BE7F33"/>
    <w:rsid w:val="00C01054"/>
    <w:rsid w:val="00C12928"/>
    <w:rsid w:val="00C139EE"/>
    <w:rsid w:val="00C16D31"/>
    <w:rsid w:val="00C21CD6"/>
    <w:rsid w:val="00C24A03"/>
    <w:rsid w:val="00C34836"/>
    <w:rsid w:val="00C35D63"/>
    <w:rsid w:val="00C57493"/>
    <w:rsid w:val="00C64250"/>
    <w:rsid w:val="00C673C0"/>
    <w:rsid w:val="00C73A94"/>
    <w:rsid w:val="00C74BFA"/>
    <w:rsid w:val="00C84D13"/>
    <w:rsid w:val="00C85F39"/>
    <w:rsid w:val="00CA2034"/>
    <w:rsid w:val="00CA7BCD"/>
    <w:rsid w:val="00CC1696"/>
    <w:rsid w:val="00CC3265"/>
    <w:rsid w:val="00CC682D"/>
    <w:rsid w:val="00CC6FAB"/>
    <w:rsid w:val="00D0283C"/>
    <w:rsid w:val="00D04289"/>
    <w:rsid w:val="00D05E1A"/>
    <w:rsid w:val="00D16FFE"/>
    <w:rsid w:val="00D52071"/>
    <w:rsid w:val="00D54D25"/>
    <w:rsid w:val="00D55421"/>
    <w:rsid w:val="00D76787"/>
    <w:rsid w:val="00D815EB"/>
    <w:rsid w:val="00D82F00"/>
    <w:rsid w:val="00D8320E"/>
    <w:rsid w:val="00D95571"/>
    <w:rsid w:val="00DE08EB"/>
    <w:rsid w:val="00DF146E"/>
    <w:rsid w:val="00DF6F0F"/>
    <w:rsid w:val="00E00741"/>
    <w:rsid w:val="00E01D17"/>
    <w:rsid w:val="00E1595B"/>
    <w:rsid w:val="00E30D90"/>
    <w:rsid w:val="00E32290"/>
    <w:rsid w:val="00E45F31"/>
    <w:rsid w:val="00E50CBA"/>
    <w:rsid w:val="00E64909"/>
    <w:rsid w:val="00E754A1"/>
    <w:rsid w:val="00E846C1"/>
    <w:rsid w:val="00E92D04"/>
    <w:rsid w:val="00EA79E2"/>
    <w:rsid w:val="00EB124E"/>
    <w:rsid w:val="00EC2822"/>
    <w:rsid w:val="00ED614F"/>
    <w:rsid w:val="00EF57EA"/>
    <w:rsid w:val="00F163EA"/>
    <w:rsid w:val="00F16B1F"/>
    <w:rsid w:val="00F41601"/>
    <w:rsid w:val="00F435F9"/>
    <w:rsid w:val="00F47B7B"/>
    <w:rsid w:val="00F47BEB"/>
    <w:rsid w:val="00F56413"/>
    <w:rsid w:val="00F65C28"/>
    <w:rsid w:val="00F67516"/>
    <w:rsid w:val="00F71663"/>
    <w:rsid w:val="00F767DD"/>
    <w:rsid w:val="00F9303A"/>
    <w:rsid w:val="00F9581E"/>
    <w:rsid w:val="00F961A0"/>
    <w:rsid w:val="00FA24CF"/>
    <w:rsid w:val="00FA4BC8"/>
    <w:rsid w:val="00FA5935"/>
    <w:rsid w:val="00FC34A1"/>
    <w:rsid w:val="00FC69F8"/>
    <w:rsid w:val="00FE7786"/>
    <w:rsid w:val="00FF562A"/>
    <w:rsid w:val="00FF56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37F87-F7FA-4B2C-AF79-D09ACB3A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6F9"/>
    <w:pPr>
      <w:spacing w:line="240" w:lineRule="auto"/>
    </w:pPr>
  </w:style>
  <w:style w:type="paragraph" w:styleId="BodyText">
    <w:name w:val="Body Text"/>
    <w:basedOn w:val="Normal"/>
    <w:link w:val="BodyTextChar"/>
    <w:rsid w:val="003226F9"/>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26F9"/>
    <w:rPr>
      <w:rFonts w:ascii="Times New Roman" w:eastAsia="Times New Roman" w:hAnsi="Times New Roman" w:cs="Times New Roman"/>
      <w:sz w:val="24"/>
      <w:szCs w:val="24"/>
      <w:lang w:val="en-GB"/>
    </w:rPr>
  </w:style>
  <w:style w:type="table" w:styleId="TableGrid">
    <w:name w:val="Table Grid"/>
    <w:basedOn w:val="TableNormal"/>
    <w:uiPriority w:val="39"/>
    <w:rsid w:val="00322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6F9"/>
  </w:style>
  <w:style w:type="paragraph" w:styleId="BalloonText">
    <w:name w:val="Balloon Text"/>
    <w:basedOn w:val="Normal"/>
    <w:link w:val="BalloonTextChar"/>
    <w:uiPriority w:val="99"/>
    <w:semiHidden/>
    <w:unhideWhenUsed/>
    <w:rsid w:val="00212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25"/>
    <w:rPr>
      <w:rFonts w:ascii="Segoe UI" w:hAnsi="Segoe UI" w:cs="Segoe UI"/>
      <w:sz w:val="18"/>
      <w:szCs w:val="18"/>
    </w:rPr>
  </w:style>
  <w:style w:type="paragraph" w:styleId="FootnoteText">
    <w:name w:val="footnote text"/>
    <w:basedOn w:val="Normal"/>
    <w:link w:val="FootnoteTextChar"/>
    <w:uiPriority w:val="99"/>
    <w:semiHidden/>
    <w:unhideWhenUsed/>
    <w:rsid w:val="0034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9D0"/>
    <w:rPr>
      <w:sz w:val="20"/>
      <w:szCs w:val="20"/>
    </w:rPr>
  </w:style>
  <w:style w:type="character" w:styleId="FootnoteReference">
    <w:name w:val="footnote reference"/>
    <w:basedOn w:val="DefaultParagraphFont"/>
    <w:uiPriority w:val="99"/>
    <w:semiHidden/>
    <w:unhideWhenUsed/>
    <w:rsid w:val="003449D0"/>
    <w:rPr>
      <w:vertAlign w:val="superscript"/>
    </w:rPr>
  </w:style>
  <w:style w:type="paragraph" w:styleId="Footer">
    <w:name w:val="footer"/>
    <w:basedOn w:val="Normal"/>
    <w:link w:val="FooterChar"/>
    <w:uiPriority w:val="99"/>
    <w:unhideWhenUsed/>
    <w:rsid w:val="00362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88"/>
  </w:style>
  <w:style w:type="paragraph" w:styleId="ListParagraph">
    <w:name w:val="List Paragraph"/>
    <w:basedOn w:val="Normal"/>
    <w:uiPriority w:val="34"/>
    <w:qFormat/>
    <w:rsid w:val="008A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2024-02-29T18:30:00+00:00</Judgment_x0020_Date>
    <Year xmlns="63bdd487-88aa-4c54-b893-ddaa81ed2e7c">2024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6CB3-B3EC-426E-AF8E-5CA68AA3DF78}"/>
</file>

<file path=customXml/itemProps2.xml><?xml version="1.0" encoding="utf-8"?>
<ds:datastoreItem xmlns:ds="http://schemas.openxmlformats.org/officeDocument/2006/customXml" ds:itemID="{E0F75CDE-951A-4B3A-95FD-8237D50E3E53}"/>
</file>

<file path=customXml/itemProps3.xml><?xml version="1.0" encoding="utf-8"?>
<ds:datastoreItem xmlns:ds="http://schemas.openxmlformats.org/officeDocument/2006/customXml" ds:itemID="{A1C2CD11-1936-43E2-B68C-7F7175C4189C}"/>
</file>

<file path=customXml/itemProps4.xml><?xml version="1.0" encoding="utf-8"?>
<ds:datastoreItem xmlns:ds="http://schemas.openxmlformats.org/officeDocument/2006/customXml" ds:itemID="{C31E3714-DDC4-4D00-BB07-EE95A1D86469}"/>
</file>

<file path=docProps/app.xml><?xml version="1.0" encoding="utf-8"?>
<Properties xmlns="http://schemas.openxmlformats.org/officeDocument/2006/extended-properties" xmlns:vt="http://schemas.openxmlformats.org/officeDocument/2006/docPropsVTypes">
  <Template>Normal</Template>
  <TotalTime>161</TotalTime>
  <Pages>18</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Koopman v Acting Chief Executive Officer NSFAF (SA 63-2021) [2023] NASC (7 December 2023)</vt:lpstr>
    </vt:vector>
  </TitlesOfParts>
  <Company/>
  <LinksUpToDate>false</LinksUpToDate>
  <CharactersWithSpaces>23257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Temptations Fashion CC and another v J Henning Properties (Pty) Ltd and another (SA 183-2023) [2024] NASC (1 March 2024)</dc:title>
  <dc:subject/>
  <dc:creator>Juboltine Risuro</dc:creator>
  <cp:keywords/>
  <dc:description/>
  <cp:lastModifiedBy>Maggy M. Swartbooi</cp:lastModifiedBy>
  <cp:revision>13</cp:revision>
  <cp:lastPrinted>2024-02-27T08:48:00Z</cp:lastPrinted>
  <dcterms:created xsi:type="dcterms:W3CDTF">2024-02-19T12:14:00Z</dcterms:created>
  <dcterms:modified xsi:type="dcterms:W3CDTF">2024-03-01T11:08:00Z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